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559"/>
      </w:tblGrid>
      <w:tr w:rsidR="005C768E" w:rsidRPr="006927BA" w14:paraId="7996AB3A" w14:textId="77777777" w:rsidTr="00E65A3A">
        <w:trPr>
          <w:trHeight w:val="1131"/>
        </w:trPr>
        <w:tc>
          <w:tcPr>
            <w:tcW w:w="5000" w:type="pct"/>
            <w:gridSpan w:val="2"/>
          </w:tcPr>
          <w:p w14:paraId="75347C6F" w14:textId="73AD82D6" w:rsidR="00A01897" w:rsidRPr="00DD71B2" w:rsidRDefault="008C1018" w:rsidP="00E37C2F">
            <w:pPr>
              <w:spacing w:line="276" w:lineRule="auto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NOTA </w:t>
            </w:r>
            <w:r w:rsidR="006927BA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INFORMATIVĂ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A0189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br/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la contractul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Nr.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06-15/491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din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08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decembrie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20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20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, Lot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1</w:t>
            </w:r>
            <w:r w:rsidR="00E37C2F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1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de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elaborare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a proiectului de document normativ în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construcții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”</w:t>
            </w:r>
            <w:r w:rsidR="00E37C2F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Proiectarea arhitecturală și peisagistică a drumurilor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”</w:t>
            </w:r>
          </w:p>
        </w:tc>
      </w:tr>
      <w:tr w:rsidR="005C768E" w:rsidRPr="006927BA" w14:paraId="719EECA0" w14:textId="77777777" w:rsidTr="00E65A3A">
        <w:tc>
          <w:tcPr>
            <w:tcW w:w="5000" w:type="pct"/>
            <w:gridSpan w:val="2"/>
          </w:tcPr>
          <w:p w14:paraId="2433C87B" w14:textId="77777777" w:rsidR="00E6678B" w:rsidRPr="00DD71B2" w:rsidRDefault="00E6678B" w:rsidP="00707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6927BA" w14:paraId="07616EAE" w14:textId="77777777" w:rsidTr="00E65A3A">
        <w:tc>
          <w:tcPr>
            <w:tcW w:w="282" w:type="pct"/>
          </w:tcPr>
          <w:p w14:paraId="78E89D13" w14:textId="77777777" w:rsidR="00E6678B" w:rsidRPr="00711FFD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11FFD"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4718" w:type="pct"/>
          </w:tcPr>
          <w:p w14:paraId="0EDED1EC" w14:textId="77777777" w:rsidR="00E6678B" w:rsidRPr="00A10F1A" w:rsidRDefault="00E6678B" w:rsidP="00BF41E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A10F1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Contextul </w:t>
            </w:r>
            <w:r w:rsidR="00394609" w:rsidRPr="00A10F1A">
              <w:rPr>
                <w:rFonts w:ascii="Arial" w:hAnsi="Arial" w:cs="Arial"/>
                <w:b/>
                <w:sz w:val="24"/>
                <w:szCs w:val="24"/>
                <w:lang w:val="ro-RO"/>
              </w:rPr>
              <w:t>adaptării</w:t>
            </w:r>
            <w:r w:rsidRPr="00A10F1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</w:p>
          <w:p w14:paraId="1528137E" w14:textId="77777777" w:rsidR="00894AD2" w:rsidRPr="00A10F1A" w:rsidRDefault="00E233B3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Scopul </w:t>
            </w:r>
            <w:r w:rsidR="00C7123C"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adaptării </w:t>
            </w: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prezentului document </w:t>
            </w:r>
            <w:r w:rsidR="00C7123C" w:rsidRPr="00A10F1A">
              <w:rPr>
                <w:rFonts w:ascii="Arial" w:hAnsi="Arial" w:cs="Arial"/>
                <w:sz w:val="24"/>
                <w:szCs w:val="24"/>
                <w:lang w:val="ro-RO"/>
              </w:rPr>
              <w:t>constă în</w:t>
            </w: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77672" w:rsidRPr="00A10F1A">
              <w:rPr>
                <w:rFonts w:ascii="Arial" w:hAnsi="Arial" w:cs="Arial"/>
                <w:sz w:val="24"/>
                <w:szCs w:val="24"/>
                <w:lang w:val="ro-RO"/>
              </w:rPr>
              <w:t>contribui</w:t>
            </w:r>
            <w:r w:rsidR="00C7123C" w:rsidRPr="00A10F1A">
              <w:rPr>
                <w:rFonts w:ascii="Arial" w:hAnsi="Arial" w:cs="Arial"/>
                <w:sz w:val="24"/>
                <w:szCs w:val="24"/>
                <w:lang w:val="ro-RO"/>
              </w:rPr>
              <w:t>rea</w:t>
            </w:r>
            <w:r w:rsidR="00077672"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 la implementarea politicilor Republicii Moldova în domeniului drumurilor prin dezvoltarea bazei de documente normative în construcții</w:t>
            </w:r>
            <w:r w:rsidR="00894AD2" w:rsidRPr="00A10F1A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  <w:r w:rsidR="00077672"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3D808A90" w14:textId="77777777" w:rsidR="00894AD2" w:rsidRPr="00A10F1A" w:rsidRDefault="00894AD2" w:rsidP="00C7123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7507C39" w14:textId="77777777" w:rsidR="007100AE" w:rsidRDefault="007C7D32" w:rsidP="004F175B">
            <w:pPr>
              <w:pStyle w:val="ae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Pe lângă indicatori funcționali d</w:t>
            </w:r>
            <w:r w:rsid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rumurile sunt privite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și evaluate 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încă 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din două poziții importante: din punctul de vedere al ecologiei, ca o formă artificială mare 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pozată 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în mediul natural, care necesită 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înscrierea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potriv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ită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în peisaj fără a sacrifica natura și, de asemenea, ca obiect al esteticii tehnice - un 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obiectiv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utilitar care trebuie să 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posede</w:t>
            </w:r>
            <w:r w:rsidR="004F175B" w:rsidRPr="004F175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calități artistice</w:t>
            </w:r>
            <w:r w:rsidR="00FC1E80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.</w:t>
            </w:r>
          </w:p>
          <w:p w14:paraId="35BA5C3E" w14:textId="77777777" w:rsidR="00101E4D" w:rsidRDefault="00101E4D" w:rsidP="004F175B">
            <w:pPr>
              <w:pStyle w:val="ae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</w:p>
          <w:p w14:paraId="49717F94" w14:textId="77777777" w:rsidR="00101E4D" w:rsidRPr="00101E4D" w:rsidRDefault="00101E4D" w:rsidP="004F175B">
            <w:pPr>
              <w:pStyle w:val="ae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Actualmente, când ocrotirea mediului înconjurător este unul din obiectivele strategice ale Republicii Moldova, proiectarea drumurilor cu utilizarea proprietăților peisajului fără dăunarea naturii este extrem de oportună.</w:t>
            </w:r>
          </w:p>
          <w:p w14:paraId="22382E6E" w14:textId="77777777" w:rsidR="00E234BD" w:rsidRDefault="00E234BD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059E762" w14:textId="77777777" w:rsidR="00101E4D" w:rsidRPr="007C3F2B" w:rsidRDefault="007C7D32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C3F2B">
              <w:rPr>
                <w:rFonts w:ascii="Arial" w:hAnsi="Arial" w:cs="Arial"/>
                <w:sz w:val="24"/>
                <w:szCs w:val="24"/>
                <w:lang w:val="ro-RO"/>
              </w:rPr>
              <w:t xml:space="preserve">Ținând cont de evoluția transportului auto în ultimii decenii este necesar de reglementat </w:t>
            </w:r>
            <w:r w:rsidRPr="007C3F2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criteriu de proiectare a drumului pe baza condiției de confort optic. Aceasta reprezintă caracteristica unui drum rezultând din suprapunerea efectelor elementelor</w:t>
            </w:r>
            <w:r w:rsidR="0071263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geometrice în plan, profil lon</w:t>
            </w:r>
            <w:r w:rsidRPr="007C3F2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gitudinal și transversal care permite perceperea de la o distanță suficient de mare a platformei drumului și a alur</w:t>
            </w:r>
            <w:r w:rsidR="0071263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i</w:t>
            </w:r>
            <w:r w:rsidRPr="007C3F2B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i traseului care urmează să fie parcurs și care asigură o continuitate optimă a axei drumului în ce privește oferirea unor perspective plăcute ale mediului înconjurător</w:t>
            </w:r>
          </w:p>
          <w:p w14:paraId="740E87FE" w14:textId="77777777" w:rsidR="00101E4D" w:rsidRPr="00A10F1A" w:rsidRDefault="00101E4D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C8422F7" w14:textId="77777777" w:rsidR="00FD5FEE" w:rsidRPr="00A10F1A" w:rsidRDefault="00FD5FEE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Temeiul </w:t>
            </w:r>
            <w:r w:rsidR="007D239B" w:rsidRPr="00A10F1A">
              <w:rPr>
                <w:rFonts w:ascii="Arial" w:hAnsi="Arial" w:cs="Arial"/>
                <w:sz w:val="24"/>
                <w:szCs w:val="24"/>
                <w:lang w:val="ro-RO"/>
              </w:rPr>
              <w:t>adapt</w:t>
            </w: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 xml:space="preserve">ării proiectului DNC - planul tematic </w:t>
            </w:r>
            <w:r w:rsidR="00C94663" w:rsidRPr="00A10F1A">
              <w:rPr>
                <w:rFonts w:ascii="Arial" w:hAnsi="Arial" w:cs="Arial"/>
                <w:sz w:val="24"/>
                <w:szCs w:val="24"/>
                <w:lang w:val="ro-RO"/>
              </w:rPr>
              <w:t>2020-2021 al Î.S. ASD</w:t>
            </w:r>
            <w:r w:rsidRPr="00A10F1A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243E5C23" w14:textId="77777777" w:rsidR="00FD5FEE" w:rsidRPr="00A10F1A" w:rsidRDefault="00FD5FEE" w:rsidP="002644CD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D239B" w:rsidRPr="007D239B" w14:paraId="50A2472A" w14:textId="77777777" w:rsidTr="00E65A3A">
        <w:tc>
          <w:tcPr>
            <w:tcW w:w="282" w:type="pct"/>
          </w:tcPr>
          <w:p w14:paraId="3FDFB305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718" w:type="pct"/>
          </w:tcPr>
          <w:p w14:paraId="03E3AE4C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Generalități</w:t>
            </w:r>
          </w:p>
        </w:tc>
      </w:tr>
      <w:tr w:rsidR="005C768E" w:rsidRPr="006927BA" w14:paraId="01589017" w14:textId="77777777" w:rsidTr="00E65A3A">
        <w:tc>
          <w:tcPr>
            <w:tcW w:w="282" w:type="pct"/>
          </w:tcPr>
          <w:p w14:paraId="7C9100E1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61DBA3C8" w14:textId="77777777" w:rsidR="004F175B" w:rsidRPr="00A10F1A" w:rsidRDefault="00E269DD" w:rsidP="00F73478">
            <w:pPr>
              <w:pStyle w:val="a7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Drumurile sunt căi de transport foarte importante în domeniile social și economic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 </w:t>
            </w:r>
            <w:r w:rsidR="004F175B"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Obiectivul de bază al unui proiect de drum este de a asigura cele mai bune condiții de confort și siguranța circulației pentru desfășurarea traficului rutier. Metoda tradițională de proiectare bazată pe reprezentarea ortogonală a drumului pe trei planuri de proiecție (plan de situație, profil longitudinal și profil transversal) nu mai poate satisface</w:t>
            </w:r>
            <w:r w:rsidR="00F73478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,</w:t>
            </w:r>
            <w:r w:rsidR="004F175B"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în cele mai bune condiții</w:t>
            </w:r>
            <w:r w:rsidR="00F73478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,</w:t>
            </w:r>
            <w:r w:rsidR="004F175B"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cerințele traficului rutier modern.</w:t>
            </w:r>
          </w:p>
          <w:p w14:paraId="42272D29" w14:textId="77777777" w:rsidR="004F175B" w:rsidRPr="00A10F1A" w:rsidRDefault="004F175B" w:rsidP="004F175B">
            <w:pPr>
              <w:pStyle w:val="ae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73FC613F" w14:textId="77777777" w:rsidR="004F175B" w:rsidRDefault="004F175B" w:rsidP="004F175B">
            <w:pPr>
              <w:pStyle w:val="ae"/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  <w:r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De aceea, la proiectarea drumurilor se are în vedere obținerea unor efecte estetice rezultate din înscrierea convenabilă a traseului în configurația terenului natural și din punerea în valoare a elementelor naturale sau a construcțiilor existente, interesante din punct de vedere al aspectului exterior.</w:t>
            </w:r>
          </w:p>
          <w:p w14:paraId="342BA88C" w14:textId="77777777" w:rsidR="004F175B" w:rsidRPr="00A10F1A" w:rsidRDefault="004F175B" w:rsidP="004F175B">
            <w:pPr>
              <w:pStyle w:val="ae"/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</w:p>
          <w:p w14:paraId="09EDC3AD" w14:textId="77777777" w:rsidR="004F175B" w:rsidRPr="004F175B" w:rsidRDefault="004F175B" w:rsidP="004F175B">
            <w:pPr>
              <w:pStyle w:val="ae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</w:pPr>
            <w:r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Prin realizarea confortului optic se asigură conducătorului autovehiculului posibilitatea de orientare, chiar pentru zonele mai îndepărtate care depășesc </w:t>
            </w:r>
            <w:r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lastRenderedPageBreak/>
              <w:t xml:space="preserve">distanța normală de vizibilitate. Aceasta </w:t>
            </w:r>
            <w:r w:rsidR="00F73478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permite</w:t>
            </w:r>
            <w:r w:rsidRPr="00A10F1A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 xml:space="preserve"> conducătorului să execute din timp manevrele indicate de la caz la caz, respectiv accelerarea, frânarea, ocolirea, virarea etc.</w:t>
            </w:r>
          </w:p>
          <w:p w14:paraId="01787BE6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635D4F0" w14:textId="77777777" w:rsidR="00505A36" w:rsidRPr="00DD71B2" w:rsidRDefault="00CB3B0F" w:rsidP="00BC38D3">
            <w:pPr>
              <w:pStyle w:val="a7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  <w:r w:rsidRPr="00DD71B2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DNC va cuprinde norme și recomandări privind </w:t>
            </w:r>
            <w:r w:rsidR="00F7347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asigurarea confortului optic și vizibilitatea, necesare pentru mediu și siguranța rutieră</w:t>
            </w:r>
            <w:r w:rsidRPr="00DD71B2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.</w:t>
            </w:r>
          </w:p>
          <w:p w14:paraId="5A36BF5F" w14:textId="77777777" w:rsidR="00A6116D" w:rsidRPr="00DD71B2" w:rsidRDefault="00A6116D" w:rsidP="00CB3B0F">
            <w:pPr>
              <w:pStyle w:val="a7"/>
              <w:tabs>
                <w:tab w:val="left" w:pos="418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</w:p>
        </w:tc>
      </w:tr>
      <w:tr w:rsidR="005C768E" w:rsidRPr="006927BA" w14:paraId="1C1E4771" w14:textId="77777777" w:rsidTr="00E65A3A">
        <w:tc>
          <w:tcPr>
            <w:tcW w:w="282" w:type="pct"/>
          </w:tcPr>
          <w:p w14:paraId="3D9C7E26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718" w:type="pct"/>
          </w:tcPr>
          <w:p w14:paraId="37A04FB3" w14:textId="77777777" w:rsidR="00E6678B" w:rsidRPr="00DD71B2" w:rsidRDefault="00582FD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Domeniul de aplicare al docu</w:t>
            </w:r>
            <w:r w:rsidR="00E6678B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normativ</w:t>
            </w:r>
          </w:p>
        </w:tc>
      </w:tr>
      <w:tr w:rsidR="005C768E" w:rsidRPr="006927BA" w14:paraId="3B02912A" w14:textId="77777777" w:rsidTr="00E65A3A">
        <w:tc>
          <w:tcPr>
            <w:tcW w:w="282" w:type="pct"/>
          </w:tcPr>
          <w:p w14:paraId="50A7837B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456BDFD3" w14:textId="77777777" w:rsidR="00D56614" w:rsidRDefault="00D56614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67668D5" w14:textId="77777777" w:rsidR="00616DEA" w:rsidRPr="00DD71B2" w:rsidRDefault="00616DEA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Prevederile prezentului </w:t>
            </w:r>
            <w:r w:rsidR="0065401C"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construcții se va aplica în 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>activitatea de</w:t>
            </w:r>
            <w:r w:rsidR="00D56614" w:rsidRPr="00E452C0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 xml:space="preserve">proiectare 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i între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inere</w:t>
            </w:r>
            <w:r w:rsidR="00D41D53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a drumurilor publice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7A0A2A6" w14:textId="77777777" w:rsidR="00616DEA" w:rsidRPr="00DD71B2" w:rsidRDefault="00616DEA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88C8A08" w14:textId="77777777" w:rsidR="00E452C0" w:rsidRPr="00E452C0" w:rsidRDefault="004358A4" w:rsidP="00D41D5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Normativul are ca obiect</w:t>
            </w:r>
            <w:r w:rsidR="003412A9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s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tabilirea unor reguli tehnice și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norme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 care </w:t>
            </w:r>
            <w:r w:rsidR="00D41D53">
              <w:rPr>
                <w:rFonts w:ascii="Arial" w:hAnsi="Arial" w:cs="Arial"/>
                <w:sz w:val="24"/>
                <w:szCs w:val="24"/>
                <w:lang w:val="ro-RO"/>
              </w:rPr>
              <w:t xml:space="preserve">permit </w:t>
            </w:r>
            <w:r w:rsidR="00D41D53" w:rsidRPr="00D41D53">
              <w:rPr>
                <w:rFonts w:ascii="Arial" w:hAnsi="Arial" w:cs="Arial"/>
                <w:sz w:val="24"/>
                <w:szCs w:val="24"/>
                <w:lang w:val="ro-RO"/>
              </w:rPr>
              <w:t>sporirea indicilor funcționali ai drumurilor, facilitarea muncii conducătorilor auto, protecția mediului înconjurător, asigurarea siguranței traficului rutier, corelarea cu configurația naturală a terenului</w:t>
            </w:r>
            <w:r w:rsidR="00D41D53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2981293" w14:textId="77777777" w:rsidR="004358A4" w:rsidRPr="00E452C0" w:rsidRDefault="004358A4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F0D57AF" w14:textId="77777777" w:rsidR="00102018" w:rsidRPr="00DD71B2" w:rsidRDefault="00102018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 normativ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se recomandă administratorilor drumurilor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inginerilor și tehnicienilor care activează </w:t>
            </w:r>
            <w:r w:rsidR="00417E8B">
              <w:rPr>
                <w:rFonts w:ascii="Arial" w:hAnsi="Arial" w:cs="Arial"/>
                <w:sz w:val="24"/>
                <w:szCs w:val="24"/>
                <w:lang w:val="ro-RO"/>
              </w:rPr>
              <w:t>în proiectarea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i între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inerea drumurilor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publice naționale și locale.</w:t>
            </w:r>
          </w:p>
          <w:p w14:paraId="6DE9BCF2" w14:textId="77777777" w:rsidR="0065401C" w:rsidRPr="00DD71B2" w:rsidRDefault="0065401C" w:rsidP="00010C35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4AFE48EA" w14:textId="77777777" w:rsidTr="00E65A3A">
        <w:tc>
          <w:tcPr>
            <w:tcW w:w="282" w:type="pct"/>
          </w:tcPr>
          <w:p w14:paraId="6C87DED5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718" w:type="pct"/>
          </w:tcPr>
          <w:p w14:paraId="337C84C5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Armoni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zarea docu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ma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tiv</w:t>
            </w:r>
          </w:p>
        </w:tc>
      </w:tr>
      <w:tr w:rsidR="005C768E" w:rsidRPr="006927BA" w14:paraId="4BFD4B72" w14:textId="77777777" w:rsidTr="00E65A3A">
        <w:tc>
          <w:tcPr>
            <w:tcW w:w="282" w:type="pct"/>
          </w:tcPr>
          <w:p w14:paraId="18402090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6F2DE8D6" w14:textId="77777777" w:rsidR="00F73478" w:rsidRDefault="00F73478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F4A403E" w14:textId="79E56BB4" w:rsidR="00743945" w:rsidRPr="00DD71B2" w:rsidRDefault="006C1057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Documentul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normativ </w:t>
            </w:r>
            <w:r w:rsidR="006927BA">
              <w:rPr>
                <w:rFonts w:ascii="Arial" w:hAnsi="Arial" w:cs="Arial"/>
                <w:sz w:val="24"/>
                <w:szCs w:val="24"/>
                <w:lang w:val="ro-RO"/>
              </w:rPr>
              <w:t>elaborat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corespunde în totalitate sistemului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construcții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și reprezenta un ansamblu de structuri organizatorice, răspunderi, regulamente, proceduri </w:t>
            </w:r>
            <w:r w:rsidR="00AE790C" w:rsidRPr="00DD71B2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i mijloace, care concură la realizarea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F0831" w:rsidRPr="00DD71B2">
              <w:rPr>
                <w:rFonts w:ascii="Arial" w:hAnsi="Arial" w:cs="Arial"/>
                <w:sz w:val="24"/>
                <w:szCs w:val="24"/>
                <w:lang w:val="ro-RO"/>
              </w:rPr>
              <w:t>drumurilor</w:t>
            </w:r>
            <w:r w:rsidR="00A6116D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6E8F76F1" w14:textId="77777777" w:rsidR="00A6116D" w:rsidRPr="00DD71B2" w:rsidRDefault="00A6116D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0D2F563" w14:textId="77777777" w:rsidR="00E6678B" w:rsidRPr="00DD71B2" w:rsidRDefault="00FD568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La elaborarea documentului normativ </w:t>
            </w:r>
            <w:r w:rsidR="00AF7375">
              <w:rPr>
                <w:rFonts w:ascii="Arial" w:hAnsi="Arial" w:cs="Arial"/>
                <w:sz w:val="24"/>
                <w:szCs w:val="24"/>
                <w:lang w:val="ro-RO"/>
              </w:rPr>
              <w:t>s-a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țin</w:t>
            </w:r>
            <w:r w:rsidR="00AF7375">
              <w:rPr>
                <w:rFonts w:ascii="Arial" w:hAnsi="Arial" w:cs="Arial"/>
                <w:sz w:val="24"/>
                <w:szCs w:val="24"/>
                <w:lang w:val="ro-RO"/>
              </w:rPr>
              <w:t>ut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cont de </w:t>
            </w:r>
            <w:r w:rsidR="00417E8B">
              <w:rPr>
                <w:rFonts w:ascii="Arial" w:hAnsi="Arial" w:cs="Arial"/>
                <w:sz w:val="24"/>
                <w:szCs w:val="24"/>
                <w:lang w:val="ro-RO"/>
              </w:rPr>
              <w:t>prevederile s</w:t>
            </w:r>
            <w:r w:rsidR="00417E8B" w:rsidRPr="00DD71B2">
              <w:rPr>
                <w:rFonts w:ascii="Arial" w:hAnsi="Arial" w:cs="Arial"/>
                <w:sz w:val="24"/>
                <w:szCs w:val="24"/>
                <w:lang w:val="ro-RO"/>
              </w:rPr>
              <w:t>tandardelor naționale în domeniul construcțiilor armoniza</w:t>
            </w:r>
            <w:r w:rsidR="00417E8B">
              <w:rPr>
                <w:rFonts w:ascii="Arial" w:hAnsi="Arial" w:cs="Arial"/>
                <w:sz w:val="24"/>
                <w:szCs w:val="24"/>
                <w:lang w:val="ro-RO"/>
              </w:rPr>
              <w:t xml:space="preserve">te cu </w:t>
            </w:r>
            <w:r w:rsidR="00417E8B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legislația și standardele europene </w:t>
            </w:r>
            <w:r w:rsidR="00417E8B">
              <w:rPr>
                <w:rFonts w:ascii="Arial" w:hAnsi="Arial" w:cs="Arial"/>
                <w:sz w:val="24"/>
                <w:szCs w:val="24"/>
                <w:lang w:val="ro-RO"/>
              </w:rPr>
              <w:t>valabile pe teritoriul țării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081C97EE" w14:textId="77777777" w:rsidR="00010C35" w:rsidRPr="00DD71B2" w:rsidRDefault="00010C35" w:rsidP="00DF0831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030C3A60" w14:textId="77777777" w:rsidTr="00E65A3A">
        <w:tc>
          <w:tcPr>
            <w:tcW w:w="282" w:type="pct"/>
          </w:tcPr>
          <w:p w14:paraId="4F4420EA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718" w:type="pct"/>
          </w:tcPr>
          <w:p w14:paraId="03AF9C4F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Recomandări de implementare</w:t>
            </w:r>
          </w:p>
        </w:tc>
      </w:tr>
      <w:tr w:rsidR="005C768E" w:rsidRPr="006927BA" w14:paraId="12C21A8C" w14:textId="77777777" w:rsidTr="00E65A3A">
        <w:tc>
          <w:tcPr>
            <w:tcW w:w="282" w:type="pct"/>
          </w:tcPr>
          <w:p w14:paraId="072826C8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2A647916" w14:textId="77777777" w:rsidR="00AF7375" w:rsidRDefault="00AF7375" w:rsidP="00BD30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B8614D3" w14:textId="77777777" w:rsidR="008D22B8" w:rsidRPr="00DD71B2" w:rsidRDefault="008D22B8" w:rsidP="00BD30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Documentul normativ va completa lipsa unor lucrări de referință, care să răspundă necesităților, într-o oarecare măsură va compensa prin definirea/redefinirea a numeroșilor termeni cu caracter tehnic sau comun, în actele normative promovate în ultimii ani. Totodată trebuie remarcat faptul că normele cuprinse în actele normative, au pe de o parte o circulație redusă, chiar și în rândul specialiștilor, iar pe de altă parte, prezintă diferențe de la un act normativ la altul, care pot da naștere la interpretări şi înțelesuri diferite.</w:t>
            </w:r>
          </w:p>
          <w:p w14:paraId="11D9DD6D" w14:textId="77777777" w:rsidR="005F50AC" w:rsidRPr="00DD71B2" w:rsidRDefault="005F50AC" w:rsidP="00BD30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E1056B7" w14:textId="77777777" w:rsidR="00BA0AF7" w:rsidRPr="00BD304E" w:rsidRDefault="00FD0AD9" w:rsidP="00BD30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P</w:t>
            </w:r>
            <w:r w:rsidRPr="00BD304E">
              <w:rPr>
                <w:rFonts w:ascii="Arial" w:hAnsi="Arial" w:cs="Arial"/>
                <w:sz w:val="24"/>
                <w:szCs w:val="24"/>
                <w:lang w:val="ro-RO"/>
              </w:rPr>
              <w:t xml:space="preserve">rezentul document normativ stabilește principii, pe baza cărora se </w:t>
            </w:r>
            <w:r w:rsidR="00BD304E" w:rsidRPr="00BD304E">
              <w:rPr>
                <w:rFonts w:ascii="Arial" w:hAnsi="Arial" w:cs="Arial"/>
                <w:sz w:val="24"/>
                <w:szCs w:val="24"/>
                <w:lang w:val="ro-RO"/>
              </w:rPr>
              <w:t xml:space="preserve">vor proiecta drumurile folosind </w:t>
            </w:r>
            <w:r w:rsidR="00BD304E" w:rsidRPr="00BD304E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suprapunerea efectelor elementelor geometrice în plan, profil longitudinal și transversal care permite</w:t>
            </w:r>
            <w:r w:rsidR="00BD304E" w:rsidRPr="00BD304E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BD304E" w:rsidRPr="00BD304E">
              <w:rPr>
                <w:rFonts w:ascii="Arial" w:hAnsi="Arial" w:cs="Arial"/>
                <w:color w:val="000000"/>
                <w:sz w:val="24"/>
                <w:szCs w:val="24"/>
                <w:lang w:val="ro-RO" w:eastAsia="ro-RO" w:bidi="ro-RO"/>
              </w:rPr>
              <w:t>înscrierea convenabilă a traseului în configurația terenului și asigurarea confortului optic.</w:t>
            </w:r>
          </w:p>
          <w:p w14:paraId="03DBAC8F" w14:textId="77777777" w:rsidR="00FD0AD9" w:rsidRPr="00DD71B2" w:rsidRDefault="004C1362" w:rsidP="00BD30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De efectele documentului v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a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beneficia 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populația întregii țări</w:t>
            </w:r>
            <w:r w:rsidR="00FD0AD9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D77AA04" w14:textId="77777777" w:rsidR="00FD0AD9" w:rsidRPr="00DD71B2" w:rsidRDefault="00FD0AD9" w:rsidP="00BD304E">
            <w:pPr>
              <w:spacing w:line="276" w:lineRule="auto"/>
              <w:jc w:val="both"/>
              <w:rPr>
                <w:rFonts w:ascii="Arial" w:hAnsi="Arial" w:cs="Arial"/>
                <w:color w:val="00B050"/>
                <w:sz w:val="24"/>
                <w:szCs w:val="24"/>
                <w:lang w:val="ro-RO"/>
              </w:rPr>
            </w:pPr>
          </w:p>
        </w:tc>
      </w:tr>
      <w:tr w:rsidR="005C768E" w:rsidRPr="00707BF6" w14:paraId="450005AD" w14:textId="77777777" w:rsidTr="00E65A3A">
        <w:tc>
          <w:tcPr>
            <w:tcW w:w="282" w:type="pct"/>
          </w:tcPr>
          <w:p w14:paraId="3B811E16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4718" w:type="pct"/>
          </w:tcPr>
          <w:p w14:paraId="636C18CB" w14:textId="77777777" w:rsidR="008D22B8" w:rsidRPr="00DD71B2" w:rsidRDefault="008D22B8" w:rsidP="00707B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Acte legislative</w:t>
            </w:r>
          </w:p>
        </w:tc>
      </w:tr>
      <w:tr w:rsidR="005C768E" w:rsidRPr="006927BA" w14:paraId="39AC1AC5" w14:textId="77777777" w:rsidTr="00E65A3A">
        <w:tc>
          <w:tcPr>
            <w:tcW w:w="282" w:type="pct"/>
          </w:tcPr>
          <w:p w14:paraId="2CE6A733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27A911D7" w14:textId="77777777" w:rsidR="00316740" w:rsidRPr="00DD71B2" w:rsidRDefault="00BD304E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8D307F"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="00316740" w:rsidRPr="00DD71B2">
              <w:rPr>
                <w:rFonts w:ascii="Arial" w:hAnsi="Arial" w:cs="Arial"/>
                <w:sz w:val="24"/>
                <w:szCs w:val="24"/>
                <w:lang w:val="ro-RO"/>
              </w:rPr>
              <w:t>Legea drumurilor nr. 509</w:t>
            </w:r>
            <w:r w:rsidR="00A54741">
              <w:rPr>
                <w:rFonts w:ascii="Arial" w:hAnsi="Arial" w:cs="Arial"/>
                <w:sz w:val="24"/>
                <w:szCs w:val="24"/>
                <w:lang w:val="ro-RO"/>
              </w:rPr>
              <w:t>/</w:t>
            </w:r>
            <w:r w:rsidR="00316740" w:rsidRPr="00DD71B2">
              <w:rPr>
                <w:rFonts w:ascii="Arial" w:hAnsi="Arial" w:cs="Arial"/>
                <w:sz w:val="24"/>
                <w:szCs w:val="24"/>
                <w:lang w:val="ro-RO"/>
              </w:rPr>
              <w:t>1995.</w:t>
            </w:r>
          </w:p>
          <w:p w14:paraId="1C1E356E" w14:textId="77777777" w:rsidR="004C1362" w:rsidRPr="00DD71B2" w:rsidRDefault="00A54741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ab/>
              <w:t>Legea nr. 721/1996 privind calitatea în construcții</w:t>
            </w:r>
          </w:p>
          <w:p w14:paraId="4DF48C02" w14:textId="77777777" w:rsidR="00F53D29" w:rsidRPr="00DD71B2" w:rsidRDefault="00F53D29" w:rsidP="00997C42">
            <w:pPr>
              <w:tabs>
                <w:tab w:val="left" w:pos="283"/>
              </w:tabs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A54741" w14:paraId="6B56C1EC" w14:textId="77777777" w:rsidTr="00E65A3A">
        <w:tc>
          <w:tcPr>
            <w:tcW w:w="282" w:type="pct"/>
          </w:tcPr>
          <w:p w14:paraId="1A8BBC94" w14:textId="77777777" w:rsidR="008D22B8" w:rsidRPr="00DD71B2" w:rsidRDefault="005D3E76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718" w:type="pct"/>
          </w:tcPr>
          <w:p w14:paraId="7DCE3867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Lista documentelor de referință</w:t>
            </w:r>
          </w:p>
        </w:tc>
      </w:tr>
    </w:tbl>
    <w:p w14:paraId="7A5A7A56" w14:textId="77777777" w:rsidR="008D307F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MD"/>
        </w:rPr>
      </w:pPr>
    </w:p>
    <w:p w14:paraId="7C141BF7" w14:textId="77777777" w:rsidR="00BD304E" w:rsidRPr="00BD304E" w:rsidRDefault="00BD304E" w:rsidP="00BD304E">
      <w:pPr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en-US"/>
        </w:rPr>
      </w:pPr>
      <w:r w:rsidRPr="00BD304E">
        <w:rPr>
          <w:rFonts w:ascii="Arial" w:hAnsi="Arial" w:cs="Arial"/>
          <w:sz w:val="24"/>
          <w:szCs w:val="24"/>
          <w:lang w:val="ro-RO"/>
        </w:rPr>
        <w:t>NCM L.01.07</w:t>
      </w:r>
      <w:r w:rsidRPr="00BD304E">
        <w:rPr>
          <w:rFonts w:ascii="Arial" w:hAnsi="Arial" w:cs="Arial"/>
          <w:sz w:val="24"/>
          <w:szCs w:val="24"/>
          <w:lang w:val="en-US"/>
        </w:rPr>
        <w:t>:</w:t>
      </w:r>
      <w:r w:rsidRPr="00BD304E">
        <w:rPr>
          <w:rFonts w:ascii="Arial" w:hAnsi="Arial" w:cs="Arial"/>
          <w:sz w:val="24"/>
          <w:szCs w:val="24"/>
          <w:lang w:val="ro-RO"/>
        </w:rPr>
        <w:t>2005</w:t>
      </w:r>
      <w:r w:rsidRPr="00BD304E">
        <w:rPr>
          <w:rFonts w:ascii="Arial" w:hAnsi="Arial" w:cs="Arial"/>
          <w:sz w:val="24"/>
          <w:szCs w:val="24"/>
          <w:lang w:val="ro-RO"/>
        </w:rPr>
        <w:tab/>
        <w:t>Regulamentul privind fundamentarea proiectelor investiționale în construcții</w:t>
      </w:r>
    </w:p>
    <w:p w14:paraId="2A81D422" w14:textId="77777777" w:rsidR="00BD304E" w:rsidRPr="00BD304E" w:rsidRDefault="00BD304E" w:rsidP="00BD304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C8248E3" w14:textId="77777777" w:rsidR="00D159B8" w:rsidRPr="00D159B8" w:rsidRDefault="00D159B8" w:rsidP="00D159B8">
      <w:pPr>
        <w:spacing w:after="0"/>
        <w:ind w:left="2693" w:hanging="2693"/>
        <w:jc w:val="both"/>
        <w:rPr>
          <w:rFonts w:ascii="Arial" w:hAnsi="Arial" w:cs="Arial"/>
          <w:sz w:val="24"/>
          <w:szCs w:val="24"/>
          <w:lang w:val="en-US"/>
        </w:rPr>
      </w:pPr>
      <w:r w:rsidRPr="00D159B8">
        <w:rPr>
          <w:rFonts w:ascii="Arial" w:hAnsi="Arial" w:cs="Arial"/>
          <w:sz w:val="24"/>
          <w:szCs w:val="24"/>
          <w:lang w:val="ro-RO"/>
        </w:rPr>
        <w:t>CP D.02.10:2016</w:t>
      </w:r>
      <w:r w:rsidRPr="00D159B8">
        <w:rPr>
          <w:rFonts w:ascii="Arial" w:hAnsi="Arial" w:cs="Arial"/>
          <w:sz w:val="24"/>
          <w:szCs w:val="24"/>
          <w:lang w:val="ro-RO"/>
        </w:rPr>
        <w:tab/>
        <w:t>Recomandări privind siguranța rutieră</w:t>
      </w:r>
    </w:p>
    <w:p w14:paraId="7E381BA5" w14:textId="77777777" w:rsidR="00BD304E" w:rsidRPr="004C408C" w:rsidRDefault="00BD304E" w:rsidP="00BD304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9897F67" w14:textId="77777777" w:rsidR="00BD304E" w:rsidRPr="00BD304E" w:rsidRDefault="00BD304E" w:rsidP="00BD304E">
      <w:pPr>
        <w:tabs>
          <w:tab w:val="left" w:pos="2694"/>
        </w:tabs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fr-FR" w:eastAsia="en-US"/>
        </w:rPr>
      </w:pPr>
      <w:r w:rsidRPr="00BD304E">
        <w:rPr>
          <w:rFonts w:ascii="Arial" w:hAnsi="Arial" w:cs="Arial"/>
          <w:sz w:val="24"/>
          <w:szCs w:val="24"/>
          <w:lang w:val="en-US" w:eastAsia="en-US"/>
        </w:rPr>
        <w:t>SM</w:t>
      </w:r>
      <w:r w:rsidRPr="004C408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BD304E">
        <w:rPr>
          <w:rFonts w:ascii="Arial" w:hAnsi="Arial" w:cs="Arial"/>
          <w:sz w:val="24"/>
          <w:szCs w:val="24"/>
          <w:lang w:val="en-US" w:eastAsia="en-US"/>
        </w:rPr>
        <w:t>SR</w:t>
      </w:r>
      <w:r w:rsidRPr="004C408C">
        <w:rPr>
          <w:rFonts w:ascii="Arial" w:hAnsi="Arial" w:cs="Arial"/>
          <w:sz w:val="24"/>
          <w:szCs w:val="24"/>
          <w:lang w:val="en-US" w:eastAsia="en-US"/>
        </w:rPr>
        <w:t xml:space="preserve"> 4032-1:2013</w:t>
      </w:r>
      <w:r w:rsidRPr="004C408C">
        <w:rPr>
          <w:rFonts w:ascii="Arial" w:hAnsi="Arial" w:cs="Arial"/>
          <w:sz w:val="24"/>
          <w:szCs w:val="24"/>
          <w:lang w:val="en-US" w:eastAsia="en-US"/>
        </w:rPr>
        <w:tab/>
      </w:r>
      <w:r w:rsidRPr="004C408C">
        <w:rPr>
          <w:rFonts w:ascii="Arial" w:hAnsi="Arial" w:cs="Arial"/>
          <w:sz w:val="24"/>
          <w:szCs w:val="24"/>
          <w:lang w:val="en-US" w:eastAsia="en-US"/>
        </w:rPr>
        <w:tab/>
      </w:r>
      <w:proofErr w:type="spellStart"/>
      <w:r w:rsidRPr="00BD304E">
        <w:rPr>
          <w:rFonts w:ascii="Arial" w:hAnsi="Arial" w:cs="Arial"/>
          <w:sz w:val="24"/>
          <w:szCs w:val="24"/>
          <w:lang w:val="en-US" w:eastAsia="en-US"/>
        </w:rPr>
        <w:t>Lucr</w:t>
      </w:r>
      <w:r w:rsidRPr="004C408C">
        <w:rPr>
          <w:rFonts w:ascii="Arial" w:hAnsi="Arial" w:cs="Arial"/>
          <w:sz w:val="24"/>
          <w:szCs w:val="24"/>
          <w:lang w:val="en-US" w:eastAsia="en-US"/>
        </w:rPr>
        <w:t>ă</w:t>
      </w:r>
      <w:r w:rsidRPr="00BD304E">
        <w:rPr>
          <w:rFonts w:ascii="Arial" w:hAnsi="Arial" w:cs="Arial"/>
          <w:sz w:val="24"/>
          <w:szCs w:val="24"/>
          <w:lang w:val="en-US" w:eastAsia="en-US"/>
        </w:rPr>
        <w:t>ri</w:t>
      </w:r>
      <w:proofErr w:type="spellEnd"/>
      <w:r w:rsidRPr="004C408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BD304E">
        <w:rPr>
          <w:rFonts w:ascii="Arial" w:hAnsi="Arial" w:cs="Arial"/>
          <w:sz w:val="24"/>
          <w:szCs w:val="24"/>
          <w:lang w:val="en-US" w:eastAsia="en-US"/>
        </w:rPr>
        <w:t>de</w:t>
      </w:r>
      <w:r w:rsidRPr="004C408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BD304E">
        <w:rPr>
          <w:rFonts w:ascii="Arial" w:hAnsi="Arial" w:cs="Arial"/>
          <w:sz w:val="24"/>
          <w:szCs w:val="24"/>
          <w:lang w:val="en-US" w:eastAsia="en-US"/>
        </w:rPr>
        <w:t>drumuri</w:t>
      </w:r>
      <w:proofErr w:type="spellEnd"/>
      <w:r w:rsidRPr="004C408C">
        <w:rPr>
          <w:rFonts w:ascii="Arial" w:hAnsi="Arial" w:cs="Arial"/>
          <w:sz w:val="24"/>
          <w:szCs w:val="24"/>
          <w:lang w:val="en-US" w:eastAsia="en-US"/>
        </w:rPr>
        <w:t xml:space="preserve">. </w:t>
      </w:r>
      <w:r w:rsidRPr="00BD304E">
        <w:rPr>
          <w:rFonts w:ascii="Arial" w:hAnsi="Arial" w:cs="Arial"/>
          <w:sz w:val="24"/>
          <w:szCs w:val="24"/>
          <w:lang w:val="fr-FR" w:eastAsia="en-US"/>
        </w:rPr>
        <w:t>Terminologie</w:t>
      </w:r>
    </w:p>
    <w:p w14:paraId="3AE97300" w14:textId="77777777" w:rsidR="00BD304E" w:rsidRPr="00BD304E" w:rsidRDefault="00BD304E" w:rsidP="00BD304E">
      <w:pPr>
        <w:tabs>
          <w:tab w:val="left" w:pos="2694"/>
        </w:tabs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fr-FR" w:eastAsia="en-US"/>
        </w:rPr>
      </w:pPr>
    </w:p>
    <w:p w14:paraId="28EDA603" w14:textId="77777777" w:rsidR="00BD304E" w:rsidRPr="00BD304E" w:rsidRDefault="00BD304E" w:rsidP="00BD304E">
      <w:pPr>
        <w:tabs>
          <w:tab w:val="left" w:pos="2694"/>
        </w:tabs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fr-FR" w:eastAsia="en-US"/>
        </w:rPr>
      </w:pPr>
      <w:r w:rsidRPr="00BD304E">
        <w:rPr>
          <w:rFonts w:ascii="Arial" w:hAnsi="Arial" w:cs="Arial"/>
          <w:sz w:val="24"/>
          <w:szCs w:val="24"/>
          <w:lang w:val="fr-FR" w:eastAsia="en-US"/>
        </w:rPr>
        <w:t>SM STAS 4032/2:2005</w:t>
      </w:r>
      <w:r w:rsidRPr="00BD304E">
        <w:rPr>
          <w:rFonts w:ascii="Arial" w:hAnsi="Arial" w:cs="Arial"/>
          <w:sz w:val="24"/>
          <w:szCs w:val="24"/>
          <w:lang w:val="fr-FR" w:eastAsia="en-US"/>
        </w:rPr>
        <w:tab/>
      </w:r>
      <w:r w:rsidRPr="00BD304E">
        <w:rPr>
          <w:rFonts w:ascii="Arial" w:hAnsi="Arial" w:cs="Arial"/>
          <w:sz w:val="24"/>
          <w:szCs w:val="24"/>
          <w:lang w:val="fr-FR" w:eastAsia="en-US"/>
        </w:rPr>
        <w:tab/>
        <w:t>Tehnica traficului rutier. Terminologie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278"/>
        <w:gridCol w:w="5227"/>
      </w:tblGrid>
      <w:tr w:rsidR="00BB4139" w:rsidRPr="00080549" w14:paraId="1DC52BB0" w14:textId="77777777" w:rsidTr="00393158">
        <w:tc>
          <w:tcPr>
            <w:tcW w:w="1966" w:type="pct"/>
            <w:shd w:val="clear" w:color="auto" w:fill="auto"/>
          </w:tcPr>
          <w:p w14:paraId="400680DB" w14:textId="77777777" w:rsidR="00BB4139" w:rsidRPr="002E369C" w:rsidRDefault="00BB4139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" w:type="pct"/>
            <w:shd w:val="clear" w:color="auto" w:fill="auto"/>
          </w:tcPr>
          <w:p w14:paraId="548A1B23" w14:textId="77777777" w:rsidR="00BB4139" w:rsidRPr="005B5C1B" w:rsidRDefault="00BB4139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81" w:type="pct"/>
            <w:shd w:val="clear" w:color="auto" w:fill="auto"/>
          </w:tcPr>
          <w:p w14:paraId="513FF5CA" w14:textId="77777777" w:rsidR="00BB4139" w:rsidRPr="005B5C1B" w:rsidRDefault="00BB4139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13"/>
        <w:gridCol w:w="8521"/>
      </w:tblGrid>
      <w:tr w:rsidR="005C768E" w:rsidRPr="006927BA" w14:paraId="1FCA53BD" w14:textId="77777777" w:rsidTr="00E65A3A">
        <w:tc>
          <w:tcPr>
            <w:tcW w:w="296" w:type="pct"/>
          </w:tcPr>
          <w:p w14:paraId="3029C898" w14:textId="77777777" w:rsidR="00E6678B" w:rsidRPr="00707BF6" w:rsidRDefault="007F774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8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704" w:type="pct"/>
            <w:gridSpan w:val="2"/>
          </w:tcPr>
          <w:p w14:paraId="4E0137E6" w14:textId="77777777" w:rsidR="00E6678B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Impactul documentului normativ asupra </w:t>
            </w:r>
            <w:r w:rsidRPr="00707BF6">
              <w:rPr>
                <w:rFonts w:ascii="Arial" w:hAnsi="Arial" w:cs="Arial"/>
                <w:b/>
                <w:spacing w:val="-2"/>
                <w:sz w:val="24"/>
                <w:szCs w:val="24"/>
                <w:lang w:val="ro-RO"/>
              </w:rPr>
              <w:t>domeniu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lui și societății</w:t>
            </w:r>
          </w:p>
        </w:tc>
      </w:tr>
      <w:tr w:rsidR="005C768E" w:rsidRPr="006927BA" w14:paraId="77455571" w14:textId="77777777" w:rsidTr="00E65A3A">
        <w:tc>
          <w:tcPr>
            <w:tcW w:w="296" w:type="pct"/>
          </w:tcPr>
          <w:p w14:paraId="2FFB43B1" w14:textId="77777777" w:rsidR="009E7CB1" w:rsidRPr="00707BF6" w:rsidRDefault="009E7CB1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04" w:type="pct"/>
            <w:gridSpan w:val="2"/>
          </w:tcPr>
          <w:p w14:paraId="5560A275" w14:textId="77777777" w:rsidR="00114378" w:rsidRPr="00707BF6" w:rsidRDefault="006F534E" w:rsidP="0027524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Impactul scontat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al documentului 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>arată, la nivelul obiectiv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ului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strategic, efectele anticipate ale intervențiilor planificate asupra calității vieții oamenilor, după care sunt propuși indicatorii de monitorizare și evaluare, cu ajutorul cărora va fi măsurat progresul în realizarea Strategiei „Moldova 2030”.</w:t>
            </w:r>
          </w:p>
        </w:tc>
      </w:tr>
      <w:tr w:rsidR="005C768E" w:rsidRPr="006927BA" w14:paraId="6F13FD1D" w14:textId="77777777" w:rsidTr="008371B5">
        <w:tc>
          <w:tcPr>
            <w:tcW w:w="303" w:type="pct"/>
            <w:gridSpan w:val="2"/>
          </w:tcPr>
          <w:p w14:paraId="39EBC251" w14:textId="77777777" w:rsidR="00E6678B" w:rsidRPr="00080549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697" w:type="pct"/>
          </w:tcPr>
          <w:p w14:paraId="248A776B" w14:textId="77777777" w:rsidR="00014D2F" w:rsidRPr="00707BF6" w:rsidRDefault="00014D2F" w:rsidP="009776AF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232097E6" w14:textId="77777777" w:rsidTr="008371B5">
        <w:tc>
          <w:tcPr>
            <w:tcW w:w="303" w:type="pct"/>
            <w:gridSpan w:val="2"/>
          </w:tcPr>
          <w:p w14:paraId="6CE2390B" w14:textId="77777777" w:rsidR="00E6678B" w:rsidRPr="00707BF6" w:rsidRDefault="0027524D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9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697" w:type="pct"/>
          </w:tcPr>
          <w:p w14:paraId="3DB35069" w14:textId="77777777" w:rsidR="00E6678B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Alte </w:t>
            </w:r>
            <w:r w:rsidR="00045C67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informații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:</w:t>
            </w:r>
          </w:p>
        </w:tc>
      </w:tr>
      <w:tr w:rsidR="005C768E" w:rsidRPr="006927BA" w14:paraId="7EA98CE3" w14:textId="77777777" w:rsidTr="008371B5">
        <w:tc>
          <w:tcPr>
            <w:tcW w:w="303" w:type="pct"/>
            <w:gridSpan w:val="2"/>
          </w:tcPr>
          <w:p w14:paraId="34701E88" w14:textId="77777777" w:rsidR="001B0035" w:rsidRPr="00707BF6" w:rsidRDefault="001B0035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697" w:type="pct"/>
          </w:tcPr>
          <w:p w14:paraId="4C50284A" w14:textId="77777777" w:rsidR="001B0035" w:rsidRPr="00A6116D" w:rsidRDefault="00B14D8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Citarea în documentația elaborată pentru efectuarea activităților de mentenanță a surselor de informare utilizate nu exonerează de răspundere pe autorul documentației, cu excepția cazului în care sursa este un document legislativ sau normativ cu aplicare obligatorie.</w:t>
            </w:r>
          </w:p>
          <w:p w14:paraId="3A267367" w14:textId="77777777" w:rsidR="005F50AC" w:rsidRPr="00A6116D" w:rsidRDefault="005F50A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70260C0F" w14:textId="77777777" w:rsidR="00B14D8C" w:rsidRPr="00707BF6" w:rsidRDefault="00B14D8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Revizuirea, modificarea sau abrogarea documentelor de referință şi/sau  documentelor legislative, nominalizate explicit în cadrul Normelor tehnice ca elemente de justificare, motivare sau impunere a unor prescripții, imp</w:t>
            </w:r>
            <w:r w:rsidR="00A66099" w:rsidRPr="00A6116D">
              <w:rPr>
                <w:rFonts w:ascii="Arial" w:hAnsi="Arial" w:cs="Arial"/>
                <w:sz w:val="24"/>
                <w:szCs w:val="24"/>
                <w:lang w:val="ro-RO"/>
              </w:rPr>
              <w:t>lică, după caz, modificarea sau</w:t>
            </w: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 xml:space="preserve"> eliminarea prescripțiilor respective.</w:t>
            </w:r>
          </w:p>
        </w:tc>
      </w:tr>
    </w:tbl>
    <w:p w14:paraId="498EE0F7" w14:textId="77777777" w:rsidR="00707BF6" w:rsidRPr="00227241" w:rsidRDefault="00707BF6" w:rsidP="000521B1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</w:p>
    <w:sectPr w:rsidR="00707BF6" w:rsidRPr="00227241" w:rsidSect="005D3E76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3E42" w14:textId="77777777" w:rsidR="00865346" w:rsidRDefault="00865346" w:rsidP="006C7395">
      <w:pPr>
        <w:spacing w:after="0" w:line="240" w:lineRule="auto"/>
      </w:pPr>
      <w:r>
        <w:separator/>
      </w:r>
    </w:p>
  </w:endnote>
  <w:endnote w:type="continuationSeparator" w:id="0">
    <w:p w14:paraId="0B971808" w14:textId="77777777" w:rsidR="00865346" w:rsidRDefault="00865346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9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CA7DF" w14:textId="77777777" w:rsidR="004C1362" w:rsidRDefault="004C1362">
        <w:pPr>
          <w:pStyle w:val="aa"/>
          <w:jc w:val="center"/>
        </w:pPr>
        <w:r w:rsidRPr="005C768E">
          <w:rPr>
            <w:rFonts w:ascii="Arial" w:hAnsi="Arial" w:cs="Arial"/>
            <w:sz w:val="20"/>
            <w:szCs w:val="20"/>
          </w:rPr>
          <w:fldChar w:fldCharType="begin"/>
        </w:r>
        <w:r w:rsidRPr="005C76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768E">
          <w:rPr>
            <w:rFonts w:ascii="Arial" w:hAnsi="Arial" w:cs="Arial"/>
            <w:sz w:val="20"/>
            <w:szCs w:val="20"/>
          </w:rPr>
          <w:fldChar w:fldCharType="separate"/>
        </w:r>
        <w:r w:rsidR="00DE1C71">
          <w:rPr>
            <w:rFonts w:ascii="Arial" w:hAnsi="Arial" w:cs="Arial"/>
            <w:noProof/>
            <w:sz w:val="20"/>
            <w:szCs w:val="20"/>
          </w:rPr>
          <w:t>3</w:t>
        </w:r>
        <w:r w:rsidRPr="005C76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AB0F27A" w14:textId="77777777" w:rsidR="004C1362" w:rsidRDefault="004C13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3861" w14:textId="77777777" w:rsidR="00865346" w:rsidRDefault="00865346" w:rsidP="006C7395">
      <w:pPr>
        <w:spacing w:after="0" w:line="240" w:lineRule="auto"/>
      </w:pPr>
      <w:r>
        <w:separator/>
      </w:r>
    </w:p>
  </w:footnote>
  <w:footnote w:type="continuationSeparator" w:id="0">
    <w:p w14:paraId="39D95B86" w14:textId="77777777" w:rsidR="00865346" w:rsidRDefault="00865346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942685441">
    <w:abstractNumId w:val="1"/>
  </w:num>
  <w:num w:numId="2" w16cid:durableId="1193493376">
    <w:abstractNumId w:val="0"/>
  </w:num>
  <w:num w:numId="3" w16cid:durableId="1394961967">
    <w:abstractNumId w:val="4"/>
  </w:num>
  <w:num w:numId="4" w16cid:durableId="834951789">
    <w:abstractNumId w:val="3"/>
  </w:num>
  <w:num w:numId="5" w16cid:durableId="617680012">
    <w:abstractNumId w:val="6"/>
  </w:num>
  <w:num w:numId="6" w16cid:durableId="571548222">
    <w:abstractNumId w:val="2"/>
  </w:num>
  <w:num w:numId="7" w16cid:durableId="211740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E3"/>
    <w:rsid w:val="00002DFA"/>
    <w:rsid w:val="00007E2C"/>
    <w:rsid w:val="00007ED2"/>
    <w:rsid w:val="00010C35"/>
    <w:rsid w:val="00013062"/>
    <w:rsid w:val="00014D2F"/>
    <w:rsid w:val="00017334"/>
    <w:rsid w:val="00024B26"/>
    <w:rsid w:val="0002500F"/>
    <w:rsid w:val="00026C37"/>
    <w:rsid w:val="00031AE9"/>
    <w:rsid w:val="00037D65"/>
    <w:rsid w:val="00045C67"/>
    <w:rsid w:val="00046DBA"/>
    <w:rsid w:val="000521B1"/>
    <w:rsid w:val="000549E7"/>
    <w:rsid w:val="0005652D"/>
    <w:rsid w:val="0005687A"/>
    <w:rsid w:val="00060EA5"/>
    <w:rsid w:val="00065180"/>
    <w:rsid w:val="00077672"/>
    <w:rsid w:val="00077A7F"/>
    <w:rsid w:val="00080549"/>
    <w:rsid w:val="000A527E"/>
    <w:rsid w:val="000B172A"/>
    <w:rsid w:val="000B3900"/>
    <w:rsid w:val="000C19FE"/>
    <w:rsid w:val="000D0548"/>
    <w:rsid w:val="000D3163"/>
    <w:rsid w:val="000D4ABE"/>
    <w:rsid w:val="000D55B0"/>
    <w:rsid w:val="000E29E8"/>
    <w:rsid w:val="000F0BF1"/>
    <w:rsid w:val="00101E4D"/>
    <w:rsid w:val="00102018"/>
    <w:rsid w:val="00104223"/>
    <w:rsid w:val="00104CD1"/>
    <w:rsid w:val="00110333"/>
    <w:rsid w:val="00114378"/>
    <w:rsid w:val="0011728A"/>
    <w:rsid w:val="0012285D"/>
    <w:rsid w:val="0012321D"/>
    <w:rsid w:val="0013259D"/>
    <w:rsid w:val="001336A5"/>
    <w:rsid w:val="00136495"/>
    <w:rsid w:val="00140741"/>
    <w:rsid w:val="001430E7"/>
    <w:rsid w:val="001451FB"/>
    <w:rsid w:val="001474F9"/>
    <w:rsid w:val="00167952"/>
    <w:rsid w:val="00181368"/>
    <w:rsid w:val="00187AF1"/>
    <w:rsid w:val="00187E84"/>
    <w:rsid w:val="001A57B2"/>
    <w:rsid w:val="001A5B29"/>
    <w:rsid w:val="001B0035"/>
    <w:rsid w:val="001B2614"/>
    <w:rsid w:val="001B5C74"/>
    <w:rsid w:val="001D0F5F"/>
    <w:rsid w:val="001D29FD"/>
    <w:rsid w:val="001D43D6"/>
    <w:rsid w:val="001E1488"/>
    <w:rsid w:val="001E2924"/>
    <w:rsid w:val="001E41A7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ACD"/>
    <w:rsid w:val="00240DED"/>
    <w:rsid w:val="002432FA"/>
    <w:rsid w:val="002644CD"/>
    <w:rsid w:val="0027524D"/>
    <w:rsid w:val="002927A1"/>
    <w:rsid w:val="002B515E"/>
    <w:rsid w:val="002D3B2B"/>
    <w:rsid w:val="002E369C"/>
    <w:rsid w:val="002F4A54"/>
    <w:rsid w:val="003027A7"/>
    <w:rsid w:val="003049A8"/>
    <w:rsid w:val="00315870"/>
    <w:rsid w:val="00316740"/>
    <w:rsid w:val="00316BEC"/>
    <w:rsid w:val="00321F69"/>
    <w:rsid w:val="00325F48"/>
    <w:rsid w:val="00327A6C"/>
    <w:rsid w:val="00333F19"/>
    <w:rsid w:val="00335798"/>
    <w:rsid w:val="003412A9"/>
    <w:rsid w:val="003423C9"/>
    <w:rsid w:val="00353354"/>
    <w:rsid w:val="00360A03"/>
    <w:rsid w:val="00360F61"/>
    <w:rsid w:val="00363937"/>
    <w:rsid w:val="00364E8F"/>
    <w:rsid w:val="00367FC0"/>
    <w:rsid w:val="00377F35"/>
    <w:rsid w:val="00382431"/>
    <w:rsid w:val="00393158"/>
    <w:rsid w:val="0039337B"/>
    <w:rsid w:val="00394609"/>
    <w:rsid w:val="003A18C0"/>
    <w:rsid w:val="003A58B5"/>
    <w:rsid w:val="003B476B"/>
    <w:rsid w:val="003C03E6"/>
    <w:rsid w:val="003C10D1"/>
    <w:rsid w:val="003C1CA2"/>
    <w:rsid w:val="003C5D05"/>
    <w:rsid w:val="003E4D9E"/>
    <w:rsid w:val="003F6E37"/>
    <w:rsid w:val="0040008F"/>
    <w:rsid w:val="004014F9"/>
    <w:rsid w:val="00402D80"/>
    <w:rsid w:val="00404C2C"/>
    <w:rsid w:val="00411A3F"/>
    <w:rsid w:val="00414E4C"/>
    <w:rsid w:val="00417E8B"/>
    <w:rsid w:val="00427BCB"/>
    <w:rsid w:val="004313BC"/>
    <w:rsid w:val="00432102"/>
    <w:rsid w:val="004358A4"/>
    <w:rsid w:val="004364B7"/>
    <w:rsid w:val="004456AE"/>
    <w:rsid w:val="004611BA"/>
    <w:rsid w:val="004702B9"/>
    <w:rsid w:val="00475D2F"/>
    <w:rsid w:val="00483540"/>
    <w:rsid w:val="00483B49"/>
    <w:rsid w:val="00495474"/>
    <w:rsid w:val="004A22E6"/>
    <w:rsid w:val="004B69F6"/>
    <w:rsid w:val="004C0EC5"/>
    <w:rsid w:val="004C1362"/>
    <w:rsid w:val="004C408C"/>
    <w:rsid w:val="004D0BB2"/>
    <w:rsid w:val="004D3E61"/>
    <w:rsid w:val="004E3F47"/>
    <w:rsid w:val="004F175B"/>
    <w:rsid w:val="004F6C76"/>
    <w:rsid w:val="00504203"/>
    <w:rsid w:val="005042C4"/>
    <w:rsid w:val="00505A36"/>
    <w:rsid w:val="005119FA"/>
    <w:rsid w:val="0052120B"/>
    <w:rsid w:val="005231B1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47B0"/>
    <w:rsid w:val="0058628B"/>
    <w:rsid w:val="005A0348"/>
    <w:rsid w:val="005A3F61"/>
    <w:rsid w:val="005B5C1B"/>
    <w:rsid w:val="005C768E"/>
    <w:rsid w:val="005D033E"/>
    <w:rsid w:val="005D2E11"/>
    <w:rsid w:val="005D3E76"/>
    <w:rsid w:val="005D4353"/>
    <w:rsid w:val="005D58E7"/>
    <w:rsid w:val="005E351A"/>
    <w:rsid w:val="005E3B97"/>
    <w:rsid w:val="005E782F"/>
    <w:rsid w:val="005F2AF1"/>
    <w:rsid w:val="005F50AC"/>
    <w:rsid w:val="005F6B1D"/>
    <w:rsid w:val="00602C2A"/>
    <w:rsid w:val="006040C6"/>
    <w:rsid w:val="0060776F"/>
    <w:rsid w:val="00610695"/>
    <w:rsid w:val="00612163"/>
    <w:rsid w:val="006163C7"/>
    <w:rsid w:val="00616DEA"/>
    <w:rsid w:val="006223FA"/>
    <w:rsid w:val="006249D9"/>
    <w:rsid w:val="00627597"/>
    <w:rsid w:val="00636B6E"/>
    <w:rsid w:val="006413BB"/>
    <w:rsid w:val="0065401C"/>
    <w:rsid w:val="006837A4"/>
    <w:rsid w:val="00683D09"/>
    <w:rsid w:val="0069257C"/>
    <w:rsid w:val="006927BA"/>
    <w:rsid w:val="006945CC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764C"/>
    <w:rsid w:val="00701740"/>
    <w:rsid w:val="00704EAE"/>
    <w:rsid w:val="00707BF6"/>
    <w:rsid w:val="007100AE"/>
    <w:rsid w:val="00711E13"/>
    <w:rsid w:val="00711FFD"/>
    <w:rsid w:val="0071263B"/>
    <w:rsid w:val="00716030"/>
    <w:rsid w:val="00743362"/>
    <w:rsid w:val="00743945"/>
    <w:rsid w:val="007450DD"/>
    <w:rsid w:val="007450E3"/>
    <w:rsid w:val="0074595F"/>
    <w:rsid w:val="007526EB"/>
    <w:rsid w:val="007772A8"/>
    <w:rsid w:val="00793D7C"/>
    <w:rsid w:val="007B57D5"/>
    <w:rsid w:val="007B7433"/>
    <w:rsid w:val="007C0EBD"/>
    <w:rsid w:val="007C3F2B"/>
    <w:rsid w:val="007C4454"/>
    <w:rsid w:val="007C521B"/>
    <w:rsid w:val="007C7B05"/>
    <w:rsid w:val="007C7D32"/>
    <w:rsid w:val="007D1C8D"/>
    <w:rsid w:val="007D239B"/>
    <w:rsid w:val="007D53A2"/>
    <w:rsid w:val="007E3519"/>
    <w:rsid w:val="007E4DA0"/>
    <w:rsid w:val="007F7749"/>
    <w:rsid w:val="00810F7E"/>
    <w:rsid w:val="0081454E"/>
    <w:rsid w:val="00816761"/>
    <w:rsid w:val="00816C9C"/>
    <w:rsid w:val="00827101"/>
    <w:rsid w:val="00827F46"/>
    <w:rsid w:val="008371B5"/>
    <w:rsid w:val="008473D5"/>
    <w:rsid w:val="00851029"/>
    <w:rsid w:val="00857F93"/>
    <w:rsid w:val="008627E4"/>
    <w:rsid w:val="00865346"/>
    <w:rsid w:val="00871FD5"/>
    <w:rsid w:val="008749B6"/>
    <w:rsid w:val="0088714E"/>
    <w:rsid w:val="008908C2"/>
    <w:rsid w:val="00890C29"/>
    <w:rsid w:val="00894AD2"/>
    <w:rsid w:val="008A2997"/>
    <w:rsid w:val="008A7272"/>
    <w:rsid w:val="008B1FB6"/>
    <w:rsid w:val="008B595F"/>
    <w:rsid w:val="008C1018"/>
    <w:rsid w:val="008C3122"/>
    <w:rsid w:val="008C5B11"/>
    <w:rsid w:val="008C5F7A"/>
    <w:rsid w:val="008D22B8"/>
    <w:rsid w:val="008D307F"/>
    <w:rsid w:val="008D4A97"/>
    <w:rsid w:val="008E27C2"/>
    <w:rsid w:val="008E3F14"/>
    <w:rsid w:val="008F779A"/>
    <w:rsid w:val="009020BD"/>
    <w:rsid w:val="0090356C"/>
    <w:rsid w:val="00915FCC"/>
    <w:rsid w:val="00916B5B"/>
    <w:rsid w:val="009250B5"/>
    <w:rsid w:val="00925CC3"/>
    <w:rsid w:val="0092766D"/>
    <w:rsid w:val="009429DE"/>
    <w:rsid w:val="00956681"/>
    <w:rsid w:val="0096552D"/>
    <w:rsid w:val="0096703D"/>
    <w:rsid w:val="00970B57"/>
    <w:rsid w:val="009776AF"/>
    <w:rsid w:val="009814BA"/>
    <w:rsid w:val="009903E9"/>
    <w:rsid w:val="00997C42"/>
    <w:rsid w:val="009A2CBD"/>
    <w:rsid w:val="009A59DE"/>
    <w:rsid w:val="009A6E80"/>
    <w:rsid w:val="009B4537"/>
    <w:rsid w:val="009B7FAA"/>
    <w:rsid w:val="009C2075"/>
    <w:rsid w:val="009C7034"/>
    <w:rsid w:val="009C7859"/>
    <w:rsid w:val="009D534A"/>
    <w:rsid w:val="009E5F94"/>
    <w:rsid w:val="009E7CB1"/>
    <w:rsid w:val="009F1A16"/>
    <w:rsid w:val="009F2D2F"/>
    <w:rsid w:val="009F7634"/>
    <w:rsid w:val="00A01897"/>
    <w:rsid w:val="00A021F5"/>
    <w:rsid w:val="00A028E8"/>
    <w:rsid w:val="00A10605"/>
    <w:rsid w:val="00A10F1A"/>
    <w:rsid w:val="00A22931"/>
    <w:rsid w:val="00A25995"/>
    <w:rsid w:val="00A27256"/>
    <w:rsid w:val="00A31F08"/>
    <w:rsid w:val="00A3314D"/>
    <w:rsid w:val="00A42D5F"/>
    <w:rsid w:val="00A45B80"/>
    <w:rsid w:val="00A54741"/>
    <w:rsid w:val="00A56569"/>
    <w:rsid w:val="00A6116D"/>
    <w:rsid w:val="00A66099"/>
    <w:rsid w:val="00A70402"/>
    <w:rsid w:val="00A818B0"/>
    <w:rsid w:val="00A82D29"/>
    <w:rsid w:val="00A84412"/>
    <w:rsid w:val="00A84818"/>
    <w:rsid w:val="00A863B1"/>
    <w:rsid w:val="00A970D5"/>
    <w:rsid w:val="00AB4A53"/>
    <w:rsid w:val="00AB6A24"/>
    <w:rsid w:val="00AB7516"/>
    <w:rsid w:val="00AC6ED2"/>
    <w:rsid w:val="00AD5E7D"/>
    <w:rsid w:val="00AE0BDB"/>
    <w:rsid w:val="00AE25DF"/>
    <w:rsid w:val="00AE2BE7"/>
    <w:rsid w:val="00AE790C"/>
    <w:rsid w:val="00AF4C85"/>
    <w:rsid w:val="00AF7375"/>
    <w:rsid w:val="00B0081C"/>
    <w:rsid w:val="00B06417"/>
    <w:rsid w:val="00B13569"/>
    <w:rsid w:val="00B14D8C"/>
    <w:rsid w:val="00B220E5"/>
    <w:rsid w:val="00B26E0C"/>
    <w:rsid w:val="00B37C59"/>
    <w:rsid w:val="00B4254F"/>
    <w:rsid w:val="00B544D1"/>
    <w:rsid w:val="00B66B19"/>
    <w:rsid w:val="00B74D02"/>
    <w:rsid w:val="00B83726"/>
    <w:rsid w:val="00B94270"/>
    <w:rsid w:val="00B94A38"/>
    <w:rsid w:val="00B97A0B"/>
    <w:rsid w:val="00BA0AF7"/>
    <w:rsid w:val="00BA0C57"/>
    <w:rsid w:val="00BA3137"/>
    <w:rsid w:val="00BB4139"/>
    <w:rsid w:val="00BB6EF8"/>
    <w:rsid w:val="00BC38D3"/>
    <w:rsid w:val="00BC4307"/>
    <w:rsid w:val="00BD0178"/>
    <w:rsid w:val="00BD304E"/>
    <w:rsid w:val="00BD5E03"/>
    <w:rsid w:val="00BD6FBB"/>
    <w:rsid w:val="00BD74D6"/>
    <w:rsid w:val="00BF049D"/>
    <w:rsid w:val="00BF41E6"/>
    <w:rsid w:val="00BF4238"/>
    <w:rsid w:val="00BF5703"/>
    <w:rsid w:val="00C02ACF"/>
    <w:rsid w:val="00C06223"/>
    <w:rsid w:val="00C137FB"/>
    <w:rsid w:val="00C16188"/>
    <w:rsid w:val="00C2519B"/>
    <w:rsid w:val="00C30632"/>
    <w:rsid w:val="00C32491"/>
    <w:rsid w:val="00C33B37"/>
    <w:rsid w:val="00C57B15"/>
    <w:rsid w:val="00C610D0"/>
    <w:rsid w:val="00C62BDD"/>
    <w:rsid w:val="00C66C5D"/>
    <w:rsid w:val="00C7123C"/>
    <w:rsid w:val="00C94663"/>
    <w:rsid w:val="00C96413"/>
    <w:rsid w:val="00CA0F87"/>
    <w:rsid w:val="00CA401F"/>
    <w:rsid w:val="00CA7665"/>
    <w:rsid w:val="00CB3B0F"/>
    <w:rsid w:val="00CC23FD"/>
    <w:rsid w:val="00CC406F"/>
    <w:rsid w:val="00CC4C20"/>
    <w:rsid w:val="00CD23B5"/>
    <w:rsid w:val="00CE0453"/>
    <w:rsid w:val="00CE0AAA"/>
    <w:rsid w:val="00CE1AE0"/>
    <w:rsid w:val="00CE74B1"/>
    <w:rsid w:val="00CE7A9C"/>
    <w:rsid w:val="00CF582E"/>
    <w:rsid w:val="00D0780C"/>
    <w:rsid w:val="00D159B8"/>
    <w:rsid w:val="00D1724D"/>
    <w:rsid w:val="00D213DC"/>
    <w:rsid w:val="00D3076A"/>
    <w:rsid w:val="00D32A99"/>
    <w:rsid w:val="00D40A1F"/>
    <w:rsid w:val="00D41D53"/>
    <w:rsid w:val="00D43B7C"/>
    <w:rsid w:val="00D4595E"/>
    <w:rsid w:val="00D45F1D"/>
    <w:rsid w:val="00D53152"/>
    <w:rsid w:val="00D55FA3"/>
    <w:rsid w:val="00D56614"/>
    <w:rsid w:val="00D56E67"/>
    <w:rsid w:val="00D77484"/>
    <w:rsid w:val="00D8603E"/>
    <w:rsid w:val="00D9500C"/>
    <w:rsid w:val="00DB4153"/>
    <w:rsid w:val="00DB4C8E"/>
    <w:rsid w:val="00DC1F3E"/>
    <w:rsid w:val="00DC6714"/>
    <w:rsid w:val="00DD261F"/>
    <w:rsid w:val="00DD71B2"/>
    <w:rsid w:val="00DE1C71"/>
    <w:rsid w:val="00DE234D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69DD"/>
    <w:rsid w:val="00E350DC"/>
    <w:rsid w:val="00E3626E"/>
    <w:rsid w:val="00E37C2F"/>
    <w:rsid w:val="00E41BD8"/>
    <w:rsid w:val="00E427A3"/>
    <w:rsid w:val="00E42D54"/>
    <w:rsid w:val="00E452C0"/>
    <w:rsid w:val="00E46DDF"/>
    <w:rsid w:val="00E51EDD"/>
    <w:rsid w:val="00E54D3B"/>
    <w:rsid w:val="00E639A1"/>
    <w:rsid w:val="00E65A3A"/>
    <w:rsid w:val="00E65EC4"/>
    <w:rsid w:val="00E6678B"/>
    <w:rsid w:val="00E72AF4"/>
    <w:rsid w:val="00E80D23"/>
    <w:rsid w:val="00E82800"/>
    <w:rsid w:val="00E85098"/>
    <w:rsid w:val="00EA1697"/>
    <w:rsid w:val="00EA73EB"/>
    <w:rsid w:val="00EB11D9"/>
    <w:rsid w:val="00EB22DE"/>
    <w:rsid w:val="00EB2520"/>
    <w:rsid w:val="00EB3F8E"/>
    <w:rsid w:val="00EB690D"/>
    <w:rsid w:val="00EB78A5"/>
    <w:rsid w:val="00ED0BE4"/>
    <w:rsid w:val="00ED4626"/>
    <w:rsid w:val="00ED7EF6"/>
    <w:rsid w:val="00F20B2E"/>
    <w:rsid w:val="00F365B3"/>
    <w:rsid w:val="00F41D3B"/>
    <w:rsid w:val="00F43EA5"/>
    <w:rsid w:val="00F44B19"/>
    <w:rsid w:val="00F53D29"/>
    <w:rsid w:val="00F613D9"/>
    <w:rsid w:val="00F73478"/>
    <w:rsid w:val="00F81AA6"/>
    <w:rsid w:val="00F855A8"/>
    <w:rsid w:val="00F96256"/>
    <w:rsid w:val="00F97D80"/>
    <w:rsid w:val="00FA0D62"/>
    <w:rsid w:val="00FA169C"/>
    <w:rsid w:val="00FB52A0"/>
    <w:rsid w:val="00FC1E80"/>
    <w:rsid w:val="00FC6C44"/>
    <w:rsid w:val="00FD0AD9"/>
    <w:rsid w:val="00FD41A2"/>
    <w:rsid w:val="00FD4350"/>
    <w:rsid w:val="00FD568C"/>
    <w:rsid w:val="00FD5FEE"/>
    <w:rsid w:val="00FD6F64"/>
    <w:rsid w:val="00FF2B2B"/>
    <w:rsid w:val="00FF3E8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4797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56"/>
  </w:style>
  <w:style w:type="paragraph" w:styleId="3">
    <w:name w:val="heading 3"/>
    <w:basedOn w:val="a"/>
    <w:next w:val="a"/>
    <w:link w:val="30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a4">
    <w:name w:val="Hyperlink"/>
    <w:basedOn w:val="a0"/>
    <w:rsid w:val="007450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List Paragraph"/>
    <w:basedOn w:val="a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395"/>
  </w:style>
  <w:style w:type="paragraph" w:styleId="aa">
    <w:name w:val="footer"/>
    <w:basedOn w:val="a"/>
    <w:link w:val="ab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395"/>
  </w:style>
  <w:style w:type="character" w:customStyle="1" w:styleId="Bodytext">
    <w:name w:val="Body text_"/>
    <w:basedOn w:val="a0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a0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ac">
    <w:name w:val="Body Text Indent"/>
    <w:basedOn w:val="a"/>
    <w:link w:val="ad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ad">
    <w:name w:val="Основной текст с отступом Знак"/>
    <w:basedOn w:val="a0"/>
    <w:link w:val="ac"/>
    <w:rsid w:val="005C768E"/>
    <w:rPr>
      <w:rFonts w:ascii="Calibri" w:eastAsia="Times New Roman" w:hAnsi="Calibri" w:cs="Times New Roman"/>
      <w:lang w:val="ro-RO" w:eastAsia="ro-RO"/>
    </w:rPr>
  </w:style>
  <w:style w:type="paragraph" w:styleId="ae">
    <w:name w:val="Body Text"/>
    <w:basedOn w:val="a"/>
    <w:link w:val="af"/>
    <w:uiPriority w:val="99"/>
    <w:unhideWhenUsed/>
    <w:rsid w:val="00C712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7123C"/>
  </w:style>
  <w:style w:type="character" w:customStyle="1" w:styleId="Heading1">
    <w:name w:val="Heading #1_"/>
    <w:basedOn w:val="a0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0">
    <w:name w:val="Normal (Web)"/>
    <w:basedOn w:val="a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8D3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5546</Characters>
  <Application>Microsoft Office Word</Application>
  <DocSecurity>0</DocSecurity>
  <Lines>149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Elena Cebotari</cp:lastModifiedBy>
  <cp:revision>2</cp:revision>
  <cp:lastPrinted>2021-06-25T13:25:00Z</cp:lastPrinted>
  <dcterms:created xsi:type="dcterms:W3CDTF">2023-06-27T10:41:00Z</dcterms:created>
  <dcterms:modified xsi:type="dcterms:W3CDTF">2023-06-27T10:41:00Z</dcterms:modified>
</cp:coreProperties>
</file>