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AB937" w14:textId="3967CF13" w:rsidR="008A5795" w:rsidRPr="008A0B66" w:rsidRDefault="008A5795" w:rsidP="008A579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b/>
          <w:bCs/>
          <w:sz w:val="24"/>
          <w:szCs w:val="24"/>
          <w:lang w:val="ro-RO"/>
        </w:rPr>
        <w:t>REGULAMENT</w:t>
      </w:r>
    </w:p>
    <w:p w14:paraId="2B813487" w14:textId="0F06F350" w:rsidR="006E7E3B" w:rsidRPr="008A0B66" w:rsidRDefault="008A5795" w:rsidP="008A5795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b/>
          <w:bCs/>
          <w:sz w:val="24"/>
          <w:szCs w:val="24"/>
          <w:lang w:val="ro-RO"/>
        </w:rPr>
        <w:t>cu privire la procedura de examinare</w:t>
      </w:r>
      <w:r w:rsidR="00484239" w:rsidRPr="008A0B6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8A0B6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contestațiilor privind rezultatele evaluării </w:t>
      </w:r>
    </w:p>
    <w:p w14:paraId="31C037D7" w14:textId="02FC7E2D" w:rsidR="008A5795" w:rsidRPr="008A0B66" w:rsidRDefault="008A5795" w:rsidP="008A5795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b/>
          <w:bCs/>
          <w:sz w:val="24"/>
          <w:szCs w:val="24"/>
          <w:lang w:val="ro-RO"/>
        </w:rPr>
        <w:t>în scopul impozitării</w:t>
      </w:r>
    </w:p>
    <w:p w14:paraId="6428E3F3" w14:textId="77777777" w:rsidR="00FA7C56" w:rsidRPr="008A0B66" w:rsidRDefault="00FA7C56" w:rsidP="00A4169F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2407404" w14:textId="460FB894" w:rsidR="00A4169F" w:rsidRPr="008A0B66" w:rsidRDefault="00A4169F" w:rsidP="00A4169F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b/>
          <w:bCs/>
          <w:sz w:val="24"/>
          <w:szCs w:val="24"/>
          <w:lang w:val="ro-RO"/>
        </w:rPr>
        <w:t>Capitolul I</w:t>
      </w:r>
    </w:p>
    <w:p w14:paraId="2C32165F" w14:textId="416F3491" w:rsidR="008A5795" w:rsidRPr="008A0B66" w:rsidRDefault="00A4169F" w:rsidP="00A4169F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DISPOZIȚII GENERALE</w:t>
      </w:r>
    </w:p>
    <w:p w14:paraId="108FF4D4" w14:textId="6C415452" w:rsidR="008A5795" w:rsidRPr="008A0B66" w:rsidRDefault="00410F12" w:rsidP="00190B8C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1. 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t>Regulament cu privire la procedura de examinare</w:t>
      </w:r>
      <w:r w:rsidR="00484239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t>a contestațiilor privind rezultatele evaluării în scopul impozitării</w:t>
      </w:r>
      <w:r w:rsidR="008A5795" w:rsidRPr="008A0B6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t>(în continuare - Regulament) stabilește procedura de examinare și soluționare extrajudiciară a contestațiilor, precum și modul de organizare și funcționare a Comisiei pentru examinare</w:t>
      </w:r>
      <w:r w:rsidR="00195DAA" w:rsidRPr="008A0B66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contestațiilor privind rezultate evaluării în scopul impozitării.</w:t>
      </w:r>
    </w:p>
    <w:p w14:paraId="69007704" w14:textId="151E5519" w:rsidR="003F5DFA" w:rsidRPr="008A0B66" w:rsidRDefault="00410F12" w:rsidP="00190B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2. 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t>Conform prezentului Regulament</w:t>
      </w:r>
      <w:r w:rsidR="00732BA0" w:rsidRPr="008A0B6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32BA0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la cererea titularului de drepturi asupra bunurilor imobile supuse evaluării/reevaluării în scopul impozitării 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t>pot fi contestate</w:t>
      </w:r>
      <w:r w:rsidR="00732BA0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, în mod gratuit, 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caracteristicile tehnice ale bunurilor imobile utilizate la estimarea valorii în scopul impozitării, apartenența bunului imobil la anumit tip/subtip de bunuri imobile, </w:t>
      </w:r>
      <w:r w:rsidR="0078227C" w:rsidRPr="008A0B66">
        <w:rPr>
          <w:rFonts w:ascii="Times New Roman" w:hAnsi="Times New Roman" w:cs="Times New Roman"/>
          <w:sz w:val="24"/>
          <w:szCs w:val="24"/>
          <w:lang w:val="ro-RO"/>
        </w:rPr>
        <w:t>valoarea estimată a bunului imobil</w:t>
      </w:r>
      <w:r w:rsidR="00365FE8" w:rsidRPr="008A0B6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78227C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t>zona valorică atribuită bunului imobil</w:t>
      </w:r>
      <w:r w:rsidR="00C45D91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t>modelul</w:t>
      </w:r>
      <w:r w:rsidR="00C45D91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și metodologia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de evaluare.</w:t>
      </w:r>
    </w:p>
    <w:p w14:paraId="3846263D" w14:textId="331C9185" w:rsidR="008A5795" w:rsidRPr="008A0B66" w:rsidRDefault="00732BA0" w:rsidP="00190B8C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410F12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t>În prezentul Regulament se utilizează următoarele noțiuni:</w:t>
      </w:r>
    </w:p>
    <w:p w14:paraId="7635CCF8" w14:textId="274AA505" w:rsidR="008A5795" w:rsidRPr="008A0B66" w:rsidRDefault="00410F12" w:rsidP="008A5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i/>
          <w:iCs/>
          <w:sz w:val="24"/>
          <w:szCs w:val="24"/>
          <w:lang w:val="ro-RO"/>
        </w:rPr>
        <w:t>a</w:t>
      </w:r>
      <w:r w:rsidR="008A5795" w:rsidRPr="008A0B66">
        <w:rPr>
          <w:rFonts w:ascii="Times New Roman" w:hAnsi="Times New Roman" w:cs="Times New Roman"/>
          <w:i/>
          <w:iCs/>
          <w:sz w:val="24"/>
          <w:szCs w:val="24"/>
          <w:lang w:val="ro-RO"/>
        </w:rPr>
        <w:t>utoritatea responsabilă de examinare</w:t>
      </w:r>
      <w:r w:rsidR="000C25F3" w:rsidRPr="008A0B6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8A5795" w:rsidRPr="008A0B66">
        <w:rPr>
          <w:rFonts w:ascii="Times New Roman" w:hAnsi="Times New Roman" w:cs="Times New Roman"/>
          <w:i/>
          <w:iCs/>
          <w:sz w:val="24"/>
          <w:szCs w:val="24"/>
          <w:lang w:val="ro-RO"/>
        </w:rPr>
        <w:t>a contestațiilor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A5795" w:rsidRPr="008A0B6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privind rezultatele evaluării în scopul impozitării 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– Agenția Servicii Publice </w:t>
      </w:r>
      <w:r w:rsidR="00FF4F78" w:rsidRPr="008A0B66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6B02AA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t>structurile teritoriale</w:t>
      </w:r>
      <w:r w:rsidR="00FF4F78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ale acesteia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, Agenția Relații Funciare și Cadastru;  </w:t>
      </w:r>
    </w:p>
    <w:p w14:paraId="4AC0CD39" w14:textId="1601DF43" w:rsidR="002D7F30" w:rsidRPr="008A0B66" w:rsidRDefault="00410F12" w:rsidP="008A5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i/>
          <w:iCs/>
          <w:sz w:val="24"/>
          <w:szCs w:val="24"/>
          <w:lang w:val="ro-RO"/>
        </w:rPr>
        <w:t>c</w:t>
      </w:r>
      <w:r w:rsidR="002D7F30" w:rsidRPr="008A0B66">
        <w:rPr>
          <w:rFonts w:ascii="Times New Roman" w:hAnsi="Times New Roman" w:cs="Times New Roman"/>
          <w:i/>
          <w:iCs/>
          <w:sz w:val="24"/>
          <w:szCs w:val="24"/>
          <w:lang w:val="ro-RO"/>
        </w:rPr>
        <w:t>ontestația</w:t>
      </w:r>
      <w:r w:rsidR="002D7F30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05A84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reprezintă o cerere, în formă scrisă, de revizuire a </w:t>
      </w:r>
      <w:r w:rsidR="00C41EA6" w:rsidRPr="008A0B66">
        <w:rPr>
          <w:rFonts w:ascii="Times New Roman" w:hAnsi="Times New Roman" w:cs="Times New Roman"/>
          <w:sz w:val="24"/>
          <w:szCs w:val="24"/>
          <w:lang w:val="ro-RO"/>
        </w:rPr>
        <w:t>rezultatelor evaluării în scopul impozitării;</w:t>
      </w:r>
    </w:p>
    <w:p w14:paraId="24E98565" w14:textId="76A40E1C" w:rsidR="00D9548E" w:rsidRPr="008A0B66" w:rsidRDefault="00410F12" w:rsidP="00D9548E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i/>
          <w:iCs/>
          <w:sz w:val="24"/>
          <w:szCs w:val="24"/>
          <w:lang w:val="ro-RO"/>
        </w:rPr>
        <w:t>a</w:t>
      </w:r>
      <w:r w:rsidR="008A5795" w:rsidRPr="008A0B66">
        <w:rPr>
          <w:rFonts w:ascii="Times New Roman" w:hAnsi="Times New Roman" w:cs="Times New Roman"/>
          <w:i/>
          <w:iCs/>
          <w:sz w:val="24"/>
          <w:szCs w:val="24"/>
          <w:lang w:val="ro-RO"/>
        </w:rPr>
        <w:t>pel neformal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– comunicarea cu participanții în cadrul procedurii </w:t>
      </w:r>
      <w:r w:rsidR="00BF31CD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de contestare 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efectuată prin orice mijloc (verbal, poștă, telefon, fax, poștă electronică etc.), </w:t>
      </w:r>
      <w:r w:rsidR="009A393A" w:rsidRPr="008A0B66">
        <w:rPr>
          <w:rFonts w:ascii="Times New Roman" w:hAnsi="Times New Roman" w:cs="Times New Roman"/>
          <w:sz w:val="24"/>
          <w:szCs w:val="24"/>
          <w:lang w:val="ro-RO"/>
        </w:rPr>
        <w:t>acordându-</w:t>
      </w:r>
      <w:r w:rsidR="00732BA0" w:rsidRPr="008A0B66">
        <w:rPr>
          <w:rFonts w:ascii="Times New Roman" w:hAnsi="Times New Roman" w:cs="Times New Roman"/>
          <w:sz w:val="24"/>
          <w:szCs w:val="24"/>
          <w:lang w:val="ro-RO"/>
        </w:rPr>
        <w:t>se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prioritate mijloacelor care asigură o mai mare eficiență, rapiditate și economie de costuri, în special mijloacelor electronice de comunicație</w:t>
      </w:r>
      <w:r w:rsidR="009A393A" w:rsidRPr="008A0B6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03299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8AAA1EC" w14:textId="55B53CC7" w:rsidR="00A4169F" w:rsidRPr="008A0B66" w:rsidRDefault="00A4169F" w:rsidP="00D9548E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b/>
          <w:bCs/>
          <w:sz w:val="24"/>
          <w:szCs w:val="24"/>
          <w:lang w:val="ro-RO"/>
        </w:rPr>
        <w:t>Capitolul II</w:t>
      </w:r>
    </w:p>
    <w:p w14:paraId="27778711" w14:textId="717E811D" w:rsidR="008A5795" w:rsidRPr="008A0B66" w:rsidRDefault="00A4169F" w:rsidP="00D9548E">
      <w:pPr>
        <w:tabs>
          <w:tab w:val="left" w:pos="127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b/>
          <w:bCs/>
          <w:sz w:val="24"/>
          <w:szCs w:val="24"/>
          <w:lang w:val="ro-RO"/>
        </w:rPr>
        <w:t>ATRIBUȚIILE AUTORITĂȚILOR RESPONSABILE DE EXAMINARE A CONTESTAȚIILOR PRIVIND REZULTATELE EVALUĂRII ÎN SCOPUL IMPOZITĂRII</w:t>
      </w:r>
    </w:p>
    <w:p w14:paraId="2CC65E34" w14:textId="391E089D" w:rsidR="008A5795" w:rsidRPr="008A0B66" w:rsidRDefault="00732BA0" w:rsidP="00190B8C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190B8C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t>Autoritatea responsabilă de examinare</w:t>
      </w:r>
      <w:r w:rsidR="000C25F3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t>a contestațiilor privind rezultatele evaluării în scopul impozitării (</w:t>
      </w:r>
      <w:r w:rsidR="00217E07" w:rsidRPr="008A0B66">
        <w:rPr>
          <w:rFonts w:ascii="Times New Roman" w:hAnsi="Times New Roman" w:cs="Times New Roman"/>
          <w:sz w:val="24"/>
          <w:szCs w:val="24"/>
          <w:lang w:val="ro-RO"/>
        </w:rPr>
        <w:t>în continuare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- autoritatea responsabilă) </w:t>
      </w:r>
      <w:r w:rsidR="000C685A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examinează și 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soluționează, în limita 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competențelor sale, pe cale extrajudiciară, </w:t>
      </w:r>
      <w:r w:rsidR="005B6074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contestațiile </w:t>
      </w:r>
      <w:r w:rsidR="00FF4F78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privind 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t>rezultatele evaluării în scopul impozitării, după cum urmează:</w:t>
      </w:r>
    </w:p>
    <w:p w14:paraId="5118CC27" w14:textId="3293496F" w:rsidR="008A5795" w:rsidRPr="008A0B66" w:rsidRDefault="00190B8C" w:rsidP="00FF4F78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1) 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Nivelul 1 - </w:t>
      </w:r>
      <w:r w:rsidR="0011578F" w:rsidRPr="008A0B66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t>tructurile teritoriale ale A</w:t>
      </w:r>
      <w:r w:rsidR="004862F7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genției 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4862F7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ervicii 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4862F7" w:rsidRPr="008A0B66">
        <w:rPr>
          <w:rFonts w:ascii="Times New Roman" w:hAnsi="Times New Roman" w:cs="Times New Roman"/>
          <w:sz w:val="24"/>
          <w:szCs w:val="24"/>
          <w:lang w:val="ro-RO"/>
        </w:rPr>
        <w:t>ublice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F5CD726" w14:textId="660DF56B" w:rsidR="008A5795" w:rsidRPr="008A0B66" w:rsidRDefault="00190B8C" w:rsidP="00FF4F78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2) 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Nivelul 2 </w:t>
      </w:r>
      <w:r w:rsidR="000C685A" w:rsidRPr="008A0B66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D</w:t>
      </w:r>
      <w:r w:rsidR="000C685A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epartamentul Cadastru al </w:t>
      </w:r>
      <w:r w:rsidR="00994949" w:rsidRPr="008A0B66">
        <w:rPr>
          <w:rFonts w:ascii="Times New Roman" w:hAnsi="Times New Roman" w:cs="Times New Roman"/>
          <w:sz w:val="24"/>
          <w:szCs w:val="24"/>
          <w:lang w:val="ro-RO"/>
        </w:rPr>
        <w:t>Agenției Servicii Publice;</w:t>
      </w:r>
    </w:p>
    <w:p w14:paraId="12132FC9" w14:textId="7D035E9E" w:rsidR="00C40F3C" w:rsidRPr="008A0B66" w:rsidRDefault="00190B8C" w:rsidP="00C40F3C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3) 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Nivelul 3 </w:t>
      </w:r>
      <w:r w:rsidR="000C685A" w:rsidRPr="008A0B66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="000C685A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genția 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0C685A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elații 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0C685A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unciare și 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0C685A" w:rsidRPr="008A0B66">
        <w:rPr>
          <w:rFonts w:ascii="Times New Roman" w:hAnsi="Times New Roman" w:cs="Times New Roman"/>
          <w:sz w:val="24"/>
          <w:szCs w:val="24"/>
          <w:lang w:val="ro-RO"/>
        </w:rPr>
        <w:t>adastru</w:t>
      </w:r>
      <w:r w:rsidR="00994949" w:rsidRPr="008A0B6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4D63D1A" w14:textId="56DD10AE" w:rsidR="008A5795" w:rsidRPr="008A0B66" w:rsidRDefault="00732BA0" w:rsidP="00190B8C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190B8C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Structurile Teritoriale ale </w:t>
      </w:r>
      <w:r w:rsidR="00994949" w:rsidRPr="008A0B66">
        <w:rPr>
          <w:rFonts w:ascii="Times New Roman" w:hAnsi="Times New Roman" w:cs="Times New Roman"/>
          <w:sz w:val="24"/>
          <w:szCs w:val="24"/>
          <w:lang w:val="ro-RO"/>
        </w:rPr>
        <w:t>Agenției Servicii Publice (ASP)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examinează cererile privind dezacordul cu caracteristicile tehnice ale bunurilor imobile, apartenența bunului imobil la un anumit tip/ subtip de bunuri imobile</w:t>
      </w:r>
      <w:r w:rsidR="00AE339F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și valoarea estimată a bunului imobil</w:t>
      </w:r>
      <w:r w:rsidR="00F85D93" w:rsidRPr="008A0B6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0985E08" w14:textId="35C77143" w:rsidR="00DB7E0A" w:rsidRPr="008A0B66" w:rsidRDefault="00732BA0" w:rsidP="00190B8C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190B8C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Departamentul Cadastru </w:t>
      </w:r>
      <w:r w:rsidR="004862F7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al </w:t>
      </w:r>
      <w:r w:rsidR="00994949" w:rsidRPr="008A0B66">
        <w:rPr>
          <w:rFonts w:ascii="Times New Roman" w:hAnsi="Times New Roman" w:cs="Times New Roman"/>
          <w:sz w:val="24"/>
          <w:szCs w:val="24"/>
          <w:lang w:val="ro-RO"/>
        </w:rPr>
        <w:t>Agenției Servicii Publice (în continuare - DC)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examinează cererile privind contestarea zonelor valorice</w:t>
      </w:r>
      <w:r w:rsidR="00195DAA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și cazurilor </w:t>
      </w: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considerate </w:t>
      </w:r>
      <w:r w:rsidR="00195DAA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complicate </w:t>
      </w: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de către autoritatea responsabilă de nivelul 1. </w:t>
      </w:r>
    </w:p>
    <w:p w14:paraId="1D648C53" w14:textId="1CB7A09D" w:rsidR="00C810E0" w:rsidRPr="008A0B66" w:rsidRDefault="00732BA0" w:rsidP="00190B8C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>7</w:t>
      </w:r>
      <w:r w:rsidR="00190B8C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t>Agenția Relații Funciare și Cadastru</w:t>
      </w:r>
      <w:r w:rsidR="00994949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(în continuare - ARFC)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prin intermediul Comisiei pentru examinarea contestațiilor privind rezultate</w:t>
      </w:r>
      <w:r w:rsidR="00195DAA" w:rsidRPr="008A0B66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evaluării în scopul impozitării examinează cazuri speciale ce necesită modificare</w:t>
      </w:r>
      <w:r w:rsidR="00195DAA" w:rsidRPr="008A0B66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95DAA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modelelor și </w:t>
      </w:r>
      <w:r w:rsidR="008A5795" w:rsidRPr="008A0B66">
        <w:rPr>
          <w:rFonts w:ascii="Times New Roman" w:hAnsi="Times New Roman" w:cs="Times New Roman"/>
          <w:sz w:val="24"/>
          <w:szCs w:val="24"/>
          <w:lang w:val="ro-RO"/>
        </w:rPr>
        <w:t>metodologiei de evaluare.</w:t>
      </w:r>
      <w:r w:rsidR="00687B57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BE1EF59" w14:textId="7849CBB3" w:rsidR="008A5795" w:rsidRPr="008A0B66" w:rsidRDefault="00732BA0" w:rsidP="00C810E0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>8</w:t>
      </w:r>
      <w:r w:rsidR="00190B8C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Despre ședințele Comisiei, concomitent cu membrii Comisiei, vor fi informate și autoritățile administrației publice locale în raza de activitate a cărora se află bunurile </w:t>
      </w:r>
      <w:r w:rsidR="00E117D6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imobile </w:t>
      </w:r>
      <w:r w:rsidRPr="008A0B66">
        <w:rPr>
          <w:rFonts w:ascii="Times New Roman" w:hAnsi="Times New Roman" w:cs="Times New Roman"/>
          <w:sz w:val="24"/>
          <w:szCs w:val="24"/>
          <w:lang w:val="ro-RO"/>
        </w:rPr>
        <w:t>menționate în contestație pentru a fi prezente la ședințele Comisiei, după caz, prin reprezentanții delegați, în scop de informare.</w:t>
      </w:r>
    </w:p>
    <w:p w14:paraId="173E124D" w14:textId="5F3F7D37" w:rsidR="009948C2" w:rsidRPr="008A0B66" w:rsidRDefault="0010529C" w:rsidP="00190B8C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>9</w:t>
      </w:r>
      <w:r w:rsidR="00190B8C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9948C2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Titularul de drepturi asupra bunurilor imobile este în drept de a contesta </w:t>
      </w:r>
      <w:r w:rsidR="00687B57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rezultatele evaluării </w:t>
      </w:r>
      <w:r w:rsidR="009948C2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succesiv </w:t>
      </w:r>
      <w:r w:rsidR="00687B57" w:rsidRPr="008A0B66">
        <w:rPr>
          <w:rFonts w:ascii="Times New Roman" w:hAnsi="Times New Roman" w:cs="Times New Roman"/>
          <w:sz w:val="24"/>
          <w:szCs w:val="24"/>
          <w:lang w:val="ro-RO"/>
        </w:rPr>
        <w:t>la fiecare nivel</w:t>
      </w: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potrivit competențelor autorității responsabile stabilite la pct. 5-7, după efectuarea unui apel neformal fără succes.</w:t>
      </w:r>
    </w:p>
    <w:p w14:paraId="35A80771" w14:textId="77777777" w:rsidR="008A5795" w:rsidRPr="008A0B66" w:rsidRDefault="008A5795" w:rsidP="008A5795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6464B4F" w14:textId="77777777" w:rsidR="00A4169F" w:rsidRPr="008A0B66" w:rsidRDefault="00A4169F" w:rsidP="00A4169F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b/>
          <w:bCs/>
          <w:sz w:val="24"/>
          <w:szCs w:val="24"/>
          <w:lang w:val="ro-RO"/>
        </w:rPr>
        <w:t>Capitolul III</w:t>
      </w:r>
    </w:p>
    <w:p w14:paraId="58B4735A" w14:textId="0297B6F8" w:rsidR="00565B9D" w:rsidRPr="008A0B66" w:rsidRDefault="00A4169F" w:rsidP="00A4169F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b/>
          <w:bCs/>
          <w:sz w:val="24"/>
          <w:szCs w:val="24"/>
          <w:lang w:val="ro-RO"/>
        </w:rPr>
        <w:t>PROCEDURA DE EXAMINARE A CONTESTAȚIILOR PRIVIND REZULTATELE EVALUĂRII ÎN SCOPUL IMPOZITĂRII</w:t>
      </w:r>
    </w:p>
    <w:p w14:paraId="45FEF4D8" w14:textId="0180E603" w:rsidR="00565B9D" w:rsidRPr="008A0B66" w:rsidRDefault="00190B8C" w:rsidP="00190B8C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trike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10529C" w:rsidRPr="008A0B66">
        <w:rPr>
          <w:rFonts w:ascii="Times New Roman" w:hAnsi="Times New Roman" w:cs="Times New Roman"/>
          <w:sz w:val="24"/>
          <w:szCs w:val="24"/>
          <w:lang w:val="ro-RO"/>
        </w:rPr>
        <w:t>0</w:t>
      </w: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565B9D" w:rsidRPr="008A0B66">
        <w:rPr>
          <w:rFonts w:ascii="Times New Roman" w:hAnsi="Times New Roman" w:cs="Times New Roman"/>
          <w:sz w:val="24"/>
          <w:szCs w:val="24"/>
          <w:lang w:val="ro-RO"/>
        </w:rPr>
        <w:t>În rezultatul apelului neformal al titularului de drepturi asupra bunurilor imobile, privind înlăturarea unor erori tehnice evidente (ex: nu este corect indicat numele/prenumele, tipul/subtipul bunului imobil, etc.), autoritatea responsabilă de examinarea contestațiilor va întreprinde măsurile necesare de corectare a acestora</w:t>
      </w:r>
      <w:r w:rsidR="00F85D93" w:rsidRPr="008A0B6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565B9D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184FDE2" w14:textId="5547E812" w:rsidR="00565B9D" w:rsidRPr="008A0B66" w:rsidRDefault="00190B8C" w:rsidP="00190B8C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10529C" w:rsidRPr="008A0B66"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565B9D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Procedura de examinare a contestațiilor privind rezultatele evaluării în scopul impozitării cuprinde următoarele etape: </w:t>
      </w:r>
    </w:p>
    <w:p w14:paraId="060C8871" w14:textId="59BB2D16" w:rsidR="00565B9D" w:rsidRPr="008A0B66" w:rsidRDefault="00190B8C" w:rsidP="00190B8C">
      <w:pPr>
        <w:pStyle w:val="ListParagraph"/>
        <w:spacing w:line="360" w:lineRule="auto"/>
        <w:ind w:hanging="1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565B9D" w:rsidRPr="008A0B66">
        <w:rPr>
          <w:rFonts w:ascii="Times New Roman" w:hAnsi="Times New Roman" w:cs="Times New Roman"/>
          <w:sz w:val="24"/>
          <w:szCs w:val="24"/>
          <w:lang w:val="ro-RO"/>
        </w:rPr>
        <w:t>) depunerea contestației;</w:t>
      </w:r>
    </w:p>
    <w:p w14:paraId="29DB1984" w14:textId="10357AD5" w:rsidR="00565B9D" w:rsidRPr="008A0B66" w:rsidRDefault="00190B8C" w:rsidP="00190B8C">
      <w:pPr>
        <w:pStyle w:val="ListParagraph"/>
        <w:spacing w:line="360" w:lineRule="auto"/>
        <w:ind w:hanging="1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lastRenderedPageBreak/>
        <w:t>2</w:t>
      </w:r>
      <w:r w:rsidR="00565B9D" w:rsidRPr="008A0B66">
        <w:rPr>
          <w:rFonts w:ascii="Times New Roman" w:hAnsi="Times New Roman" w:cs="Times New Roman"/>
          <w:sz w:val="24"/>
          <w:szCs w:val="24"/>
          <w:lang w:val="ro-RO"/>
        </w:rPr>
        <w:t>) primirea și înregistrarea contestației;</w:t>
      </w:r>
    </w:p>
    <w:p w14:paraId="556E94D9" w14:textId="583E6CB1" w:rsidR="00565B9D" w:rsidRPr="008A0B66" w:rsidRDefault="00190B8C" w:rsidP="00190B8C">
      <w:pPr>
        <w:pStyle w:val="ListParagraph"/>
        <w:spacing w:line="360" w:lineRule="auto"/>
        <w:ind w:hanging="1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565B9D" w:rsidRPr="008A0B66">
        <w:rPr>
          <w:rFonts w:ascii="Times New Roman" w:hAnsi="Times New Roman" w:cs="Times New Roman"/>
          <w:sz w:val="24"/>
          <w:szCs w:val="24"/>
          <w:lang w:val="ro-RO"/>
        </w:rPr>
        <w:t>) examinarea și soluționarea contestației;</w:t>
      </w:r>
    </w:p>
    <w:p w14:paraId="0E513602" w14:textId="11BDF61B" w:rsidR="00565B9D" w:rsidRPr="008A0B66" w:rsidRDefault="00190B8C" w:rsidP="00190B8C">
      <w:pPr>
        <w:pStyle w:val="ListParagraph"/>
        <w:spacing w:line="360" w:lineRule="auto"/>
        <w:ind w:hanging="1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565B9D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) informarea </w:t>
      </w:r>
      <w:r w:rsidR="0010529C" w:rsidRPr="008A0B66">
        <w:rPr>
          <w:rFonts w:ascii="Times New Roman" w:hAnsi="Times New Roman" w:cs="Times New Roman"/>
          <w:sz w:val="24"/>
          <w:szCs w:val="24"/>
          <w:lang w:val="ro-RO"/>
        </w:rPr>
        <w:t>petiționarului</w:t>
      </w:r>
      <w:r w:rsidR="00565B9D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2A42E5CD" w14:textId="21909F1C" w:rsidR="00565B9D" w:rsidRPr="008A0B66" w:rsidRDefault="00190B8C" w:rsidP="00190B8C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10529C" w:rsidRPr="008A0B66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565B9D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Depunerea contestației se efectuează de către titularul de drepturi asupra bunurilor imobile, personal sau prin intermediul unui reprezentant/ mandatar autorizat în termen de 30 de zile de la data </w:t>
      </w:r>
      <w:r w:rsidR="006429FD" w:rsidRPr="008A0B66">
        <w:rPr>
          <w:rFonts w:ascii="Times New Roman" w:hAnsi="Times New Roman" w:cs="Times New Roman"/>
          <w:sz w:val="24"/>
          <w:szCs w:val="24"/>
          <w:lang w:val="ro-RO"/>
        </w:rPr>
        <w:t>primirii</w:t>
      </w:r>
      <w:r w:rsidR="000C25F3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(prin orice mijloc) a</w:t>
      </w:r>
      <w:r w:rsidR="006429FD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65B9D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notificării </w:t>
      </w:r>
      <w:r w:rsidR="006429FD" w:rsidRPr="008A0B6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privind rezultatele evaluării în scopul </w:t>
      </w:r>
      <w:r w:rsidR="00DA457A" w:rsidRPr="008A0B6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impozitării. </w:t>
      </w:r>
    </w:p>
    <w:p w14:paraId="2A323CF3" w14:textId="4DAC22B5" w:rsidR="00565B9D" w:rsidRPr="008A0B66" w:rsidRDefault="00190B8C" w:rsidP="00190B8C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B03FFC" w:rsidRPr="008A0B66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565B9D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Contestația se depune personal, prin poștă sau în formă electronică. Contestația depusă electronic urmează a fi semnată cu o semnătură electronică fiabilă. </w:t>
      </w:r>
    </w:p>
    <w:p w14:paraId="1F4EC401" w14:textId="55365308" w:rsidR="00565B9D" w:rsidRPr="008A0B66" w:rsidRDefault="00190B8C" w:rsidP="00190B8C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B03FFC" w:rsidRPr="008A0B66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565B9D" w:rsidRPr="008A0B66">
        <w:rPr>
          <w:rFonts w:ascii="Times New Roman" w:hAnsi="Times New Roman" w:cs="Times New Roman"/>
          <w:sz w:val="24"/>
          <w:szCs w:val="24"/>
          <w:lang w:val="ro-RO"/>
        </w:rPr>
        <w:t>Contestația trebuie să conțină următoarele elemente:</w:t>
      </w:r>
    </w:p>
    <w:p w14:paraId="2BC21DA7" w14:textId="3FA098E8" w:rsidR="00565B9D" w:rsidRPr="008A0B66" w:rsidRDefault="00190B8C" w:rsidP="00190B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1) </w:t>
      </w:r>
      <w:r w:rsidR="00565B9D" w:rsidRPr="008A0B66">
        <w:rPr>
          <w:rFonts w:ascii="Times New Roman" w:hAnsi="Times New Roman" w:cs="Times New Roman"/>
          <w:sz w:val="24"/>
          <w:szCs w:val="24"/>
          <w:lang w:val="ro-RO"/>
        </w:rPr>
        <w:t>datele de identificare ale titularul de drepturi asupra bunurilor imobile/reprezentantului acestuia (numele, prenumele/ denumirea oficială, adresa poștală completă, adresa poștei electronice, număr de contact);</w:t>
      </w:r>
    </w:p>
    <w:p w14:paraId="21BF040C" w14:textId="2FBF6F6D" w:rsidR="00F96B7C" w:rsidRPr="008A0B66" w:rsidRDefault="00190B8C" w:rsidP="00190B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2) </w:t>
      </w:r>
      <w:r w:rsidR="00F96B7C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denumirea autorității responsabile;</w:t>
      </w:r>
    </w:p>
    <w:p w14:paraId="50F8477D" w14:textId="3B8F1196" w:rsidR="00565B9D" w:rsidRPr="008A0B66" w:rsidRDefault="00F96B7C" w:rsidP="00190B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3) </w:t>
      </w:r>
      <w:r w:rsidR="00565B9D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datele privind </w:t>
      </w:r>
      <w:r w:rsidR="004A54E1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bunul imobil evaluat </w:t>
      </w:r>
      <w:r w:rsidR="004A54E1" w:rsidRPr="008A0B66">
        <w:rPr>
          <w:rFonts w:ascii="Times New Roman" w:hAnsi="Times New Roman" w:cs="Times New Roman"/>
          <w:sz w:val="24"/>
          <w:szCs w:val="24"/>
          <w:lang w:val="ro-MD"/>
        </w:rPr>
        <w:t xml:space="preserve">în scopul impozitării </w:t>
      </w:r>
      <w:r w:rsidR="00565B9D" w:rsidRPr="008A0B66">
        <w:rPr>
          <w:rFonts w:ascii="Times New Roman" w:hAnsi="Times New Roman" w:cs="Times New Roman"/>
          <w:sz w:val="24"/>
          <w:szCs w:val="24"/>
          <w:lang w:val="ro-RO"/>
        </w:rPr>
        <w:t>(numărul cadastral, adresa completă);</w:t>
      </w:r>
    </w:p>
    <w:p w14:paraId="5FDB6C9C" w14:textId="44460E36" w:rsidR="00565B9D" w:rsidRPr="008A0B66" w:rsidRDefault="00F96B7C" w:rsidP="00190B8C">
      <w:pPr>
        <w:pStyle w:val="ListParagraph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190B8C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4A54E1" w:rsidRPr="008A0B66">
        <w:rPr>
          <w:rFonts w:ascii="Times New Roman" w:hAnsi="Times New Roman" w:cs="Times New Roman"/>
          <w:sz w:val="24"/>
          <w:szCs w:val="24"/>
          <w:lang w:val="ro-RO"/>
        </w:rPr>
        <w:t>obiectul contestației și motivarea acesteia</w:t>
      </w:r>
      <w:r w:rsidR="00565B9D" w:rsidRPr="008A0B6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FE29394" w14:textId="5194F3A9" w:rsidR="00565B9D" w:rsidRPr="008A0B66" w:rsidRDefault="00F96B7C" w:rsidP="00190B8C">
      <w:pPr>
        <w:pStyle w:val="ListParagraph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190B8C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565B9D" w:rsidRPr="008A0B66">
        <w:rPr>
          <w:rFonts w:ascii="Times New Roman" w:hAnsi="Times New Roman" w:cs="Times New Roman"/>
          <w:sz w:val="24"/>
          <w:szCs w:val="24"/>
          <w:lang w:val="ro-RO"/>
        </w:rPr>
        <w:t>semnătura persoanei care a depus c</w:t>
      </w:r>
      <w:r w:rsidR="000C25F3" w:rsidRPr="008A0B66">
        <w:rPr>
          <w:rFonts w:ascii="Times New Roman" w:hAnsi="Times New Roman" w:cs="Times New Roman"/>
          <w:sz w:val="24"/>
          <w:szCs w:val="24"/>
          <w:lang w:val="ro-RO"/>
        </w:rPr>
        <w:t>ontestația</w:t>
      </w:r>
      <w:r w:rsidR="00565B9D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și data depunerii </w:t>
      </w:r>
      <w:r w:rsidR="000C25F3" w:rsidRPr="008A0B66">
        <w:rPr>
          <w:rFonts w:ascii="Times New Roman" w:hAnsi="Times New Roman" w:cs="Times New Roman"/>
          <w:sz w:val="24"/>
          <w:szCs w:val="24"/>
          <w:lang w:val="ro-RO"/>
        </w:rPr>
        <w:t>acesteia</w:t>
      </w:r>
      <w:r w:rsidR="00565B9D" w:rsidRPr="008A0B6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C413B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</w:p>
    <w:p w14:paraId="32449F16" w14:textId="74533F8E" w:rsidR="00565B9D" w:rsidRPr="008A0B66" w:rsidRDefault="00190B8C" w:rsidP="00565B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B03FFC" w:rsidRPr="008A0B66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565B9D" w:rsidRPr="008A0B66">
        <w:rPr>
          <w:rFonts w:ascii="Times New Roman" w:hAnsi="Times New Roman" w:cs="Times New Roman"/>
          <w:sz w:val="24"/>
          <w:szCs w:val="24"/>
          <w:lang w:val="ro-RO"/>
        </w:rPr>
        <w:t>În cazul depunerii c</w:t>
      </w:r>
      <w:r w:rsidR="000C25F3" w:rsidRPr="008A0B66">
        <w:rPr>
          <w:rFonts w:ascii="Times New Roman" w:hAnsi="Times New Roman" w:cs="Times New Roman"/>
          <w:sz w:val="24"/>
          <w:szCs w:val="24"/>
          <w:lang w:val="ro-RO"/>
        </w:rPr>
        <w:t>ontestației</w:t>
      </w:r>
      <w:r w:rsidR="00565B9D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prin reprezentant/ mandatar autorizat, se va anexa copia procurii de reprezentare a </w:t>
      </w:r>
      <w:r w:rsidR="0010529C" w:rsidRPr="008A0B66">
        <w:rPr>
          <w:rFonts w:ascii="Times New Roman" w:hAnsi="Times New Roman" w:cs="Times New Roman"/>
          <w:sz w:val="24"/>
          <w:szCs w:val="24"/>
          <w:lang w:val="ro-RO"/>
        </w:rPr>
        <w:t>petiționarului</w:t>
      </w:r>
      <w:r w:rsidR="00565B9D" w:rsidRPr="008A0B6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8CC349F" w14:textId="5A4A4AA5" w:rsidR="00E81000" w:rsidRPr="008A0B66" w:rsidRDefault="00203A8D" w:rsidP="00565B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B03FFC" w:rsidRPr="008A0B66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E81000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În cazul în care contestația depusă nu va conține toate elementele </w:t>
      </w:r>
      <w:r w:rsidR="00B838C2" w:rsidRPr="008A0B66">
        <w:rPr>
          <w:rFonts w:ascii="Times New Roman" w:hAnsi="Times New Roman" w:cs="Times New Roman"/>
          <w:sz w:val="24"/>
          <w:szCs w:val="24"/>
          <w:lang w:val="ro-RO"/>
        </w:rPr>
        <w:t>enumerate</w:t>
      </w:r>
      <w:r w:rsidR="00E81000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în punctele a</w:t>
      </w:r>
      <w:r w:rsidR="00B838C2" w:rsidRPr="008A0B66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E81000" w:rsidRPr="008A0B66">
        <w:rPr>
          <w:rFonts w:ascii="Times New Roman" w:hAnsi="Times New Roman" w:cs="Times New Roman"/>
          <w:sz w:val="24"/>
          <w:szCs w:val="24"/>
          <w:lang w:val="ro-RO"/>
        </w:rPr>
        <w:t>-d</w:t>
      </w:r>
      <w:r w:rsidR="00B838C2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), se va propune </w:t>
      </w:r>
      <w:r w:rsidR="0010529C" w:rsidRPr="008A0B66">
        <w:rPr>
          <w:rFonts w:ascii="Times New Roman" w:hAnsi="Times New Roman" w:cs="Times New Roman"/>
          <w:sz w:val="24"/>
          <w:szCs w:val="24"/>
          <w:lang w:val="ro-RO"/>
        </w:rPr>
        <w:t>petiționarului</w:t>
      </w:r>
      <w:r w:rsidR="00B838C2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să prezinte datele lipsă și se va stabili un termen în acest sens.</w:t>
      </w:r>
    </w:p>
    <w:p w14:paraId="3EFB13E9" w14:textId="7F656224" w:rsidR="00565B9D" w:rsidRPr="008A0B66" w:rsidRDefault="00203A8D" w:rsidP="00203A8D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B03FFC" w:rsidRPr="008A0B66">
        <w:rPr>
          <w:rFonts w:ascii="Times New Roman" w:hAnsi="Times New Roman" w:cs="Times New Roman"/>
          <w:sz w:val="24"/>
          <w:szCs w:val="24"/>
          <w:lang w:val="ro-RO"/>
        </w:rPr>
        <w:t>7</w:t>
      </w: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565B9D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Primirea și înregistrarea </w:t>
      </w:r>
      <w:r w:rsidR="00994949" w:rsidRPr="008A0B66">
        <w:rPr>
          <w:rFonts w:ascii="Times New Roman" w:hAnsi="Times New Roman" w:cs="Times New Roman"/>
          <w:sz w:val="24"/>
          <w:szCs w:val="24"/>
          <w:lang w:val="ro-RO"/>
        </w:rPr>
        <w:t>contestației</w:t>
      </w:r>
      <w:r w:rsidR="00565B9D" w:rsidRPr="008A0B66">
        <w:rPr>
          <w:rFonts w:ascii="Times New Roman" w:hAnsi="Times New Roman" w:cs="Times New Roman"/>
          <w:sz w:val="24"/>
          <w:szCs w:val="24"/>
          <w:lang w:val="ro-RO"/>
        </w:rPr>
        <w:t>/apelului neformal se efectuează de către autoritatea responsabilă, care duce Registr</w:t>
      </w:r>
      <w:r w:rsidR="00D26687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ul de evidența a </w:t>
      </w:r>
      <w:r w:rsidR="00565B9D" w:rsidRPr="008A0B66">
        <w:rPr>
          <w:rFonts w:ascii="Times New Roman" w:hAnsi="Times New Roman" w:cs="Times New Roman"/>
          <w:sz w:val="24"/>
          <w:szCs w:val="24"/>
          <w:lang w:val="ro-RO"/>
        </w:rPr>
        <w:t>contestațiilor privind rezultatele evaluării în scopul impozitării (</w:t>
      </w:r>
      <w:r w:rsidR="00994949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în continuare </w:t>
      </w:r>
      <w:r w:rsidR="00565B9D" w:rsidRPr="008A0B66">
        <w:rPr>
          <w:rFonts w:ascii="Times New Roman" w:hAnsi="Times New Roman" w:cs="Times New Roman"/>
          <w:sz w:val="24"/>
          <w:szCs w:val="24"/>
          <w:lang w:val="ro-RO"/>
        </w:rPr>
        <w:t>– Registru)</w:t>
      </w:r>
      <w:r w:rsidR="00B838C2" w:rsidRPr="008A0B66">
        <w:rPr>
          <w:rFonts w:ascii="Times New Roman" w:hAnsi="Times New Roman" w:cs="Times New Roman"/>
          <w:sz w:val="24"/>
          <w:szCs w:val="24"/>
          <w:lang w:val="ro-RO"/>
        </w:rPr>
        <w:t>, (anexa 1).</w:t>
      </w:r>
    </w:p>
    <w:p w14:paraId="44155F29" w14:textId="2BCEE6DA" w:rsidR="00B838C2" w:rsidRPr="008A0B66" w:rsidRDefault="00203A8D" w:rsidP="00203A8D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Hlk123652352"/>
      <w:r w:rsidRPr="008A0B66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B03FFC" w:rsidRPr="008A0B66">
        <w:rPr>
          <w:rFonts w:ascii="Times New Roman" w:hAnsi="Times New Roman" w:cs="Times New Roman"/>
          <w:sz w:val="24"/>
          <w:szCs w:val="24"/>
          <w:lang w:val="ro-RO"/>
        </w:rPr>
        <w:t>8</w:t>
      </w: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565B9D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În procesul examinării </w:t>
      </w:r>
      <w:r w:rsidR="00994949" w:rsidRPr="008A0B66">
        <w:rPr>
          <w:rFonts w:ascii="Times New Roman" w:hAnsi="Times New Roman" w:cs="Times New Roman"/>
          <w:sz w:val="24"/>
          <w:szCs w:val="24"/>
          <w:lang w:val="ro-RO"/>
        </w:rPr>
        <w:t>contestației</w:t>
      </w:r>
      <w:r w:rsidR="00B838C2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, organul cadastral teritorial va verifica corectitudinea reflectării în sistemul automatizat de evaluare a caracteristicilor tehnice ale bunului imobil, utilizate în procesul de reevaluare, în raport cu datele despre acesta din Registrul </w:t>
      </w:r>
      <w:r w:rsidR="00985F0D" w:rsidRPr="008A0B66">
        <w:rPr>
          <w:rFonts w:ascii="Times New Roman" w:hAnsi="Times New Roman" w:cs="Times New Roman"/>
          <w:sz w:val="24"/>
          <w:szCs w:val="24"/>
          <w:lang w:val="ro-RO"/>
        </w:rPr>
        <w:t>bunurilor imobile și dosarul cadastral/tehnic existent în arhivă. Neconformitățile constatate vor fi înlăturate conform procedurilor operaționale interne stabilite de către autoritatea responsabilă. În cazul în care datele din Registrul bunurilor imobile și/sau din dosarul cadastral/tehnic nu corespund situației curente, acestea vor fi actualizate în conformitate cu prevederile Legii nr.267/2012 privind monitoringul bunurilor imobile.</w:t>
      </w:r>
    </w:p>
    <w:bookmarkEnd w:id="0"/>
    <w:p w14:paraId="35A37171" w14:textId="715BE534" w:rsidR="00565B9D" w:rsidRPr="008A0B66" w:rsidRDefault="00B03FFC" w:rsidP="00203A8D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lastRenderedPageBreak/>
        <w:t>19</w:t>
      </w:r>
      <w:r w:rsidR="00203A8D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0C25F3" w:rsidRPr="008A0B66">
        <w:rPr>
          <w:rFonts w:ascii="Times New Roman" w:hAnsi="Times New Roman" w:cs="Times New Roman"/>
          <w:sz w:val="24"/>
          <w:szCs w:val="24"/>
          <w:lang w:val="ro-RO"/>
        </w:rPr>
        <w:t>Se iau în considerație doar factori externi care influențează valoarea estimată</w:t>
      </w:r>
      <w:r w:rsidR="001878BB" w:rsidRPr="008A0B6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0C25F3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878BB" w:rsidRPr="008A0B66">
        <w:rPr>
          <w:rFonts w:ascii="Times New Roman" w:hAnsi="Times New Roman" w:cs="Times New Roman"/>
          <w:sz w:val="24"/>
          <w:szCs w:val="24"/>
          <w:lang w:val="ro-RO"/>
        </w:rPr>
        <w:t>reieșind</w:t>
      </w:r>
      <w:r w:rsidR="00985F0D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din faptul că inspectarea obiectului evaluării în cazul evaluării în scopul impozitării nu se efectuează.</w:t>
      </w:r>
      <w:r w:rsidR="000C25F3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C413B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14:paraId="5B6F85E2" w14:textId="39FE0D3A" w:rsidR="0089439F" w:rsidRPr="008A0B66" w:rsidRDefault="00203A8D" w:rsidP="00203A8D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B03FFC" w:rsidRPr="008A0B66">
        <w:rPr>
          <w:rFonts w:ascii="Times New Roman" w:hAnsi="Times New Roman" w:cs="Times New Roman"/>
          <w:sz w:val="24"/>
          <w:szCs w:val="24"/>
          <w:lang w:val="ro-RO"/>
        </w:rPr>
        <w:t>0</w:t>
      </w: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9E579F" w:rsidRPr="008A0B66">
        <w:rPr>
          <w:rFonts w:ascii="Times New Roman" w:hAnsi="Times New Roman" w:cs="Times New Roman"/>
          <w:sz w:val="24"/>
          <w:szCs w:val="24"/>
          <w:lang w:val="ro-RO"/>
        </w:rPr>
        <w:t>Valoarea estimată a bunului imobil va fi revizuită</w:t>
      </w:r>
      <w:r w:rsidR="00D14F40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E579F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în cazul în care </w:t>
      </w:r>
      <w:r w:rsidR="006B429E" w:rsidRPr="008A0B66">
        <w:rPr>
          <w:rFonts w:ascii="Times New Roman" w:hAnsi="Times New Roman" w:cs="Times New Roman"/>
          <w:sz w:val="24"/>
          <w:szCs w:val="24"/>
          <w:lang w:val="ro-RO"/>
        </w:rPr>
        <w:t>aceasta</w:t>
      </w:r>
      <w:r w:rsidR="00A26A10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v</w:t>
      </w:r>
      <w:r w:rsidR="006B429E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A26A10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diferenția </w:t>
      </w:r>
      <w:r w:rsidR="000C25F3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esențial </w:t>
      </w:r>
      <w:r w:rsidR="00A26A10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cu </w:t>
      </w:r>
      <w:r w:rsidR="006B429E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valorile estimate a </w:t>
      </w:r>
      <w:r w:rsidR="00A26A10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cel puțin trei </w:t>
      </w:r>
      <w:r w:rsidR="000813C7" w:rsidRPr="008A0B66">
        <w:rPr>
          <w:rFonts w:ascii="Times New Roman" w:hAnsi="Times New Roman" w:cs="Times New Roman"/>
          <w:sz w:val="24"/>
          <w:szCs w:val="24"/>
          <w:lang w:val="ro-RO"/>
        </w:rPr>
        <w:t>bunuri imobile comparabile</w:t>
      </w:r>
      <w:r w:rsidR="00A26A10" w:rsidRPr="008A0B6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D14F40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B429E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În acest caz titularul de drepturi asupra </w:t>
      </w:r>
      <w:r w:rsidR="00365FE8" w:rsidRPr="008A0B66">
        <w:rPr>
          <w:rFonts w:ascii="Times New Roman" w:hAnsi="Times New Roman" w:cs="Times New Roman"/>
          <w:sz w:val="24"/>
          <w:szCs w:val="24"/>
          <w:lang w:val="ro-RO"/>
        </w:rPr>
        <w:t>bunurilor imobile</w:t>
      </w:r>
      <w:r w:rsidR="000C25F3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în</w:t>
      </w:r>
      <w:r w:rsidR="00994949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contestație </w:t>
      </w:r>
      <w:r w:rsidR="00365FE8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v-a </w:t>
      </w:r>
      <w:r w:rsidR="000C25F3" w:rsidRPr="008A0B66">
        <w:rPr>
          <w:rFonts w:ascii="Times New Roman" w:hAnsi="Times New Roman" w:cs="Times New Roman"/>
          <w:sz w:val="24"/>
          <w:szCs w:val="24"/>
          <w:lang w:val="ro-RO"/>
        </w:rPr>
        <w:t>prezenta</w:t>
      </w:r>
      <w:r w:rsidR="00365FE8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valorile estimate a bunurilor imobile comparabile. </w:t>
      </w:r>
    </w:p>
    <w:p w14:paraId="700F4A78" w14:textId="70030E24" w:rsidR="00F93C7D" w:rsidRPr="008A0B66" w:rsidRDefault="00203A8D" w:rsidP="00203A8D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B03FFC" w:rsidRPr="008A0B66"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565B9D" w:rsidRPr="008A0B66">
        <w:rPr>
          <w:rFonts w:ascii="Times New Roman" w:hAnsi="Times New Roman" w:cs="Times New Roman"/>
          <w:sz w:val="24"/>
          <w:szCs w:val="24"/>
          <w:lang w:val="ro-RO"/>
        </w:rPr>
        <w:t>Zona valorică atribuită bunului imobil va fi revizuită în cazul unui număr suficient de contestații întemeiate pentru o anumită zonă valorică (cca 20-30 contestații). În cazul în care se constată că obiecțiile sunt întemeiate, DC va modifica înscrierile și va recalcula valoarea estimată.</w:t>
      </w:r>
    </w:p>
    <w:p w14:paraId="4E7C10C0" w14:textId="4FBA1F56" w:rsidR="005F1208" w:rsidRPr="008A0B66" w:rsidRDefault="00203A8D" w:rsidP="00203A8D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B03FFC" w:rsidRPr="008A0B66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565B9D" w:rsidRPr="008A0B66">
        <w:rPr>
          <w:rFonts w:ascii="Times New Roman" w:hAnsi="Times New Roman" w:cs="Times New Roman"/>
          <w:sz w:val="24"/>
          <w:szCs w:val="24"/>
          <w:lang w:val="ro-RO"/>
        </w:rPr>
        <w:t>Contestațiile privind cazurile complicate ce nu țin de competența structurilor teritoriale ale ASP vor fi examinate de către DC.</w:t>
      </w:r>
    </w:p>
    <w:p w14:paraId="51C3144D" w14:textId="694ECDDC" w:rsidR="00565B9D" w:rsidRPr="008A0B66" w:rsidRDefault="00203A8D" w:rsidP="00203A8D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B03FFC" w:rsidRPr="008A0B66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565B9D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Examinarea modelelor și metodologiei de evaluare se va efectua în cazul prezentării de către solicitant a argumentelor privind prezența altor factori valorici neprevăzuți la etapa elaborării modelului de evaluare și care influențează considerabil valoarea estimată.  </w:t>
      </w:r>
    </w:p>
    <w:p w14:paraId="7F1A78F5" w14:textId="55710E38" w:rsidR="00565B9D" w:rsidRPr="008A0B66" w:rsidRDefault="00203A8D" w:rsidP="00203A8D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B03FFC" w:rsidRPr="008A0B66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565B9D" w:rsidRPr="008A0B66">
        <w:rPr>
          <w:rFonts w:ascii="Times New Roman" w:hAnsi="Times New Roman" w:cs="Times New Roman"/>
          <w:sz w:val="24"/>
          <w:szCs w:val="24"/>
          <w:lang w:val="ro-RO"/>
        </w:rPr>
        <w:t>Cererea se examinează în termen de 30 de zile lucrătoare de la data înregistrării. În cazul contest</w:t>
      </w:r>
      <w:r w:rsidR="00A75B3B" w:rsidRPr="008A0B66">
        <w:rPr>
          <w:rFonts w:ascii="Times New Roman" w:hAnsi="Times New Roman" w:cs="Times New Roman"/>
          <w:sz w:val="24"/>
          <w:szCs w:val="24"/>
          <w:lang w:val="ro-RO"/>
        </w:rPr>
        <w:t>ațiilor</w:t>
      </w:r>
      <w:r w:rsidR="00565B9D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parvenite în adresa Comisiei pentru examinarea contestațiilor privind rezultatele evaluării în scopul impozitării</w:t>
      </w:r>
      <w:r w:rsidR="00B8407D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, aceasta poate stabili un termen mai mare pentru finalizarea procedurii administrative, care nu va depăși 90 de zile. </w:t>
      </w:r>
      <w:r w:rsidR="00565B9D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504FC6A" w14:textId="77777777" w:rsidR="00565B9D" w:rsidRPr="008A0B66" w:rsidRDefault="00565B9D" w:rsidP="00565B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56CC25F" w14:textId="77777777" w:rsidR="00A4169F" w:rsidRPr="008A0B66" w:rsidRDefault="00A4169F" w:rsidP="00A4169F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b/>
          <w:bCs/>
          <w:sz w:val="24"/>
          <w:szCs w:val="24"/>
          <w:lang w:val="ro-RO"/>
        </w:rPr>
        <w:t>Capitolul IV</w:t>
      </w:r>
    </w:p>
    <w:p w14:paraId="7FFCCFD6" w14:textId="04DF2F13" w:rsidR="00565B9D" w:rsidRPr="008A0B66" w:rsidRDefault="00A4169F" w:rsidP="00A4169F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b/>
          <w:bCs/>
          <w:sz w:val="24"/>
          <w:szCs w:val="24"/>
          <w:lang w:val="ro-RO"/>
        </w:rPr>
        <w:t>MODUL DE ORGANIZARE A ACTIVITĂȚII COMISIEI PENTRU EXAMINAREA CONTESTAȚIILOR PRIVIND REZULTATELE EVALUĂRII ÎN SCOPUL IMPOZITĂRII ȘI ATRIBUȚIILE ACESTEIA</w:t>
      </w:r>
    </w:p>
    <w:p w14:paraId="3447B78C" w14:textId="76D7889D" w:rsidR="00565B9D" w:rsidRPr="008A0B66" w:rsidRDefault="00203A8D" w:rsidP="00203A8D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B03FFC" w:rsidRPr="008A0B66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565B9D" w:rsidRPr="008A0B66">
        <w:rPr>
          <w:rFonts w:ascii="Times New Roman" w:hAnsi="Times New Roman" w:cs="Times New Roman"/>
          <w:sz w:val="24"/>
          <w:szCs w:val="24"/>
          <w:lang w:val="ro-RO"/>
        </w:rPr>
        <w:t>În activitate sa, Comisia pentru examinarea contestațiilor privind rezultatele evaluării în scopul impozitării (în continuare - Comisia) se călăuzește de actele normative, inclusiv de prezentul Regulament.</w:t>
      </w:r>
    </w:p>
    <w:p w14:paraId="39FF2AFC" w14:textId="4893F9AA" w:rsidR="00565B9D" w:rsidRPr="008A0B66" w:rsidRDefault="00203A8D" w:rsidP="00203A8D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B03FFC" w:rsidRPr="008A0B66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565B9D" w:rsidRPr="008A0B66">
        <w:rPr>
          <w:rFonts w:ascii="Times New Roman" w:hAnsi="Times New Roman" w:cs="Times New Roman"/>
          <w:sz w:val="24"/>
          <w:szCs w:val="24"/>
          <w:lang w:val="ro-RO"/>
        </w:rPr>
        <w:t>Comisia se creează prin ordin ARFC pe o perioadă determinată de timp (perioada între două evaluări/ reevaluări) și are drept scop examinarea cazurilor speciale ce necesită modificarea modelelor și  metodologiei de evaluare a bunurilor imobile în scopul impozitării.</w:t>
      </w:r>
    </w:p>
    <w:p w14:paraId="3FF3A260" w14:textId="2B98F96B" w:rsidR="00565B9D" w:rsidRPr="008A0B66" w:rsidRDefault="00203A8D" w:rsidP="00203A8D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B03FFC" w:rsidRPr="008A0B66">
        <w:rPr>
          <w:rFonts w:ascii="Times New Roman" w:hAnsi="Times New Roman" w:cs="Times New Roman"/>
          <w:sz w:val="24"/>
          <w:szCs w:val="24"/>
          <w:lang w:val="ro-RO"/>
        </w:rPr>
        <w:t>7</w:t>
      </w: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565B9D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Comisia este formată din 7 membri, specialiști din domeniul juridic și al evaluării bunurilor imobile, dintre care: </w:t>
      </w:r>
    </w:p>
    <w:p w14:paraId="00A92195" w14:textId="1CE772C2" w:rsidR="00565B9D" w:rsidRPr="008A0B66" w:rsidRDefault="00203A8D" w:rsidP="00203A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1) </w:t>
      </w:r>
      <w:r w:rsidR="00565B9D" w:rsidRPr="008A0B66">
        <w:rPr>
          <w:rFonts w:ascii="Times New Roman" w:hAnsi="Times New Roman" w:cs="Times New Roman"/>
          <w:sz w:val="24"/>
          <w:szCs w:val="24"/>
          <w:lang w:val="ro-RO"/>
        </w:rPr>
        <w:t>trei reprezentanți din cadrul ARFC;</w:t>
      </w:r>
    </w:p>
    <w:p w14:paraId="737A0966" w14:textId="306D7F95" w:rsidR="00565B9D" w:rsidRPr="008A0B66" w:rsidRDefault="00203A8D" w:rsidP="00203A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2) </w:t>
      </w:r>
      <w:r w:rsidR="00565B9D" w:rsidRPr="008A0B66">
        <w:rPr>
          <w:rFonts w:ascii="Times New Roman" w:hAnsi="Times New Roman" w:cs="Times New Roman"/>
          <w:sz w:val="24"/>
          <w:szCs w:val="24"/>
          <w:lang w:val="ro-RO"/>
        </w:rPr>
        <w:t>doi reprezentanți din cadrul DC.</w:t>
      </w:r>
    </w:p>
    <w:p w14:paraId="2BC777B5" w14:textId="7251FE62" w:rsidR="00565B9D" w:rsidRPr="008A0B66" w:rsidRDefault="00203A8D" w:rsidP="00203A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3) </w:t>
      </w:r>
      <w:r w:rsidR="00565B9D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doi reprezentanți ai asociațiilor obștești ale evaluatorilor. </w:t>
      </w:r>
    </w:p>
    <w:p w14:paraId="49C99EF9" w14:textId="2D3D1428" w:rsidR="00A75B3B" w:rsidRPr="008A0B66" w:rsidRDefault="00203A8D" w:rsidP="00203A8D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B03FFC" w:rsidRPr="008A0B66">
        <w:rPr>
          <w:rFonts w:ascii="Times New Roman" w:hAnsi="Times New Roman" w:cs="Times New Roman"/>
          <w:sz w:val="24"/>
          <w:szCs w:val="24"/>
          <w:lang w:val="ro-RO"/>
        </w:rPr>
        <w:t>8</w:t>
      </w: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BE2C3E" w:rsidRPr="008A0B66">
        <w:rPr>
          <w:rFonts w:ascii="Times New Roman" w:hAnsi="Times New Roman" w:cs="Times New Roman"/>
          <w:sz w:val="24"/>
          <w:szCs w:val="24"/>
          <w:lang w:val="ro-RO"/>
        </w:rPr>
        <w:t>Președintele Comisiei este directorul general al ARFC, iar vicepreședintele este numit prin decizia Comisiei.</w:t>
      </w:r>
    </w:p>
    <w:p w14:paraId="5771F939" w14:textId="67421715" w:rsidR="00BE2C3E" w:rsidRPr="008A0B66" w:rsidRDefault="00B03FFC" w:rsidP="00203A8D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>29</w:t>
      </w:r>
      <w:r w:rsidR="00203A8D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BE2C3E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Secretarul Comisiei nu este membru al comisiei și este numit dintre funcționarii publici </w:t>
      </w:r>
      <w:r w:rsidR="008D3F18" w:rsidRPr="008A0B66">
        <w:rPr>
          <w:rFonts w:ascii="Times New Roman" w:hAnsi="Times New Roman" w:cs="Times New Roman"/>
          <w:sz w:val="24"/>
          <w:szCs w:val="24"/>
          <w:lang w:val="ro-RO"/>
        </w:rPr>
        <w:br/>
      </w:r>
      <w:r w:rsidR="00BE2C3E" w:rsidRPr="008A0B66">
        <w:rPr>
          <w:rFonts w:ascii="Times New Roman" w:hAnsi="Times New Roman" w:cs="Times New Roman"/>
          <w:sz w:val="24"/>
          <w:szCs w:val="24"/>
          <w:lang w:val="ro-RO"/>
        </w:rPr>
        <w:t>ai ARFC.</w:t>
      </w:r>
      <w:r w:rsidR="00217E07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660E351" w14:textId="57E0D12B" w:rsidR="00BE2C3E" w:rsidRPr="008A0B66" w:rsidRDefault="00203A8D" w:rsidP="00203A8D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B03FFC" w:rsidRPr="008A0B66">
        <w:rPr>
          <w:rFonts w:ascii="Times New Roman" w:hAnsi="Times New Roman" w:cs="Times New Roman"/>
          <w:sz w:val="24"/>
          <w:szCs w:val="24"/>
          <w:lang w:val="ro-RO"/>
        </w:rPr>
        <w:t>0</w:t>
      </w: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BE2C3E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Forma de activitate a Comisiei este ședința. Ședința se consideră deliberativă dacă la ea participă cel puțin </w:t>
      </w:r>
      <w:r w:rsidR="00A75B3B" w:rsidRPr="008A0B66">
        <w:rPr>
          <w:rFonts w:ascii="Times New Roman" w:hAnsi="Times New Roman" w:cs="Times New Roman"/>
          <w:sz w:val="24"/>
          <w:szCs w:val="24"/>
          <w:lang w:val="ro-RO"/>
        </w:rPr>
        <w:t>patru</w:t>
      </w:r>
      <w:r w:rsidR="00BE2C3E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membri ai Comisiei.</w:t>
      </w:r>
    </w:p>
    <w:p w14:paraId="42E1A190" w14:textId="38B1C5EB" w:rsidR="00BE2C3E" w:rsidRPr="008A0B66" w:rsidRDefault="00203A8D" w:rsidP="00203A8D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B03FFC" w:rsidRPr="008A0B66"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BE2C3E" w:rsidRPr="008A0B66">
        <w:rPr>
          <w:rFonts w:ascii="Times New Roman" w:hAnsi="Times New Roman" w:cs="Times New Roman"/>
          <w:sz w:val="24"/>
          <w:szCs w:val="24"/>
          <w:lang w:val="ro-RO"/>
        </w:rPr>
        <w:t>Ședința se convoacă la data fixată de către președintele Comisiei, ținând cont de termenul de examinare a contestațiilor, dar nu mai târziu de 7 zile lucrătoare de la momentul înregistrării contestației.</w:t>
      </w:r>
    </w:p>
    <w:p w14:paraId="1BC70B05" w14:textId="5852A31A" w:rsidR="00BE2C3E" w:rsidRPr="008A0B66" w:rsidRDefault="00203A8D" w:rsidP="00203A8D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B03FFC" w:rsidRPr="008A0B66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BE2C3E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Comisia emite decizii care se adoptă prin vot deschis cu votul cel puțin a </w:t>
      </w:r>
      <w:r w:rsidR="00A75B3B" w:rsidRPr="008A0B66">
        <w:rPr>
          <w:rFonts w:ascii="Times New Roman" w:hAnsi="Times New Roman" w:cs="Times New Roman"/>
          <w:sz w:val="24"/>
          <w:szCs w:val="24"/>
          <w:lang w:val="ro-RO"/>
        </w:rPr>
        <w:t>patru</w:t>
      </w:r>
      <w:r w:rsidR="00BE2C3E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membri ai Comisiei.</w:t>
      </w:r>
    </w:p>
    <w:p w14:paraId="49B493F0" w14:textId="4A9E6898" w:rsidR="00BE2C3E" w:rsidRPr="008A0B66" w:rsidRDefault="00203A8D" w:rsidP="00203A8D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793B4D" w:rsidRPr="008A0B66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BE2C3E" w:rsidRPr="008A0B66">
        <w:rPr>
          <w:rFonts w:ascii="Times New Roman" w:hAnsi="Times New Roman" w:cs="Times New Roman"/>
          <w:sz w:val="24"/>
          <w:szCs w:val="24"/>
          <w:lang w:val="ro-RO"/>
        </w:rPr>
        <w:t>Președintele Comisiei:</w:t>
      </w:r>
    </w:p>
    <w:p w14:paraId="2F9C30E9" w14:textId="5A0DBE4D" w:rsidR="00BE2C3E" w:rsidRPr="008A0B66" w:rsidRDefault="00203A8D" w:rsidP="00203A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1) </w:t>
      </w:r>
      <w:r w:rsidR="00BE2C3E" w:rsidRPr="008A0B66">
        <w:rPr>
          <w:rFonts w:ascii="Times New Roman" w:hAnsi="Times New Roman" w:cs="Times New Roman"/>
          <w:sz w:val="24"/>
          <w:szCs w:val="24"/>
          <w:lang w:val="ro-RO"/>
        </w:rPr>
        <w:t>organizează și răspunde de activitatea Comisiei;</w:t>
      </w:r>
    </w:p>
    <w:p w14:paraId="160D2281" w14:textId="73E8D02D" w:rsidR="00BE2C3E" w:rsidRPr="008A0B66" w:rsidRDefault="00203A8D" w:rsidP="00203A8D">
      <w:pPr>
        <w:pStyle w:val="ListParagraph"/>
        <w:spacing w:after="0" w:line="36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2) </w:t>
      </w:r>
      <w:r w:rsidR="00BE2C3E" w:rsidRPr="008A0B66">
        <w:rPr>
          <w:rFonts w:ascii="Times New Roman" w:hAnsi="Times New Roman" w:cs="Times New Roman"/>
          <w:sz w:val="24"/>
          <w:szCs w:val="24"/>
          <w:lang w:val="ro-RO"/>
        </w:rPr>
        <w:t>prezidează ședințele Comisiei;</w:t>
      </w:r>
    </w:p>
    <w:p w14:paraId="10F169C3" w14:textId="51449259" w:rsidR="00BE2C3E" w:rsidRPr="008A0B66" w:rsidRDefault="00203A8D" w:rsidP="00203A8D">
      <w:pPr>
        <w:pStyle w:val="ListParagraph"/>
        <w:spacing w:after="0" w:line="36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3) </w:t>
      </w:r>
      <w:r w:rsidR="00BE2C3E" w:rsidRPr="008A0B66">
        <w:rPr>
          <w:rFonts w:ascii="Times New Roman" w:hAnsi="Times New Roman" w:cs="Times New Roman"/>
          <w:sz w:val="24"/>
          <w:szCs w:val="24"/>
          <w:lang w:val="ro-RO"/>
        </w:rPr>
        <w:t>semnează procesele-verbale ale ședințelor Comisiei;</w:t>
      </w:r>
    </w:p>
    <w:p w14:paraId="1873087A" w14:textId="6EE576C5" w:rsidR="00BE2C3E" w:rsidRPr="008A0B66" w:rsidRDefault="00203A8D" w:rsidP="00203A8D">
      <w:pPr>
        <w:pStyle w:val="ListParagraph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4) </w:t>
      </w:r>
      <w:r w:rsidR="00BE2C3E" w:rsidRPr="008A0B66">
        <w:rPr>
          <w:rFonts w:ascii="Times New Roman" w:hAnsi="Times New Roman" w:cs="Times New Roman"/>
          <w:sz w:val="24"/>
          <w:szCs w:val="24"/>
          <w:lang w:val="ro-RO"/>
        </w:rPr>
        <w:t>asigură executarea deciziilor Comisiei.</w:t>
      </w:r>
    </w:p>
    <w:p w14:paraId="731BA32B" w14:textId="61284077" w:rsidR="00BE2C3E" w:rsidRPr="008A0B66" w:rsidRDefault="00203A8D" w:rsidP="00FD463A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793B4D" w:rsidRPr="008A0B66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BE2C3E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În absența temporară a președintelui Comisiei, funcțiile acestuia sunt exercitate de către vicepreședintele Comisiei. </w:t>
      </w:r>
    </w:p>
    <w:p w14:paraId="0101E805" w14:textId="4661F0AC" w:rsidR="00BE2C3E" w:rsidRPr="008A0B66" w:rsidRDefault="00203A8D" w:rsidP="00203A8D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793B4D" w:rsidRPr="008A0B66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DF2384" w:rsidRPr="008A0B6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E2C3E" w:rsidRPr="008A0B66">
        <w:rPr>
          <w:rFonts w:ascii="Times New Roman" w:hAnsi="Times New Roman" w:cs="Times New Roman"/>
          <w:sz w:val="24"/>
          <w:szCs w:val="24"/>
          <w:lang w:val="ro-RO"/>
        </w:rPr>
        <w:t>Membrii Comisiei:</w:t>
      </w:r>
    </w:p>
    <w:p w14:paraId="36C12DD0" w14:textId="4789EE9D" w:rsidR="00FD463A" w:rsidRPr="008A0B66" w:rsidRDefault="00203A8D" w:rsidP="00203A8D">
      <w:pPr>
        <w:pStyle w:val="ListParagraph"/>
        <w:tabs>
          <w:tab w:val="left" w:pos="284"/>
        </w:tabs>
        <w:spacing w:line="360" w:lineRule="auto"/>
        <w:ind w:left="709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1) </w:t>
      </w:r>
      <w:r w:rsidR="00BE2C3E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participă la ședințele Comisiei; </w:t>
      </w:r>
    </w:p>
    <w:p w14:paraId="36068B68" w14:textId="3A60DA91" w:rsidR="00FD463A" w:rsidRPr="008A0B66" w:rsidRDefault="00203A8D" w:rsidP="00203A8D">
      <w:pPr>
        <w:pStyle w:val="ListParagraph"/>
        <w:tabs>
          <w:tab w:val="left" w:pos="284"/>
        </w:tabs>
        <w:spacing w:line="360" w:lineRule="auto"/>
        <w:ind w:left="709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2) </w:t>
      </w:r>
      <w:r w:rsidR="00BE2C3E" w:rsidRPr="008A0B66">
        <w:rPr>
          <w:rFonts w:ascii="Times New Roman" w:hAnsi="Times New Roman" w:cs="Times New Roman"/>
          <w:sz w:val="24"/>
          <w:szCs w:val="24"/>
          <w:lang w:val="ro-RO"/>
        </w:rPr>
        <w:t>declară conflictul de interese, după caz;</w:t>
      </w:r>
    </w:p>
    <w:p w14:paraId="466CC9DD" w14:textId="6AAB7A6C" w:rsidR="00FD463A" w:rsidRPr="008A0B66" w:rsidRDefault="00203A8D" w:rsidP="00203A8D">
      <w:pPr>
        <w:pStyle w:val="ListParagraph"/>
        <w:tabs>
          <w:tab w:val="left" w:pos="284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3) </w:t>
      </w:r>
      <w:r w:rsidR="00BE2C3E" w:rsidRPr="008A0B66">
        <w:rPr>
          <w:rFonts w:ascii="Times New Roman" w:hAnsi="Times New Roman" w:cs="Times New Roman"/>
          <w:sz w:val="24"/>
          <w:szCs w:val="24"/>
          <w:lang w:val="ro-RO"/>
        </w:rPr>
        <w:t>examinează contestațiile depuse de către titularii de drepturi asupra bunurilor imobile;</w:t>
      </w:r>
    </w:p>
    <w:p w14:paraId="7D42E721" w14:textId="6B4D0448" w:rsidR="00FD463A" w:rsidRPr="008A0B66" w:rsidRDefault="00203A8D" w:rsidP="00203A8D">
      <w:pPr>
        <w:pStyle w:val="ListParagraph"/>
        <w:tabs>
          <w:tab w:val="left" w:pos="284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4) </w:t>
      </w:r>
      <w:r w:rsidR="00BE2C3E" w:rsidRPr="008A0B66">
        <w:rPr>
          <w:rFonts w:ascii="Times New Roman" w:hAnsi="Times New Roman" w:cs="Times New Roman"/>
          <w:sz w:val="24"/>
          <w:szCs w:val="24"/>
          <w:lang w:val="ro-RO"/>
        </w:rPr>
        <w:t>asigură confidențialitatea informației;</w:t>
      </w:r>
    </w:p>
    <w:p w14:paraId="07228585" w14:textId="35954A5A" w:rsidR="00BE2C3E" w:rsidRPr="008A0B66" w:rsidRDefault="00203A8D" w:rsidP="00203A8D">
      <w:pPr>
        <w:pStyle w:val="ListParagraph"/>
        <w:tabs>
          <w:tab w:val="left" w:pos="284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5) </w:t>
      </w:r>
      <w:r w:rsidR="00BE2C3E" w:rsidRPr="008A0B66">
        <w:rPr>
          <w:rFonts w:ascii="Times New Roman" w:hAnsi="Times New Roman" w:cs="Times New Roman"/>
          <w:sz w:val="24"/>
          <w:szCs w:val="24"/>
          <w:lang w:val="ro-RO"/>
        </w:rPr>
        <w:t>participă prin vot deschis la adoptarea deciziilor Comisiei.</w:t>
      </w:r>
    </w:p>
    <w:p w14:paraId="1B2ACA10" w14:textId="54D45360" w:rsidR="00672F71" w:rsidRPr="008A0B66" w:rsidRDefault="00203A8D" w:rsidP="00203A8D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793B4D" w:rsidRPr="008A0B66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BE2C3E" w:rsidRPr="008A0B66">
        <w:rPr>
          <w:rFonts w:ascii="Times New Roman" w:hAnsi="Times New Roman" w:cs="Times New Roman"/>
          <w:sz w:val="24"/>
          <w:szCs w:val="24"/>
          <w:lang w:val="ro-RO"/>
        </w:rPr>
        <w:t>În procesul examinării contestațiilor, membri Comisiei sunt independenți și acționează în conformitate cu legislația din domeniul evaluării bunurilor imobile în scopul impozitării.</w:t>
      </w:r>
    </w:p>
    <w:p w14:paraId="229A8665" w14:textId="498962CA" w:rsidR="00BE2C3E" w:rsidRPr="008A0B66" w:rsidRDefault="00203A8D" w:rsidP="00203A8D">
      <w:pPr>
        <w:pStyle w:val="ListParagraph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793B4D" w:rsidRPr="008A0B66">
        <w:rPr>
          <w:rFonts w:ascii="Times New Roman" w:hAnsi="Times New Roman" w:cs="Times New Roman"/>
          <w:sz w:val="24"/>
          <w:szCs w:val="24"/>
          <w:lang w:val="ro-RO"/>
        </w:rPr>
        <w:t>7</w:t>
      </w: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BE2C3E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Secretarul Comisiei: </w:t>
      </w:r>
    </w:p>
    <w:p w14:paraId="014ACB3D" w14:textId="6F77E2E0" w:rsidR="00FD463A" w:rsidRPr="008A0B66" w:rsidRDefault="00203A8D" w:rsidP="00203A8D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1) </w:t>
      </w:r>
      <w:r w:rsidR="00BE2C3E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primește și înregistrează contestațiile în Registru, forma căruia este elaborată de </w:t>
      </w:r>
      <w:r w:rsidR="008D3F18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către </w:t>
      </w:r>
      <w:r w:rsidR="00BE2C3E" w:rsidRPr="008A0B66">
        <w:rPr>
          <w:rFonts w:ascii="Times New Roman" w:hAnsi="Times New Roman" w:cs="Times New Roman"/>
          <w:sz w:val="24"/>
          <w:szCs w:val="24"/>
          <w:lang w:val="ro-RO"/>
        </w:rPr>
        <w:t>ARFC;</w:t>
      </w:r>
    </w:p>
    <w:p w14:paraId="4B334456" w14:textId="30C3BDDD" w:rsidR="00FD463A" w:rsidRPr="008A0B66" w:rsidRDefault="00203A8D" w:rsidP="00203A8D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2) </w:t>
      </w:r>
      <w:r w:rsidR="00BE2C3E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asigură păstrarea și arhivarea contestațiilor; </w:t>
      </w:r>
    </w:p>
    <w:p w14:paraId="19016606" w14:textId="75A9FE1F" w:rsidR="00FD463A" w:rsidRPr="008A0B66" w:rsidRDefault="00203A8D" w:rsidP="00203A8D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3) </w:t>
      </w:r>
      <w:r w:rsidR="00BE2C3E" w:rsidRPr="008A0B66">
        <w:rPr>
          <w:rFonts w:ascii="Times New Roman" w:hAnsi="Times New Roman" w:cs="Times New Roman"/>
          <w:sz w:val="24"/>
          <w:szCs w:val="24"/>
          <w:lang w:val="ro-RO"/>
        </w:rPr>
        <w:t>comunică membrilor Comisiei data, locul și ora desfășurării ședinței Comisiei;</w:t>
      </w:r>
    </w:p>
    <w:p w14:paraId="28DB2B2A" w14:textId="4FC1B6E1" w:rsidR="00FD463A" w:rsidRPr="008A0B66" w:rsidRDefault="00203A8D" w:rsidP="00203A8D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4) </w:t>
      </w:r>
      <w:r w:rsidR="00BE2C3E" w:rsidRPr="008A0B66">
        <w:rPr>
          <w:rFonts w:ascii="Times New Roman" w:hAnsi="Times New Roman" w:cs="Times New Roman"/>
          <w:sz w:val="24"/>
          <w:szCs w:val="24"/>
          <w:lang w:val="ro-RO"/>
        </w:rPr>
        <w:t>colectează informațiile și documentele legate de examinarea contestației;</w:t>
      </w:r>
    </w:p>
    <w:p w14:paraId="101ED8F6" w14:textId="78AE1BB6" w:rsidR="00FD463A" w:rsidRPr="008A0B66" w:rsidRDefault="00203A8D" w:rsidP="00203A8D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5) </w:t>
      </w:r>
      <w:r w:rsidR="00BE2C3E" w:rsidRPr="008A0B66">
        <w:rPr>
          <w:rFonts w:ascii="Times New Roman" w:hAnsi="Times New Roman" w:cs="Times New Roman"/>
          <w:sz w:val="24"/>
          <w:szCs w:val="24"/>
          <w:lang w:val="ro-RO"/>
        </w:rPr>
        <w:t>participă, fără drept de vot, la ședințele Comisiei;</w:t>
      </w:r>
    </w:p>
    <w:p w14:paraId="701F101B" w14:textId="33018D54" w:rsidR="00FD463A" w:rsidRPr="008A0B66" w:rsidRDefault="00203A8D" w:rsidP="00203A8D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6) </w:t>
      </w:r>
      <w:r w:rsidR="00BE2C3E" w:rsidRPr="008A0B66">
        <w:rPr>
          <w:rFonts w:ascii="Times New Roman" w:hAnsi="Times New Roman" w:cs="Times New Roman"/>
          <w:sz w:val="24"/>
          <w:szCs w:val="24"/>
          <w:lang w:val="ro-RO"/>
        </w:rPr>
        <w:t>elaborează proiectele de decizii ale Comisiei;</w:t>
      </w:r>
    </w:p>
    <w:p w14:paraId="4359B7C2" w14:textId="4CACC4A9" w:rsidR="00FD463A" w:rsidRPr="008A0B66" w:rsidRDefault="00203A8D" w:rsidP="00203A8D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7) </w:t>
      </w:r>
      <w:r w:rsidR="00BE2C3E" w:rsidRPr="008A0B66">
        <w:rPr>
          <w:rFonts w:ascii="Times New Roman" w:hAnsi="Times New Roman" w:cs="Times New Roman"/>
          <w:sz w:val="24"/>
          <w:szCs w:val="24"/>
          <w:lang w:val="ro-RO"/>
        </w:rPr>
        <w:t>întocmește procesele verbale ale ședințelor Comisiei și asigură păstrarea lor;</w:t>
      </w:r>
    </w:p>
    <w:p w14:paraId="4D322111" w14:textId="4492C02F" w:rsidR="00B53AD8" w:rsidRPr="008A0B66" w:rsidRDefault="00203A8D" w:rsidP="00A4169F">
      <w:pPr>
        <w:pStyle w:val="ListParagraph"/>
        <w:spacing w:line="360" w:lineRule="auto"/>
        <w:ind w:left="709"/>
        <w:jc w:val="both"/>
        <w:rPr>
          <w:lang w:val="ro-RO"/>
        </w:rPr>
      </w:pPr>
      <w:r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8) </w:t>
      </w:r>
      <w:r w:rsidR="00BE2C3E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înștiințează în scris </w:t>
      </w:r>
      <w:r w:rsidR="0010529C" w:rsidRPr="008A0B66">
        <w:rPr>
          <w:rFonts w:ascii="Times New Roman" w:hAnsi="Times New Roman" w:cs="Times New Roman"/>
          <w:sz w:val="24"/>
          <w:szCs w:val="24"/>
          <w:lang w:val="ro-RO"/>
        </w:rPr>
        <w:t>petiționarul</w:t>
      </w:r>
      <w:r w:rsidR="00BE2C3E" w:rsidRPr="008A0B66">
        <w:rPr>
          <w:rFonts w:ascii="Times New Roman" w:hAnsi="Times New Roman" w:cs="Times New Roman"/>
          <w:sz w:val="24"/>
          <w:szCs w:val="24"/>
          <w:lang w:val="ro-RO"/>
        </w:rPr>
        <w:t xml:space="preserve"> despre decizia Comisiei.</w:t>
      </w:r>
      <w:r w:rsidR="00B53AD8" w:rsidRPr="008A0B66">
        <w:rPr>
          <w:lang w:val="ro-RO"/>
        </w:rPr>
        <w:br w:type="page"/>
      </w:r>
    </w:p>
    <w:p w14:paraId="3E52604B" w14:textId="77777777" w:rsidR="00B53AD8" w:rsidRPr="008A0B66" w:rsidRDefault="00B53AD8" w:rsidP="008A5795">
      <w:pPr>
        <w:rPr>
          <w:lang w:val="ro-RO"/>
        </w:rPr>
        <w:sectPr w:rsidR="00B53AD8" w:rsidRPr="008A0B66" w:rsidSect="00B21B92">
          <w:headerReference w:type="first" r:id="rId8"/>
          <w:pgSz w:w="12240" w:h="15840"/>
          <w:pgMar w:top="1276" w:right="850" w:bottom="1418" w:left="1701" w:header="708" w:footer="708" w:gutter="0"/>
          <w:cols w:space="708"/>
          <w:titlePg/>
          <w:docGrid w:linePitch="360"/>
        </w:sectPr>
      </w:pPr>
    </w:p>
    <w:p w14:paraId="7944E27A" w14:textId="77777777" w:rsidR="00B53AD8" w:rsidRPr="008A0B66" w:rsidRDefault="00B53AD8" w:rsidP="00B53AD8">
      <w:pPr>
        <w:spacing w:after="0"/>
        <w:jc w:val="right"/>
        <w:rPr>
          <w:rFonts w:ascii="Times New Roman" w:hAnsi="Times New Roman" w:cs="Times New Roman"/>
          <w:i/>
          <w:iCs/>
          <w:lang w:val="ro-RO"/>
        </w:rPr>
      </w:pPr>
      <w:r w:rsidRPr="008A0B66">
        <w:rPr>
          <w:rFonts w:ascii="Times New Roman" w:hAnsi="Times New Roman" w:cs="Times New Roman"/>
          <w:i/>
          <w:iCs/>
          <w:lang w:val="ro-RO"/>
        </w:rPr>
        <w:lastRenderedPageBreak/>
        <w:t>Anexa 1</w:t>
      </w:r>
    </w:p>
    <w:p w14:paraId="62B15C3A" w14:textId="77777777" w:rsidR="00B53AD8" w:rsidRPr="008A0B66" w:rsidRDefault="00B53AD8" w:rsidP="00B53AD8">
      <w:pPr>
        <w:spacing w:after="0"/>
        <w:jc w:val="right"/>
        <w:rPr>
          <w:rFonts w:ascii="Times New Roman" w:hAnsi="Times New Roman" w:cs="Times New Roman"/>
          <w:i/>
          <w:iCs/>
          <w:lang w:val="ro-RO"/>
        </w:rPr>
      </w:pPr>
      <w:r w:rsidRPr="008A0B66">
        <w:rPr>
          <w:rFonts w:ascii="Times New Roman" w:hAnsi="Times New Roman" w:cs="Times New Roman"/>
          <w:i/>
          <w:iCs/>
          <w:lang w:val="ro-RO"/>
        </w:rPr>
        <w:t>la Regulamentul cu privire la procedura de examinare a contestațiilor</w:t>
      </w:r>
    </w:p>
    <w:p w14:paraId="492C0B4A" w14:textId="77777777" w:rsidR="00B53AD8" w:rsidRPr="008A0B66" w:rsidRDefault="00B53AD8" w:rsidP="00B53AD8">
      <w:pPr>
        <w:spacing w:after="0"/>
        <w:jc w:val="right"/>
        <w:rPr>
          <w:rFonts w:ascii="Times New Roman" w:hAnsi="Times New Roman" w:cs="Times New Roman"/>
          <w:i/>
          <w:iCs/>
          <w:lang w:val="ro-RO"/>
        </w:rPr>
      </w:pPr>
      <w:r w:rsidRPr="008A0B66">
        <w:rPr>
          <w:rFonts w:ascii="Times New Roman" w:hAnsi="Times New Roman" w:cs="Times New Roman"/>
          <w:i/>
          <w:iCs/>
          <w:lang w:val="ro-RO"/>
        </w:rPr>
        <w:t xml:space="preserve"> privind rezultatele evaluării în scopul impozitării</w:t>
      </w:r>
    </w:p>
    <w:p w14:paraId="39B9F724" w14:textId="77777777" w:rsidR="00B53AD8" w:rsidRPr="008A0B66" w:rsidRDefault="00B53AD8" w:rsidP="00B53AD8">
      <w:pPr>
        <w:spacing w:after="0"/>
        <w:jc w:val="right"/>
        <w:rPr>
          <w:i/>
          <w:iCs/>
          <w:lang w:val="ro-RO"/>
        </w:rPr>
      </w:pPr>
    </w:p>
    <w:p w14:paraId="2E4AF114" w14:textId="77777777" w:rsidR="00B53AD8" w:rsidRPr="008A0B66" w:rsidRDefault="00B53AD8" w:rsidP="00B53AD8">
      <w:pPr>
        <w:spacing w:after="0"/>
        <w:jc w:val="right"/>
        <w:rPr>
          <w:i/>
          <w:iCs/>
          <w:lang w:val="ro-RO"/>
        </w:rPr>
      </w:pPr>
    </w:p>
    <w:p w14:paraId="0C0F4D4F" w14:textId="77777777" w:rsidR="00B53AD8" w:rsidRPr="008A0B66" w:rsidRDefault="00B53AD8" w:rsidP="00B53A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8A0B66">
        <w:rPr>
          <w:rFonts w:ascii="Times New Roman" w:hAnsi="Times New Roman" w:cs="Times New Roman"/>
          <w:b/>
          <w:bCs/>
          <w:sz w:val="28"/>
          <w:szCs w:val="28"/>
          <w:lang w:val="ro-RO"/>
        </w:rPr>
        <w:t>Modelul Registrului de evidența a contestațiilor privind rezultatele evaluării în scopul impozitării</w:t>
      </w:r>
    </w:p>
    <w:p w14:paraId="4215764A" w14:textId="77777777" w:rsidR="00B53AD8" w:rsidRPr="008A0B66" w:rsidRDefault="00B53AD8" w:rsidP="00B53A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C67BD43" w14:textId="77777777" w:rsidR="00B53AD8" w:rsidRPr="008A0B66" w:rsidRDefault="00B53AD8" w:rsidP="00B53A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2D49F03" w14:textId="77777777" w:rsidR="00B53AD8" w:rsidRPr="008A0B66" w:rsidRDefault="00B53AD8" w:rsidP="00B53A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8A0B66">
        <w:rPr>
          <w:rFonts w:ascii="Times New Roman" w:hAnsi="Times New Roman" w:cs="Times New Roman"/>
          <w:b/>
          <w:bCs/>
          <w:sz w:val="28"/>
          <w:szCs w:val="28"/>
          <w:lang w:val="ro-RO"/>
        </w:rPr>
        <w:t>Registrul de evidența a contestațiilor privind rezultatele evaluării în scopul impozitării</w:t>
      </w:r>
    </w:p>
    <w:p w14:paraId="71E5109A" w14:textId="77777777" w:rsidR="00B53AD8" w:rsidRPr="008A0B66" w:rsidRDefault="00B53AD8" w:rsidP="00B53AD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7BBACDF7" w14:textId="77777777" w:rsidR="00B53AD8" w:rsidRPr="008A0B66" w:rsidRDefault="00B53AD8" w:rsidP="00B53AD8">
      <w:pPr>
        <w:spacing w:after="0"/>
        <w:jc w:val="center"/>
        <w:rPr>
          <w:rFonts w:ascii="Times New Roman" w:hAnsi="Times New Roman" w:cs="Times New Roman"/>
          <w:i/>
          <w:iCs/>
          <w:lang w:val="ro-RO"/>
        </w:rPr>
      </w:pPr>
      <w:r w:rsidRPr="008A0B66">
        <w:rPr>
          <w:rFonts w:ascii="Times New Roman" w:hAnsi="Times New Roman" w:cs="Times New Roman"/>
          <w:i/>
          <w:iCs/>
          <w:lang w:val="ro-RO"/>
        </w:rPr>
        <w:t>(autoritatea responsabilă de examinare a contestațiilor privind rezultatele evaluării în scopul impozitării)</w:t>
      </w:r>
    </w:p>
    <w:p w14:paraId="487C7DD5" w14:textId="77777777" w:rsidR="00B53AD8" w:rsidRPr="008A0B66" w:rsidRDefault="00B53AD8" w:rsidP="00B53A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tbl>
      <w:tblPr>
        <w:tblStyle w:val="TableGrid"/>
        <w:tblW w:w="1474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56"/>
        <w:gridCol w:w="1421"/>
        <w:gridCol w:w="1532"/>
        <w:gridCol w:w="2705"/>
        <w:gridCol w:w="2717"/>
        <w:gridCol w:w="1843"/>
        <w:gridCol w:w="2693"/>
        <w:gridCol w:w="1276"/>
      </w:tblGrid>
      <w:tr w:rsidR="008A0B66" w:rsidRPr="008A0B66" w14:paraId="5994CF43" w14:textId="77777777" w:rsidTr="00E41CC4">
        <w:tc>
          <w:tcPr>
            <w:tcW w:w="556" w:type="dxa"/>
          </w:tcPr>
          <w:p w14:paraId="6AF42D04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A0B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1421" w:type="dxa"/>
          </w:tcPr>
          <w:p w14:paraId="346FEE16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A0B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Numărul de înregistrare</w:t>
            </w:r>
          </w:p>
        </w:tc>
        <w:tc>
          <w:tcPr>
            <w:tcW w:w="1532" w:type="dxa"/>
          </w:tcPr>
          <w:p w14:paraId="450D90BE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A0B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Data recepționării contestației</w:t>
            </w:r>
          </w:p>
        </w:tc>
        <w:tc>
          <w:tcPr>
            <w:tcW w:w="2705" w:type="dxa"/>
          </w:tcPr>
          <w:p w14:paraId="34769F31" w14:textId="3000EC10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A0B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Numele prenumele </w:t>
            </w:r>
            <w:r w:rsidR="0010529C" w:rsidRPr="008A0B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petiționarului</w:t>
            </w:r>
            <w:r w:rsidR="00B03FFC" w:rsidRPr="008A0B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/ Denumirea</w:t>
            </w:r>
          </w:p>
        </w:tc>
        <w:tc>
          <w:tcPr>
            <w:tcW w:w="2717" w:type="dxa"/>
          </w:tcPr>
          <w:p w14:paraId="45C5F04B" w14:textId="42F1123D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A0B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Domiciliu</w:t>
            </w:r>
            <w:r w:rsidR="00B03FFC" w:rsidRPr="008A0B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/ Adresa juridică</w:t>
            </w:r>
          </w:p>
        </w:tc>
        <w:tc>
          <w:tcPr>
            <w:tcW w:w="1843" w:type="dxa"/>
          </w:tcPr>
          <w:p w14:paraId="55A050C0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A0B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Adresa poștei electronice, număr de contact</w:t>
            </w:r>
          </w:p>
        </w:tc>
        <w:tc>
          <w:tcPr>
            <w:tcW w:w="2693" w:type="dxa"/>
          </w:tcPr>
          <w:p w14:paraId="0246B7FC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A0B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Datele privind obiectul contestației </w:t>
            </w:r>
          </w:p>
          <w:p w14:paraId="6E0CF70A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8A0B66">
              <w:rPr>
                <w:rFonts w:ascii="Times New Roman" w:hAnsi="Times New Roman" w:cs="Times New Roman"/>
                <w:i/>
                <w:iCs/>
                <w:lang w:val="ro-RO"/>
              </w:rPr>
              <w:t>(nr. cadastral, adresa completă)</w:t>
            </w:r>
          </w:p>
        </w:tc>
        <w:tc>
          <w:tcPr>
            <w:tcW w:w="1276" w:type="dxa"/>
          </w:tcPr>
          <w:p w14:paraId="026E3931" w14:textId="2C8A814F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A0B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Numărul scrisorii de </w:t>
            </w:r>
            <w:r w:rsidR="00B03FFC" w:rsidRPr="008A0B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înștiințare (</w:t>
            </w:r>
            <w:r w:rsidRPr="008A0B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ieșire</w:t>
            </w:r>
            <w:r w:rsidR="00B03FFC" w:rsidRPr="008A0B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)</w:t>
            </w:r>
            <w:r w:rsidRPr="008A0B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</w:tc>
      </w:tr>
      <w:tr w:rsidR="008A0B66" w:rsidRPr="008A0B66" w14:paraId="5521C0B9" w14:textId="77777777" w:rsidTr="00E41CC4">
        <w:tc>
          <w:tcPr>
            <w:tcW w:w="556" w:type="dxa"/>
          </w:tcPr>
          <w:p w14:paraId="3CE01B9A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8A0B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1421" w:type="dxa"/>
          </w:tcPr>
          <w:p w14:paraId="7C8FC0C1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8A0B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1532" w:type="dxa"/>
          </w:tcPr>
          <w:p w14:paraId="31E295D7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8A0B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2705" w:type="dxa"/>
          </w:tcPr>
          <w:p w14:paraId="5C9B17F8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8A0B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2717" w:type="dxa"/>
          </w:tcPr>
          <w:p w14:paraId="44F36E25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8A0B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1843" w:type="dxa"/>
          </w:tcPr>
          <w:p w14:paraId="49D54E3E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8A0B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6</w:t>
            </w:r>
          </w:p>
        </w:tc>
        <w:tc>
          <w:tcPr>
            <w:tcW w:w="2693" w:type="dxa"/>
          </w:tcPr>
          <w:p w14:paraId="17278155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8A0B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8</w:t>
            </w:r>
          </w:p>
        </w:tc>
        <w:tc>
          <w:tcPr>
            <w:tcW w:w="1276" w:type="dxa"/>
          </w:tcPr>
          <w:p w14:paraId="6199676E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8A0B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9</w:t>
            </w:r>
          </w:p>
        </w:tc>
      </w:tr>
      <w:tr w:rsidR="008A0B66" w:rsidRPr="008A0B66" w14:paraId="2DC9442C" w14:textId="77777777" w:rsidTr="00E41CC4">
        <w:tc>
          <w:tcPr>
            <w:tcW w:w="556" w:type="dxa"/>
          </w:tcPr>
          <w:p w14:paraId="0AEB6A47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421" w:type="dxa"/>
          </w:tcPr>
          <w:p w14:paraId="0458DCF2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532" w:type="dxa"/>
          </w:tcPr>
          <w:p w14:paraId="6020D766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2705" w:type="dxa"/>
          </w:tcPr>
          <w:p w14:paraId="66F459B1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2717" w:type="dxa"/>
          </w:tcPr>
          <w:p w14:paraId="4721BBE2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</w:tcPr>
          <w:p w14:paraId="7431AC1C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2693" w:type="dxa"/>
          </w:tcPr>
          <w:p w14:paraId="30A4944D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276" w:type="dxa"/>
          </w:tcPr>
          <w:p w14:paraId="34DA17A1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</w:tr>
      <w:tr w:rsidR="008A0B66" w:rsidRPr="008A0B66" w14:paraId="5E14F5D2" w14:textId="77777777" w:rsidTr="00E41CC4">
        <w:tc>
          <w:tcPr>
            <w:tcW w:w="556" w:type="dxa"/>
          </w:tcPr>
          <w:p w14:paraId="1D4906CE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421" w:type="dxa"/>
          </w:tcPr>
          <w:p w14:paraId="1596D6DE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532" w:type="dxa"/>
          </w:tcPr>
          <w:p w14:paraId="56BDC7CE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2705" w:type="dxa"/>
          </w:tcPr>
          <w:p w14:paraId="49A71CC7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2717" w:type="dxa"/>
          </w:tcPr>
          <w:p w14:paraId="2B07CA32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</w:tcPr>
          <w:p w14:paraId="64E4BA13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2693" w:type="dxa"/>
          </w:tcPr>
          <w:p w14:paraId="35C369E8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276" w:type="dxa"/>
          </w:tcPr>
          <w:p w14:paraId="24C2BE8D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</w:tr>
      <w:tr w:rsidR="008A0B66" w:rsidRPr="008A0B66" w14:paraId="7BE78A2C" w14:textId="77777777" w:rsidTr="00E41CC4">
        <w:tc>
          <w:tcPr>
            <w:tcW w:w="556" w:type="dxa"/>
          </w:tcPr>
          <w:p w14:paraId="652767E2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421" w:type="dxa"/>
          </w:tcPr>
          <w:p w14:paraId="33C926D7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532" w:type="dxa"/>
          </w:tcPr>
          <w:p w14:paraId="46E3C27F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2705" w:type="dxa"/>
          </w:tcPr>
          <w:p w14:paraId="2AA96B6A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2717" w:type="dxa"/>
          </w:tcPr>
          <w:p w14:paraId="408A7CDA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</w:tcPr>
          <w:p w14:paraId="1BE48BA4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2693" w:type="dxa"/>
          </w:tcPr>
          <w:p w14:paraId="29CDE141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276" w:type="dxa"/>
          </w:tcPr>
          <w:p w14:paraId="5A4749D0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</w:tr>
      <w:tr w:rsidR="008A0B66" w:rsidRPr="008A0B66" w14:paraId="146590A2" w14:textId="77777777" w:rsidTr="00E41CC4">
        <w:tc>
          <w:tcPr>
            <w:tcW w:w="556" w:type="dxa"/>
          </w:tcPr>
          <w:p w14:paraId="7CACC379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421" w:type="dxa"/>
          </w:tcPr>
          <w:p w14:paraId="0AD40527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532" w:type="dxa"/>
          </w:tcPr>
          <w:p w14:paraId="02D656F4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2705" w:type="dxa"/>
          </w:tcPr>
          <w:p w14:paraId="73D28170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2717" w:type="dxa"/>
          </w:tcPr>
          <w:p w14:paraId="6DBCABBC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</w:tcPr>
          <w:p w14:paraId="7A153A6A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2693" w:type="dxa"/>
          </w:tcPr>
          <w:p w14:paraId="1B6EDCBC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276" w:type="dxa"/>
          </w:tcPr>
          <w:p w14:paraId="0716E541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</w:tr>
      <w:tr w:rsidR="008A0B66" w:rsidRPr="008A0B66" w14:paraId="02372F9A" w14:textId="77777777" w:rsidTr="00E41CC4">
        <w:tc>
          <w:tcPr>
            <w:tcW w:w="556" w:type="dxa"/>
          </w:tcPr>
          <w:p w14:paraId="176A5C2A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421" w:type="dxa"/>
          </w:tcPr>
          <w:p w14:paraId="665E6B68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532" w:type="dxa"/>
          </w:tcPr>
          <w:p w14:paraId="4F4B5ECE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2705" w:type="dxa"/>
          </w:tcPr>
          <w:p w14:paraId="1980DF80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2717" w:type="dxa"/>
          </w:tcPr>
          <w:p w14:paraId="000B031A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</w:tcPr>
          <w:p w14:paraId="4182A881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2693" w:type="dxa"/>
          </w:tcPr>
          <w:p w14:paraId="4C872F36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276" w:type="dxa"/>
          </w:tcPr>
          <w:p w14:paraId="792B03A1" w14:textId="77777777" w:rsidR="00B53AD8" w:rsidRPr="008A0B66" w:rsidRDefault="00B53AD8" w:rsidP="00E41C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</w:tr>
    </w:tbl>
    <w:p w14:paraId="1A29E104" w14:textId="77777777" w:rsidR="00B53AD8" w:rsidRPr="008A0B66" w:rsidRDefault="00B53AD8" w:rsidP="00B53AD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F017819" w14:textId="77777777" w:rsidR="00B53AD8" w:rsidRPr="008A0B66" w:rsidRDefault="00B53AD8" w:rsidP="008A5795">
      <w:pPr>
        <w:rPr>
          <w:lang w:val="ro-RO"/>
        </w:rPr>
      </w:pPr>
    </w:p>
    <w:sectPr w:rsidR="00B53AD8" w:rsidRPr="008A0B66" w:rsidSect="00957E5F">
      <w:pgSz w:w="15840" w:h="12240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E37C7" w14:textId="77777777" w:rsidR="00920EA1" w:rsidRDefault="00920EA1" w:rsidP="00D9548E">
      <w:pPr>
        <w:spacing w:after="0" w:line="240" w:lineRule="auto"/>
      </w:pPr>
      <w:r>
        <w:separator/>
      </w:r>
    </w:p>
  </w:endnote>
  <w:endnote w:type="continuationSeparator" w:id="0">
    <w:p w14:paraId="0D6E9B2E" w14:textId="77777777" w:rsidR="00920EA1" w:rsidRDefault="00920EA1" w:rsidP="00D95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93A62" w14:textId="77777777" w:rsidR="00920EA1" w:rsidRDefault="00920EA1" w:rsidP="00D9548E">
      <w:pPr>
        <w:spacing w:after="0" w:line="240" w:lineRule="auto"/>
      </w:pPr>
      <w:r>
        <w:separator/>
      </w:r>
    </w:p>
  </w:footnote>
  <w:footnote w:type="continuationSeparator" w:id="0">
    <w:p w14:paraId="0DB35E87" w14:textId="77777777" w:rsidR="00920EA1" w:rsidRDefault="00920EA1" w:rsidP="00D95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EF1C0" w14:textId="77777777" w:rsidR="00D9548E" w:rsidRPr="00D26687" w:rsidRDefault="00D9548E" w:rsidP="00D9548E">
    <w:pPr>
      <w:spacing w:after="0" w:line="240" w:lineRule="auto"/>
      <w:jc w:val="right"/>
      <w:rPr>
        <w:rFonts w:ascii="Times New Roman" w:hAnsi="Times New Roman" w:cs="Times New Roman"/>
        <w:i/>
        <w:iCs/>
        <w:sz w:val="24"/>
        <w:szCs w:val="24"/>
        <w:lang w:val="ro-RO"/>
      </w:rPr>
    </w:pPr>
    <w:r w:rsidRPr="00D26687">
      <w:rPr>
        <w:rFonts w:ascii="Times New Roman" w:hAnsi="Times New Roman" w:cs="Times New Roman"/>
        <w:i/>
        <w:iCs/>
        <w:sz w:val="24"/>
        <w:szCs w:val="24"/>
        <w:lang w:val="ro-RO"/>
      </w:rPr>
      <w:t>Anexa</w:t>
    </w:r>
  </w:p>
  <w:p w14:paraId="59DD4816" w14:textId="77777777" w:rsidR="00D9548E" w:rsidRPr="00D26687" w:rsidRDefault="00D9548E" w:rsidP="00D9548E">
    <w:pPr>
      <w:spacing w:after="0" w:line="240" w:lineRule="auto"/>
      <w:jc w:val="right"/>
      <w:rPr>
        <w:rFonts w:ascii="Times New Roman" w:hAnsi="Times New Roman" w:cs="Times New Roman"/>
        <w:i/>
        <w:iCs/>
        <w:sz w:val="24"/>
        <w:szCs w:val="24"/>
        <w:lang w:val="ro-RO"/>
      </w:rPr>
    </w:pPr>
    <w:r w:rsidRPr="00D26687">
      <w:rPr>
        <w:rFonts w:ascii="Times New Roman" w:hAnsi="Times New Roman" w:cs="Times New Roman"/>
        <w:i/>
        <w:iCs/>
        <w:sz w:val="24"/>
        <w:szCs w:val="24"/>
        <w:lang w:val="ro-RO"/>
      </w:rPr>
      <w:t>la Hotărârea Guvernului</w:t>
    </w:r>
  </w:p>
  <w:p w14:paraId="19235F38" w14:textId="77777777" w:rsidR="00D9548E" w:rsidRPr="00D26687" w:rsidRDefault="00D9548E" w:rsidP="00D9548E">
    <w:pPr>
      <w:spacing w:after="0" w:line="240" w:lineRule="auto"/>
      <w:jc w:val="right"/>
      <w:rPr>
        <w:rFonts w:ascii="Times New Roman" w:hAnsi="Times New Roman" w:cs="Times New Roman"/>
        <w:i/>
        <w:iCs/>
        <w:sz w:val="24"/>
        <w:szCs w:val="24"/>
        <w:lang w:val="ro-RO"/>
      </w:rPr>
    </w:pPr>
    <w:r w:rsidRPr="00D26687">
      <w:rPr>
        <w:rFonts w:ascii="Times New Roman" w:hAnsi="Times New Roman" w:cs="Times New Roman"/>
        <w:i/>
        <w:iCs/>
        <w:sz w:val="24"/>
        <w:szCs w:val="24"/>
        <w:lang w:val="ro-RO"/>
      </w:rPr>
      <w:t>Nr.____ din___________</w:t>
    </w:r>
  </w:p>
  <w:p w14:paraId="3DCCA54C" w14:textId="77777777" w:rsidR="00D9548E" w:rsidRPr="00D9548E" w:rsidRDefault="00D9548E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2179"/>
    <w:multiLevelType w:val="hybridMultilevel"/>
    <w:tmpl w:val="951843B6"/>
    <w:lvl w:ilvl="0" w:tplc="00FC1B74">
      <w:start w:val="2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F508D"/>
    <w:multiLevelType w:val="hybridMultilevel"/>
    <w:tmpl w:val="F91E9A22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E2A2478"/>
    <w:multiLevelType w:val="hybridMultilevel"/>
    <w:tmpl w:val="8A0098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94B51"/>
    <w:multiLevelType w:val="hybridMultilevel"/>
    <w:tmpl w:val="490242D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B67729"/>
    <w:multiLevelType w:val="hybridMultilevel"/>
    <w:tmpl w:val="3D50ABF4"/>
    <w:lvl w:ilvl="0" w:tplc="C4464730">
      <w:start w:val="1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D20C2"/>
    <w:multiLevelType w:val="hybridMultilevel"/>
    <w:tmpl w:val="326A5CC6"/>
    <w:lvl w:ilvl="0" w:tplc="3CF83F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D6202"/>
    <w:multiLevelType w:val="multilevel"/>
    <w:tmpl w:val="546ABC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233262D3"/>
    <w:multiLevelType w:val="hybridMultilevel"/>
    <w:tmpl w:val="0BC25E96"/>
    <w:lvl w:ilvl="0" w:tplc="3D46290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16BFF"/>
    <w:multiLevelType w:val="hybridMultilevel"/>
    <w:tmpl w:val="59E88058"/>
    <w:lvl w:ilvl="0" w:tplc="1A8839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B21CC"/>
    <w:multiLevelType w:val="hybridMultilevel"/>
    <w:tmpl w:val="DBBC39C0"/>
    <w:lvl w:ilvl="0" w:tplc="18DE7536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A5E35"/>
    <w:multiLevelType w:val="hybridMultilevel"/>
    <w:tmpl w:val="D722DEE6"/>
    <w:lvl w:ilvl="0" w:tplc="18DE7536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E7415"/>
    <w:multiLevelType w:val="hybridMultilevel"/>
    <w:tmpl w:val="2228C35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387F34"/>
    <w:multiLevelType w:val="hybridMultilevel"/>
    <w:tmpl w:val="3F10BA84"/>
    <w:lvl w:ilvl="0" w:tplc="2556BC7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F640A"/>
    <w:multiLevelType w:val="hybridMultilevel"/>
    <w:tmpl w:val="7EC251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40F32"/>
    <w:multiLevelType w:val="hybridMultilevel"/>
    <w:tmpl w:val="4ED6C9C2"/>
    <w:lvl w:ilvl="0" w:tplc="AFD65016">
      <w:start w:val="2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32AE7"/>
    <w:multiLevelType w:val="hybridMultilevel"/>
    <w:tmpl w:val="1A9C45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C76F3"/>
    <w:multiLevelType w:val="hybridMultilevel"/>
    <w:tmpl w:val="159090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F7B88"/>
    <w:multiLevelType w:val="hybridMultilevel"/>
    <w:tmpl w:val="B6E859BA"/>
    <w:lvl w:ilvl="0" w:tplc="A588D15A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F34C5"/>
    <w:multiLevelType w:val="hybridMultilevel"/>
    <w:tmpl w:val="6532B75C"/>
    <w:lvl w:ilvl="0" w:tplc="24E6EE74">
      <w:start w:val="2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648301">
    <w:abstractNumId w:val="6"/>
  </w:num>
  <w:num w:numId="2" w16cid:durableId="477040677">
    <w:abstractNumId w:val="13"/>
  </w:num>
  <w:num w:numId="3" w16cid:durableId="1455640344">
    <w:abstractNumId w:val="5"/>
  </w:num>
  <w:num w:numId="4" w16cid:durableId="68813769">
    <w:abstractNumId w:val="12"/>
  </w:num>
  <w:num w:numId="5" w16cid:durableId="1393037547">
    <w:abstractNumId w:val="2"/>
  </w:num>
  <w:num w:numId="6" w16cid:durableId="757795404">
    <w:abstractNumId w:val="15"/>
  </w:num>
  <w:num w:numId="7" w16cid:durableId="1112213676">
    <w:abstractNumId w:val="16"/>
  </w:num>
  <w:num w:numId="8" w16cid:durableId="1376393585">
    <w:abstractNumId w:val="9"/>
  </w:num>
  <w:num w:numId="9" w16cid:durableId="761485928">
    <w:abstractNumId w:val="7"/>
  </w:num>
  <w:num w:numId="10" w16cid:durableId="337927125">
    <w:abstractNumId w:val="4"/>
  </w:num>
  <w:num w:numId="11" w16cid:durableId="1281376831">
    <w:abstractNumId w:val="14"/>
  </w:num>
  <w:num w:numId="12" w16cid:durableId="629702501">
    <w:abstractNumId w:val="0"/>
  </w:num>
  <w:num w:numId="13" w16cid:durableId="1158577533">
    <w:abstractNumId w:val="18"/>
  </w:num>
  <w:num w:numId="14" w16cid:durableId="1769545359">
    <w:abstractNumId w:val="1"/>
  </w:num>
  <w:num w:numId="15" w16cid:durableId="2013023843">
    <w:abstractNumId w:val="13"/>
  </w:num>
  <w:num w:numId="16" w16cid:durableId="1547528613">
    <w:abstractNumId w:val="10"/>
  </w:num>
  <w:num w:numId="17" w16cid:durableId="68164021">
    <w:abstractNumId w:val="17"/>
  </w:num>
  <w:num w:numId="18" w16cid:durableId="644547011">
    <w:abstractNumId w:val="11"/>
  </w:num>
  <w:num w:numId="19" w16cid:durableId="150682711">
    <w:abstractNumId w:val="3"/>
  </w:num>
  <w:num w:numId="20" w16cid:durableId="8907756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5D"/>
    <w:rsid w:val="00007C5D"/>
    <w:rsid w:val="00024329"/>
    <w:rsid w:val="00046DBF"/>
    <w:rsid w:val="00053F96"/>
    <w:rsid w:val="0007035A"/>
    <w:rsid w:val="000813C7"/>
    <w:rsid w:val="000838FB"/>
    <w:rsid w:val="000B3520"/>
    <w:rsid w:val="000C25F3"/>
    <w:rsid w:val="000C685A"/>
    <w:rsid w:val="000D75A6"/>
    <w:rsid w:val="00104A25"/>
    <w:rsid w:val="0010529C"/>
    <w:rsid w:val="0011578F"/>
    <w:rsid w:val="001878BB"/>
    <w:rsid w:val="00190B8C"/>
    <w:rsid w:val="00195DAA"/>
    <w:rsid w:val="001E1D1F"/>
    <w:rsid w:val="001F204F"/>
    <w:rsid w:val="002039E2"/>
    <w:rsid w:val="00203A8D"/>
    <w:rsid w:val="00215264"/>
    <w:rsid w:val="0021698E"/>
    <w:rsid w:val="00217E07"/>
    <w:rsid w:val="002209FF"/>
    <w:rsid w:val="00260AD4"/>
    <w:rsid w:val="00284824"/>
    <w:rsid w:val="002B3838"/>
    <w:rsid w:val="002D228C"/>
    <w:rsid w:val="002D7F30"/>
    <w:rsid w:val="002E2738"/>
    <w:rsid w:val="003024FD"/>
    <w:rsid w:val="00343428"/>
    <w:rsid w:val="00355BE7"/>
    <w:rsid w:val="00365FE8"/>
    <w:rsid w:val="003A136B"/>
    <w:rsid w:val="003B4C67"/>
    <w:rsid w:val="003C1ABF"/>
    <w:rsid w:val="003D232A"/>
    <w:rsid w:val="003F5DFA"/>
    <w:rsid w:val="00407538"/>
    <w:rsid w:val="00410F12"/>
    <w:rsid w:val="0044521C"/>
    <w:rsid w:val="00457D17"/>
    <w:rsid w:val="00484239"/>
    <w:rsid w:val="004862F7"/>
    <w:rsid w:val="004A54E1"/>
    <w:rsid w:val="00565B9D"/>
    <w:rsid w:val="00591EDF"/>
    <w:rsid w:val="005B6074"/>
    <w:rsid w:val="005C7B07"/>
    <w:rsid w:val="005D5B55"/>
    <w:rsid w:val="005D7A62"/>
    <w:rsid w:val="005F1208"/>
    <w:rsid w:val="006052FA"/>
    <w:rsid w:val="00620E62"/>
    <w:rsid w:val="006429FD"/>
    <w:rsid w:val="00667CE4"/>
    <w:rsid w:val="00672F71"/>
    <w:rsid w:val="00674996"/>
    <w:rsid w:val="00687B57"/>
    <w:rsid w:val="00691D38"/>
    <w:rsid w:val="006B02AA"/>
    <w:rsid w:val="006B429E"/>
    <w:rsid w:val="006B7776"/>
    <w:rsid w:val="006B7B13"/>
    <w:rsid w:val="006D02C8"/>
    <w:rsid w:val="006D3ADE"/>
    <w:rsid w:val="006D55CE"/>
    <w:rsid w:val="006E7E3B"/>
    <w:rsid w:val="006F5B3E"/>
    <w:rsid w:val="00723BE0"/>
    <w:rsid w:val="00725195"/>
    <w:rsid w:val="007253ED"/>
    <w:rsid w:val="00732BA0"/>
    <w:rsid w:val="00767A10"/>
    <w:rsid w:val="00776DD0"/>
    <w:rsid w:val="0078227C"/>
    <w:rsid w:val="00793B4D"/>
    <w:rsid w:val="007A5C7D"/>
    <w:rsid w:val="008037B6"/>
    <w:rsid w:val="008130AB"/>
    <w:rsid w:val="00845692"/>
    <w:rsid w:val="0086056D"/>
    <w:rsid w:val="008819D7"/>
    <w:rsid w:val="00882FE5"/>
    <w:rsid w:val="0089439F"/>
    <w:rsid w:val="008A0B66"/>
    <w:rsid w:val="008A1C74"/>
    <w:rsid w:val="008A5795"/>
    <w:rsid w:val="008B48F6"/>
    <w:rsid w:val="008D0B3B"/>
    <w:rsid w:val="008D3F18"/>
    <w:rsid w:val="00920EA1"/>
    <w:rsid w:val="00985F0D"/>
    <w:rsid w:val="009933AE"/>
    <w:rsid w:val="009948C2"/>
    <w:rsid w:val="00994949"/>
    <w:rsid w:val="00996BF9"/>
    <w:rsid w:val="009A393A"/>
    <w:rsid w:val="009B418C"/>
    <w:rsid w:val="009E451A"/>
    <w:rsid w:val="009E579F"/>
    <w:rsid w:val="00A010FB"/>
    <w:rsid w:val="00A03299"/>
    <w:rsid w:val="00A26A10"/>
    <w:rsid w:val="00A4169F"/>
    <w:rsid w:val="00A5036C"/>
    <w:rsid w:val="00A5798D"/>
    <w:rsid w:val="00A75B3B"/>
    <w:rsid w:val="00AC413B"/>
    <w:rsid w:val="00AE339F"/>
    <w:rsid w:val="00B03FFC"/>
    <w:rsid w:val="00B21B92"/>
    <w:rsid w:val="00B5085A"/>
    <w:rsid w:val="00B53AD8"/>
    <w:rsid w:val="00B838C2"/>
    <w:rsid w:val="00B8407D"/>
    <w:rsid w:val="00BC47F3"/>
    <w:rsid w:val="00BE2C3E"/>
    <w:rsid w:val="00BE2E1B"/>
    <w:rsid w:val="00BF31CD"/>
    <w:rsid w:val="00C12BBC"/>
    <w:rsid w:val="00C400AD"/>
    <w:rsid w:val="00C40F3C"/>
    <w:rsid w:val="00C41EA6"/>
    <w:rsid w:val="00C429D5"/>
    <w:rsid w:val="00C42DD3"/>
    <w:rsid w:val="00C436C7"/>
    <w:rsid w:val="00C45D91"/>
    <w:rsid w:val="00C4742B"/>
    <w:rsid w:val="00C7010C"/>
    <w:rsid w:val="00C810E0"/>
    <w:rsid w:val="00C926FA"/>
    <w:rsid w:val="00CF1586"/>
    <w:rsid w:val="00D14F40"/>
    <w:rsid w:val="00D26687"/>
    <w:rsid w:val="00D31BB8"/>
    <w:rsid w:val="00D468DA"/>
    <w:rsid w:val="00D6668E"/>
    <w:rsid w:val="00D723B9"/>
    <w:rsid w:val="00D729E1"/>
    <w:rsid w:val="00D9548E"/>
    <w:rsid w:val="00DA1A94"/>
    <w:rsid w:val="00DA457A"/>
    <w:rsid w:val="00DB61B5"/>
    <w:rsid w:val="00DB7E0A"/>
    <w:rsid w:val="00DD2670"/>
    <w:rsid w:val="00DF2384"/>
    <w:rsid w:val="00E01037"/>
    <w:rsid w:val="00E01184"/>
    <w:rsid w:val="00E05A84"/>
    <w:rsid w:val="00E117D6"/>
    <w:rsid w:val="00E14022"/>
    <w:rsid w:val="00E26477"/>
    <w:rsid w:val="00E3736B"/>
    <w:rsid w:val="00E51FD6"/>
    <w:rsid w:val="00E52675"/>
    <w:rsid w:val="00E60E40"/>
    <w:rsid w:val="00E81000"/>
    <w:rsid w:val="00EC5DC6"/>
    <w:rsid w:val="00EC6795"/>
    <w:rsid w:val="00EF6635"/>
    <w:rsid w:val="00F233FA"/>
    <w:rsid w:val="00F61570"/>
    <w:rsid w:val="00F76E49"/>
    <w:rsid w:val="00F81788"/>
    <w:rsid w:val="00F85D93"/>
    <w:rsid w:val="00F93C7D"/>
    <w:rsid w:val="00F94DF9"/>
    <w:rsid w:val="00F964F0"/>
    <w:rsid w:val="00F96B7C"/>
    <w:rsid w:val="00FA7C56"/>
    <w:rsid w:val="00FB5FD0"/>
    <w:rsid w:val="00FD463A"/>
    <w:rsid w:val="00FD59EE"/>
    <w:rsid w:val="00FF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15E26"/>
  <w15:chartTrackingRefBased/>
  <w15:docId w15:val="{D639DF3F-FC1E-40D3-A147-D6FA3447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79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7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3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32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32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2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29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53AD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48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48E"/>
  </w:style>
  <w:style w:type="paragraph" w:styleId="Footer">
    <w:name w:val="footer"/>
    <w:basedOn w:val="Normal"/>
    <w:link w:val="FooterChar"/>
    <w:uiPriority w:val="99"/>
    <w:unhideWhenUsed/>
    <w:rsid w:val="00D9548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3F362-8099-4DA4-BE53-BAE8A670E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 Ecaterina</dc:creator>
  <cp:keywords/>
  <dc:description/>
  <cp:lastModifiedBy>Olga Buzu</cp:lastModifiedBy>
  <cp:revision>2</cp:revision>
  <cp:lastPrinted>2023-07-19T10:55:00Z</cp:lastPrinted>
  <dcterms:created xsi:type="dcterms:W3CDTF">2023-08-11T09:24:00Z</dcterms:created>
  <dcterms:modified xsi:type="dcterms:W3CDTF">2023-08-11T09:24:00Z</dcterms:modified>
</cp:coreProperties>
</file>