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DC0" w:rsidRPr="004E0E0D" w:rsidRDefault="00EC3DC0" w:rsidP="00EC3DC0">
      <w:pPr>
        <w:spacing w:after="0" w:line="240" w:lineRule="auto"/>
        <w:jc w:val="center"/>
        <w:rPr>
          <w:rFonts w:ascii="Times New Roman" w:eastAsia="Calibri" w:hAnsi="Times New Roman" w:cs="Times New Roman"/>
          <w:b/>
          <w:sz w:val="24"/>
          <w:szCs w:val="24"/>
        </w:rPr>
      </w:pPr>
      <w:r w:rsidRPr="004E0E0D">
        <w:rPr>
          <w:rFonts w:ascii="Times New Roman" w:eastAsia="Calibri" w:hAnsi="Times New Roman" w:cs="Times New Roman"/>
          <w:b/>
          <w:sz w:val="24"/>
          <w:szCs w:val="24"/>
        </w:rPr>
        <w:t>Notă informativă</w:t>
      </w:r>
    </w:p>
    <w:p w:rsidR="00344145" w:rsidRPr="0064347B" w:rsidRDefault="00344145" w:rsidP="00344145">
      <w:pPr>
        <w:shd w:val="clear" w:color="auto" w:fill="FFFFFF"/>
        <w:spacing w:after="0" w:line="240" w:lineRule="auto"/>
        <w:jc w:val="center"/>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la proiectul de </w:t>
      </w:r>
      <w:proofErr w:type="spellStart"/>
      <w:r>
        <w:rPr>
          <w:rFonts w:ascii="Times New Roman" w:eastAsia="Times New Roman" w:hAnsi="Times New Roman" w:cs="Times New Roman"/>
          <w:b/>
          <w:bCs/>
          <w:sz w:val="24"/>
          <w:szCs w:val="24"/>
        </w:rPr>
        <w:t>hotărîre</w:t>
      </w:r>
      <w:proofErr w:type="spellEnd"/>
      <w:r>
        <w:rPr>
          <w:rFonts w:ascii="Times New Roman" w:eastAsia="Times New Roman" w:hAnsi="Times New Roman" w:cs="Times New Roman"/>
          <w:b/>
          <w:bCs/>
          <w:sz w:val="24"/>
          <w:szCs w:val="24"/>
        </w:rPr>
        <w:t xml:space="preserve"> de Guvern </w:t>
      </w:r>
      <w:r w:rsidRPr="0064347B">
        <w:rPr>
          <w:rFonts w:ascii="Times New Roman" w:eastAsia="Times New Roman" w:hAnsi="Times New Roman" w:cs="Times New Roman"/>
          <w:b/>
          <w:bCs/>
          <w:sz w:val="24"/>
          <w:szCs w:val="24"/>
        </w:rPr>
        <w:t>pentru aprobarea Regulamentului privind stabilirea cuantumului de motori</w:t>
      </w:r>
      <w:r>
        <w:rPr>
          <w:rFonts w:ascii="Times New Roman" w:eastAsia="Times New Roman" w:hAnsi="Times New Roman" w:cs="Times New Roman"/>
          <w:b/>
          <w:bCs/>
          <w:sz w:val="24"/>
          <w:szCs w:val="24"/>
        </w:rPr>
        <w:t>nă din ajutorul umanitar extern</w:t>
      </w:r>
      <w:r w:rsidRPr="0064347B">
        <w:rPr>
          <w:rFonts w:ascii="Times New Roman" w:eastAsia="Times New Roman" w:hAnsi="Times New Roman" w:cs="Times New Roman"/>
          <w:b/>
          <w:bCs/>
          <w:sz w:val="24"/>
          <w:szCs w:val="24"/>
        </w:rPr>
        <w:t>, destinat suportului agricultorilor afectați de seceta din 2022</w:t>
      </w:r>
    </w:p>
    <w:p w:rsidR="00EC3DC0" w:rsidRPr="00344145" w:rsidRDefault="00EC3DC0" w:rsidP="00EC3DC0">
      <w:pPr>
        <w:tabs>
          <w:tab w:val="left" w:pos="884"/>
          <w:tab w:val="left" w:pos="1196"/>
        </w:tabs>
        <w:spacing w:after="0" w:line="240" w:lineRule="auto"/>
        <w:jc w:val="center"/>
        <w:rPr>
          <w:rFonts w:ascii="Times New Roman" w:eastAsia="Calibri" w:hAnsi="Times New Roman" w:cs="Times New Roman"/>
          <w:sz w:val="26"/>
          <w:szCs w:val="26"/>
        </w:rPr>
      </w:pPr>
    </w:p>
    <w:tbl>
      <w:tblPr>
        <w:tblStyle w:val="Tabelgril"/>
        <w:tblW w:w="0" w:type="auto"/>
        <w:tblInd w:w="137" w:type="dxa"/>
        <w:tblLook w:val="04A0" w:firstRow="1" w:lastRow="0" w:firstColumn="1" w:lastColumn="0" w:noHBand="0" w:noVBand="1"/>
      </w:tblPr>
      <w:tblGrid>
        <w:gridCol w:w="9209"/>
      </w:tblGrid>
      <w:tr w:rsidR="00EC3DC0" w:rsidRPr="00C66287" w:rsidTr="002E2052">
        <w:tc>
          <w:tcPr>
            <w:tcW w:w="9209" w:type="dxa"/>
          </w:tcPr>
          <w:p w:rsidR="00EC3DC0" w:rsidRPr="004E0E0D" w:rsidRDefault="00EC3DC0" w:rsidP="002E2052">
            <w:pPr>
              <w:rPr>
                <w:rFonts w:ascii="Times New Roman" w:eastAsia="Calibri" w:hAnsi="Times New Roman" w:cs="Times New Roman"/>
                <w:sz w:val="24"/>
                <w:szCs w:val="24"/>
              </w:rPr>
            </w:pPr>
            <w:r w:rsidRPr="004E0E0D">
              <w:rPr>
                <w:rFonts w:ascii="Times New Roman" w:eastAsia="Calibri" w:hAnsi="Times New Roman" w:cs="Times New Roman"/>
                <w:b/>
                <w:sz w:val="24"/>
                <w:szCs w:val="24"/>
                <w:lang w:val="ro-MD"/>
              </w:rPr>
              <w:t>1. Denumirea autorului și, după caz, a participanților la elaborarea proiectului</w:t>
            </w:r>
          </w:p>
        </w:tc>
      </w:tr>
      <w:tr w:rsidR="00EC3DC0" w:rsidRPr="00C66287" w:rsidTr="002E2052">
        <w:tc>
          <w:tcPr>
            <w:tcW w:w="9209" w:type="dxa"/>
          </w:tcPr>
          <w:p w:rsidR="00EC3DC0" w:rsidRPr="004E0E0D" w:rsidRDefault="00EC3DC0" w:rsidP="00344145">
            <w:pPr>
              <w:ind w:firstLine="601"/>
              <w:jc w:val="both"/>
              <w:rPr>
                <w:rFonts w:ascii="Times New Roman" w:eastAsia="Calibri" w:hAnsi="Times New Roman" w:cs="Times New Roman"/>
                <w:sz w:val="24"/>
                <w:szCs w:val="24"/>
              </w:rPr>
            </w:pPr>
            <w:r w:rsidRPr="004E0E0D">
              <w:rPr>
                <w:rFonts w:ascii="Times New Roman" w:eastAsia="Calibri" w:hAnsi="Times New Roman" w:cs="Times New Roman"/>
                <w:sz w:val="24"/>
                <w:szCs w:val="24"/>
              </w:rPr>
              <w:t>Ministerul Agriculturii și Industriei Alimentare</w:t>
            </w:r>
          </w:p>
        </w:tc>
      </w:tr>
      <w:tr w:rsidR="00EC3DC0" w:rsidRPr="00C66287" w:rsidTr="002E2052">
        <w:tc>
          <w:tcPr>
            <w:tcW w:w="9209" w:type="dxa"/>
          </w:tcPr>
          <w:p w:rsidR="00EC3DC0" w:rsidRPr="004E0E0D" w:rsidRDefault="00EC3DC0" w:rsidP="006247E5">
            <w:pPr>
              <w:numPr>
                <w:ilvl w:val="0"/>
                <w:numId w:val="1"/>
              </w:numPr>
              <w:ind w:left="317" w:hanging="283"/>
              <w:jc w:val="both"/>
              <w:rPr>
                <w:rFonts w:ascii="Times New Roman" w:eastAsia="Calibri" w:hAnsi="Times New Roman" w:cs="Times New Roman"/>
                <w:b/>
                <w:sz w:val="24"/>
                <w:szCs w:val="24"/>
              </w:rPr>
            </w:pPr>
            <w:r w:rsidRPr="004E0E0D">
              <w:rPr>
                <w:rFonts w:ascii="Times New Roman" w:eastAsia="Calibri" w:hAnsi="Times New Roman" w:cs="Times New Roman"/>
                <w:b/>
                <w:sz w:val="24"/>
                <w:szCs w:val="24"/>
              </w:rPr>
              <w:t>Condițiile ce au impus elaborarea proiectului de act normativ și finalitățile urmărite</w:t>
            </w:r>
          </w:p>
        </w:tc>
      </w:tr>
      <w:tr w:rsidR="00EC3DC0" w:rsidRPr="00C66287" w:rsidTr="002E2052">
        <w:tc>
          <w:tcPr>
            <w:tcW w:w="9209" w:type="dxa"/>
          </w:tcPr>
          <w:p w:rsidR="00BF6712" w:rsidRPr="004E0E0D" w:rsidRDefault="009316AE" w:rsidP="002E2052">
            <w:pPr>
              <w:pStyle w:val="Bodytext20"/>
              <w:shd w:val="clear" w:color="auto" w:fill="auto"/>
              <w:spacing w:before="0" w:line="240" w:lineRule="auto"/>
              <w:ind w:firstLine="600"/>
              <w:rPr>
                <w:rFonts w:eastAsia="Calibri"/>
                <w:b/>
                <w:sz w:val="24"/>
                <w:szCs w:val="24"/>
                <w:lang w:val="ro-RO"/>
              </w:rPr>
            </w:pPr>
            <w:r w:rsidRPr="004E0E0D">
              <w:rPr>
                <w:sz w:val="24"/>
                <w:szCs w:val="24"/>
                <w:lang w:val="ro-RO"/>
              </w:rPr>
              <w:t>Proiectul a fost elaborat p</w:t>
            </w:r>
            <w:r w:rsidR="00344145">
              <w:rPr>
                <w:sz w:val="24"/>
                <w:szCs w:val="24"/>
                <w:lang w:val="ro-RO"/>
              </w:rPr>
              <w:t>entru</w:t>
            </w:r>
            <w:r w:rsidR="00344145" w:rsidRPr="004E0E0D">
              <w:rPr>
                <w:sz w:val="24"/>
                <w:szCs w:val="24"/>
                <w:lang w:val="ro-RO"/>
              </w:rPr>
              <w:t xml:space="preserve"> a sprijini </w:t>
            </w:r>
            <w:r w:rsidR="00344145">
              <w:rPr>
                <w:sz w:val="24"/>
                <w:szCs w:val="24"/>
                <w:lang w:val="ro-RO"/>
              </w:rPr>
              <w:t>fermier</w:t>
            </w:r>
            <w:r w:rsidR="00344145" w:rsidRPr="004E0E0D">
              <w:rPr>
                <w:sz w:val="24"/>
                <w:szCs w:val="24"/>
                <w:lang w:val="ro-RO"/>
              </w:rPr>
              <w:t xml:space="preserve">ii </w:t>
            </w:r>
            <w:proofErr w:type="spellStart"/>
            <w:r w:rsidR="00344145" w:rsidRPr="004E0E0D">
              <w:rPr>
                <w:sz w:val="24"/>
                <w:szCs w:val="24"/>
                <w:lang w:val="ro-RO"/>
              </w:rPr>
              <w:t>afectaţi</w:t>
            </w:r>
            <w:proofErr w:type="spellEnd"/>
            <w:r w:rsidR="00344145" w:rsidRPr="004E0E0D">
              <w:rPr>
                <w:sz w:val="24"/>
                <w:szCs w:val="24"/>
                <w:lang w:val="ro-RO"/>
              </w:rPr>
              <w:t xml:space="preserve"> de seceta severă din 2022</w:t>
            </w:r>
            <w:r w:rsidR="00344145">
              <w:rPr>
                <w:sz w:val="24"/>
                <w:szCs w:val="24"/>
                <w:lang w:val="ro-RO"/>
              </w:rPr>
              <w:t>,   crize</w:t>
            </w:r>
            <w:r w:rsidR="002E2052">
              <w:rPr>
                <w:sz w:val="24"/>
                <w:szCs w:val="24"/>
                <w:lang w:val="ro-RO"/>
              </w:rPr>
              <w:t>le înregistrate în</w:t>
            </w:r>
            <w:r w:rsidR="00344145">
              <w:rPr>
                <w:sz w:val="24"/>
                <w:szCs w:val="24"/>
                <w:lang w:val="ro-RO"/>
              </w:rPr>
              <w:t xml:space="preserve"> regiune </w:t>
            </w:r>
            <w:r w:rsidR="00624CE8">
              <w:rPr>
                <w:sz w:val="24"/>
                <w:szCs w:val="24"/>
                <w:lang w:val="ro-RO"/>
              </w:rPr>
              <w:t xml:space="preserve">și pentru </w:t>
            </w:r>
            <w:r w:rsidRPr="004E0E0D">
              <w:rPr>
                <w:sz w:val="24"/>
                <w:szCs w:val="24"/>
                <w:lang w:val="ro-RO"/>
              </w:rPr>
              <w:t>consolidarea economiei</w:t>
            </w:r>
            <w:r w:rsidR="002E2052">
              <w:rPr>
                <w:sz w:val="24"/>
                <w:szCs w:val="24"/>
                <w:lang w:val="ro-RO"/>
              </w:rPr>
              <w:t>,</w:t>
            </w:r>
            <w:r w:rsidRPr="004E0E0D">
              <w:rPr>
                <w:sz w:val="24"/>
                <w:szCs w:val="24"/>
                <w:lang w:val="ro-RO"/>
              </w:rPr>
              <w:t xml:space="preserve"> </w:t>
            </w:r>
            <w:proofErr w:type="spellStart"/>
            <w:r w:rsidRPr="004E0E0D">
              <w:rPr>
                <w:sz w:val="24"/>
                <w:szCs w:val="24"/>
                <w:lang w:val="ro-RO"/>
              </w:rPr>
              <w:t>menţinerea</w:t>
            </w:r>
            <w:proofErr w:type="spellEnd"/>
            <w:r w:rsidRPr="004E0E0D">
              <w:rPr>
                <w:sz w:val="24"/>
                <w:szCs w:val="24"/>
                <w:lang w:val="ro-RO"/>
              </w:rPr>
              <w:t xml:space="preserve"> </w:t>
            </w:r>
            <w:proofErr w:type="spellStart"/>
            <w:r w:rsidRPr="004E0E0D">
              <w:rPr>
                <w:sz w:val="24"/>
                <w:szCs w:val="24"/>
                <w:lang w:val="ro-RO"/>
              </w:rPr>
              <w:t>stabilităţii</w:t>
            </w:r>
            <w:proofErr w:type="spellEnd"/>
            <w:r w:rsidRPr="004E0E0D">
              <w:rPr>
                <w:sz w:val="24"/>
                <w:szCs w:val="24"/>
                <w:lang w:val="ro-RO"/>
              </w:rPr>
              <w:t xml:space="preserve"> </w:t>
            </w:r>
            <w:proofErr w:type="spellStart"/>
            <w:r w:rsidRPr="004E0E0D">
              <w:rPr>
                <w:sz w:val="24"/>
                <w:szCs w:val="24"/>
                <w:lang w:val="ro-RO"/>
              </w:rPr>
              <w:t>şi</w:t>
            </w:r>
            <w:proofErr w:type="spellEnd"/>
            <w:r w:rsidRPr="004E0E0D">
              <w:rPr>
                <w:sz w:val="24"/>
                <w:szCs w:val="24"/>
                <w:lang w:val="ro-RO"/>
              </w:rPr>
              <w:t xml:space="preserve"> </w:t>
            </w:r>
            <w:proofErr w:type="spellStart"/>
            <w:r w:rsidRPr="004E0E0D">
              <w:rPr>
                <w:sz w:val="24"/>
                <w:szCs w:val="24"/>
                <w:lang w:val="ro-RO"/>
              </w:rPr>
              <w:t>s</w:t>
            </w:r>
            <w:r w:rsidR="00344145">
              <w:rPr>
                <w:sz w:val="24"/>
                <w:szCs w:val="24"/>
                <w:lang w:val="ro-RO"/>
              </w:rPr>
              <w:t>ecurităţii</w:t>
            </w:r>
            <w:proofErr w:type="spellEnd"/>
            <w:r w:rsidR="00344145">
              <w:rPr>
                <w:sz w:val="24"/>
                <w:szCs w:val="24"/>
                <w:lang w:val="ro-RO"/>
              </w:rPr>
              <w:t xml:space="preserve"> în </w:t>
            </w:r>
            <w:proofErr w:type="spellStart"/>
            <w:r w:rsidR="00344145">
              <w:rPr>
                <w:sz w:val="24"/>
                <w:szCs w:val="24"/>
                <w:lang w:val="ro-RO"/>
              </w:rPr>
              <w:t>faţa</w:t>
            </w:r>
            <w:proofErr w:type="spellEnd"/>
            <w:r w:rsidR="00344145">
              <w:rPr>
                <w:sz w:val="24"/>
                <w:szCs w:val="24"/>
                <w:lang w:val="ro-RO"/>
              </w:rPr>
              <w:t xml:space="preserve"> provocărilor</w:t>
            </w:r>
            <w:r w:rsidRPr="004E0E0D">
              <w:rPr>
                <w:sz w:val="24"/>
                <w:szCs w:val="24"/>
                <w:lang w:val="ro-RO"/>
              </w:rPr>
              <w:t xml:space="preserve">, </w:t>
            </w:r>
            <w:r w:rsidR="00344145">
              <w:rPr>
                <w:sz w:val="24"/>
                <w:szCs w:val="24"/>
                <w:lang w:val="ro-RO"/>
              </w:rPr>
              <w:t>prin</w:t>
            </w:r>
            <w:r w:rsidRPr="004E0E0D">
              <w:rPr>
                <w:sz w:val="24"/>
                <w:szCs w:val="24"/>
                <w:lang w:val="ro-RO"/>
              </w:rPr>
              <w:t xml:space="preserve"> acordarea </w:t>
            </w:r>
            <w:r w:rsidR="00624CE8">
              <w:rPr>
                <w:sz w:val="24"/>
                <w:szCs w:val="24"/>
                <w:lang w:val="ro-RO"/>
              </w:rPr>
              <w:t>u</w:t>
            </w:r>
            <w:r w:rsidRPr="004E0E0D">
              <w:rPr>
                <w:sz w:val="24"/>
                <w:szCs w:val="24"/>
                <w:lang w:val="ro-RO"/>
              </w:rPr>
              <w:t xml:space="preserve">nui ajutor  </w:t>
            </w:r>
            <w:r w:rsidR="001F2B63" w:rsidRPr="004E0E0D">
              <w:rPr>
                <w:sz w:val="24"/>
                <w:szCs w:val="24"/>
                <w:lang w:val="ro-RO"/>
              </w:rPr>
              <w:t>umanitar</w:t>
            </w:r>
            <w:r w:rsidR="00624CE8">
              <w:rPr>
                <w:sz w:val="24"/>
                <w:szCs w:val="24"/>
                <w:lang w:val="ro-RO"/>
              </w:rPr>
              <w:t xml:space="preserve"> extern</w:t>
            </w:r>
            <w:r w:rsidR="00344145">
              <w:rPr>
                <w:sz w:val="24"/>
                <w:szCs w:val="24"/>
                <w:lang w:val="ro-RO"/>
              </w:rPr>
              <w:t>, sub formă de</w:t>
            </w:r>
            <w:r w:rsidR="002E2052">
              <w:rPr>
                <w:sz w:val="24"/>
                <w:szCs w:val="24"/>
                <w:lang w:val="ro-RO"/>
              </w:rPr>
              <w:t xml:space="preserve"> produs energetic-motorină</w:t>
            </w:r>
            <w:r w:rsidRPr="004E0E0D">
              <w:rPr>
                <w:sz w:val="24"/>
                <w:szCs w:val="24"/>
                <w:lang w:val="ro-RO"/>
              </w:rPr>
              <w:t>.</w:t>
            </w:r>
          </w:p>
        </w:tc>
      </w:tr>
      <w:tr w:rsidR="00EC3DC0" w:rsidRPr="00C66287" w:rsidTr="002E2052">
        <w:tc>
          <w:tcPr>
            <w:tcW w:w="9209" w:type="dxa"/>
          </w:tcPr>
          <w:p w:rsidR="00EC3DC0" w:rsidRPr="004E0E0D" w:rsidRDefault="00EC3DC0" w:rsidP="002E2052">
            <w:pPr>
              <w:numPr>
                <w:ilvl w:val="0"/>
                <w:numId w:val="1"/>
              </w:numPr>
              <w:ind w:left="176" w:firstLine="0"/>
              <w:contextualSpacing/>
              <w:jc w:val="both"/>
              <w:rPr>
                <w:rFonts w:ascii="Times New Roman" w:eastAsia="Calibri" w:hAnsi="Times New Roman" w:cs="Times New Roman"/>
                <w:sz w:val="24"/>
                <w:szCs w:val="24"/>
              </w:rPr>
            </w:pPr>
            <w:r w:rsidRPr="004E0E0D">
              <w:rPr>
                <w:rFonts w:ascii="Times New Roman" w:eastAsia="Calibri" w:hAnsi="Times New Roman" w:cs="Times New Roman"/>
                <w:b/>
                <w:sz w:val="24"/>
                <w:szCs w:val="24"/>
              </w:rPr>
              <w:t>Descrierea gradului de compatibilitate pentru proiectele care au ca scop armonizarea legislației naționale cu legislația Uniunii Europene</w:t>
            </w:r>
          </w:p>
        </w:tc>
      </w:tr>
      <w:tr w:rsidR="00EC3DC0" w:rsidRPr="00C66287" w:rsidTr="004E0E0D">
        <w:trPr>
          <w:trHeight w:val="596"/>
        </w:trPr>
        <w:tc>
          <w:tcPr>
            <w:tcW w:w="9209" w:type="dxa"/>
          </w:tcPr>
          <w:p w:rsidR="00EC3DC0" w:rsidRPr="004E0E0D" w:rsidRDefault="00EC3DC0" w:rsidP="000C533F">
            <w:pPr>
              <w:spacing w:after="240"/>
              <w:ind w:firstLine="567"/>
              <w:jc w:val="both"/>
              <w:rPr>
                <w:rFonts w:ascii="Times New Roman" w:eastAsia="Calibri" w:hAnsi="Times New Roman" w:cs="Times New Roman"/>
                <w:b/>
                <w:sz w:val="24"/>
                <w:szCs w:val="24"/>
              </w:rPr>
            </w:pPr>
            <w:r w:rsidRPr="004E0E0D">
              <w:rPr>
                <w:rFonts w:ascii="Times New Roman" w:eastAsia="Calibri" w:hAnsi="Times New Roman" w:cs="Times New Roman"/>
                <w:sz w:val="24"/>
                <w:szCs w:val="24"/>
              </w:rPr>
              <w:t xml:space="preserve">Proiectul nominalizat </w:t>
            </w:r>
            <w:r w:rsidRPr="004E0E0D">
              <w:rPr>
                <w:rFonts w:ascii="Times New Roman" w:eastAsia="Calibri" w:hAnsi="Times New Roman" w:cs="Times New Roman"/>
                <w:sz w:val="24"/>
                <w:szCs w:val="24"/>
                <w:lang w:bidi="ro-RO"/>
              </w:rPr>
              <w:t>nu conține norme privind armonizarea legislației naționale cu legislația Uniunii Europene</w:t>
            </w:r>
            <w:r w:rsidR="001F2B63" w:rsidRPr="004E0E0D">
              <w:rPr>
                <w:rFonts w:ascii="Times New Roman" w:eastAsia="Calibri" w:hAnsi="Times New Roman" w:cs="Times New Roman"/>
                <w:sz w:val="24"/>
                <w:szCs w:val="24"/>
                <w:lang w:bidi="ro-RO"/>
              </w:rPr>
              <w:t>.</w:t>
            </w:r>
          </w:p>
        </w:tc>
      </w:tr>
      <w:tr w:rsidR="00EC3DC0" w:rsidRPr="00C66287" w:rsidTr="002E2052">
        <w:tc>
          <w:tcPr>
            <w:tcW w:w="9209" w:type="dxa"/>
          </w:tcPr>
          <w:p w:rsidR="00EC3DC0" w:rsidRPr="004E0E0D" w:rsidRDefault="00EC3DC0" w:rsidP="002E2052">
            <w:pPr>
              <w:numPr>
                <w:ilvl w:val="0"/>
                <w:numId w:val="1"/>
              </w:numPr>
              <w:ind w:left="34" w:firstLine="142"/>
              <w:jc w:val="both"/>
              <w:rPr>
                <w:rFonts w:ascii="Times New Roman" w:eastAsia="Calibri" w:hAnsi="Times New Roman" w:cs="Times New Roman"/>
                <w:b/>
                <w:sz w:val="24"/>
                <w:szCs w:val="24"/>
              </w:rPr>
            </w:pPr>
            <w:r w:rsidRPr="004E0E0D">
              <w:rPr>
                <w:rFonts w:ascii="Times New Roman" w:eastAsia="Calibri" w:hAnsi="Times New Roman" w:cs="Times New Roman"/>
                <w:b/>
                <w:sz w:val="24"/>
                <w:szCs w:val="24"/>
              </w:rPr>
              <w:t>Principalele prevederi ale proiectului și evidențierea elementelor noi</w:t>
            </w:r>
          </w:p>
        </w:tc>
      </w:tr>
      <w:tr w:rsidR="00EC3DC0" w:rsidRPr="00C66287" w:rsidTr="002E2052">
        <w:tc>
          <w:tcPr>
            <w:tcW w:w="9209" w:type="dxa"/>
          </w:tcPr>
          <w:p w:rsidR="009C0AF1" w:rsidRPr="004E0E0D" w:rsidRDefault="009C0AF1" w:rsidP="009C0AF1">
            <w:pPr>
              <w:pStyle w:val="NormalWeb"/>
              <w:shd w:val="clear" w:color="auto" w:fill="FFFFFF"/>
              <w:spacing w:before="0" w:beforeAutospacing="0" w:after="0" w:afterAutospacing="0"/>
              <w:ind w:firstLine="540"/>
              <w:jc w:val="both"/>
              <w:rPr>
                <w:lang w:val="ro-RO"/>
              </w:rPr>
            </w:pPr>
            <w:r w:rsidRPr="004E0E0D">
              <w:rPr>
                <w:lang w:val="ro-RO"/>
              </w:rPr>
              <w:t>Regulamentul privind stabilirea cuantumului de motorină din ajutorul umanitar</w:t>
            </w:r>
            <w:r w:rsidR="00344145">
              <w:rPr>
                <w:lang w:val="ro-RO"/>
              </w:rPr>
              <w:t xml:space="preserve"> extern</w:t>
            </w:r>
            <w:r w:rsidRPr="004E0E0D">
              <w:rPr>
                <w:lang w:val="ro-RO"/>
              </w:rPr>
              <w:t xml:space="preserve">, destinat suportului </w:t>
            </w:r>
            <w:r w:rsidR="004E0E0D">
              <w:rPr>
                <w:lang w:val="ro-RO"/>
              </w:rPr>
              <w:t>fermie</w:t>
            </w:r>
            <w:r w:rsidRPr="004E0E0D">
              <w:rPr>
                <w:lang w:val="ro-RO"/>
              </w:rPr>
              <w:t xml:space="preserve">rilor afectați de seceta din </w:t>
            </w:r>
            <w:r w:rsidR="00B70DDF" w:rsidRPr="004E0E0D">
              <w:rPr>
                <w:lang w:val="ro-RO"/>
              </w:rPr>
              <w:t xml:space="preserve">2022, </w:t>
            </w:r>
            <w:r w:rsidRPr="004E0E0D">
              <w:rPr>
                <w:lang w:val="ro-RO"/>
              </w:rPr>
              <w:t>stabilește modul de determinare a cuantumului cantitativ de motorină destinat compensării parțiale a pierderilor suferite de fermieri pentru roada anului 2022, ca urmare a înregistrării secetei la culturile de fitotehnie. </w:t>
            </w:r>
          </w:p>
          <w:p w:rsidR="009C0AF1" w:rsidRPr="004E0E0D" w:rsidRDefault="009C0AF1" w:rsidP="009C0AF1">
            <w:pPr>
              <w:pStyle w:val="NormalWeb"/>
              <w:shd w:val="clear" w:color="auto" w:fill="FFFFFF"/>
              <w:spacing w:before="0" w:beforeAutospacing="0" w:after="0" w:afterAutospacing="0"/>
              <w:ind w:firstLine="540"/>
              <w:jc w:val="both"/>
              <w:rPr>
                <w:lang w:val="ro-RO"/>
              </w:rPr>
            </w:pPr>
            <w:r w:rsidRPr="004E0E0D">
              <w:rPr>
                <w:lang w:val="ro-RO"/>
              </w:rPr>
              <w:t>Ajutorul se acordă dacă, potrivit actelor de constatare, seceta a afectat 50% și mai mult din recolta culturilor de fitotehnie pentru anul 2022.</w:t>
            </w:r>
          </w:p>
          <w:p w:rsidR="009C0AF1" w:rsidRPr="004E0E0D" w:rsidRDefault="009C0AF1" w:rsidP="009C0AF1">
            <w:pPr>
              <w:pStyle w:val="NormalWeb"/>
              <w:shd w:val="clear" w:color="auto" w:fill="FFFFFF"/>
              <w:spacing w:before="0" w:beforeAutospacing="0" w:after="0" w:afterAutospacing="0"/>
              <w:ind w:firstLine="540"/>
              <w:jc w:val="both"/>
              <w:rPr>
                <w:lang w:val="ro-RO"/>
              </w:rPr>
            </w:pPr>
            <w:r w:rsidRPr="004E0E0D">
              <w:rPr>
                <w:lang w:val="ro-RO"/>
              </w:rPr>
              <w:t xml:space="preserve">Mărimea ajutorului per solicitant de culturi de fitotehnie afectate se calculează de către Agenția de Intervenție și Plăți pentru Agricultură în baza cantității totale de motorină disponibilă, raportată la suprafața eligibilă per solicitant și sunt eligibili fermierii, care gestionează suprafața agricolă </w:t>
            </w:r>
            <w:proofErr w:type="spellStart"/>
            <w:r w:rsidRPr="004E0E0D">
              <w:rPr>
                <w:lang w:val="ro-RO"/>
              </w:rPr>
              <w:t>pînă</w:t>
            </w:r>
            <w:proofErr w:type="spellEnd"/>
            <w:r w:rsidRPr="004E0E0D">
              <w:rPr>
                <w:lang w:val="ro-RO"/>
              </w:rPr>
              <w:t xml:space="preserve"> la 1500 ha. Suprafața eligibilă se calculează conform formulei:</w:t>
            </w:r>
          </w:p>
          <w:p w:rsidR="009C0AF1" w:rsidRPr="004E0E0D" w:rsidRDefault="009C0AF1" w:rsidP="009C0AF1">
            <w:pPr>
              <w:pStyle w:val="NormalWeb"/>
              <w:shd w:val="clear" w:color="auto" w:fill="FFFFFF"/>
              <w:spacing w:before="0" w:beforeAutospacing="0" w:after="0" w:afterAutospacing="0"/>
              <w:ind w:firstLine="540"/>
              <w:jc w:val="center"/>
              <w:rPr>
                <w:lang w:val="ro-RO"/>
              </w:rPr>
            </w:pPr>
            <w:r w:rsidRPr="004E0E0D">
              <w:rPr>
                <w:rStyle w:val="Accentuat"/>
                <w:b/>
                <w:bCs/>
              </w:rPr>
              <w:t>Se = (S1 x Ca1 + S2 x Ca2 + S3 x Ca3 + S4 x Ca4+ S5 x Ca5) x k,</w:t>
            </w:r>
          </w:p>
          <w:p w:rsidR="009C0AF1" w:rsidRPr="004E0E0D" w:rsidRDefault="009C0AF1" w:rsidP="009C0AF1">
            <w:pPr>
              <w:pStyle w:val="NormalWeb"/>
              <w:shd w:val="clear" w:color="auto" w:fill="FFFFFF"/>
              <w:spacing w:before="0" w:beforeAutospacing="0" w:after="0" w:afterAutospacing="0"/>
              <w:ind w:firstLine="540"/>
              <w:jc w:val="both"/>
              <w:rPr>
                <w:lang w:val="ro-RO"/>
              </w:rPr>
            </w:pPr>
            <w:r w:rsidRPr="004E0E0D">
              <w:rPr>
                <w:lang w:val="ro-RO"/>
              </w:rPr>
              <w:t>unde:</w:t>
            </w:r>
          </w:p>
          <w:p w:rsidR="009C0AF1" w:rsidRPr="004E0E0D" w:rsidRDefault="009C0AF1" w:rsidP="009C0AF1">
            <w:pPr>
              <w:pStyle w:val="NormalWeb"/>
              <w:shd w:val="clear" w:color="auto" w:fill="FFFFFF"/>
              <w:spacing w:before="0" w:beforeAutospacing="0" w:after="0" w:afterAutospacing="0"/>
              <w:ind w:firstLine="540"/>
              <w:jc w:val="both"/>
              <w:rPr>
                <w:lang w:val="ro-RO"/>
              </w:rPr>
            </w:pPr>
            <w:r w:rsidRPr="004E0E0D">
              <w:rPr>
                <w:lang w:val="ro-RO"/>
              </w:rPr>
              <w:t>Se – suprafața eligibilă per solicitant;</w:t>
            </w:r>
          </w:p>
          <w:p w:rsidR="009C0AF1" w:rsidRPr="004E0E0D" w:rsidRDefault="009C0AF1" w:rsidP="009C0AF1">
            <w:pPr>
              <w:pStyle w:val="NormalWeb"/>
              <w:shd w:val="clear" w:color="auto" w:fill="FFFFFF"/>
              <w:spacing w:before="0" w:beforeAutospacing="0" w:after="0" w:afterAutospacing="0"/>
              <w:ind w:firstLine="540"/>
              <w:jc w:val="both"/>
              <w:rPr>
                <w:lang w:val="ro-RO"/>
              </w:rPr>
            </w:pPr>
            <w:r w:rsidRPr="004E0E0D">
              <w:rPr>
                <w:lang w:val="ro-RO"/>
              </w:rPr>
              <w:t xml:space="preserve">S1…S5 – suma suprafețelor de teren agricol </w:t>
            </w:r>
            <w:proofErr w:type="spellStart"/>
            <w:r w:rsidRPr="004E0E0D">
              <w:rPr>
                <w:lang w:val="ro-RO"/>
              </w:rPr>
              <w:t>însămînțate</w:t>
            </w:r>
            <w:proofErr w:type="spellEnd"/>
            <w:r w:rsidRPr="004E0E0D">
              <w:rPr>
                <w:lang w:val="ro-RO"/>
              </w:rPr>
              <w:t xml:space="preserve"> cu culturi din fitotehnie cu aceeași categorie de afectare, conform actelor de constatare;</w:t>
            </w:r>
          </w:p>
          <w:p w:rsidR="009C0AF1" w:rsidRPr="004E0E0D" w:rsidRDefault="009C0AF1" w:rsidP="009C0AF1">
            <w:pPr>
              <w:pStyle w:val="NormalWeb"/>
              <w:shd w:val="clear" w:color="auto" w:fill="FFFFFF"/>
              <w:spacing w:before="0" w:beforeAutospacing="0" w:after="0" w:afterAutospacing="0"/>
              <w:ind w:firstLine="540"/>
              <w:jc w:val="both"/>
              <w:rPr>
                <w:lang w:val="ro-RO"/>
              </w:rPr>
            </w:pPr>
            <w:r w:rsidRPr="004E0E0D">
              <w:rPr>
                <w:lang w:val="ro-RO"/>
              </w:rPr>
              <w:t>Ca – categoria de afectare a culturilor, ce rezultă din informația înscrisă în actele de constatare:</w:t>
            </w:r>
          </w:p>
          <w:p w:rsidR="009C0AF1" w:rsidRPr="004E0E0D" w:rsidRDefault="009C0AF1" w:rsidP="009C0AF1">
            <w:pPr>
              <w:pStyle w:val="NormalWeb"/>
              <w:shd w:val="clear" w:color="auto" w:fill="FFFFFF"/>
              <w:spacing w:before="0" w:beforeAutospacing="0" w:after="0" w:afterAutospacing="0"/>
              <w:ind w:firstLine="540"/>
              <w:jc w:val="both"/>
              <w:rPr>
                <w:lang w:val="ro-RO"/>
              </w:rPr>
            </w:pPr>
            <w:r w:rsidRPr="004E0E0D">
              <w:rPr>
                <w:lang w:val="ro-RO"/>
              </w:rPr>
              <w:t>- de la 90% până la 100%, Ca1 = 1,0;</w:t>
            </w:r>
          </w:p>
          <w:p w:rsidR="009C0AF1" w:rsidRPr="004E0E0D" w:rsidRDefault="009C0AF1" w:rsidP="009C0AF1">
            <w:pPr>
              <w:pStyle w:val="NormalWeb"/>
              <w:shd w:val="clear" w:color="auto" w:fill="FFFFFF"/>
              <w:spacing w:before="0" w:beforeAutospacing="0" w:after="0" w:afterAutospacing="0"/>
              <w:ind w:firstLine="540"/>
              <w:jc w:val="both"/>
              <w:rPr>
                <w:lang w:val="ro-RO"/>
              </w:rPr>
            </w:pPr>
            <w:r w:rsidRPr="004E0E0D">
              <w:rPr>
                <w:lang w:val="ro-RO"/>
              </w:rPr>
              <w:t>- de la 80% până la 89%, Ca2 = 0,9;</w:t>
            </w:r>
          </w:p>
          <w:p w:rsidR="009C0AF1" w:rsidRPr="004E0E0D" w:rsidRDefault="009C0AF1" w:rsidP="009C0AF1">
            <w:pPr>
              <w:pStyle w:val="NormalWeb"/>
              <w:shd w:val="clear" w:color="auto" w:fill="FFFFFF"/>
              <w:spacing w:before="0" w:beforeAutospacing="0" w:after="0" w:afterAutospacing="0"/>
              <w:ind w:firstLine="540"/>
              <w:jc w:val="both"/>
              <w:rPr>
                <w:lang w:val="ro-RO"/>
              </w:rPr>
            </w:pPr>
            <w:r w:rsidRPr="004E0E0D">
              <w:rPr>
                <w:lang w:val="ro-RO"/>
              </w:rPr>
              <w:t>- de la 70% până la 79%, Ca3 = 0,8;</w:t>
            </w:r>
          </w:p>
          <w:p w:rsidR="009C0AF1" w:rsidRPr="004E0E0D" w:rsidRDefault="009C0AF1" w:rsidP="009C0AF1">
            <w:pPr>
              <w:pStyle w:val="NormalWeb"/>
              <w:shd w:val="clear" w:color="auto" w:fill="FFFFFF"/>
              <w:spacing w:before="0" w:beforeAutospacing="0" w:after="0" w:afterAutospacing="0"/>
              <w:ind w:firstLine="540"/>
              <w:jc w:val="both"/>
              <w:rPr>
                <w:lang w:val="ro-RO"/>
              </w:rPr>
            </w:pPr>
            <w:r w:rsidRPr="004E0E0D">
              <w:rPr>
                <w:lang w:val="ro-RO"/>
              </w:rPr>
              <w:t>- de la 60% până la 69%, Ca4 = 0,7;</w:t>
            </w:r>
          </w:p>
          <w:p w:rsidR="009C0AF1" w:rsidRPr="004E0E0D" w:rsidRDefault="009C0AF1" w:rsidP="009C0AF1">
            <w:pPr>
              <w:pStyle w:val="NormalWeb"/>
              <w:shd w:val="clear" w:color="auto" w:fill="FFFFFF"/>
              <w:spacing w:before="0" w:beforeAutospacing="0" w:after="0" w:afterAutospacing="0"/>
              <w:ind w:firstLine="540"/>
              <w:jc w:val="both"/>
              <w:rPr>
                <w:lang w:val="ro-RO"/>
              </w:rPr>
            </w:pPr>
            <w:r w:rsidRPr="004E0E0D">
              <w:rPr>
                <w:lang w:val="ro-RO"/>
              </w:rPr>
              <w:t>- de la 50% până la 59%, Ca4 = 0,6;</w:t>
            </w:r>
          </w:p>
          <w:p w:rsidR="009C0AF1" w:rsidRPr="004E0E0D" w:rsidRDefault="009C0AF1" w:rsidP="009C0AF1">
            <w:pPr>
              <w:pStyle w:val="NormalWeb"/>
              <w:shd w:val="clear" w:color="auto" w:fill="FFFFFF"/>
              <w:spacing w:before="0" w:beforeAutospacing="0" w:after="0" w:afterAutospacing="0"/>
              <w:ind w:firstLine="540"/>
              <w:jc w:val="both"/>
              <w:rPr>
                <w:lang w:val="ro-RO"/>
              </w:rPr>
            </w:pPr>
            <w:r w:rsidRPr="004E0E0D">
              <w:rPr>
                <w:lang w:val="ro-RO"/>
              </w:rPr>
              <w:t>k – coeficientul de categorisire a agentului economic, conform informației declarate pe propria răspundere:</w:t>
            </w:r>
          </w:p>
          <w:p w:rsidR="009C0AF1" w:rsidRPr="004E0E0D" w:rsidRDefault="009C0AF1" w:rsidP="009C0AF1">
            <w:pPr>
              <w:pStyle w:val="NormalWeb"/>
              <w:tabs>
                <w:tab w:val="left" w:pos="993"/>
              </w:tabs>
              <w:spacing w:before="0" w:beforeAutospacing="0" w:after="0" w:afterAutospacing="0"/>
              <w:ind w:firstLine="540"/>
              <w:contextualSpacing/>
              <w:jc w:val="both"/>
              <w:rPr>
                <w:lang w:val="ro-RO"/>
              </w:rPr>
            </w:pPr>
            <w:r w:rsidRPr="004E0E0D">
              <w:rPr>
                <w:lang w:val="ro-RO"/>
              </w:rPr>
              <w:t xml:space="preserve">- până la 100 ha, k =1,0; </w:t>
            </w:r>
          </w:p>
          <w:p w:rsidR="009C0AF1" w:rsidRPr="004E0E0D" w:rsidRDefault="009C0AF1" w:rsidP="009C0AF1">
            <w:pPr>
              <w:pStyle w:val="NormalWeb"/>
              <w:tabs>
                <w:tab w:val="left" w:pos="993"/>
              </w:tabs>
              <w:spacing w:before="0" w:beforeAutospacing="0" w:after="0" w:afterAutospacing="0"/>
              <w:ind w:firstLine="540"/>
              <w:contextualSpacing/>
              <w:jc w:val="both"/>
              <w:rPr>
                <w:lang w:val="ro-RO"/>
              </w:rPr>
            </w:pPr>
            <w:r w:rsidRPr="004E0E0D">
              <w:rPr>
                <w:lang w:val="ro-RO"/>
              </w:rPr>
              <w:t xml:space="preserve">- de la 101 ha până la 300 ha, </w:t>
            </w:r>
            <w:r w:rsidRPr="004E0E0D">
              <w:rPr>
                <w:i/>
                <w:lang w:val="ro-RO"/>
              </w:rPr>
              <w:t>k</w:t>
            </w:r>
            <w:r w:rsidRPr="004E0E0D">
              <w:rPr>
                <w:lang w:val="ro-RO"/>
              </w:rPr>
              <w:t xml:space="preserve"> = 0,9; </w:t>
            </w:r>
          </w:p>
          <w:p w:rsidR="009C0AF1" w:rsidRPr="004E0E0D" w:rsidRDefault="009C0AF1" w:rsidP="009C0AF1">
            <w:pPr>
              <w:pStyle w:val="NormalWeb"/>
              <w:tabs>
                <w:tab w:val="left" w:pos="993"/>
              </w:tabs>
              <w:spacing w:before="0" w:beforeAutospacing="0" w:after="0" w:afterAutospacing="0"/>
              <w:ind w:firstLine="540"/>
              <w:contextualSpacing/>
              <w:jc w:val="both"/>
              <w:rPr>
                <w:lang w:val="ro-RO"/>
              </w:rPr>
            </w:pPr>
            <w:r w:rsidRPr="004E0E0D">
              <w:rPr>
                <w:lang w:val="ro-RO"/>
              </w:rPr>
              <w:t xml:space="preserve">- de la 301 ha până la 600 ha, </w:t>
            </w:r>
            <w:r w:rsidRPr="004E0E0D">
              <w:rPr>
                <w:i/>
                <w:lang w:val="ro-RO"/>
              </w:rPr>
              <w:t>k</w:t>
            </w:r>
            <w:r w:rsidRPr="004E0E0D">
              <w:rPr>
                <w:lang w:val="ro-RO"/>
              </w:rPr>
              <w:t xml:space="preserve"> = 0,8;</w:t>
            </w:r>
          </w:p>
          <w:p w:rsidR="009C0AF1" w:rsidRPr="004E0E0D" w:rsidRDefault="009C0AF1" w:rsidP="009C0AF1">
            <w:pPr>
              <w:pStyle w:val="NormalWeb"/>
              <w:tabs>
                <w:tab w:val="left" w:pos="993"/>
              </w:tabs>
              <w:spacing w:before="0" w:beforeAutospacing="0" w:after="0" w:afterAutospacing="0"/>
              <w:ind w:firstLine="540"/>
              <w:contextualSpacing/>
              <w:jc w:val="both"/>
              <w:rPr>
                <w:lang w:val="ro-RO"/>
              </w:rPr>
            </w:pPr>
            <w:r w:rsidRPr="004E0E0D">
              <w:rPr>
                <w:lang w:val="ro-RO"/>
              </w:rPr>
              <w:t xml:space="preserve">- de la 601 ha până la 1000 ha, </w:t>
            </w:r>
            <w:r w:rsidRPr="004E0E0D">
              <w:rPr>
                <w:i/>
                <w:lang w:val="ro-RO"/>
              </w:rPr>
              <w:t>k</w:t>
            </w:r>
            <w:r w:rsidRPr="004E0E0D">
              <w:rPr>
                <w:lang w:val="ro-RO"/>
              </w:rPr>
              <w:t xml:space="preserve"> = 0,7;</w:t>
            </w:r>
          </w:p>
          <w:p w:rsidR="009C0AF1" w:rsidRPr="004E0E0D" w:rsidRDefault="009C0AF1" w:rsidP="009C0AF1">
            <w:pPr>
              <w:pStyle w:val="NormalWeb"/>
              <w:tabs>
                <w:tab w:val="left" w:pos="993"/>
              </w:tabs>
              <w:spacing w:before="0" w:beforeAutospacing="0" w:after="0" w:afterAutospacing="0"/>
              <w:ind w:firstLine="540"/>
              <w:contextualSpacing/>
              <w:jc w:val="both"/>
              <w:rPr>
                <w:lang w:val="ro-RO"/>
              </w:rPr>
            </w:pPr>
            <w:r w:rsidRPr="004E0E0D">
              <w:rPr>
                <w:lang w:val="ro-RO"/>
              </w:rPr>
              <w:t xml:space="preserve">- de la 1001 ha până la 1500 ha, </w:t>
            </w:r>
            <w:r w:rsidRPr="004E0E0D">
              <w:rPr>
                <w:i/>
                <w:lang w:val="ro-RO"/>
              </w:rPr>
              <w:t>k</w:t>
            </w:r>
            <w:r w:rsidRPr="004E0E0D">
              <w:rPr>
                <w:lang w:val="ro-RO"/>
              </w:rPr>
              <w:t xml:space="preserve"> = 0,6;</w:t>
            </w:r>
          </w:p>
          <w:p w:rsidR="00EC3DC0" w:rsidRPr="004E0E0D" w:rsidRDefault="009C0AF1" w:rsidP="009C0AF1">
            <w:pPr>
              <w:pStyle w:val="NormalWeb"/>
              <w:tabs>
                <w:tab w:val="left" w:pos="993"/>
              </w:tabs>
              <w:spacing w:before="0" w:beforeAutospacing="0" w:after="0" w:afterAutospacing="0"/>
              <w:ind w:firstLine="540"/>
              <w:contextualSpacing/>
              <w:jc w:val="both"/>
              <w:rPr>
                <w:lang w:val="ro-RO"/>
              </w:rPr>
            </w:pPr>
            <w:r w:rsidRPr="004E0E0D">
              <w:rPr>
                <w:lang w:val="ro-RO"/>
              </w:rPr>
              <w:t xml:space="preserve">- de la 1501 ha, </w:t>
            </w:r>
            <w:r w:rsidRPr="004E0E0D">
              <w:rPr>
                <w:i/>
                <w:lang w:val="ro-RO"/>
              </w:rPr>
              <w:t>k</w:t>
            </w:r>
            <w:r w:rsidRPr="004E0E0D">
              <w:rPr>
                <w:lang w:val="ro-RO"/>
              </w:rPr>
              <w:t xml:space="preserve"> = 0,0.</w:t>
            </w:r>
          </w:p>
          <w:p w:rsidR="00F06DAA" w:rsidRPr="004E0E0D" w:rsidRDefault="00F06DAA" w:rsidP="009C0AF1">
            <w:pPr>
              <w:pStyle w:val="NormalWeb"/>
              <w:tabs>
                <w:tab w:val="left" w:pos="993"/>
              </w:tabs>
              <w:spacing w:before="0" w:beforeAutospacing="0" w:after="0" w:afterAutospacing="0"/>
              <w:ind w:firstLine="540"/>
              <w:contextualSpacing/>
              <w:jc w:val="both"/>
              <w:rPr>
                <w:lang w:val="ro-RO"/>
              </w:rPr>
            </w:pPr>
            <w:r w:rsidRPr="004E0E0D">
              <w:rPr>
                <w:lang w:val="ro-RO"/>
              </w:rPr>
              <w:t>Totodată, pentru fermierii micro sau mici cu suprafețe de culturi fitotehnice declarate, de până la 100 de ha, coeficientul de categorisire se atribuie fără a lua în calcul alte moduri de folosință a terenurilor agricole /suprafețe de culturi multianuale.</w:t>
            </w:r>
          </w:p>
          <w:p w:rsidR="00F06DAA" w:rsidRPr="004E0E0D" w:rsidRDefault="00F06DAA" w:rsidP="00F06DAA">
            <w:pPr>
              <w:pStyle w:val="NormalWeb"/>
              <w:shd w:val="clear" w:color="auto" w:fill="FFFFFF"/>
              <w:spacing w:before="0" w:beforeAutospacing="0" w:after="0" w:afterAutospacing="0"/>
              <w:ind w:firstLine="540"/>
              <w:jc w:val="both"/>
              <w:rPr>
                <w:lang w:val="ro-RO"/>
              </w:rPr>
            </w:pPr>
            <w:r w:rsidRPr="004E0E0D">
              <w:rPr>
                <w:lang w:val="ro-RO"/>
              </w:rPr>
              <w:t>Cuantumul cantitativ de motorină per hectar constituie raportul dintre cantitatea totală de motorină disponibilă și suprafața totală eligibilă pe țară:</w:t>
            </w:r>
          </w:p>
          <w:p w:rsidR="00F06DAA" w:rsidRPr="004E0E0D" w:rsidRDefault="00F06DAA" w:rsidP="00F06DAA">
            <w:pPr>
              <w:pStyle w:val="NormalWeb"/>
              <w:shd w:val="clear" w:color="auto" w:fill="FFFFFF"/>
              <w:spacing w:before="0" w:beforeAutospacing="0" w:after="0" w:afterAutospacing="0"/>
              <w:ind w:firstLine="540"/>
              <w:jc w:val="center"/>
              <w:rPr>
                <w:lang w:val="ro-RO"/>
              </w:rPr>
            </w:pPr>
            <w:r w:rsidRPr="004E0E0D">
              <w:rPr>
                <w:rStyle w:val="Accentuat"/>
                <w:b/>
                <w:bCs/>
              </w:rPr>
              <w:t>Cc=Ct / Set,</w:t>
            </w:r>
          </w:p>
          <w:p w:rsidR="00F06DAA" w:rsidRPr="004E0E0D" w:rsidRDefault="00F06DAA" w:rsidP="00F06DAA">
            <w:pPr>
              <w:pStyle w:val="NormalWeb"/>
              <w:shd w:val="clear" w:color="auto" w:fill="FFFFFF"/>
              <w:spacing w:before="0" w:beforeAutospacing="0" w:after="0" w:afterAutospacing="0"/>
              <w:ind w:firstLine="540"/>
              <w:jc w:val="both"/>
              <w:rPr>
                <w:lang w:val="ro-RO"/>
              </w:rPr>
            </w:pPr>
            <w:r w:rsidRPr="004E0E0D">
              <w:rPr>
                <w:lang w:val="ro-RO"/>
              </w:rPr>
              <w:t>unde:</w:t>
            </w:r>
          </w:p>
          <w:p w:rsidR="00F06DAA" w:rsidRPr="004E0E0D" w:rsidRDefault="00F06DAA" w:rsidP="00F06DAA">
            <w:pPr>
              <w:pStyle w:val="NormalWeb"/>
              <w:shd w:val="clear" w:color="auto" w:fill="FFFFFF"/>
              <w:spacing w:before="0" w:beforeAutospacing="0" w:after="0" w:afterAutospacing="0"/>
              <w:ind w:firstLine="540"/>
              <w:jc w:val="both"/>
              <w:rPr>
                <w:lang w:val="ro-RO"/>
              </w:rPr>
            </w:pPr>
            <w:proofErr w:type="spellStart"/>
            <w:r w:rsidRPr="004E0E0D">
              <w:rPr>
                <w:lang w:val="ro-RO"/>
              </w:rPr>
              <w:lastRenderedPageBreak/>
              <w:t>Cc</w:t>
            </w:r>
            <w:proofErr w:type="spellEnd"/>
            <w:r w:rsidRPr="004E0E0D">
              <w:rPr>
                <w:lang w:val="ro-RO"/>
              </w:rPr>
              <w:t xml:space="preserve"> – cuantumul cantitativ de motorină per hectar;</w:t>
            </w:r>
          </w:p>
          <w:p w:rsidR="00F06DAA" w:rsidRPr="004E0E0D" w:rsidRDefault="00F06DAA" w:rsidP="00F06DAA">
            <w:pPr>
              <w:pStyle w:val="NormalWeb"/>
              <w:shd w:val="clear" w:color="auto" w:fill="FFFFFF"/>
              <w:spacing w:before="0" w:beforeAutospacing="0" w:after="0" w:afterAutospacing="0"/>
              <w:ind w:firstLine="540"/>
              <w:jc w:val="both"/>
              <w:rPr>
                <w:lang w:val="ro-RO"/>
              </w:rPr>
            </w:pPr>
            <w:proofErr w:type="spellStart"/>
            <w:r w:rsidRPr="004E0E0D">
              <w:rPr>
                <w:lang w:val="ro-RO"/>
              </w:rPr>
              <w:t>Ct</w:t>
            </w:r>
            <w:proofErr w:type="spellEnd"/>
            <w:r w:rsidRPr="004E0E0D">
              <w:rPr>
                <w:lang w:val="ro-RO"/>
              </w:rPr>
              <w:t xml:space="preserve"> – cantitatea totală de motorină disponibilă, kg;</w:t>
            </w:r>
          </w:p>
          <w:p w:rsidR="00F06DAA" w:rsidRDefault="00F06DAA" w:rsidP="00F06DAA">
            <w:pPr>
              <w:pStyle w:val="NormalWeb"/>
              <w:shd w:val="clear" w:color="auto" w:fill="FFFFFF"/>
              <w:spacing w:before="0" w:beforeAutospacing="0" w:after="0" w:afterAutospacing="0"/>
              <w:ind w:firstLine="540"/>
              <w:jc w:val="both"/>
              <w:rPr>
                <w:lang w:val="ro-RO"/>
              </w:rPr>
            </w:pPr>
            <w:r w:rsidRPr="004E0E0D">
              <w:rPr>
                <w:lang w:val="ro-RO"/>
              </w:rPr>
              <w:t>Set – suprafața totală eligibilă pe țară, care reprezintă suma suprafețelor eligibile per solicitant, ha.</w:t>
            </w:r>
          </w:p>
          <w:p w:rsidR="002E4278" w:rsidRDefault="00A67BC6" w:rsidP="002E4278">
            <w:pPr>
              <w:ind w:firstLine="6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2E4278">
              <w:rPr>
                <w:rFonts w:ascii="Times New Roman" w:eastAsia="Times New Roman" w:hAnsi="Times New Roman" w:cs="Times New Roman"/>
                <w:sz w:val="24"/>
                <w:szCs w:val="24"/>
              </w:rPr>
              <w:t xml:space="preserve">e propune intrarea în vigoare </w:t>
            </w:r>
            <w:r>
              <w:rPr>
                <w:rFonts w:ascii="Times New Roman" w:eastAsia="Times New Roman" w:hAnsi="Times New Roman" w:cs="Times New Roman"/>
                <w:sz w:val="24"/>
                <w:szCs w:val="24"/>
              </w:rPr>
              <w:t>a p</w:t>
            </w:r>
            <w:r w:rsidRPr="00984EE5">
              <w:rPr>
                <w:rFonts w:ascii="Times New Roman" w:eastAsia="Times New Roman" w:hAnsi="Times New Roman" w:cs="Times New Roman"/>
                <w:sz w:val="24"/>
                <w:szCs w:val="24"/>
              </w:rPr>
              <w:t xml:space="preserve">roiectului </w:t>
            </w:r>
            <w:r>
              <w:rPr>
                <w:rFonts w:ascii="Times New Roman" w:eastAsia="Times New Roman" w:hAnsi="Times New Roman" w:cs="Times New Roman"/>
                <w:sz w:val="24"/>
                <w:szCs w:val="24"/>
              </w:rPr>
              <w:t>nominalizat,</w:t>
            </w:r>
            <w:r w:rsidRPr="00984EE5">
              <w:rPr>
                <w:rFonts w:ascii="Times New Roman" w:eastAsia="Times New Roman" w:hAnsi="Times New Roman" w:cs="Times New Roman"/>
                <w:sz w:val="24"/>
                <w:szCs w:val="24"/>
              </w:rPr>
              <w:t xml:space="preserve"> </w:t>
            </w:r>
            <w:r w:rsidRPr="002E4278">
              <w:rPr>
                <w:rFonts w:ascii="Times New Roman" w:eastAsia="Times New Roman" w:hAnsi="Times New Roman" w:cs="Times New Roman"/>
                <w:sz w:val="24"/>
                <w:szCs w:val="24"/>
              </w:rPr>
              <w:t>la data publicării în Monitorul Oficial al Republicii Moldova</w:t>
            </w:r>
            <w:r>
              <w:rPr>
                <w:rFonts w:ascii="Times New Roman" w:eastAsia="Times New Roman" w:hAnsi="Times New Roman" w:cs="Times New Roman"/>
                <w:sz w:val="24"/>
                <w:szCs w:val="24"/>
              </w:rPr>
              <w:t>, a</w:t>
            </w:r>
            <w:r w:rsidR="00984EE5" w:rsidRPr="00984EE5">
              <w:rPr>
                <w:rFonts w:ascii="Times New Roman" w:eastAsia="Times New Roman" w:hAnsi="Times New Roman" w:cs="Times New Roman"/>
                <w:sz w:val="24"/>
                <w:szCs w:val="24"/>
              </w:rPr>
              <w:t>vând în vedere importanța sectorului agricol pentru economia națională și asigurarea secu</w:t>
            </w:r>
            <w:r>
              <w:rPr>
                <w:rFonts w:ascii="Times New Roman" w:eastAsia="Times New Roman" w:hAnsi="Times New Roman" w:cs="Times New Roman"/>
                <w:sz w:val="24"/>
                <w:szCs w:val="24"/>
              </w:rPr>
              <w:t>rității alimentare a populației.</w:t>
            </w:r>
            <w:r w:rsidR="00984EE5" w:rsidRPr="00984EE5">
              <w:rPr>
                <w:rFonts w:ascii="Times New Roman" w:eastAsia="Times New Roman" w:hAnsi="Times New Roman" w:cs="Times New Roman"/>
                <w:sz w:val="24"/>
                <w:szCs w:val="24"/>
              </w:rPr>
              <w:t xml:space="preserve"> </w:t>
            </w:r>
          </w:p>
          <w:p w:rsidR="002E4278" w:rsidRDefault="002E4278" w:rsidP="002E4278">
            <w:pPr>
              <w:ind w:firstLine="601"/>
              <w:jc w:val="both"/>
              <w:rPr>
                <w:rFonts w:ascii="Times New Roman" w:eastAsia="Times New Roman" w:hAnsi="Times New Roman" w:cs="Times New Roman"/>
                <w:sz w:val="24"/>
                <w:szCs w:val="24"/>
              </w:rPr>
            </w:pPr>
            <w:r w:rsidRPr="00984EE5">
              <w:rPr>
                <w:rFonts w:ascii="Times New Roman" w:eastAsia="Times New Roman" w:hAnsi="Times New Roman" w:cs="Times New Roman"/>
                <w:sz w:val="24"/>
                <w:szCs w:val="24"/>
              </w:rPr>
              <w:t>Fermierii constituie o categorie socială crucială și sprijinirea lor promptă și eficientă prin ajutorul sub formă de motorină este esențială pentru a le asigura condiții optime de lucru, accesibilitate la resursele necesare și menținerea activității economice viabile</w:t>
            </w:r>
            <w:r>
              <w:rPr>
                <w:rFonts w:ascii="Times New Roman" w:eastAsia="Times New Roman" w:hAnsi="Times New Roman" w:cs="Times New Roman"/>
                <w:sz w:val="24"/>
                <w:szCs w:val="24"/>
              </w:rPr>
              <w:t xml:space="preserve">. </w:t>
            </w:r>
          </w:p>
          <w:p w:rsidR="00984EE5" w:rsidRPr="00984EE5" w:rsidRDefault="002E4278" w:rsidP="002E4278">
            <w:pPr>
              <w:ind w:firstLine="601"/>
              <w:jc w:val="both"/>
              <w:rPr>
                <w:rFonts w:ascii="Times New Roman" w:eastAsia="Times New Roman" w:hAnsi="Times New Roman" w:cs="Times New Roman"/>
                <w:sz w:val="24"/>
                <w:szCs w:val="24"/>
              </w:rPr>
            </w:pPr>
            <w:r w:rsidRPr="002E4278">
              <w:rPr>
                <w:rFonts w:ascii="Times New Roman" w:eastAsia="Times New Roman" w:hAnsi="Times New Roman" w:cs="Times New Roman"/>
                <w:sz w:val="24"/>
                <w:szCs w:val="24"/>
              </w:rPr>
              <w:t xml:space="preserve">Lucrările agricole sunt influențate de factori sezonieri precum vremea, condițiile climatice și necesită o pregătire atentă pentru a obține rezultate optime. </w:t>
            </w:r>
            <w:r w:rsidR="00E834B1">
              <w:rPr>
                <w:rFonts w:ascii="Times New Roman" w:eastAsia="Times New Roman" w:hAnsi="Times New Roman" w:cs="Times New Roman"/>
                <w:sz w:val="24"/>
                <w:szCs w:val="24"/>
              </w:rPr>
              <w:t>Acest ajutorul sub formă de motorină, va</w:t>
            </w:r>
            <w:r w:rsidRPr="002E4278">
              <w:rPr>
                <w:rFonts w:ascii="Times New Roman" w:eastAsia="Times New Roman" w:hAnsi="Times New Roman" w:cs="Times New Roman"/>
                <w:sz w:val="24"/>
                <w:szCs w:val="24"/>
              </w:rPr>
              <w:t xml:space="preserve"> ofer</w:t>
            </w:r>
            <w:r w:rsidR="00E834B1">
              <w:rPr>
                <w:rFonts w:ascii="Times New Roman" w:eastAsia="Times New Roman" w:hAnsi="Times New Roman" w:cs="Times New Roman"/>
                <w:sz w:val="24"/>
                <w:szCs w:val="24"/>
              </w:rPr>
              <w:t>i</w:t>
            </w:r>
            <w:r w:rsidRPr="002E4278">
              <w:rPr>
                <w:rFonts w:ascii="Times New Roman" w:eastAsia="Times New Roman" w:hAnsi="Times New Roman" w:cs="Times New Roman"/>
                <w:sz w:val="24"/>
                <w:szCs w:val="24"/>
              </w:rPr>
              <w:t xml:space="preserve"> fermierilor </w:t>
            </w:r>
            <w:r w:rsidR="00E834B1">
              <w:rPr>
                <w:rFonts w:ascii="Times New Roman" w:eastAsia="Times New Roman" w:hAnsi="Times New Roman" w:cs="Times New Roman"/>
                <w:sz w:val="24"/>
                <w:szCs w:val="24"/>
              </w:rPr>
              <w:t xml:space="preserve">o parte din </w:t>
            </w:r>
            <w:r w:rsidRPr="002E4278">
              <w:rPr>
                <w:rFonts w:ascii="Times New Roman" w:eastAsia="Times New Roman" w:hAnsi="Times New Roman" w:cs="Times New Roman"/>
                <w:sz w:val="24"/>
                <w:szCs w:val="24"/>
              </w:rPr>
              <w:t xml:space="preserve">resursele necesare pentru a se pregăti în timp util și a profita de condițiile favorabile pentru a </w:t>
            </w:r>
            <w:r>
              <w:rPr>
                <w:rFonts w:ascii="Times New Roman" w:eastAsia="Times New Roman" w:hAnsi="Times New Roman" w:cs="Times New Roman"/>
                <w:sz w:val="24"/>
                <w:szCs w:val="24"/>
              </w:rPr>
              <w:t>finaliza</w:t>
            </w:r>
            <w:r w:rsidR="00E834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recolt</w:t>
            </w:r>
            <w:r w:rsidR="00E834B1">
              <w:rPr>
                <w:rFonts w:ascii="Times New Roman" w:eastAsia="Times New Roman" w:hAnsi="Times New Roman" w:cs="Times New Roman"/>
                <w:sz w:val="24"/>
                <w:szCs w:val="24"/>
              </w:rPr>
              <w:t>a</w:t>
            </w:r>
            <w:r>
              <w:rPr>
                <w:rFonts w:ascii="Times New Roman" w:eastAsia="Times New Roman" w:hAnsi="Times New Roman" w:cs="Times New Roman"/>
                <w:sz w:val="24"/>
                <w:szCs w:val="24"/>
              </w:rPr>
              <w:t>r</w:t>
            </w:r>
            <w:r w:rsidR="00E834B1">
              <w:rPr>
                <w:rFonts w:ascii="Times New Roman" w:eastAsia="Times New Roman" w:hAnsi="Times New Roman" w:cs="Times New Roman"/>
                <w:sz w:val="24"/>
                <w:szCs w:val="24"/>
              </w:rPr>
              <w:t>ea</w:t>
            </w:r>
            <w:r>
              <w:rPr>
                <w:rFonts w:ascii="Times New Roman" w:eastAsia="Times New Roman" w:hAnsi="Times New Roman" w:cs="Times New Roman"/>
                <w:sz w:val="24"/>
                <w:szCs w:val="24"/>
              </w:rPr>
              <w:t xml:space="preserve"> culturilor de prima grupă și </w:t>
            </w:r>
            <w:r w:rsidR="00E834B1">
              <w:rPr>
                <w:rFonts w:ascii="Times New Roman" w:eastAsia="Times New Roman" w:hAnsi="Times New Roman" w:cs="Times New Roman"/>
                <w:sz w:val="24"/>
                <w:szCs w:val="24"/>
              </w:rPr>
              <w:t xml:space="preserve">a </w:t>
            </w:r>
            <w:r w:rsidR="00984EE5" w:rsidRPr="00984EE5">
              <w:rPr>
                <w:rFonts w:ascii="Times New Roman" w:eastAsia="Times New Roman" w:hAnsi="Times New Roman" w:cs="Times New Roman"/>
                <w:sz w:val="24"/>
                <w:szCs w:val="24"/>
              </w:rPr>
              <w:t>începe lucrăril</w:t>
            </w:r>
            <w:r w:rsidR="00E834B1">
              <w:rPr>
                <w:rFonts w:ascii="Times New Roman" w:eastAsia="Times New Roman" w:hAnsi="Times New Roman" w:cs="Times New Roman"/>
                <w:sz w:val="24"/>
                <w:szCs w:val="24"/>
              </w:rPr>
              <w:t>e</w:t>
            </w:r>
            <w:r w:rsidR="00984EE5" w:rsidRPr="00984E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pregătire a terenurilor pentru semănatul culturilor de toamnă</w:t>
            </w:r>
            <w:r w:rsidR="00E834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sub recolta anului 2024, care poate influența</w:t>
            </w:r>
            <w:r w:rsidR="00984EE5" w:rsidRPr="00984EE5">
              <w:rPr>
                <w:rFonts w:ascii="Times New Roman" w:eastAsia="Times New Roman" w:hAnsi="Times New Roman" w:cs="Times New Roman"/>
                <w:sz w:val="24"/>
                <w:szCs w:val="24"/>
              </w:rPr>
              <w:t xml:space="preserve"> productivitatea și randamentul culturilor.</w:t>
            </w:r>
          </w:p>
          <w:p w:rsidR="00984EE5" w:rsidRPr="00984EE5" w:rsidRDefault="00984EE5" w:rsidP="002E4278">
            <w:pPr>
              <w:ind w:firstLine="601"/>
              <w:jc w:val="both"/>
              <w:rPr>
                <w:rFonts w:ascii="Times New Roman" w:eastAsia="Times New Roman" w:hAnsi="Times New Roman" w:cs="Times New Roman"/>
                <w:sz w:val="24"/>
                <w:szCs w:val="24"/>
              </w:rPr>
            </w:pPr>
            <w:r w:rsidRPr="00984EE5">
              <w:rPr>
                <w:rFonts w:ascii="Times New Roman" w:eastAsia="Times New Roman" w:hAnsi="Times New Roman" w:cs="Times New Roman"/>
                <w:sz w:val="24"/>
                <w:szCs w:val="24"/>
              </w:rPr>
              <w:t>Aceasta va aduce beneficii economiei naționale, securității alimentare și bunăstării fermierilor, asigurând astfel continuitatea și dezvoltarea durabilă a agriculturii.</w:t>
            </w:r>
          </w:p>
          <w:p w:rsidR="002674BD" w:rsidRPr="004E0E0D" w:rsidRDefault="00984EE5" w:rsidP="000356B1">
            <w:pPr>
              <w:pStyle w:val="NormalWeb"/>
              <w:shd w:val="clear" w:color="auto" w:fill="FFFFFF"/>
              <w:spacing w:before="0" w:beforeAutospacing="0" w:after="0" w:afterAutospacing="0"/>
              <w:ind w:firstLine="540"/>
              <w:jc w:val="both"/>
              <w:rPr>
                <w:rFonts w:eastAsia="Calibri"/>
                <w:lang w:val="ro-RO"/>
              </w:rPr>
            </w:pPr>
            <w:r>
              <w:rPr>
                <w:lang w:val="ro-RO"/>
              </w:rPr>
              <w:t xml:space="preserve">Un alt aspect </w:t>
            </w:r>
            <w:r w:rsidR="002E4278">
              <w:rPr>
                <w:lang w:val="ro-RO"/>
              </w:rPr>
              <w:t xml:space="preserve">îl </w:t>
            </w:r>
            <w:r>
              <w:rPr>
                <w:lang w:val="ro-RO"/>
              </w:rPr>
              <w:t>constituie</w:t>
            </w:r>
            <w:r w:rsidR="002674BD">
              <w:rPr>
                <w:lang w:val="ro-RO"/>
              </w:rPr>
              <w:t xml:space="preserve"> </w:t>
            </w:r>
            <w:r w:rsidR="00F323CE">
              <w:rPr>
                <w:lang w:val="ro-RO"/>
              </w:rPr>
              <w:t>pierderile la depozitarea</w:t>
            </w:r>
            <w:r w:rsidR="002674BD">
              <w:rPr>
                <w:lang w:val="ro-RO"/>
              </w:rPr>
              <w:t xml:space="preserve"> motorinei, ca</w:t>
            </w:r>
            <w:r w:rsidR="002E4278">
              <w:rPr>
                <w:lang w:val="ro-RO"/>
              </w:rPr>
              <w:t xml:space="preserve">re </w:t>
            </w:r>
            <w:r w:rsidR="00F323CE">
              <w:rPr>
                <w:lang w:val="ro-RO"/>
              </w:rPr>
              <w:t>constituie</w:t>
            </w:r>
            <w:r w:rsidR="007E34F6">
              <w:rPr>
                <w:lang w:val="ro-RO"/>
              </w:rPr>
              <w:t xml:space="preserve"> 0,</w:t>
            </w:r>
            <w:r w:rsidR="00212D75">
              <w:rPr>
                <w:lang w:val="ro-RO"/>
              </w:rPr>
              <w:t>01</w:t>
            </w:r>
            <w:r w:rsidR="00F323CE">
              <w:rPr>
                <w:lang w:val="ro-RO"/>
              </w:rPr>
              <w:t>%</w:t>
            </w:r>
            <w:r w:rsidR="00E834B1">
              <w:rPr>
                <w:lang w:val="ro-RO"/>
              </w:rPr>
              <w:t xml:space="preserve"> sau 0,4 tone</w:t>
            </w:r>
            <w:r w:rsidR="000356B1">
              <w:rPr>
                <w:lang w:val="ro-RO"/>
              </w:rPr>
              <w:t xml:space="preserve"> din cantitatea totală,</w:t>
            </w:r>
            <w:r w:rsidR="00E834B1">
              <w:rPr>
                <w:lang w:val="ro-RO"/>
              </w:rPr>
              <w:t xml:space="preserve"> timp de 30 de zile</w:t>
            </w:r>
            <w:r w:rsidR="007E34F6">
              <w:rPr>
                <w:lang w:val="ro-RO"/>
              </w:rPr>
              <w:t xml:space="preserve">, </w:t>
            </w:r>
            <w:r w:rsidR="00F323CE">
              <w:rPr>
                <w:lang w:val="ro-RO"/>
              </w:rPr>
              <w:t xml:space="preserve">conform Normei de pierderi la depozitarea motorinei, Anexa 19 din Regulamentul cu privire la Metodologia de calculare </w:t>
            </w:r>
            <w:r w:rsidR="00F323CE">
              <w:t xml:space="preserve">a </w:t>
            </w:r>
            <w:proofErr w:type="spellStart"/>
            <w:r w:rsidR="00F323CE">
              <w:t>pierderilor</w:t>
            </w:r>
            <w:proofErr w:type="spellEnd"/>
            <w:r w:rsidR="00F323CE">
              <w:t xml:space="preserve"> </w:t>
            </w:r>
            <w:proofErr w:type="spellStart"/>
            <w:r w:rsidR="00F323CE">
              <w:t>tehnologice</w:t>
            </w:r>
            <w:proofErr w:type="spellEnd"/>
            <w:r w:rsidR="00F323CE">
              <w:t xml:space="preserve"> </w:t>
            </w:r>
            <w:proofErr w:type="spellStart"/>
            <w:r w:rsidR="00F323CE">
              <w:t>în</w:t>
            </w:r>
            <w:proofErr w:type="spellEnd"/>
            <w:r w:rsidR="00F323CE">
              <w:t xml:space="preserve"> </w:t>
            </w:r>
            <w:proofErr w:type="spellStart"/>
            <w:r w:rsidR="00F323CE">
              <w:t>procesul</w:t>
            </w:r>
            <w:proofErr w:type="spellEnd"/>
            <w:r w:rsidR="00F323CE">
              <w:t xml:space="preserve"> </w:t>
            </w:r>
            <w:proofErr w:type="spellStart"/>
            <w:r w:rsidR="00F323CE">
              <w:t>recepţionării</w:t>
            </w:r>
            <w:proofErr w:type="spellEnd"/>
            <w:r w:rsidR="00F323CE">
              <w:t xml:space="preserve">, </w:t>
            </w:r>
            <w:proofErr w:type="spellStart"/>
            <w:r w:rsidR="00F323CE">
              <w:t>depozitării</w:t>
            </w:r>
            <w:proofErr w:type="spellEnd"/>
            <w:r w:rsidR="00F323CE">
              <w:t xml:space="preserve"> </w:t>
            </w:r>
            <w:proofErr w:type="spellStart"/>
            <w:r w:rsidR="00F323CE">
              <w:t>şi</w:t>
            </w:r>
            <w:proofErr w:type="spellEnd"/>
            <w:r w:rsidR="00F323CE">
              <w:t xml:space="preserve"> </w:t>
            </w:r>
            <w:proofErr w:type="spellStart"/>
            <w:r w:rsidR="00F323CE">
              <w:t>distribuirii</w:t>
            </w:r>
            <w:proofErr w:type="spellEnd"/>
            <w:r w:rsidR="00F323CE">
              <w:t xml:space="preserve"> </w:t>
            </w:r>
            <w:proofErr w:type="spellStart"/>
            <w:r w:rsidR="00F323CE">
              <w:t>produselor</w:t>
            </w:r>
            <w:proofErr w:type="spellEnd"/>
            <w:r w:rsidR="00F323CE">
              <w:t xml:space="preserve"> </w:t>
            </w:r>
            <w:proofErr w:type="spellStart"/>
            <w:r w:rsidR="00F323CE">
              <w:t>petroliere</w:t>
            </w:r>
            <w:proofErr w:type="spellEnd"/>
            <w:r w:rsidR="00F323CE">
              <w:rPr>
                <w:lang w:val="ro-RO"/>
              </w:rPr>
              <w:t xml:space="preserve">, aprobat prin Ordinul Ministerului Economiei nr.141/2007, </w:t>
            </w:r>
            <w:r w:rsidR="007E34F6">
              <w:rPr>
                <w:lang w:val="ro-RO"/>
              </w:rPr>
              <w:t>și, ca consecință, apare riscul neajunsului de motorină</w:t>
            </w:r>
            <w:r w:rsidR="00E834B1">
              <w:rPr>
                <w:lang w:val="ro-RO"/>
              </w:rPr>
              <w:t xml:space="preserve"> în procesul de depozitare și distribuire</w:t>
            </w:r>
            <w:r>
              <w:rPr>
                <w:lang w:val="ro-RO"/>
              </w:rPr>
              <w:t xml:space="preserve">. </w:t>
            </w:r>
          </w:p>
        </w:tc>
      </w:tr>
      <w:tr w:rsidR="00EC3DC0" w:rsidRPr="00C66287" w:rsidTr="002E2052">
        <w:trPr>
          <w:trHeight w:val="426"/>
        </w:trPr>
        <w:tc>
          <w:tcPr>
            <w:tcW w:w="9209" w:type="dxa"/>
            <w:vAlign w:val="center"/>
          </w:tcPr>
          <w:p w:rsidR="00EC3DC0" w:rsidRPr="004E0E0D" w:rsidRDefault="00EC3DC0" w:rsidP="002E2052">
            <w:pPr>
              <w:numPr>
                <w:ilvl w:val="0"/>
                <w:numId w:val="1"/>
              </w:numPr>
              <w:ind w:left="34" w:firstLine="0"/>
              <w:jc w:val="both"/>
              <w:rPr>
                <w:rFonts w:ascii="Times New Roman" w:eastAsia="Calibri" w:hAnsi="Times New Roman" w:cs="Times New Roman"/>
                <w:b/>
                <w:sz w:val="24"/>
                <w:szCs w:val="24"/>
              </w:rPr>
            </w:pPr>
            <w:r w:rsidRPr="004E0E0D">
              <w:rPr>
                <w:rFonts w:ascii="Times New Roman" w:eastAsia="Calibri" w:hAnsi="Times New Roman" w:cs="Times New Roman"/>
                <w:b/>
                <w:sz w:val="24"/>
                <w:szCs w:val="24"/>
              </w:rPr>
              <w:lastRenderedPageBreak/>
              <w:t xml:space="preserve">Fundamentarea </w:t>
            </w:r>
            <w:proofErr w:type="spellStart"/>
            <w:r w:rsidRPr="004E0E0D">
              <w:rPr>
                <w:rFonts w:ascii="Times New Roman" w:eastAsia="Calibri" w:hAnsi="Times New Roman" w:cs="Times New Roman"/>
                <w:b/>
                <w:sz w:val="24"/>
                <w:szCs w:val="24"/>
              </w:rPr>
              <w:t>economico</w:t>
            </w:r>
            <w:proofErr w:type="spellEnd"/>
            <w:r w:rsidRPr="004E0E0D">
              <w:rPr>
                <w:rFonts w:ascii="Times New Roman" w:eastAsia="Calibri" w:hAnsi="Times New Roman" w:cs="Times New Roman"/>
                <w:b/>
                <w:sz w:val="24"/>
                <w:szCs w:val="24"/>
              </w:rPr>
              <w:t>-financiară</w:t>
            </w:r>
          </w:p>
        </w:tc>
      </w:tr>
      <w:tr w:rsidR="00EC3DC0" w:rsidRPr="00C66287" w:rsidTr="002E2052">
        <w:trPr>
          <w:trHeight w:val="702"/>
        </w:trPr>
        <w:tc>
          <w:tcPr>
            <w:tcW w:w="9209" w:type="dxa"/>
          </w:tcPr>
          <w:p w:rsidR="009316AE" w:rsidRPr="00B76493" w:rsidRDefault="00B76493" w:rsidP="00A726AA">
            <w:pPr>
              <w:pStyle w:val="Bodytext20"/>
              <w:shd w:val="clear" w:color="auto" w:fill="auto"/>
              <w:spacing w:before="0" w:line="240" w:lineRule="auto"/>
              <w:ind w:firstLine="600"/>
              <w:rPr>
                <w:rFonts w:eastAsia="Calibri"/>
                <w:sz w:val="24"/>
                <w:szCs w:val="24"/>
              </w:rPr>
            </w:pPr>
            <w:proofErr w:type="spellStart"/>
            <w:r w:rsidRPr="00B76493">
              <w:rPr>
                <w:rFonts w:eastAsia="Calibri"/>
                <w:sz w:val="24"/>
                <w:szCs w:val="24"/>
              </w:rPr>
              <w:t>Proiectul</w:t>
            </w:r>
            <w:proofErr w:type="spellEnd"/>
            <w:r w:rsidRPr="00B76493">
              <w:rPr>
                <w:rFonts w:eastAsia="Calibri"/>
                <w:sz w:val="24"/>
                <w:szCs w:val="24"/>
              </w:rPr>
              <w:t xml:space="preserve"> </w:t>
            </w:r>
            <w:proofErr w:type="spellStart"/>
            <w:r w:rsidRPr="00B76493">
              <w:rPr>
                <w:rFonts w:eastAsia="Calibri"/>
                <w:sz w:val="24"/>
                <w:szCs w:val="24"/>
              </w:rPr>
              <w:t>nominalizat</w:t>
            </w:r>
            <w:proofErr w:type="spellEnd"/>
            <w:r w:rsidRPr="00B76493">
              <w:rPr>
                <w:rFonts w:eastAsia="Calibri"/>
                <w:sz w:val="24"/>
                <w:szCs w:val="24"/>
              </w:rPr>
              <w:t xml:space="preserve"> </w:t>
            </w:r>
            <w:proofErr w:type="spellStart"/>
            <w:r w:rsidRPr="00B76493">
              <w:rPr>
                <w:rFonts w:eastAsia="Calibri"/>
                <w:sz w:val="24"/>
                <w:szCs w:val="24"/>
              </w:rPr>
              <w:t>nu</w:t>
            </w:r>
            <w:proofErr w:type="spellEnd"/>
            <w:r w:rsidRPr="00B76493">
              <w:rPr>
                <w:rFonts w:eastAsia="Calibri"/>
                <w:sz w:val="24"/>
                <w:szCs w:val="24"/>
              </w:rPr>
              <w:t xml:space="preserve"> </w:t>
            </w:r>
            <w:proofErr w:type="spellStart"/>
            <w:r w:rsidRPr="00B76493">
              <w:rPr>
                <w:rFonts w:eastAsia="Calibri"/>
                <w:sz w:val="24"/>
                <w:szCs w:val="24"/>
              </w:rPr>
              <w:t>necesită</w:t>
            </w:r>
            <w:proofErr w:type="spellEnd"/>
            <w:r w:rsidRPr="00B76493">
              <w:rPr>
                <w:rFonts w:eastAsia="Calibri"/>
                <w:sz w:val="24"/>
                <w:szCs w:val="24"/>
              </w:rPr>
              <w:t xml:space="preserve"> </w:t>
            </w:r>
            <w:proofErr w:type="spellStart"/>
            <w:r w:rsidRPr="00B76493">
              <w:rPr>
                <w:rFonts w:eastAsia="Calibri"/>
                <w:sz w:val="24"/>
                <w:szCs w:val="24"/>
              </w:rPr>
              <w:t>surse</w:t>
            </w:r>
            <w:proofErr w:type="spellEnd"/>
            <w:r w:rsidRPr="00B76493">
              <w:rPr>
                <w:rFonts w:eastAsia="Calibri"/>
                <w:sz w:val="24"/>
                <w:szCs w:val="24"/>
              </w:rPr>
              <w:t xml:space="preserve"> </w:t>
            </w:r>
            <w:proofErr w:type="spellStart"/>
            <w:r w:rsidRPr="00B76493">
              <w:rPr>
                <w:rFonts w:eastAsia="Calibri"/>
                <w:sz w:val="24"/>
                <w:szCs w:val="24"/>
              </w:rPr>
              <w:t>financiare</w:t>
            </w:r>
            <w:proofErr w:type="spellEnd"/>
            <w:r w:rsidRPr="00B76493">
              <w:rPr>
                <w:rFonts w:eastAsia="Calibri"/>
                <w:sz w:val="24"/>
                <w:szCs w:val="24"/>
              </w:rPr>
              <w:t xml:space="preserve"> din </w:t>
            </w:r>
            <w:proofErr w:type="spellStart"/>
            <w:r w:rsidRPr="00B76493">
              <w:rPr>
                <w:rFonts w:eastAsia="Calibri"/>
                <w:sz w:val="24"/>
                <w:szCs w:val="24"/>
              </w:rPr>
              <w:t>Bugetul</w:t>
            </w:r>
            <w:proofErr w:type="spellEnd"/>
            <w:r w:rsidRPr="00B76493">
              <w:rPr>
                <w:rFonts w:eastAsia="Calibri"/>
                <w:sz w:val="24"/>
                <w:szCs w:val="24"/>
              </w:rPr>
              <w:t xml:space="preserve"> </w:t>
            </w:r>
            <w:r>
              <w:rPr>
                <w:rFonts w:eastAsia="Calibri"/>
                <w:sz w:val="24"/>
                <w:szCs w:val="24"/>
              </w:rPr>
              <w:t>national.</w:t>
            </w:r>
          </w:p>
        </w:tc>
      </w:tr>
      <w:tr w:rsidR="00EC3DC0" w:rsidRPr="00C66287" w:rsidTr="002E2052">
        <w:trPr>
          <w:trHeight w:val="472"/>
        </w:trPr>
        <w:tc>
          <w:tcPr>
            <w:tcW w:w="9209" w:type="dxa"/>
            <w:vAlign w:val="center"/>
          </w:tcPr>
          <w:p w:rsidR="00EC3DC0" w:rsidRPr="004E0E0D" w:rsidRDefault="00EC3DC0" w:rsidP="002E2052">
            <w:pPr>
              <w:numPr>
                <w:ilvl w:val="0"/>
                <w:numId w:val="1"/>
              </w:numPr>
              <w:ind w:left="34" w:firstLine="0"/>
              <w:jc w:val="both"/>
              <w:rPr>
                <w:rFonts w:ascii="Times New Roman" w:eastAsia="Calibri" w:hAnsi="Times New Roman" w:cs="Times New Roman"/>
                <w:b/>
                <w:sz w:val="24"/>
                <w:szCs w:val="24"/>
              </w:rPr>
            </w:pPr>
            <w:r w:rsidRPr="004E0E0D">
              <w:rPr>
                <w:rFonts w:ascii="Times New Roman" w:eastAsia="Calibri" w:hAnsi="Times New Roman" w:cs="Times New Roman"/>
                <w:b/>
                <w:sz w:val="24"/>
                <w:szCs w:val="24"/>
              </w:rPr>
              <w:t>Modul de încorporare a actului în cadrul normativ în vigoare</w:t>
            </w:r>
          </w:p>
        </w:tc>
      </w:tr>
      <w:tr w:rsidR="00EC3DC0" w:rsidRPr="00C66287" w:rsidTr="002E2052">
        <w:tc>
          <w:tcPr>
            <w:tcW w:w="9209" w:type="dxa"/>
          </w:tcPr>
          <w:p w:rsidR="00EC3DC0" w:rsidRPr="004E0E0D" w:rsidRDefault="00E13AFA" w:rsidP="00C66287">
            <w:pPr>
              <w:spacing w:after="8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Nu au fost identificate acte normative departamentale care trebuie aduse în concordanță cu prezentul proiect.</w:t>
            </w:r>
            <w:bookmarkStart w:id="0" w:name="_GoBack"/>
            <w:bookmarkEnd w:id="0"/>
          </w:p>
        </w:tc>
      </w:tr>
      <w:tr w:rsidR="00EC3DC0" w:rsidRPr="00C66287" w:rsidTr="00B73F27">
        <w:trPr>
          <w:trHeight w:val="50"/>
        </w:trPr>
        <w:tc>
          <w:tcPr>
            <w:tcW w:w="9209" w:type="dxa"/>
            <w:vAlign w:val="center"/>
          </w:tcPr>
          <w:p w:rsidR="00EC3DC0" w:rsidRPr="004E0E0D" w:rsidRDefault="00EC3DC0" w:rsidP="002E2052">
            <w:pPr>
              <w:numPr>
                <w:ilvl w:val="0"/>
                <w:numId w:val="1"/>
              </w:numPr>
              <w:tabs>
                <w:tab w:val="left" w:pos="34"/>
              </w:tabs>
              <w:ind w:left="34" w:firstLine="0"/>
              <w:contextualSpacing/>
              <w:jc w:val="both"/>
              <w:rPr>
                <w:rFonts w:ascii="Times New Roman" w:eastAsia="Calibri" w:hAnsi="Times New Roman" w:cs="Times New Roman"/>
                <w:b/>
                <w:sz w:val="24"/>
                <w:szCs w:val="24"/>
              </w:rPr>
            </w:pPr>
            <w:r w:rsidRPr="004E0E0D">
              <w:rPr>
                <w:rFonts w:ascii="Times New Roman" w:eastAsia="Calibri" w:hAnsi="Times New Roman" w:cs="Times New Roman"/>
                <w:b/>
                <w:sz w:val="24"/>
                <w:szCs w:val="24"/>
              </w:rPr>
              <w:t xml:space="preserve">Avizarea </w:t>
            </w:r>
            <w:proofErr w:type="spellStart"/>
            <w:r w:rsidRPr="004E0E0D">
              <w:rPr>
                <w:rFonts w:ascii="Times New Roman" w:eastAsia="Calibri" w:hAnsi="Times New Roman" w:cs="Times New Roman"/>
                <w:b/>
                <w:sz w:val="24"/>
                <w:szCs w:val="24"/>
              </w:rPr>
              <w:t>şi</w:t>
            </w:r>
            <w:proofErr w:type="spellEnd"/>
            <w:r w:rsidRPr="004E0E0D">
              <w:rPr>
                <w:rFonts w:ascii="Times New Roman" w:eastAsia="Calibri" w:hAnsi="Times New Roman" w:cs="Times New Roman"/>
                <w:b/>
                <w:sz w:val="24"/>
                <w:szCs w:val="24"/>
              </w:rPr>
              <w:t xml:space="preserve"> consultarea publică a proiectului</w:t>
            </w:r>
          </w:p>
        </w:tc>
      </w:tr>
      <w:tr w:rsidR="00EC3DC0" w:rsidRPr="00C66287" w:rsidTr="002E2052">
        <w:tc>
          <w:tcPr>
            <w:tcW w:w="9209" w:type="dxa"/>
          </w:tcPr>
          <w:p w:rsidR="00EC3DC0" w:rsidRPr="004E0E0D" w:rsidRDefault="00EC3DC0" w:rsidP="002E2052">
            <w:pPr>
              <w:ind w:firstLine="567"/>
              <w:jc w:val="both"/>
              <w:rPr>
                <w:rFonts w:ascii="Times New Roman" w:eastAsia="Calibri" w:hAnsi="Times New Roman" w:cs="Times New Roman"/>
                <w:b/>
                <w:sz w:val="24"/>
                <w:szCs w:val="24"/>
              </w:rPr>
            </w:pPr>
            <w:r w:rsidRPr="004E0E0D">
              <w:rPr>
                <w:rFonts w:ascii="Times New Roman" w:eastAsia="Calibri" w:hAnsi="Times New Roman" w:cs="Times New Roman"/>
                <w:sz w:val="24"/>
                <w:szCs w:val="24"/>
              </w:rPr>
              <w:t xml:space="preserve">Proiectul a fost plasat spre consultări publice pe pagina web a Ministerului și particip.gov.md </w:t>
            </w:r>
          </w:p>
        </w:tc>
      </w:tr>
      <w:tr w:rsidR="00EC3DC0" w:rsidRPr="00C66287" w:rsidTr="002E2052">
        <w:tc>
          <w:tcPr>
            <w:tcW w:w="9209" w:type="dxa"/>
          </w:tcPr>
          <w:p w:rsidR="00EC3DC0" w:rsidRPr="004E0E0D" w:rsidRDefault="00EC3DC0" w:rsidP="002E2052">
            <w:pPr>
              <w:tabs>
                <w:tab w:val="left" w:pos="884"/>
                <w:tab w:val="left" w:pos="1196"/>
              </w:tabs>
              <w:jc w:val="both"/>
              <w:rPr>
                <w:rFonts w:ascii="Times New Roman" w:eastAsia="Calibri" w:hAnsi="Times New Roman" w:cs="Times New Roman"/>
                <w:sz w:val="24"/>
                <w:szCs w:val="24"/>
              </w:rPr>
            </w:pPr>
            <w:r w:rsidRPr="004E0E0D">
              <w:rPr>
                <w:rFonts w:ascii="Times New Roman" w:eastAsia="Calibri" w:hAnsi="Times New Roman" w:cs="Times New Roman"/>
                <w:b/>
                <w:sz w:val="24"/>
                <w:szCs w:val="24"/>
              </w:rPr>
              <w:t>8. Constatările expertizei anticorupție</w:t>
            </w:r>
          </w:p>
        </w:tc>
      </w:tr>
      <w:tr w:rsidR="00EC3DC0" w:rsidRPr="00C66287" w:rsidTr="002E2052">
        <w:tc>
          <w:tcPr>
            <w:tcW w:w="9209" w:type="dxa"/>
          </w:tcPr>
          <w:p w:rsidR="00EC3DC0" w:rsidRPr="004E0E0D" w:rsidRDefault="00EC3DC0" w:rsidP="002E2052">
            <w:pPr>
              <w:tabs>
                <w:tab w:val="left" w:pos="884"/>
                <w:tab w:val="left" w:pos="1196"/>
              </w:tabs>
              <w:ind w:firstLine="601"/>
              <w:jc w:val="both"/>
              <w:rPr>
                <w:rFonts w:ascii="Times New Roman" w:eastAsia="Calibri" w:hAnsi="Times New Roman" w:cs="Times New Roman"/>
                <w:sz w:val="24"/>
                <w:szCs w:val="24"/>
              </w:rPr>
            </w:pPr>
          </w:p>
        </w:tc>
      </w:tr>
      <w:tr w:rsidR="00EC3DC0" w:rsidRPr="00C66287" w:rsidTr="002E2052">
        <w:tc>
          <w:tcPr>
            <w:tcW w:w="9209" w:type="dxa"/>
          </w:tcPr>
          <w:p w:rsidR="00EC3DC0" w:rsidRPr="004E0E0D" w:rsidRDefault="00EC3DC0" w:rsidP="002E2052">
            <w:pPr>
              <w:tabs>
                <w:tab w:val="left" w:pos="884"/>
                <w:tab w:val="left" w:pos="1196"/>
              </w:tabs>
              <w:spacing w:after="80"/>
              <w:jc w:val="both"/>
              <w:rPr>
                <w:rFonts w:ascii="Times New Roman" w:eastAsia="Calibri" w:hAnsi="Times New Roman" w:cs="Times New Roman"/>
                <w:b/>
                <w:sz w:val="24"/>
                <w:szCs w:val="24"/>
              </w:rPr>
            </w:pPr>
            <w:r w:rsidRPr="004E0E0D">
              <w:rPr>
                <w:rFonts w:ascii="Times New Roman" w:eastAsia="Calibri" w:hAnsi="Times New Roman" w:cs="Times New Roman"/>
                <w:b/>
                <w:sz w:val="24"/>
                <w:szCs w:val="24"/>
              </w:rPr>
              <w:t>9. Constatările expertizei de compatibilitate</w:t>
            </w:r>
          </w:p>
        </w:tc>
      </w:tr>
      <w:tr w:rsidR="00EC3DC0" w:rsidRPr="00C66287" w:rsidTr="002E2052">
        <w:tc>
          <w:tcPr>
            <w:tcW w:w="9209" w:type="dxa"/>
          </w:tcPr>
          <w:p w:rsidR="00EC3DC0" w:rsidRPr="004E0E0D" w:rsidRDefault="00EC3DC0" w:rsidP="002E2052">
            <w:pPr>
              <w:tabs>
                <w:tab w:val="left" w:pos="884"/>
                <w:tab w:val="left" w:pos="1196"/>
              </w:tabs>
              <w:spacing w:after="80"/>
              <w:ind w:firstLine="601"/>
              <w:jc w:val="both"/>
              <w:rPr>
                <w:rFonts w:ascii="Times New Roman" w:eastAsia="Calibri" w:hAnsi="Times New Roman" w:cs="Times New Roman"/>
                <w:sz w:val="24"/>
                <w:szCs w:val="24"/>
              </w:rPr>
            </w:pPr>
            <w:r w:rsidRPr="004E0E0D">
              <w:rPr>
                <w:rFonts w:ascii="Times New Roman" w:eastAsia="Calibri" w:hAnsi="Times New Roman" w:cs="Times New Roman"/>
                <w:sz w:val="24"/>
                <w:szCs w:val="24"/>
              </w:rPr>
              <w:t xml:space="preserve">Nu este necesară. </w:t>
            </w:r>
          </w:p>
        </w:tc>
      </w:tr>
      <w:tr w:rsidR="00EC3DC0" w:rsidRPr="00C66287" w:rsidTr="002E2052">
        <w:tc>
          <w:tcPr>
            <w:tcW w:w="9209" w:type="dxa"/>
          </w:tcPr>
          <w:p w:rsidR="00EC3DC0" w:rsidRPr="004E0E0D" w:rsidRDefault="00EC3DC0" w:rsidP="002E2052">
            <w:pPr>
              <w:tabs>
                <w:tab w:val="left" w:pos="884"/>
                <w:tab w:val="left" w:pos="1196"/>
              </w:tabs>
              <w:spacing w:after="80"/>
              <w:jc w:val="both"/>
              <w:rPr>
                <w:rFonts w:ascii="Times New Roman" w:eastAsia="Calibri" w:hAnsi="Times New Roman" w:cs="Times New Roman"/>
                <w:b/>
                <w:sz w:val="24"/>
                <w:szCs w:val="24"/>
              </w:rPr>
            </w:pPr>
            <w:r w:rsidRPr="004E0E0D">
              <w:rPr>
                <w:rFonts w:ascii="Times New Roman" w:eastAsia="Calibri" w:hAnsi="Times New Roman" w:cs="Times New Roman"/>
                <w:b/>
                <w:sz w:val="24"/>
                <w:szCs w:val="24"/>
              </w:rPr>
              <w:t>10. Constatările expertizei juridice</w:t>
            </w:r>
          </w:p>
        </w:tc>
      </w:tr>
      <w:tr w:rsidR="00EC3DC0" w:rsidRPr="00C66287" w:rsidTr="002E2052">
        <w:tc>
          <w:tcPr>
            <w:tcW w:w="9209" w:type="dxa"/>
          </w:tcPr>
          <w:p w:rsidR="00EC3DC0" w:rsidRPr="004E0E0D" w:rsidRDefault="00EC3DC0" w:rsidP="002E2052">
            <w:pPr>
              <w:tabs>
                <w:tab w:val="left" w:pos="993"/>
              </w:tabs>
              <w:ind w:firstLine="601"/>
              <w:jc w:val="both"/>
              <w:rPr>
                <w:rFonts w:ascii="Times New Roman" w:eastAsia="Calibri" w:hAnsi="Times New Roman" w:cs="Times New Roman"/>
                <w:color w:val="002060"/>
                <w:sz w:val="24"/>
                <w:szCs w:val="24"/>
              </w:rPr>
            </w:pPr>
          </w:p>
        </w:tc>
      </w:tr>
      <w:tr w:rsidR="00EC3DC0" w:rsidRPr="00C66287" w:rsidTr="002E2052">
        <w:tc>
          <w:tcPr>
            <w:tcW w:w="9209" w:type="dxa"/>
          </w:tcPr>
          <w:p w:rsidR="00EC3DC0" w:rsidRPr="004E0E0D" w:rsidRDefault="00EC3DC0" w:rsidP="002E2052">
            <w:pPr>
              <w:tabs>
                <w:tab w:val="left" w:pos="884"/>
                <w:tab w:val="left" w:pos="1196"/>
              </w:tabs>
              <w:spacing w:after="80"/>
              <w:jc w:val="both"/>
              <w:rPr>
                <w:rFonts w:ascii="Times New Roman" w:eastAsia="Calibri" w:hAnsi="Times New Roman" w:cs="Times New Roman"/>
                <w:b/>
                <w:sz w:val="24"/>
                <w:szCs w:val="24"/>
              </w:rPr>
            </w:pPr>
            <w:r w:rsidRPr="004E0E0D">
              <w:rPr>
                <w:rFonts w:ascii="Times New Roman" w:eastAsia="Calibri" w:hAnsi="Times New Roman" w:cs="Times New Roman"/>
                <w:b/>
                <w:sz w:val="24"/>
                <w:szCs w:val="24"/>
              </w:rPr>
              <w:t>11. Constatările altor expertize</w:t>
            </w:r>
          </w:p>
        </w:tc>
      </w:tr>
      <w:tr w:rsidR="00EC3DC0" w:rsidRPr="00C66287" w:rsidTr="002E2052">
        <w:tc>
          <w:tcPr>
            <w:tcW w:w="9209" w:type="dxa"/>
          </w:tcPr>
          <w:p w:rsidR="00EC3DC0" w:rsidRPr="004E0E0D" w:rsidRDefault="00EC3DC0" w:rsidP="002E2052">
            <w:pPr>
              <w:ind w:firstLine="567"/>
              <w:jc w:val="both"/>
              <w:rPr>
                <w:rFonts w:ascii="Times New Roman" w:eastAsia="Calibri" w:hAnsi="Times New Roman" w:cs="Times New Roman"/>
                <w:iCs/>
                <w:sz w:val="24"/>
                <w:szCs w:val="24"/>
              </w:rPr>
            </w:pPr>
            <w:r w:rsidRPr="004E0E0D">
              <w:rPr>
                <w:rFonts w:ascii="Times New Roman" w:eastAsia="Calibri" w:hAnsi="Times New Roman" w:cs="Times New Roman"/>
                <w:iCs/>
                <w:sz w:val="24"/>
                <w:szCs w:val="24"/>
              </w:rPr>
              <w:t xml:space="preserve"> </w:t>
            </w:r>
          </w:p>
        </w:tc>
      </w:tr>
    </w:tbl>
    <w:p w:rsidR="00EC3DC0" w:rsidRPr="00C66287" w:rsidRDefault="00EC3DC0" w:rsidP="00EC3DC0">
      <w:pPr>
        <w:spacing w:after="0" w:line="240" w:lineRule="auto"/>
        <w:rPr>
          <w:rFonts w:ascii="Times New Roman" w:eastAsia="Calibri" w:hAnsi="Times New Roman" w:cs="Times New Roman"/>
          <w:sz w:val="26"/>
          <w:szCs w:val="26"/>
        </w:rPr>
      </w:pPr>
    </w:p>
    <w:p w:rsidR="004E0E0D" w:rsidRDefault="004E0E0D" w:rsidP="00EC3DC0">
      <w:pPr>
        <w:spacing w:after="0" w:line="240" w:lineRule="auto"/>
        <w:rPr>
          <w:rFonts w:ascii="Times New Roman" w:eastAsia="Calibri" w:hAnsi="Times New Roman" w:cs="Times New Roman"/>
          <w:b/>
          <w:sz w:val="26"/>
          <w:szCs w:val="26"/>
        </w:rPr>
      </w:pPr>
    </w:p>
    <w:p w:rsidR="004E0E0D" w:rsidRDefault="004E0E0D" w:rsidP="00EC3DC0">
      <w:pPr>
        <w:spacing w:after="0" w:line="240" w:lineRule="auto"/>
        <w:rPr>
          <w:rFonts w:ascii="Times New Roman" w:eastAsia="Calibri" w:hAnsi="Times New Roman" w:cs="Times New Roman"/>
          <w:b/>
          <w:sz w:val="26"/>
          <w:szCs w:val="26"/>
        </w:rPr>
      </w:pPr>
    </w:p>
    <w:p w:rsidR="004E0E0D" w:rsidRDefault="004E0E0D" w:rsidP="004E0E0D">
      <w:pPr>
        <w:spacing w:after="0" w:line="240" w:lineRule="auto"/>
        <w:ind w:firstLine="426"/>
        <w:rPr>
          <w:rFonts w:ascii="Times New Roman" w:eastAsia="Calibri" w:hAnsi="Times New Roman" w:cs="Times New Roman"/>
          <w:b/>
          <w:sz w:val="26"/>
          <w:szCs w:val="26"/>
        </w:rPr>
      </w:pPr>
    </w:p>
    <w:p w:rsidR="0020066A" w:rsidRPr="007B7EFF" w:rsidRDefault="0020066A" w:rsidP="0020066A">
      <w:pPr>
        <w:spacing w:after="0" w:line="240" w:lineRule="auto"/>
        <w:ind w:left="1134" w:hanging="708"/>
        <w:rPr>
          <w:rFonts w:ascii="Times New Roman" w:hAnsi="Times New Roman" w:cs="Times New Roman"/>
          <w:kern w:val="2"/>
          <w:sz w:val="28"/>
          <w:szCs w:val="28"/>
        </w:rPr>
      </w:pPr>
      <w:r>
        <w:rPr>
          <w:rFonts w:ascii="Times New Roman" w:eastAsia="Arial Unicode MS" w:hAnsi="Times New Roman" w:cs="Times New Roman"/>
          <w:b/>
          <w:sz w:val="28"/>
          <w:szCs w:val="28"/>
          <w:lang w:eastAsia="ro-RO" w:bidi="ro-RO"/>
        </w:rPr>
        <w:t xml:space="preserve">Secretar de stat </w:t>
      </w:r>
      <w:r>
        <w:rPr>
          <w:rFonts w:ascii="Times New Roman" w:eastAsia="Arial Unicode MS" w:hAnsi="Times New Roman" w:cs="Times New Roman"/>
          <w:b/>
          <w:sz w:val="28"/>
          <w:szCs w:val="28"/>
          <w:lang w:eastAsia="ro-RO" w:bidi="ro-RO"/>
        </w:rPr>
        <w:tab/>
      </w:r>
      <w:r>
        <w:rPr>
          <w:rFonts w:ascii="Times New Roman" w:eastAsia="Arial Unicode MS" w:hAnsi="Times New Roman" w:cs="Times New Roman"/>
          <w:b/>
          <w:sz w:val="28"/>
          <w:szCs w:val="28"/>
          <w:lang w:eastAsia="ro-RO" w:bidi="ro-RO"/>
        </w:rPr>
        <w:tab/>
      </w:r>
      <w:r>
        <w:rPr>
          <w:rFonts w:ascii="Times New Roman" w:eastAsia="Arial Unicode MS" w:hAnsi="Times New Roman" w:cs="Times New Roman"/>
          <w:b/>
          <w:sz w:val="28"/>
          <w:szCs w:val="28"/>
          <w:lang w:eastAsia="ro-RO" w:bidi="ro-RO"/>
        </w:rPr>
        <w:tab/>
      </w:r>
      <w:r>
        <w:rPr>
          <w:rFonts w:ascii="Times New Roman" w:eastAsia="Arial Unicode MS" w:hAnsi="Times New Roman" w:cs="Times New Roman"/>
          <w:b/>
          <w:sz w:val="28"/>
          <w:szCs w:val="28"/>
          <w:lang w:eastAsia="ro-RO" w:bidi="ro-RO"/>
        </w:rPr>
        <w:tab/>
      </w:r>
      <w:r>
        <w:rPr>
          <w:rFonts w:ascii="Times New Roman" w:eastAsia="Arial Unicode MS" w:hAnsi="Times New Roman" w:cs="Times New Roman"/>
          <w:b/>
          <w:sz w:val="28"/>
          <w:szCs w:val="28"/>
          <w:lang w:eastAsia="ro-RO" w:bidi="ro-RO"/>
        </w:rPr>
        <w:tab/>
      </w:r>
      <w:r>
        <w:rPr>
          <w:rFonts w:ascii="Times New Roman" w:eastAsia="Arial Unicode MS" w:hAnsi="Times New Roman" w:cs="Times New Roman"/>
          <w:b/>
          <w:sz w:val="28"/>
          <w:szCs w:val="28"/>
          <w:lang w:eastAsia="ro-RO" w:bidi="ro-RO"/>
        </w:rPr>
        <w:tab/>
      </w:r>
      <w:r>
        <w:rPr>
          <w:rFonts w:ascii="Times New Roman" w:eastAsia="Arial Unicode MS" w:hAnsi="Times New Roman" w:cs="Times New Roman"/>
          <w:b/>
          <w:sz w:val="28"/>
          <w:szCs w:val="28"/>
          <w:lang w:eastAsia="ro-RO" w:bidi="ro-RO"/>
        </w:rPr>
        <w:tab/>
        <w:t>Vasile ȘARBAN</w:t>
      </w:r>
    </w:p>
    <w:p w:rsidR="0020066A" w:rsidRPr="007B7EFF" w:rsidRDefault="0020066A" w:rsidP="0020066A">
      <w:pPr>
        <w:spacing w:after="0" w:line="240" w:lineRule="auto"/>
        <w:ind w:left="7506" w:firstLine="282"/>
        <w:rPr>
          <w:rFonts w:ascii="Times New Roman" w:hAnsi="Times New Roman" w:cs="Times New Roman"/>
          <w:kern w:val="2"/>
          <w:sz w:val="20"/>
          <w:szCs w:val="20"/>
        </w:rPr>
      </w:pPr>
      <w:r w:rsidRPr="007B7EFF">
        <w:rPr>
          <w:rFonts w:ascii="Times New Roman" w:hAnsi="Times New Roman" w:cs="Times New Roman"/>
          <w:kern w:val="2"/>
          <w:sz w:val="20"/>
          <w:szCs w:val="20"/>
        </w:rPr>
        <w:t xml:space="preserve"> </w:t>
      </w:r>
    </w:p>
    <w:p w:rsidR="000356B1" w:rsidRPr="004E0E0D" w:rsidRDefault="000356B1" w:rsidP="0020066A">
      <w:pPr>
        <w:spacing w:after="0" w:line="240" w:lineRule="auto"/>
        <w:ind w:firstLine="426"/>
        <w:rPr>
          <w:rFonts w:ascii="Times New Roman" w:eastAsia="Calibri" w:hAnsi="Times New Roman" w:cs="Times New Roman"/>
          <w:b/>
          <w:sz w:val="26"/>
          <w:szCs w:val="26"/>
        </w:rPr>
      </w:pPr>
    </w:p>
    <w:sectPr w:rsidR="000356B1" w:rsidRPr="004E0E0D" w:rsidSect="0001301E">
      <w:pgSz w:w="11906" w:h="16838" w:code="9"/>
      <w:pgMar w:top="993" w:right="849"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4750C"/>
    <w:multiLevelType w:val="hybridMultilevel"/>
    <w:tmpl w:val="B1C0843C"/>
    <w:lvl w:ilvl="0" w:tplc="3E48D646">
      <w:start w:val="19"/>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29BF502A"/>
    <w:multiLevelType w:val="hybridMultilevel"/>
    <w:tmpl w:val="7BA29868"/>
    <w:lvl w:ilvl="0" w:tplc="60700FCC">
      <w:start w:val="2"/>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32797B5F"/>
    <w:multiLevelType w:val="multilevel"/>
    <w:tmpl w:val="80E8C8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B265C19"/>
    <w:multiLevelType w:val="hybridMultilevel"/>
    <w:tmpl w:val="EA7415A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DC0"/>
    <w:rsid w:val="0001301E"/>
    <w:rsid w:val="000356B1"/>
    <w:rsid w:val="000A2A06"/>
    <w:rsid w:val="000C533F"/>
    <w:rsid w:val="00156E4C"/>
    <w:rsid w:val="001C4EA9"/>
    <w:rsid w:val="001F2B63"/>
    <w:rsid w:val="0020066A"/>
    <w:rsid w:val="00212D75"/>
    <w:rsid w:val="002674BD"/>
    <w:rsid w:val="002E2052"/>
    <w:rsid w:val="002E4278"/>
    <w:rsid w:val="00344145"/>
    <w:rsid w:val="00404DC4"/>
    <w:rsid w:val="00494408"/>
    <w:rsid w:val="004E0E0D"/>
    <w:rsid w:val="00555D8F"/>
    <w:rsid w:val="006247E5"/>
    <w:rsid w:val="00624CE8"/>
    <w:rsid w:val="0064671D"/>
    <w:rsid w:val="006955B7"/>
    <w:rsid w:val="00697C52"/>
    <w:rsid w:val="006A23CB"/>
    <w:rsid w:val="00734F17"/>
    <w:rsid w:val="007E34F6"/>
    <w:rsid w:val="0084691B"/>
    <w:rsid w:val="008A3645"/>
    <w:rsid w:val="009316AE"/>
    <w:rsid w:val="00984EE5"/>
    <w:rsid w:val="009C0AF1"/>
    <w:rsid w:val="00A147F8"/>
    <w:rsid w:val="00A67BC6"/>
    <w:rsid w:val="00A70640"/>
    <w:rsid w:val="00A726AA"/>
    <w:rsid w:val="00B2779E"/>
    <w:rsid w:val="00B32302"/>
    <w:rsid w:val="00B6433D"/>
    <w:rsid w:val="00B70DDF"/>
    <w:rsid w:val="00B73F27"/>
    <w:rsid w:val="00B76493"/>
    <w:rsid w:val="00BF6712"/>
    <w:rsid w:val="00C66287"/>
    <w:rsid w:val="00CB19CD"/>
    <w:rsid w:val="00CE4E41"/>
    <w:rsid w:val="00D21C4D"/>
    <w:rsid w:val="00E13AFA"/>
    <w:rsid w:val="00E834B1"/>
    <w:rsid w:val="00EC3DC0"/>
    <w:rsid w:val="00F06DAA"/>
    <w:rsid w:val="00F32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6F330-E617-4B8C-ADCC-5A315C1A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DC0"/>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EC3DC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B3230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32302"/>
    <w:rPr>
      <w:rFonts w:ascii="Segoe UI" w:hAnsi="Segoe UI" w:cs="Segoe UI"/>
      <w:sz w:val="18"/>
      <w:szCs w:val="18"/>
      <w:lang w:val="ro-RO"/>
    </w:rPr>
  </w:style>
  <w:style w:type="character" w:customStyle="1" w:styleId="Bodytext3">
    <w:name w:val="Body text (3)_"/>
    <w:basedOn w:val="Fontdeparagrafimplicit"/>
    <w:link w:val="Bodytext30"/>
    <w:rsid w:val="00D21C4D"/>
    <w:rPr>
      <w:rFonts w:ascii="Times New Roman" w:eastAsia="Times New Roman" w:hAnsi="Times New Roman" w:cs="Times New Roman"/>
      <w:b/>
      <w:bCs/>
      <w:sz w:val="28"/>
      <w:szCs w:val="28"/>
      <w:shd w:val="clear" w:color="auto" w:fill="FFFFFF"/>
    </w:rPr>
  </w:style>
  <w:style w:type="paragraph" w:customStyle="1" w:styleId="Bodytext30">
    <w:name w:val="Body text (3)"/>
    <w:basedOn w:val="Normal"/>
    <w:link w:val="Bodytext3"/>
    <w:rsid w:val="00D21C4D"/>
    <w:pPr>
      <w:widowControl w:val="0"/>
      <w:shd w:val="clear" w:color="auto" w:fill="FFFFFF"/>
      <w:spacing w:after="0" w:line="320" w:lineRule="exact"/>
      <w:jc w:val="center"/>
    </w:pPr>
    <w:rPr>
      <w:rFonts w:ascii="Times New Roman" w:eastAsia="Times New Roman" w:hAnsi="Times New Roman" w:cs="Times New Roman"/>
      <w:b/>
      <w:bCs/>
      <w:sz w:val="28"/>
      <w:szCs w:val="28"/>
      <w:lang w:val="en-US"/>
    </w:rPr>
  </w:style>
  <w:style w:type="character" w:customStyle="1" w:styleId="Bodytext2">
    <w:name w:val="Body text (2)_"/>
    <w:basedOn w:val="Fontdeparagrafimplicit"/>
    <w:link w:val="Bodytext20"/>
    <w:rsid w:val="00734F17"/>
    <w:rPr>
      <w:rFonts w:ascii="Times New Roman" w:eastAsia="Times New Roman" w:hAnsi="Times New Roman" w:cs="Times New Roman"/>
      <w:sz w:val="26"/>
      <w:szCs w:val="26"/>
      <w:shd w:val="clear" w:color="auto" w:fill="FFFFFF"/>
    </w:rPr>
  </w:style>
  <w:style w:type="character" w:customStyle="1" w:styleId="Bodytext4">
    <w:name w:val="Body text (4)_"/>
    <w:basedOn w:val="Fontdeparagrafimplicit"/>
    <w:link w:val="Bodytext40"/>
    <w:rsid w:val="00734F17"/>
    <w:rPr>
      <w:rFonts w:ascii="Consolas" w:eastAsia="Consolas" w:hAnsi="Consolas" w:cs="Consolas"/>
      <w:sz w:val="8"/>
      <w:szCs w:val="8"/>
      <w:shd w:val="clear" w:color="auto" w:fill="FFFFFF"/>
    </w:rPr>
  </w:style>
  <w:style w:type="character" w:customStyle="1" w:styleId="Bodytext5">
    <w:name w:val="Body text (5)_"/>
    <w:basedOn w:val="Fontdeparagrafimplicit"/>
    <w:link w:val="Bodytext50"/>
    <w:rsid w:val="00734F17"/>
    <w:rPr>
      <w:rFonts w:ascii="Times New Roman" w:eastAsia="Times New Roman" w:hAnsi="Times New Roman" w:cs="Times New Roman"/>
      <w:i/>
      <w:iCs/>
      <w:sz w:val="8"/>
      <w:szCs w:val="8"/>
      <w:shd w:val="clear" w:color="auto" w:fill="FFFFFF"/>
    </w:rPr>
  </w:style>
  <w:style w:type="paragraph" w:customStyle="1" w:styleId="Bodytext20">
    <w:name w:val="Body text (2)"/>
    <w:basedOn w:val="Normal"/>
    <w:link w:val="Bodytext2"/>
    <w:rsid w:val="00734F17"/>
    <w:pPr>
      <w:widowControl w:val="0"/>
      <w:shd w:val="clear" w:color="auto" w:fill="FFFFFF"/>
      <w:spacing w:before="240" w:after="0" w:line="320" w:lineRule="exact"/>
      <w:jc w:val="both"/>
    </w:pPr>
    <w:rPr>
      <w:rFonts w:ascii="Times New Roman" w:eastAsia="Times New Roman" w:hAnsi="Times New Roman" w:cs="Times New Roman"/>
      <w:sz w:val="26"/>
      <w:szCs w:val="26"/>
      <w:lang w:val="en-US"/>
    </w:rPr>
  </w:style>
  <w:style w:type="paragraph" w:customStyle="1" w:styleId="Bodytext40">
    <w:name w:val="Body text (4)"/>
    <w:basedOn w:val="Normal"/>
    <w:link w:val="Bodytext4"/>
    <w:rsid w:val="00734F17"/>
    <w:pPr>
      <w:widowControl w:val="0"/>
      <w:shd w:val="clear" w:color="auto" w:fill="FFFFFF"/>
      <w:spacing w:after="0" w:line="0" w:lineRule="atLeast"/>
    </w:pPr>
    <w:rPr>
      <w:rFonts w:ascii="Consolas" w:eastAsia="Consolas" w:hAnsi="Consolas" w:cs="Consolas"/>
      <w:sz w:val="8"/>
      <w:szCs w:val="8"/>
      <w:lang w:val="en-US"/>
    </w:rPr>
  </w:style>
  <w:style w:type="paragraph" w:customStyle="1" w:styleId="Bodytext50">
    <w:name w:val="Body text (5)"/>
    <w:basedOn w:val="Normal"/>
    <w:link w:val="Bodytext5"/>
    <w:rsid w:val="00734F17"/>
    <w:pPr>
      <w:widowControl w:val="0"/>
      <w:shd w:val="clear" w:color="auto" w:fill="FFFFFF"/>
      <w:spacing w:after="0" w:line="0" w:lineRule="atLeast"/>
    </w:pPr>
    <w:rPr>
      <w:rFonts w:ascii="Times New Roman" w:eastAsia="Times New Roman" w:hAnsi="Times New Roman" w:cs="Times New Roman"/>
      <w:i/>
      <w:iCs/>
      <w:sz w:val="8"/>
      <w:szCs w:val="8"/>
      <w:lang w:val="en-US"/>
    </w:rPr>
  </w:style>
  <w:style w:type="paragraph" w:styleId="NormalWeb">
    <w:name w:val="Normal (Web)"/>
    <w:basedOn w:val="Normal"/>
    <w:uiPriority w:val="99"/>
    <w:unhideWhenUsed/>
    <w:rsid w:val="009C0A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ccentuat">
    <w:name w:val="Emphasis"/>
    <w:basedOn w:val="Fontdeparagrafimplicit"/>
    <w:uiPriority w:val="20"/>
    <w:qFormat/>
    <w:rsid w:val="009C0AF1"/>
    <w:rPr>
      <w:i/>
      <w:iCs/>
    </w:rPr>
  </w:style>
  <w:style w:type="paragraph" w:styleId="Listparagraf">
    <w:name w:val="List Paragraph"/>
    <w:basedOn w:val="Normal"/>
    <w:uiPriority w:val="34"/>
    <w:qFormat/>
    <w:rsid w:val="00984EE5"/>
    <w:pPr>
      <w:ind w:left="720"/>
      <w:contextualSpacing/>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805062">
      <w:bodyDiv w:val="1"/>
      <w:marLeft w:val="0"/>
      <w:marRight w:val="0"/>
      <w:marTop w:val="0"/>
      <w:marBottom w:val="0"/>
      <w:divBdr>
        <w:top w:val="none" w:sz="0" w:space="0" w:color="auto"/>
        <w:left w:val="none" w:sz="0" w:space="0" w:color="auto"/>
        <w:bottom w:val="none" w:sz="0" w:space="0" w:color="auto"/>
        <w:right w:val="none" w:sz="0" w:space="0" w:color="auto"/>
      </w:divBdr>
    </w:div>
    <w:div w:id="840657163">
      <w:bodyDiv w:val="1"/>
      <w:marLeft w:val="0"/>
      <w:marRight w:val="0"/>
      <w:marTop w:val="0"/>
      <w:marBottom w:val="0"/>
      <w:divBdr>
        <w:top w:val="none" w:sz="0" w:space="0" w:color="auto"/>
        <w:left w:val="none" w:sz="0" w:space="0" w:color="auto"/>
        <w:bottom w:val="none" w:sz="0" w:space="0" w:color="auto"/>
        <w:right w:val="none" w:sz="0" w:space="0" w:color="auto"/>
      </w:divBdr>
    </w:div>
    <w:div w:id="187226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2</Pages>
  <Words>864</Words>
  <Characters>5013</Characters>
  <Application>Microsoft Office Word</Application>
  <DocSecurity>0</DocSecurity>
  <Lines>41</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Grigoriță Veaceslav</dc:creator>
  <cp:keywords/>
  <dc:description/>
  <cp:lastModifiedBy>Marin GRAMA</cp:lastModifiedBy>
  <cp:revision>2</cp:revision>
  <cp:lastPrinted>2023-07-24T12:41:00Z</cp:lastPrinted>
  <dcterms:created xsi:type="dcterms:W3CDTF">2023-05-17T05:10:00Z</dcterms:created>
  <dcterms:modified xsi:type="dcterms:W3CDTF">2023-07-27T07:09:00Z</dcterms:modified>
</cp:coreProperties>
</file>