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66386" w14:textId="77777777" w:rsidR="00B1539E" w:rsidRPr="00AE4713" w:rsidRDefault="00B1539E" w:rsidP="00B1539E">
      <w:pPr>
        <w:jc w:val="center"/>
        <w:rPr>
          <w:b/>
          <w:lang w:val="ro-RO"/>
        </w:rPr>
      </w:pPr>
      <w:r w:rsidRPr="00AE4713">
        <w:rPr>
          <w:b/>
          <w:lang w:val="ro-RO"/>
        </w:rPr>
        <w:t>Notă informativă</w:t>
      </w:r>
    </w:p>
    <w:p w14:paraId="5774F21B" w14:textId="77777777" w:rsidR="00BC16FB" w:rsidRPr="00AE4713" w:rsidRDefault="00B1539E" w:rsidP="00BC16FB">
      <w:pPr>
        <w:jc w:val="center"/>
        <w:rPr>
          <w:b/>
          <w:lang w:val="ro-RO"/>
        </w:rPr>
      </w:pPr>
      <w:r w:rsidRPr="00AE4713">
        <w:rPr>
          <w:b/>
          <w:lang w:val="ro-RO"/>
        </w:rPr>
        <w:t xml:space="preserve">la proiectul hotărârii de Guvern </w:t>
      </w:r>
      <w:r w:rsidR="00BC16FB" w:rsidRPr="00AE4713">
        <w:rPr>
          <w:b/>
          <w:lang w:val="ro-RO"/>
        </w:rPr>
        <w:t xml:space="preserve">cu privire </w:t>
      </w:r>
    </w:p>
    <w:p w14:paraId="3C78DB43" w14:textId="6EC1233F" w:rsidR="000F583C" w:rsidRDefault="00BC16FB" w:rsidP="00BC16FB">
      <w:pPr>
        <w:jc w:val="center"/>
        <w:rPr>
          <w:b/>
          <w:lang w:val="ro-RO"/>
        </w:rPr>
      </w:pPr>
      <w:r w:rsidRPr="00AE4713">
        <w:rPr>
          <w:b/>
          <w:lang w:val="ro-RO"/>
        </w:rPr>
        <w:t>la modificarea unor hotărâri ale Guvernului</w:t>
      </w:r>
    </w:p>
    <w:p w14:paraId="02720CAC" w14:textId="721B06BC" w:rsidR="00E71B28" w:rsidRPr="00AE4713" w:rsidRDefault="00E71B28" w:rsidP="00BC16FB">
      <w:pPr>
        <w:jc w:val="center"/>
        <w:rPr>
          <w:b/>
          <w:lang w:val="ro-RO"/>
        </w:rPr>
      </w:pPr>
      <w:r>
        <w:rPr>
          <w:b/>
          <w:lang w:val="ro-RO"/>
        </w:rPr>
        <w:t>(Programele ODA)</w:t>
      </w:r>
    </w:p>
    <w:p w14:paraId="038070EF" w14:textId="77777777" w:rsidR="00B1539E" w:rsidRPr="00AE4713" w:rsidRDefault="00B1539E" w:rsidP="00B1539E">
      <w:pPr>
        <w:jc w:val="center"/>
        <w:rPr>
          <w:b/>
          <w:i/>
          <w:lang w:val="ro-RO"/>
        </w:rPr>
      </w:pPr>
    </w:p>
    <w:tbl>
      <w:tblPr>
        <w:tblStyle w:val="TableGrid"/>
        <w:tblW w:w="10065" w:type="dxa"/>
        <w:tblInd w:w="-147" w:type="dxa"/>
        <w:tblLayout w:type="fixed"/>
        <w:tblLook w:val="04A0" w:firstRow="1" w:lastRow="0" w:firstColumn="1" w:lastColumn="0" w:noHBand="0" w:noVBand="1"/>
      </w:tblPr>
      <w:tblGrid>
        <w:gridCol w:w="709"/>
        <w:gridCol w:w="9356"/>
      </w:tblGrid>
      <w:tr w:rsidR="00B1539E" w:rsidRPr="00E71B28" w14:paraId="75A4057D" w14:textId="77777777" w:rsidTr="004C613F">
        <w:trPr>
          <w:trHeight w:val="535"/>
        </w:trPr>
        <w:tc>
          <w:tcPr>
            <w:tcW w:w="709" w:type="dxa"/>
            <w:shd w:val="clear" w:color="auto" w:fill="BFBFBF" w:themeFill="background1" w:themeFillShade="BF"/>
          </w:tcPr>
          <w:p w14:paraId="71794143" w14:textId="77777777" w:rsidR="00B1539E" w:rsidRPr="00AE4713" w:rsidRDefault="00B1539E" w:rsidP="00C264B3">
            <w:pPr>
              <w:spacing w:line="276" w:lineRule="auto"/>
              <w:jc w:val="both"/>
              <w:rPr>
                <w:b/>
                <w:lang w:val="ro-RO"/>
              </w:rPr>
            </w:pPr>
            <w:r w:rsidRPr="00AE4713">
              <w:rPr>
                <w:b/>
                <w:lang w:val="ro-RO"/>
              </w:rPr>
              <w:t>1.</w:t>
            </w:r>
          </w:p>
        </w:tc>
        <w:tc>
          <w:tcPr>
            <w:tcW w:w="9356" w:type="dxa"/>
            <w:shd w:val="clear" w:color="auto" w:fill="BFBFBF" w:themeFill="background1" w:themeFillShade="BF"/>
          </w:tcPr>
          <w:p w14:paraId="53C98945" w14:textId="77777777" w:rsidR="00B1539E" w:rsidRPr="00AE4713" w:rsidRDefault="00B1539E" w:rsidP="00C264B3">
            <w:pPr>
              <w:spacing w:line="276" w:lineRule="auto"/>
              <w:jc w:val="both"/>
              <w:rPr>
                <w:b/>
                <w:lang w:val="ro-RO"/>
              </w:rPr>
            </w:pPr>
            <w:r w:rsidRPr="00AE4713">
              <w:rPr>
                <w:b/>
                <w:lang w:val="ro-RO"/>
              </w:rPr>
              <w:t>Denumirea autorului și, după caz, a participanților la elaborarea proiectului</w:t>
            </w:r>
          </w:p>
        </w:tc>
      </w:tr>
      <w:tr w:rsidR="00B1539E" w:rsidRPr="00E71B28" w14:paraId="76BD330C" w14:textId="77777777" w:rsidTr="004C613F">
        <w:trPr>
          <w:trHeight w:val="406"/>
        </w:trPr>
        <w:tc>
          <w:tcPr>
            <w:tcW w:w="709" w:type="dxa"/>
            <w:shd w:val="clear" w:color="auto" w:fill="FFFFFF" w:themeFill="background1"/>
          </w:tcPr>
          <w:p w14:paraId="30737C0E" w14:textId="77777777" w:rsidR="00B1539E" w:rsidRPr="00AE4713" w:rsidRDefault="00B1539E" w:rsidP="00C264B3">
            <w:pPr>
              <w:spacing w:line="276" w:lineRule="auto"/>
              <w:jc w:val="both"/>
              <w:rPr>
                <w:lang w:val="ro-RO"/>
              </w:rPr>
            </w:pPr>
          </w:p>
        </w:tc>
        <w:tc>
          <w:tcPr>
            <w:tcW w:w="9356" w:type="dxa"/>
            <w:shd w:val="clear" w:color="auto" w:fill="FFFFFF" w:themeFill="background1"/>
          </w:tcPr>
          <w:p w14:paraId="596AF170" w14:textId="4803B283" w:rsidR="00B1539E" w:rsidRPr="00AE4713" w:rsidRDefault="0011100A" w:rsidP="00E71B28">
            <w:pPr>
              <w:spacing w:line="276" w:lineRule="auto"/>
              <w:jc w:val="both"/>
              <w:rPr>
                <w:b/>
                <w:lang w:val="ro-RO"/>
              </w:rPr>
            </w:pPr>
            <w:r w:rsidRPr="00AE4713">
              <w:rPr>
                <w:lang w:val="ro-RO"/>
              </w:rPr>
              <w:t>Proiectul hotărârii Guvern</w:t>
            </w:r>
            <w:r w:rsidR="00DC7DB7" w:rsidRPr="00AE4713">
              <w:rPr>
                <w:lang w:val="ro-RO"/>
              </w:rPr>
              <w:t>ului</w:t>
            </w:r>
            <w:r w:rsidR="00F6665D" w:rsidRPr="00AE4713">
              <w:rPr>
                <w:lang w:val="ro-RO"/>
              </w:rPr>
              <w:t xml:space="preserve"> </w:t>
            </w:r>
            <w:r w:rsidRPr="00AE4713">
              <w:rPr>
                <w:lang w:val="ro-RO"/>
              </w:rPr>
              <w:t xml:space="preserve">cu privire la modificarea unor </w:t>
            </w:r>
            <w:r w:rsidR="0071716E" w:rsidRPr="00AE4713">
              <w:rPr>
                <w:lang w:val="ro-RO"/>
              </w:rPr>
              <w:t>hotărâri ale Guvernului</w:t>
            </w:r>
            <w:r w:rsidR="00E71B28">
              <w:rPr>
                <w:lang w:val="ro-RO"/>
              </w:rPr>
              <w:t xml:space="preserve"> (</w:t>
            </w:r>
            <w:r w:rsidR="009544CE" w:rsidRPr="00AE4713">
              <w:rPr>
                <w:lang w:val="ro-RO"/>
              </w:rPr>
              <w:t xml:space="preserve">în continuare – </w:t>
            </w:r>
            <w:r w:rsidR="009544CE" w:rsidRPr="00AE4713">
              <w:rPr>
                <w:i/>
                <w:iCs/>
                <w:lang w:val="ro-RO"/>
              </w:rPr>
              <w:t>proiect</w:t>
            </w:r>
            <w:r w:rsidR="009544CE" w:rsidRPr="00AE4713">
              <w:rPr>
                <w:lang w:val="ro-RO"/>
              </w:rPr>
              <w:t xml:space="preserve">) </w:t>
            </w:r>
            <w:r w:rsidRPr="00AE4713">
              <w:rPr>
                <w:lang w:val="ro-RO"/>
              </w:rPr>
              <w:t xml:space="preserve">este elaborat de Ministerul </w:t>
            </w:r>
            <w:r w:rsidR="008470F3" w:rsidRPr="00AE4713">
              <w:rPr>
                <w:lang w:val="ro-RO"/>
              </w:rPr>
              <w:t xml:space="preserve">Dezvoltării </w:t>
            </w:r>
            <w:r w:rsidRPr="00AE4713">
              <w:rPr>
                <w:lang w:val="ro-RO"/>
              </w:rPr>
              <w:t>Economi</w:t>
            </w:r>
            <w:r w:rsidR="008470F3" w:rsidRPr="00AE4713">
              <w:rPr>
                <w:lang w:val="ro-RO"/>
              </w:rPr>
              <w:t>c</w:t>
            </w:r>
            <w:r w:rsidRPr="00AE4713">
              <w:rPr>
                <w:lang w:val="ro-RO"/>
              </w:rPr>
              <w:t>e</w:t>
            </w:r>
            <w:r w:rsidR="008470F3" w:rsidRPr="00AE4713">
              <w:rPr>
                <w:lang w:val="ro-RO"/>
              </w:rPr>
              <w:t xml:space="preserve"> și Digitalizării</w:t>
            </w:r>
            <w:r w:rsidRPr="00AE4713">
              <w:rPr>
                <w:lang w:val="ro-RO"/>
              </w:rPr>
              <w:t xml:space="preserve">, în comun cu Instituția Publică Organizația pentru Dezvoltarea Antreprenoriatului (în continuare </w:t>
            </w:r>
            <w:r w:rsidR="008470F3" w:rsidRPr="00AE4713">
              <w:rPr>
                <w:lang w:val="ro-RO"/>
              </w:rPr>
              <w:t xml:space="preserve">- </w:t>
            </w:r>
            <w:r w:rsidRPr="00AE4713">
              <w:rPr>
                <w:i/>
                <w:iCs/>
                <w:lang w:val="ro-RO"/>
              </w:rPr>
              <w:t>IP</w:t>
            </w:r>
            <w:r w:rsidR="00FB5E54" w:rsidRPr="00AE4713">
              <w:rPr>
                <w:i/>
                <w:iCs/>
                <w:lang w:val="ro-RO"/>
              </w:rPr>
              <w:t xml:space="preserve"> </w:t>
            </w:r>
            <w:r w:rsidRPr="00AE4713">
              <w:rPr>
                <w:i/>
                <w:iCs/>
                <w:lang w:val="ro-RO"/>
              </w:rPr>
              <w:t>ODA</w:t>
            </w:r>
            <w:r w:rsidRPr="00AE4713">
              <w:rPr>
                <w:lang w:val="ro-RO"/>
              </w:rPr>
              <w:t>).</w:t>
            </w:r>
          </w:p>
        </w:tc>
      </w:tr>
      <w:tr w:rsidR="00B1539E" w:rsidRPr="00E71B28" w14:paraId="104B3AA4" w14:textId="77777777" w:rsidTr="004C613F">
        <w:trPr>
          <w:trHeight w:val="535"/>
        </w:trPr>
        <w:tc>
          <w:tcPr>
            <w:tcW w:w="709" w:type="dxa"/>
            <w:shd w:val="clear" w:color="auto" w:fill="BFBFBF" w:themeFill="background1" w:themeFillShade="BF"/>
          </w:tcPr>
          <w:p w14:paraId="535C39A3" w14:textId="77777777" w:rsidR="00B1539E" w:rsidRPr="00AE4713" w:rsidRDefault="00B1539E" w:rsidP="00C264B3">
            <w:pPr>
              <w:spacing w:line="276" w:lineRule="auto"/>
              <w:jc w:val="both"/>
              <w:rPr>
                <w:b/>
                <w:lang w:val="ro-RO"/>
              </w:rPr>
            </w:pPr>
            <w:r w:rsidRPr="00AE4713">
              <w:rPr>
                <w:b/>
                <w:lang w:val="ro-RO"/>
              </w:rPr>
              <w:t>2.</w:t>
            </w:r>
          </w:p>
        </w:tc>
        <w:tc>
          <w:tcPr>
            <w:tcW w:w="9356" w:type="dxa"/>
            <w:shd w:val="clear" w:color="auto" w:fill="BFBFBF" w:themeFill="background1" w:themeFillShade="BF"/>
          </w:tcPr>
          <w:p w14:paraId="141BF9CF" w14:textId="77777777" w:rsidR="00B1539E" w:rsidRPr="00AE4713" w:rsidRDefault="00B1539E" w:rsidP="00C264B3">
            <w:pPr>
              <w:spacing w:line="276" w:lineRule="auto"/>
              <w:jc w:val="both"/>
              <w:rPr>
                <w:b/>
                <w:highlight w:val="yellow"/>
                <w:lang w:val="ro-RO"/>
              </w:rPr>
            </w:pPr>
            <w:r w:rsidRPr="00AE4713">
              <w:rPr>
                <w:b/>
                <w:lang w:val="ro-RO"/>
              </w:rPr>
              <w:t>Condițiile ce au impus elaborarea proiectului de act normativ și finalitățile urmărite</w:t>
            </w:r>
            <w:r w:rsidRPr="00AE4713">
              <w:rPr>
                <w:b/>
                <w:highlight w:val="yellow"/>
                <w:lang w:val="ro-RO"/>
              </w:rPr>
              <w:t xml:space="preserve"> </w:t>
            </w:r>
          </w:p>
        </w:tc>
      </w:tr>
      <w:tr w:rsidR="00B1539E" w:rsidRPr="00E71B28" w14:paraId="41F6D899" w14:textId="77777777" w:rsidTr="004C613F">
        <w:trPr>
          <w:trHeight w:val="847"/>
        </w:trPr>
        <w:tc>
          <w:tcPr>
            <w:tcW w:w="709" w:type="dxa"/>
          </w:tcPr>
          <w:p w14:paraId="31156126" w14:textId="77777777" w:rsidR="00B1539E" w:rsidRPr="00AE4713" w:rsidRDefault="00B1539E" w:rsidP="00C264B3">
            <w:pPr>
              <w:ind w:firstLine="567"/>
              <w:jc w:val="both"/>
              <w:rPr>
                <w:lang w:val="ro-RO"/>
              </w:rPr>
            </w:pPr>
          </w:p>
        </w:tc>
        <w:tc>
          <w:tcPr>
            <w:tcW w:w="9356" w:type="dxa"/>
          </w:tcPr>
          <w:p w14:paraId="25E89CE3" w14:textId="11F81E6D" w:rsidR="00FD6A51" w:rsidRPr="00AE4713" w:rsidRDefault="0011100A" w:rsidP="006416A0">
            <w:pPr>
              <w:spacing w:after="120" w:line="276" w:lineRule="auto"/>
              <w:jc w:val="both"/>
              <w:rPr>
                <w:lang w:val="ro-RO"/>
              </w:rPr>
            </w:pPr>
            <w:r w:rsidRPr="00AE4713">
              <w:rPr>
                <w:lang w:val="ro-RO"/>
              </w:rPr>
              <w:t>Conform prevederilor art.</w:t>
            </w:r>
            <w:r w:rsidR="00F029DF" w:rsidRPr="00AE4713">
              <w:rPr>
                <w:lang w:val="ro-RO"/>
              </w:rPr>
              <w:t xml:space="preserve"> </w:t>
            </w:r>
            <w:r w:rsidRPr="00AE4713">
              <w:rPr>
                <w:lang w:val="ro-RO"/>
              </w:rPr>
              <w:t>9, alin.</w:t>
            </w:r>
            <w:r w:rsidR="00F029DF" w:rsidRPr="00AE4713">
              <w:rPr>
                <w:lang w:val="ro-RO"/>
              </w:rPr>
              <w:t xml:space="preserve"> </w:t>
            </w:r>
            <w:r w:rsidRPr="00AE4713">
              <w:rPr>
                <w:lang w:val="ro-RO"/>
              </w:rPr>
              <w:t>(4) din Legea nr.</w:t>
            </w:r>
            <w:r w:rsidR="00F029DF" w:rsidRPr="00AE4713">
              <w:rPr>
                <w:lang w:val="ro-RO"/>
              </w:rPr>
              <w:t xml:space="preserve"> </w:t>
            </w:r>
            <w:r w:rsidRPr="00AE4713">
              <w:rPr>
                <w:lang w:val="ro-RO"/>
              </w:rPr>
              <w:t xml:space="preserve">179/2016 cu privire la întreprinderile mici </w:t>
            </w:r>
            <w:proofErr w:type="spellStart"/>
            <w:r w:rsidRPr="00AE4713">
              <w:rPr>
                <w:lang w:val="ro-RO"/>
              </w:rPr>
              <w:t>şi</w:t>
            </w:r>
            <w:proofErr w:type="spellEnd"/>
            <w:r w:rsidRPr="00AE4713">
              <w:rPr>
                <w:lang w:val="ro-RO"/>
              </w:rPr>
              <w:t xml:space="preserve"> mijlocii, </w:t>
            </w:r>
            <w:r w:rsidR="003D1453" w:rsidRPr="00AE4713">
              <w:rPr>
                <w:i/>
                <w:iCs/>
                <w:lang w:val="ro-RO"/>
              </w:rPr>
              <w:t xml:space="preserve">implementarea politicii de stat privind </w:t>
            </w:r>
            <w:r w:rsidR="000D4FD8" w:rsidRPr="00AE4713">
              <w:rPr>
                <w:i/>
                <w:iCs/>
                <w:lang w:val="ro-RO"/>
              </w:rPr>
              <w:t>susținerea</w:t>
            </w:r>
            <w:r w:rsidR="003D1453" w:rsidRPr="00AE4713">
              <w:rPr>
                <w:i/>
                <w:iCs/>
                <w:lang w:val="ro-RO"/>
              </w:rPr>
              <w:t xml:space="preserve"> dezvoltării întreprinderilor mici </w:t>
            </w:r>
            <w:proofErr w:type="spellStart"/>
            <w:r w:rsidR="003D1453" w:rsidRPr="00AE4713">
              <w:rPr>
                <w:i/>
                <w:iCs/>
                <w:lang w:val="ro-RO"/>
              </w:rPr>
              <w:t>şi</w:t>
            </w:r>
            <w:proofErr w:type="spellEnd"/>
            <w:r w:rsidR="003D1453" w:rsidRPr="00AE4713">
              <w:rPr>
                <w:i/>
                <w:iCs/>
                <w:lang w:val="ro-RO"/>
              </w:rPr>
              <w:t xml:space="preserve"> mijlocii se efectuează de către instituția publică „Organizația pentru Dezvoltarea Antreprenoriatului” (IP ODA), structură organizațională responsabilă de acest domeniu, precum și alte </w:t>
            </w:r>
            <w:r w:rsidR="000D4FD8" w:rsidRPr="00AE4713">
              <w:rPr>
                <w:i/>
                <w:iCs/>
                <w:lang w:val="ro-RO"/>
              </w:rPr>
              <w:t>autorități</w:t>
            </w:r>
            <w:r w:rsidR="003D1453" w:rsidRPr="00AE4713">
              <w:rPr>
                <w:i/>
                <w:iCs/>
                <w:lang w:val="ro-RO"/>
              </w:rPr>
              <w:t xml:space="preserve">, </w:t>
            </w:r>
            <w:r w:rsidR="000D4FD8" w:rsidRPr="00AE4713">
              <w:rPr>
                <w:i/>
                <w:iCs/>
                <w:lang w:val="ro-RO"/>
              </w:rPr>
              <w:t>instituții</w:t>
            </w:r>
            <w:r w:rsidR="003D1453" w:rsidRPr="00AE4713">
              <w:rPr>
                <w:i/>
                <w:iCs/>
                <w:lang w:val="ro-RO"/>
              </w:rPr>
              <w:t xml:space="preserve"> publice </w:t>
            </w:r>
            <w:proofErr w:type="spellStart"/>
            <w:r w:rsidR="003D1453" w:rsidRPr="00AE4713">
              <w:rPr>
                <w:i/>
                <w:iCs/>
                <w:lang w:val="ro-RO"/>
              </w:rPr>
              <w:t>şi</w:t>
            </w:r>
            <w:proofErr w:type="spellEnd"/>
            <w:r w:rsidR="003D1453" w:rsidRPr="00AE4713">
              <w:rPr>
                <w:i/>
                <w:iCs/>
                <w:lang w:val="ro-RO"/>
              </w:rPr>
              <w:t xml:space="preserve"> private în domeniu</w:t>
            </w:r>
            <w:r w:rsidR="003D1453" w:rsidRPr="00AE4713">
              <w:rPr>
                <w:lang w:val="ro-RO"/>
              </w:rPr>
              <w:t xml:space="preserve">. </w:t>
            </w:r>
            <w:r w:rsidR="00DF093F" w:rsidRPr="00AE4713">
              <w:rPr>
                <w:lang w:val="ro-RO"/>
              </w:rPr>
              <w:t>Iar potrivit art. 11, alin. (4) din aceea</w:t>
            </w:r>
            <w:r w:rsidR="0013438C" w:rsidRPr="00AE4713">
              <w:rPr>
                <w:lang w:val="ro-RO"/>
              </w:rPr>
              <w:t>ș</w:t>
            </w:r>
            <w:r w:rsidR="00DF093F" w:rsidRPr="00AE4713">
              <w:rPr>
                <w:lang w:val="ro-RO"/>
              </w:rPr>
              <w:t xml:space="preserve">i lege, </w:t>
            </w:r>
            <w:r w:rsidR="00DF093F" w:rsidRPr="00AE4713">
              <w:rPr>
                <w:i/>
                <w:iCs/>
                <w:lang w:val="ro-RO"/>
              </w:rPr>
              <w:t xml:space="preserve">monitorizarea, coordonarea </w:t>
            </w:r>
            <w:proofErr w:type="spellStart"/>
            <w:r w:rsidR="00DF093F" w:rsidRPr="00AE4713">
              <w:rPr>
                <w:i/>
                <w:iCs/>
                <w:lang w:val="ro-RO"/>
              </w:rPr>
              <w:t>şi</w:t>
            </w:r>
            <w:proofErr w:type="spellEnd"/>
            <w:r w:rsidR="00DF093F" w:rsidRPr="00AE4713">
              <w:rPr>
                <w:i/>
                <w:iCs/>
                <w:lang w:val="ro-RO"/>
              </w:rPr>
              <w:t xml:space="preserve"> corelarea procesului de implementare a programelor de </w:t>
            </w:r>
            <w:proofErr w:type="spellStart"/>
            <w:r w:rsidR="00DF093F" w:rsidRPr="00AE4713">
              <w:rPr>
                <w:i/>
                <w:iCs/>
                <w:lang w:val="ro-RO"/>
              </w:rPr>
              <w:t>susţinere</w:t>
            </w:r>
            <w:proofErr w:type="spellEnd"/>
            <w:r w:rsidR="00DF093F" w:rsidRPr="00AE4713">
              <w:rPr>
                <w:i/>
                <w:iCs/>
                <w:lang w:val="ro-RO"/>
              </w:rPr>
              <w:t xml:space="preserve"> a dezvoltării sectorului întreprinderilor mici </w:t>
            </w:r>
            <w:proofErr w:type="spellStart"/>
            <w:r w:rsidR="00DF093F" w:rsidRPr="00AE4713">
              <w:rPr>
                <w:i/>
                <w:iCs/>
                <w:lang w:val="ro-RO"/>
              </w:rPr>
              <w:t>şi</w:t>
            </w:r>
            <w:proofErr w:type="spellEnd"/>
            <w:r w:rsidR="00DF093F" w:rsidRPr="00AE4713">
              <w:rPr>
                <w:i/>
                <w:iCs/>
                <w:lang w:val="ro-RO"/>
              </w:rPr>
              <w:t xml:space="preserve"> mijlocii se efectuează de către IP ODA</w:t>
            </w:r>
            <w:r w:rsidR="00DF093F" w:rsidRPr="00AE4713">
              <w:rPr>
                <w:lang w:val="ro-RO"/>
              </w:rPr>
              <w:t>.</w:t>
            </w:r>
          </w:p>
          <w:p w14:paraId="7E21106A" w14:textId="7930EBB6" w:rsidR="0003718E" w:rsidRPr="00AE4713" w:rsidRDefault="00764813" w:rsidP="006416A0">
            <w:pPr>
              <w:spacing w:after="120" w:line="276" w:lineRule="auto"/>
              <w:jc w:val="both"/>
              <w:rPr>
                <w:i/>
                <w:iCs/>
                <w:lang w:val="ro-RO"/>
              </w:rPr>
            </w:pPr>
            <w:r w:rsidRPr="00AE4713">
              <w:rPr>
                <w:lang w:val="ro-RO"/>
              </w:rPr>
              <w:t xml:space="preserve">Potrivit </w:t>
            </w:r>
            <w:r w:rsidR="000D457F" w:rsidRPr="00AE4713">
              <w:rPr>
                <w:lang w:val="ro-RO"/>
              </w:rPr>
              <w:t xml:space="preserve">punctelor 7 și 8 din Statutul IP ODA, aprobat prin </w:t>
            </w:r>
            <w:r w:rsidR="00EB0D22" w:rsidRPr="00AE4713">
              <w:rPr>
                <w:lang w:val="ro-RO"/>
              </w:rPr>
              <w:t xml:space="preserve">anexa nr.1 la </w:t>
            </w:r>
            <w:r w:rsidR="000D457F" w:rsidRPr="00AE4713">
              <w:rPr>
                <w:lang w:val="ro-RO"/>
              </w:rPr>
              <w:t>hotărârea Guvernului nr. 487/2022</w:t>
            </w:r>
            <w:r w:rsidR="0003718E" w:rsidRPr="00AE4713">
              <w:rPr>
                <w:lang w:val="ro-RO"/>
              </w:rPr>
              <w:t xml:space="preserve">, </w:t>
            </w:r>
            <w:r w:rsidR="0003718E" w:rsidRPr="00AE4713">
              <w:rPr>
                <w:i/>
                <w:iCs/>
                <w:lang w:val="ro-RO"/>
              </w:rPr>
              <w:t>IP ODA are misiunea de a implementa politica statului privind susținerea dezvoltării antreprenoriatului, inclusiv a întreprinderilor mici și mijlocii, conform strategiilor și programelor aprobate de Guvern.</w:t>
            </w:r>
          </w:p>
          <w:p w14:paraId="1D3FF5BA" w14:textId="075A7128" w:rsidR="0003718E" w:rsidRPr="00AE4713" w:rsidRDefault="0003718E" w:rsidP="0013438C">
            <w:pPr>
              <w:spacing w:line="276" w:lineRule="auto"/>
              <w:jc w:val="both"/>
              <w:rPr>
                <w:i/>
                <w:iCs/>
                <w:lang w:val="ro-RO"/>
              </w:rPr>
            </w:pPr>
            <w:r w:rsidRPr="00AE4713">
              <w:rPr>
                <w:i/>
                <w:iCs/>
                <w:lang w:val="ro-RO"/>
              </w:rPr>
              <w:t>Domeniile de activitate ale IP ODA sunt următoarele:</w:t>
            </w:r>
          </w:p>
          <w:p w14:paraId="7D3CCDE9" w14:textId="721C0CF7" w:rsidR="0003718E" w:rsidRPr="00AE4713" w:rsidRDefault="0003718E" w:rsidP="001B70C4">
            <w:pPr>
              <w:pStyle w:val="ListParagraph"/>
              <w:numPr>
                <w:ilvl w:val="0"/>
                <w:numId w:val="10"/>
              </w:numPr>
              <w:spacing w:line="276" w:lineRule="auto"/>
              <w:ind w:left="1000"/>
              <w:jc w:val="both"/>
              <w:rPr>
                <w:i/>
                <w:iCs/>
                <w:lang w:val="ro-RO"/>
              </w:rPr>
            </w:pPr>
            <w:r w:rsidRPr="00AE4713">
              <w:rPr>
                <w:i/>
                <w:iCs/>
                <w:lang w:val="ro-RO"/>
              </w:rPr>
              <w:t>susținerea dezvoltării antreprenoriatului, inclusiv a întreprinderilor mici și mijlocii;</w:t>
            </w:r>
          </w:p>
          <w:p w14:paraId="41A9C18D" w14:textId="4B8A70ED" w:rsidR="0003718E" w:rsidRPr="00AE4713" w:rsidRDefault="0003718E" w:rsidP="001B70C4">
            <w:pPr>
              <w:pStyle w:val="ListParagraph"/>
              <w:numPr>
                <w:ilvl w:val="0"/>
                <w:numId w:val="10"/>
              </w:numPr>
              <w:spacing w:line="276" w:lineRule="auto"/>
              <w:ind w:left="1000"/>
              <w:jc w:val="both"/>
              <w:rPr>
                <w:i/>
                <w:iCs/>
                <w:lang w:val="ro-RO"/>
              </w:rPr>
            </w:pPr>
            <w:r w:rsidRPr="00AE4713">
              <w:rPr>
                <w:i/>
                <w:iCs/>
                <w:lang w:val="ro-RO"/>
              </w:rPr>
              <w:t>asistența financiară și tehnică pentru întreprinderi;</w:t>
            </w:r>
          </w:p>
          <w:p w14:paraId="7E5CDAED" w14:textId="16D3907C" w:rsidR="00764813" w:rsidRPr="00AE4713" w:rsidRDefault="0003718E" w:rsidP="001B70C4">
            <w:pPr>
              <w:pStyle w:val="ListParagraph"/>
              <w:numPr>
                <w:ilvl w:val="0"/>
                <w:numId w:val="10"/>
              </w:numPr>
              <w:spacing w:after="120" w:line="276" w:lineRule="auto"/>
              <w:ind w:left="1000"/>
              <w:jc w:val="both"/>
              <w:rPr>
                <w:i/>
                <w:iCs/>
                <w:lang w:val="ro-RO"/>
              </w:rPr>
            </w:pPr>
            <w:r w:rsidRPr="00AE4713">
              <w:rPr>
                <w:i/>
                <w:iCs/>
                <w:lang w:val="ro-RO"/>
              </w:rPr>
              <w:t>emiterea garanțiilor financiare și de stat.</w:t>
            </w:r>
          </w:p>
          <w:p w14:paraId="100FB379" w14:textId="0F34E142" w:rsidR="00764813" w:rsidRPr="00AE4713" w:rsidRDefault="00816E9A" w:rsidP="0013438C">
            <w:pPr>
              <w:spacing w:after="120" w:line="276" w:lineRule="auto"/>
              <w:jc w:val="both"/>
              <w:rPr>
                <w:lang w:val="ro-RO"/>
              </w:rPr>
            </w:pPr>
            <w:r w:rsidRPr="00AE4713">
              <w:rPr>
                <w:lang w:val="ro-RO"/>
              </w:rPr>
              <w:t>Astfel, u</w:t>
            </w:r>
            <w:r w:rsidR="00764813" w:rsidRPr="00AE4713">
              <w:rPr>
                <w:lang w:val="ro-RO"/>
              </w:rPr>
              <w:t>nul din</w:t>
            </w:r>
            <w:r w:rsidRPr="00AE4713">
              <w:rPr>
                <w:lang w:val="ro-RO"/>
              </w:rPr>
              <w:t>tre</w:t>
            </w:r>
            <w:r w:rsidR="00764813" w:rsidRPr="00AE4713">
              <w:rPr>
                <w:lang w:val="ro-RO"/>
              </w:rPr>
              <w:t xml:space="preserve"> principalele instrumente de </w:t>
            </w:r>
            <w:r w:rsidR="00F31C61" w:rsidRPr="00AE4713">
              <w:rPr>
                <w:lang w:val="ro-RO"/>
              </w:rPr>
              <w:t xml:space="preserve">susținere a dezvoltării antreprenoriatului, inclusiv a </w:t>
            </w:r>
            <w:r w:rsidR="00764813" w:rsidRPr="00AE4713">
              <w:rPr>
                <w:lang w:val="ro-RO"/>
              </w:rPr>
              <w:t>întreprinderilor mici și mijlocii</w:t>
            </w:r>
            <w:r w:rsidR="00D81F15" w:rsidRPr="00AE4713">
              <w:rPr>
                <w:lang w:val="ro-RO"/>
              </w:rPr>
              <w:t>,</w:t>
            </w:r>
            <w:r w:rsidR="00764813" w:rsidRPr="00AE4713">
              <w:rPr>
                <w:lang w:val="ro-RO"/>
              </w:rPr>
              <w:t xml:space="preserve"> implementat de IP ODA</w:t>
            </w:r>
            <w:r w:rsidR="00B84AF3" w:rsidRPr="00AE4713">
              <w:rPr>
                <w:lang w:val="ro-RO"/>
              </w:rPr>
              <w:t>,</w:t>
            </w:r>
            <w:r w:rsidR="00764813" w:rsidRPr="00AE4713">
              <w:rPr>
                <w:lang w:val="ro-RO"/>
              </w:rPr>
              <w:t xml:space="preserve"> </w:t>
            </w:r>
            <w:r w:rsidR="00D81F15" w:rsidRPr="00AE4713">
              <w:rPr>
                <w:lang w:val="ro-RO"/>
              </w:rPr>
              <w:t xml:space="preserve">sunt programele de stat </w:t>
            </w:r>
            <w:r w:rsidR="004A08DE" w:rsidRPr="00AE4713">
              <w:rPr>
                <w:lang w:val="ro-RO"/>
              </w:rPr>
              <w:t>privind acordarea suportului financi</w:t>
            </w:r>
            <w:r w:rsidR="00A02B05" w:rsidRPr="00AE4713">
              <w:rPr>
                <w:lang w:val="ro-RO"/>
              </w:rPr>
              <w:t>a</w:t>
            </w:r>
            <w:r w:rsidR="004A08DE" w:rsidRPr="00AE4713">
              <w:rPr>
                <w:lang w:val="ro-RO"/>
              </w:rPr>
              <w:t>re nera</w:t>
            </w:r>
            <w:r w:rsidR="00A02B05" w:rsidRPr="00AE4713">
              <w:rPr>
                <w:lang w:val="ro-RO"/>
              </w:rPr>
              <w:t>m</w:t>
            </w:r>
            <w:r w:rsidR="004A08DE" w:rsidRPr="00AE4713">
              <w:rPr>
                <w:lang w:val="ro-RO"/>
              </w:rPr>
              <w:t xml:space="preserve">bursabil ÎMM. </w:t>
            </w:r>
          </w:p>
          <w:p w14:paraId="25114613" w14:textId="568151BC" w:rsidR="00B84AF3" w:rsidRPr="00AE4713" w:rsidRDefault="00B84AF3" w:rsidP="006416A0">
            <w:pPr>
              <w:spacing w:after="120" w:line="276" w:lineRule="auto"/>
              <w:jc w:val="both"/>
              <w:rPr>
                <w:lang w:val="ro-RO"/>
              </w:rPr>
            </w:pPr>
            <w:r w:rsidRPr="00AE4713">
              <w:rPr>
                <w:lang w:val="ro-RO"/>
              </w:rPr>
              <w:t>La moment, IP ODA implementează 7 programe de stat</w:t>
            </w:r>
            <w:r w:rsidR="00F83C0C" w:rsidRPr="00AE4713">
              <w:rPr>
                <w:lang w:val="ro-RO"/>
              </w:rPr>
              <w:t xml:space="preserve"> (de acordarea suportului sub formă de grant)</w:t>
            </w:r>
            <w:r w:rsidRPr="00AE4713">
              <w:rPr>
                <w:lang w:val="ro-RO"/>
              </w:rPr>
              <w:t xml:space="preserve">, 5 dintre care au fost aprobate </w:t>
            </w:r>
            <w:r w:rsidR="00FD01F3" w:rsidRPr="00AE4713">
              <w:rPr>
                <w:lang w:val="ro-RO"/>
              </w:rPr>
              <w:t xml:space="preserve">de către Guvern </w:t>
            </w:r>
            <w:r w:rsidRPr="00AE4713">
              <w:rPr>
                <w:lang w:val="ro-RO"/>
              </w:rPr>
              <w:t xml:space="preserve">și lansate pe parcursul anului 2022. </w:t>
            </w:r>
          </w:p>
          <w:p w14:paraId="76CF0CDB" w14:textId="767CBC37" w:rsidR="00B84AF3" w:rsidRPr="00AE4713" w:rsidRDefault="00C71CC1" w:rsidP="006416A0">
            <w:pPr>
              <w:spacing w:after="120" w:line="276" w:lineRule="auto"/>
              <w:jc w:val="both"/>
              <w:rPr>
                <w:lang w:val="ro-RO"/>
              </w:rPr>
            </w:pPr>
            <w:r w:rsidRPr="00AE4713">
              <w:rPr>
                <w:lang w:val="ro-RO"/>
              </w:rPr>
              <w:t xml:space="preserve">În scopul </w:t>
            </w:r>
            <w:r w:rsidR="0071149B" w:rsidRPr="00AE4713">
              <w:rPr>
                <w:lang w:val="ro-RO"/>
              </w:rPr>
              <w:t>uniformizării</w:t>
            </w:r>
            <w:r w:rsidRPr="00AE4713">
              <w:rPr>
                <w:lang w:val="ro-RO"/>
              </w:rPr>
              <w:t xml:space="preserve"> și eficientizării </w:t>
            </w:r>
            <w:r w:rsidR="0071149B" w:rsidRPr="00AE4713">
              <w:rPr>
                <w:lang w:val="ro-RO"/>
              </w:rPr>
              <w:t xml:space="preserve">programelor de stat, precum și ținând cont de </w:t>
            </w:r>
            <w:r w:rsidR="00282339" w:rsidRPr="00AE4713">
              <w:rPr>
                <w:lang w:val="ro-RO"/>
              </w:rPr>
              <w:t>carențele</w:t>
            </w:r>
            <w:r w:rsidR="003920A0" w:rsidRPr="00AE4713">
              <w:rPr>
                <w:lang w:val="ro-RO"/>
              </w:rPr>
              <w:t xml:space="preserve"> constatate</w:t>
            </w:r>
            <w:r w:rsidR="0071149B" w:rsidRPr="00AE4713">
              <w:rPr>
                <w:lang w:val="ro-RO"/>
              </w:rPr>
              <w:t xml:space="preserve"> în procesul de implementare,</w:t>
            </w:r>
            <w:r w:rsidR="00FD01F3" w:rsidRPr="00AE4713">
              <w:rPr>
                <w:lang w:val="ro-RO"/>
              </w:rPr>
              <w:t xml:space="preserve"> </w:t>
            </w:r>
            <w:r w:rsidR="00CE7032" w:rsidRPr="00AE4713">
              <w:rPr>
                <w:lang w:val="ro-RO"/>
              </w:rPr>
              <w:t xml:space="preserve">prin </w:t>
            </w:r>
            <w:r w:rsidR="008878FB" w:rsidRPr="00AE4713">
              <w:rPr>
                <w:lang w:val="ro-RO"/>
              </w:rPr>
              <w:t xml:space="preserve">proiectul hotărârii de Guvern </w:t>
            </w:r>
            <w:r w:rsidR="00CE7032" w:rsidRPr="00AE4713">
              <w:rPr>
                <w:lang w:val="ro-RO"/>
              </w:rPr>
              <w:t xml:space="preserve">se impune </w:t>
            </w:r>
            <w:r w:rsidR="008878FB" w:rsidRPr="00AE4713">
              <w:rPr>
                <w:lang w:val="ro-RO"/>
              </w:rPr>
              <w:t>ajustare</w:t>
            </w:r>
            <w:r w:rsidR="00BD44F8" w:rsidRPr="00AE4713">
              <w:rPr>
                <w:lang w:val="ro-RO"/>
              </w:rPr>
              <w:t>a</w:t>
            </w:r>
            <w:r w:rsidR="008878FB" w:rsidRPr="00AE4713">
              <w:rPr>
                <w:lang w:val="ro-RO"/>
              </w:rPr>
              <w:t xml:space="preserve"> prevederilor </w:t>
            </w:r>
            <w:r w:rsidR="00CE7032" w:rsidRPr="00AE4713">
              <w:rPr>
                <w:lang w:val="ro-RO"/>
              </w:rPr>
              <w:t>a 5 hotărâri de Guvern cu privire la aprobarea programelor de stat</w:t>
            </w:r>
            <w:r w:rsidR="00BD44F8" w:rsidRPr="00AE4713">
              <w:rPr>
                <w:lang w:val="ro-RO"/>
              </w:rPr>
              <w:t>, și a</w:t>
            </w:r>
            <w:r w:rsidR="00CE7032" w:rsidRPr="00AE4713">
              <w:rPr>
                <w:lang w:val="ro-RO"/>
              </w:rPr>
              <w:t>nume:</w:t>
            </w:r>
          </w:p>
          <w:p w14:paraId="5AC61434" w14:textId="77777777" w:rsidR="00005939" w:rsidRPr="00AE4713" w:rsidRDefault="000D552A" w:rsidP="00005939">
            <w:pPr>
              <w:pStyle w:val="ListParagraph"/>
              <w:numPr>
                <w:ilvl w:val="0"/>
                <w:numId w:val="9"/>
              </w:numPr>
              <w:spacing w:after="120" w:line="276" w:lineRule="auto"/>
              <w:jc w:val="both"/>
              <w:rPr>
                <w:lang w:val="ro-RO"/>
              </w:rPr>
            </w:pPr>
            <w:r w:rsidRPr="00AE4713">
              <w:rPr>
                <w:lang w:val="ro-RO"/>
              </w:rPr>
              <w:t xml:space="preserve">Hotărârea Guvernului nr. </w:t>
            </w:r>
            <w:r w:rsidR="00005939" w:rsidRPr="00AE4713">
              <w:rPr>
                <w:lang w:val="ro-RO"/>
              </w:rPr>
              <w:t>592/2019 cu privire la aprobarea Programului de ecologizare</w:t>
            </w:r>
          </w:p>
          <w:p w14:paraId="7BC4AA90" w14:textId="519C554C" w:rsidR="000D552A" w:rsidRPr="00AE4713" w:rsidRDefault="00005939" w:rsidP="00005939">
            <w:pPr>
              <w:pStyle w:val="ListParagraph"/>
              <w:spacing w:after="120" w:line="276" w:lineRule="auto"/>
              <w:jc w:val="both"/>
              <w:rPr>
                <w:lang w:val="ro-RO"/>
              </w:rPr>
            </w:pPr>
            <w:r w:rsidRPr="00AE4713">
              <w:rPr>
                <w:lang w:val="ro-RO"/>
              </w:rPr>
              <w:t>a întreprinderilor mici și mijlocii;</w:t>
            </w:r>
          </w:p>
          <w:p w14:paraId="4A49B8E1" w14:textId="078B0828" w:rsidR="001A65E2" w:rsidRPr="00AE4713" w:rsidRDefault="001A65E2" w:rsidP="001A65E2">
            <w:pPr>
              <w:pStyle w:val="ListParagraph"/>
              <w:numPr>
                <w:ilvl w:val="0"/>
                <w:numId w:val="9"/>
              </w:numPr>
              <w:spacing w:after="120" w:line="276" w:lineRule="auto"/>
              <w:jc w:val="both"/>
              <w:rPr>
                <w:lang w:val="ro-RO"/>
              </w:rPr>
            </w:pPr>
            <w:r w:rsidRPr="00AE4713">
              <w:rPr>
                <w:lang w:val="ro-RO"/>
              </w:rPr>
              <w:t>Hotărârea Guvernului nr.</w:t>
            </w:r>
            <w:r w:rsidR="00D97A5B" w:rsidRPr="00AE4713">
              <w:rPr>
                <w:lang w:val="ro-RO"/>
              </w:rPr>
              <w:t xml:space="preserve"> 129/2022 cu privire la aprobarea Programului de transformare digitală a întreprinderilor mici și mijlocii;</w:t>
            </w:r>
          </w:p>
          <w:p w14:paraId="0FD20809" w14:textId="77777777" w:rsidR="000D552A" w:rsidRPr="00AE4713" w:rsidRDefault="000D552A" w:rsidP="000D552A">
            <w:pPr>
              <w:pStyle w:val="ListParagraph"/>
              <w:numPr>
                <w:ilvl w:val="0"/>
                <w:numId w:val="9"/>
              </w:numPr>
              <w:spacing w:after="120" w:line="276" w:lineRule="auto"/>
              <w:jc w:val="both"/>
              <w:rPr>
                <w:lang w:val="ro-RO"/>
              </w:rPr>
            </w:pPr>
            <w:r w:rsidRPr="00AE4713">
              <w:rPr>
                <w:lang w:val="ro-RO"/>
              </w:rPr>
              <w:t>Hotărârea Guvernului nr. 348/2022 cu privire la aprobarea Programului „START pentru TINERI: o afacere durabilă la tine acasă”;</w:t>
            </w:r>
          </w:p>
          <w:p w14:paraId="0A4741D8" w14:textId="0FA0C634" w:rsidR="00D97A5B" w:rsidRPr="00AE4713" w:rsidRDefault="00AC27C4" w:rsidP="001A65E2">
            <w:pPr>
              <w:pStyle w:val="ListParagraph"/>
              <w:numPr>
                <w:ilvl w:val="0"/>
                <w:numId w:val="9"/>
              </w:numPr>
              <w:spacing w:after="120" w:line="276" w:lineRule="auto"/>
              <w:jc w:val="both"/>
              <w:rPr>
                <w:lang w:val="ro-RO"/>
              </w:rPr>
            </w:pPr>
            <w:r w:rsidRPr="00AE4713">
              <w:rPr>
                <w:lang w:val="ro-RO"/>
              </w:rPr>
              <w:t>Hotărârea Guvernului nr. 515/2022 cu privire la aprobarea Programului de retehnologizare și eficiență energetică a întreprinderilor mici și mijlocii;</w:t>
            </w:r>
          </w:p>
          <w:p w14:paraId="3302B0B3" w14:textId="07D80B4C" w:rsidR="00AC27C4" w:rsidRPr="00AE4713" w:rsidRDefault="008976BC" w:rsidP="001A65E2">
            <w:pPr>
              <w:pStyle w:val="ListParagraph"/>
              <w:numPr>
                <w:ilvl w:val="0"/>
                <w:numId w:val="9"/>
              </w:numPr>
              <w:spacing w:after="120" w:line="276" w:lineRule="auto"/>
              <w:jc w:val="both"/>
              <w:rPr>
                <w:lang w:val="ro-RO"/>
              </w:rPr>
            </w:pPr>
            <w:r w:rsidRPr="00AE4713">
              <w:rPr>
                <w:lang w:val="ro-RO"/>
              </w:rPr>
              <w:lastRenderedPageBreak/>
              <w:t>Hotărârea Guvernului nr. 622/2022 cu privire la aprobarea Programului de atragere a remitențelor în economie “PARE 1+2”</w:t>
            </w:r>
            <w:r w:rsidR="00F8439B" w:rsidRPr="00AE4713">
              <w:rPr>
                <w:lang w:val="ro-RO"/>
              </w:rPr>
              <w:t>.</w:t>
            </w:r>
          </w:p>
          <w:p w14:paraId="550F2B24" w14:textId="257E25A7" w:rsidR="00B1539E" w:rsidRPr="00AE4713" w:rsidRDefault="00BD44F8" w:rsidP="006D7676">
            <w:pPr>
              <w:spacing w:after="120" w:line="276" w:lineRule="auto"/>
              <w:jc w:val="both"/>
              <w:rPr>
                <w:lang w:val="ro-RO"/>
              </w:rPr>
            </w:pPr>
            <w:r w:rsidRPr="00AE4713">
              <w:rPr>
                <w:lang w:val="ro-RO"/>
              </w:rPr>
              <w:t xml:space="preserve">Suplimentar, proiectul prevede modificarea hotărârii de Guvern nr. </w:t>
            </w:r>
            <w:r w:rsidR="004C4130" w:rsidRPr="00AE4713">
              <w:rPr>
                <w:lang w:val="ro-RO"/>
              </w:rPr>
              <w:t xml:space="preserve">94/2023 </w:t>
            </w:r>
            <w:r w:rsidR="00135E95" w:rsidRPr="00AE4713">
              <w:rPr>
                <w:lang w:val="ro-RO"/>
              </w:rPr>
              <w:t xml:space="preserve">privind aprobarea Regulamentului cu privire la activitatea Fondului pentru </w:t>
            </w:r>
            <w:proofErr w:type="spellStart"/>
            <w:r w:rsidR="00135E95" w:rsidRPr="00AE4713">
              <w:rPr>
                <w:lang w:val="ro-RO"/>
              </w:rPr>
              <w:t>antreprenoriat</w:t>
            </w:r>
            <w:proofErr w:type="spellEnd"/>
            <w:r w:rsidR="00135E95" w:rsidRPr="00AE4713">
              <w:rPr>
                <w:lang w:val="ro-RO"/>
              </w:rPr>
              <w:t xml:space="preserve"> și creștere economică a Moldovei</w:t>
            </w:r>
            <w:r w:rsidR="001A65E2" w:rsidRPr="00AE4713">
              <w:rPr>
                <w:lang w:val="ro-RO"/>
              </w:rPr>
              <w:t xml:space="preserve">, prin revizuirea unui criteriu de eligibilitate pentru selectarea băncilor și organizațiilor de creditare nebancară la operațiunile Fondului pentru </w:t>
            </w:r>
            <w:proofErr w:type="spellStart"/>
            <w:r w:rsidR="001A65E2" w:rsidRPr="00AE4713">
              <w:rPr>
                <w:lang w:val="ro-RO"/>
              </w:rPr>
              <w:t>antreprenoriat</w:t>
            </w:r>
            <w:proofErr w:type="spellEnd"/>
            <w:r w:rsidR="001A65E2" w:rsidRPr="00AE4713">
              <w:rPr>
                <w:lang w:val="ro-RO"/>
              </w:rPr>
              <w:t xml:space="preserve"> și creștere economică a Moldovei) (</w:t>
            </w:r>
            <w:r w:rsidR="00B87B54" w:rsidRPr="00AE4713">
              <w:rPr>
                <w:lang w:val="ro-RO"/>
              </w:rPr>
              <w:t xml:space="preserve">în continuare - </w:t>
            </w:r>
            <w:r w:rsidR="001A65E2" w:rsidRPr="00AE4713">
              <w:rPr>
                <w:i/>
                <w:iCs/>
                <w:lang w:val="ro-RO"/>
              </w:rPr>
              <w:t>FACEM</w:t>
            </w:r>
            <w:r w:rsidR="001A65E2" w:rsidRPr="005B0044">
              <w:rPr>
                <w:lang w:val="ro-RO"/>
              </w:rPr>
              <w:t>)</w:t>
            </w:r>
            <w:r w:rsidR="003D262E" w:rsidRPr="005B0044">
              <w:rPr>
                <w:lang w:val="ro-RO"/>
              </w:rPr>
              <w:t>, precum și</w:t>
            </w:r>
            <w:r w:rsidR="001F6791" w:rsidRPr="005B0044">
              <w:rPr>
                <w:lang w:val="ro-RO"/>
              </w:rPr>
              <w:t xml:space="preserve"> completarea</w:t>
            </w:r>
            <w:r w:rsidR="001F6791" w:rsidRPr="001F6791">
              <w:rPr>
                <w:lang w:val="ro-RO"/>
              </w:rPr>
              <w:t xml:space="preserve"> Regulamentului cu pct. 42</w:t>
            </w:r>
            <w:r w:rsidR="001F6791">
              <w:rPr>
                <w:vertAlign w:val="superscript"/>
                <w:lang w:val="ro-RO"/>
              </w:rPr>
              <w:t>1</w:t>
            </w:r>
            <w:r w:rsidR="001F6791" w:rsidRPr="001F6791">
              <w:rPr>
                <w:lang w:val="ro-RO"/>
              </w:rPr>
              <w:t xml:space="preserve"> referitor la acoperirea cheltuielilor FACEM și riscurilor</w:t>
            </w:r>
            <w:r w:rsidR="006E1286">
              <w:rPr>
                <w:lang w:val="ro-RO"/>
              </w:rPr>
              <w:t xml:space="preserve"> IP</w:t>
            </w:r>
            <w:r w:rsidR="001F6791" w:rsidRPr="001F6791">
              <w:rPr>
                <w:lang w:val="ro-RO"/>
              </w:rPr>
              <w:t xml:space="preserve"> ODA</w:t>
            </w:r>
            <w:r w:rsidR="005B0044">
              <w:rPr>
                <w:lang w:val="ro-RO"/>
              </w:rPr>
              <w:t>,</w:t>
            </w:r>
            <w:r w:rsidR="001F6791" w:rsidRPr="001F6791">
              <w:rPr>
                <w:lang w:val="ro-RO"/>
              </w:rPr>
              <w:t xml:space="preserve"> în alte cazuri decât cele stabilite în pct. 42</w:t>
            </w:r>
            <w:r w:rsidR="005B0044">
              <w:rPr>
                <w:lang w:val="ro-RO"/>
              </w:rPr>
              <w:t>.</w:t>
            </w:r>
          </w:p>
        </w:tc>
      </w:tr>
      <w:tr w:rsidR="00B1539E" w:rsidRPr="00E71B28" w14:paraId="7FE5EACA" w14:textId="77777777" w:rsidTr="004C613F">
        <w:tc>
          <w:tcPr>
            <w:tcW w:w="709" w:type="dxa"/>
            <w:shd w:val="clear" w:color="auto" w:fill="BFBFBF" w:themeFill="background1" w:themeFillShade="BF"/>
          </w:tcPr>
          <w:p w14:paraId="35E03B3A" w14:textId="77777777" w:rsidR="00B1539E" w:rsidRPr="00AE4713" w:rsidRDefault="00B1539E" w:rsidP="00C264B3">
            <w:pPr>
              <w:spacing w:line="276" w:lineRule="auto"/>
              <w:jc w:val="both"/>
              <w:rPr>
                <w:b/>
                <w:lang w:val="ro-RO"/>
              </w:rPr>
            </w:pPr>
            <w:r w:rsidRPr="00AE4713">
              <w:rPr>
                <w:b/>
                <w:lang w:val="ro-RO"/>
              </w:rPr>
              <w:lastRenderedPageBreak/>
              <w:t>3.</w:t>
            </w:r>
          </w:p>
        </w:tc>
        <w:tc>
          <w:tcPr>
            <w:tcW w:w="9356" w:type="dxa"/>
            <w:shd w:val="clear" w:color="auto" w:fill="BFBFBF" w:themeFill="background1" w:themeFillShade="BF"/>
          </w:tcPr>
          <w:p w14:paraId="764CEB25" w14:textId="78ADE0BE" w:rsidR="00B1539E" w:rsidRPr="00AE4713" w:rsidRDefault="00B1539E" w:rsidP="00C264B3">
            <w:pPr>
              <w:spacing w:line="276" w:lineRule="auto"/>
              <w:jc w:val="both"/>
              <w:rPr>
                <w:b/>
                <w:lang w:val="ro-RO"/>
              </w:rPr>
            </w:pPr>
            <w:r w:rsidRPr="00AE4713">
              <w:rPr>
                <w:b/>
                <w:lang w:val="ro-RO"/>
              </w:rPr>
              <w:t xml:space="preserve">Descrierea gradului de compatibilitate </w:t>
            </w:r>
            <w:r w:rsidR="00F120A8" w:rsidRPr="00AE4713">
              <w:rPr>
                <w:b/>
                <w:lang w:val="ro-RO"/>
              </w:rPr>
              <w:t xml:space="preserve">pentru proiectele care au ca scop armonizarea legislației naționale cu </w:t>
            </w:r>
            <w:r w:rsidRPr="00AE4713">
              <w:rPr>
                <w:b/>
                <w:lang w:val="ro-RO"/>
              </w:rPr>
              <w:t>legislația Uniunii Europene</w:t>
            </w:r>
          </w:p>
        </w:tc>
      </w:tr>
      <w:tr w:rsidR="00B1539E" w:rsidRPr="00E71B28" w14:paraId="2A65AB3D" w14:textId="77777777" w:rsidTr="004C613F">
        <w:tc>
          <w:tcPr>
            <w:tcW w:w="709" w:type="dxa"/>
          </w:tcPr>
          <w:p w14:paraId="326D4D6E" w14:textId="77777777" w:rsidR="00B1539E" w:rsidRPr="00AE4713" w:rsidRDefault="00B1539E" w:rsidP="00C264B3">
            <w:pPr>
              <w:spacing w:line="276" w:lineRule="auto"/>
              <w:jc w:val="both"/>
              <w:rPr>
                <w:lang w:val="ro-RO"/>
              </w:rPr>
            </w:pPr>
          </w:p>
        </w:tc>
        <w:tc>
          <w:tcPr>
            <w:tcW w:w="9356" w:type="dxa"/>
          </w:tcPr>
          <w:p w14:paraId="0BDCA2FE" w14:textId="28523387" w:rsidR="00B1539E" w:rsidRPr="00AE4713" w:rsidRDefault="00B1539E" w:rsidP="00C264B3">
            <w:pPr>
              <w:spacing w:line="276" w:lineRule="auto"/>
              <w:jc w:val="both"/>
              <w:rPr>
                <w:lang w:val="ro-RO"/>
              </w:rPr>
            </w:pPr>
            <w:r w:rsidRPr="00AE4713">
              <w:rPr>
                <w:lang w:val="ro-RO"/>
              </w:rPr>
              <w:t>Proiect</w:t>
            </w:r>
            <w:r w:rsidR="009F4FFF" w:rsidRPr="00AE4713">
              <w:rPr>
                <w:lang w:val="ro-RO"/>
              </w:rPr>
              <w:t xml:space="preserve">ul </w:t>
            </w:r>
            <w:r w:rsidRPr="00AE4713">
              <w:rPr>
                <w:lang w:val="ro-RO"/>
              </w:rPr>
              <w:t>nu are drept scop armonizarea legislației naționale cu legislația Uniunii Europene.</w:t>
            </w:r>
          </w:p>
        </w:tc>
      </w:tr>
      <w:tr w:rsidR="00B1539E" w:rsidRPr="00E71B28" w14:paraId="644FB4D9" w14:textId="77777777" w:rsidTr="004C613F">
        <w:tc>
          <w:tcPr>
            <w:tcW w:w="709" w:type="dxa"/>
            <w:shd w:val="clear" w:color="auto" w:fill="D9D9D9" w:themeFill="background1" w:themeFillShade="D9"/>
          </w:tcPr>
          <w:p w14:paraId="19670925" w14:textId="77777777" w:rsidR="00B1539E" w:rsidRPr="00AE4713" w:rsidRDefault="00B1539E" w:rsidP="00C264B3">
            <w:pPr>
              <w:spacing w:line="276" w:lineRule="auto"/>
              <w:jc w:val="both"/>
              <w:rPr>
                <w:b/>
                <w:lang w:val="ro-RO"/>
              </w:rPr>
            </w:pPr>
            <w:r w:rsidRPr="00AE4713">
              <w:rPr>
                <w:b/>
                <w:lang w:val="ro-RO"/>
              </w:rPr>
              <w:t>4.</w:t>
            </w:r>
          </w:p>
        </w:tc>
        <w:tc>
          <w:tcPr>
            <w:tcW w:w="9356" w:type="dxa"/>
            <w:shd w:val="clear" w:color="auto" w:fill="D9D9D9" w:themeFill="background1" w:themeFillShade="D9"/>
          </w:tcPr>
          <w:p w14:paraId="20D69CF2" w14:textId="77777777" w:rsidR="00B1539E" w:rsidRPr="00AE4713" w:rsidRDefault="00B1539E" w:rsidP="005F5F71">
            <w:pPr>
              <w:spacing w:line="276" w:lineRule="auto"/>
              <w:jc w:val="both"/>
              <w:rPr>
                <w:b/>
                <w:highlight w:val="yellow"/>
                <w:lang w:val="ro-RO" w:eastAsia="en-GB"/>
              </w:rPr>
            </w:pPr>
            <w:r w:rsidRPr="00AE4713">
              <w:rPr>
                <w:b/>
                <w:lang w:val="ro-RO" w:eastAsia="en-GB"/>
              </w:rPr>
              <w:t>Principalele prevederi ale proiectului și evidențierea elementelor noi</w:t>
            </w:r>
          </w:p>
        </w:tc>
      </w:tr>
      <w:tr w:rsidR="00B1539E" w:rsidRPr="00E71B28" w14:paraId="4655C155" w14:textId="77777777" w:rsidTr="004C613F">
        <w:tc>
          <w:tcPr>
            <w:tcW w:w="709" w:type="dxa"/>
          </w:tcPr>
          <w:p w14:paraId="60D9C6DE" w14:textId="77777777" w:rsidR="00B1539E" w:rsidRPr="00AE4713" w:rsidRDefault="00B1539E" w:rsidP="00C264B3">
            <w:pPr>
              <w:ind w:left="29" w:firstLine="709"/>
              <w:jc w:val="both"/>
              <w:rPr>
                <w:lang w:val="ro-RO"/>
              </w:rPr>
            </w:pPr>
          </w:p>
          <w:p w14:paraId="1DAF0AEB" w14:textId="77777777" w:rsidR="00B1539E" w:rsidRPr="00AE4713" w:rsidRDefault="00B1539E" w:rsidP="00C264B3">
            <w:pPr>
              <w:rPr>
                <w:lang w:val="ro-RO"/>
              </w:rPr>
            </w:pPr>
          </w:p>
          <w:p w14:paraId="5F428BCC" w14:textId="77777777" w:rsidR="00B1539E" w:rsidRPr="00AE4713" w:rsidRDefault="00B1539E" w:rsidP="00C264B3">
            <w:pPr>
              <w:rPr>
                <w:lang w:val="ro-RO"/>
              </w:rPr>
            </w:pPr>
          </w:p>
          <w:p w14:paraId="16F9F451" w14:textId="77777777" w:rsidR="00B1539E" w:rsidRPr="00AE4713" w:rsidRDefault="00B1539E" w:rsidP="00C264B3">
            <w:pPr>
              <w:rPr>
                <w:lang w:val="ro-RO"/>
              </w:rPr>
            </w:pPr>
          </w:p>
          <w:p w14:paraId="0E1E8DC9" w14:textId="77777777" w:rsidR="00B1539E" w:rsidRPr="00AE4713" w:rsidRDefault="00B1539E" w:rsidP="00C264B3">
            <w:pPr>
              <w:rPr>
                <w:lang w:val="ro-RO"/>
              </w:rPr>
            </w:pPr>
          </w:p>
          <w:p w14:paraId="45322100" w14:textId="77777777" w:rsidR="00B1539E" w:rsidRPr="00AE4713" w:rsidRDefault="00B1539E" w:rsidP="00C264B3">
            <w:pPr>
              <w:rPr>
                <w:lang w:val="ro-RO"/>
              </w:rPr>
            </w:pPr>
          </w:p>
          <w:p w14:paraId="2F28D3B2" w14:textId="77777777" w:rsidR="00B1539E" w:rsidRPr="00AE4713" w:rsidRDefault="00B1539E" w:rsidP="00C264B3">
            <w:pPr>
              <w:rPr>
                <w:lang w:val="ro-RO"/>
              </w:rPr>
            </w:pPr>
          </w:p>
          <w:p w14:paraId="4C4E0D35" w14:textId="77777777" w:rsidR="00B1539E" w:rsidRPr="00AE4713" w:rsidRDefault="00B1539E" w:rsidP="00C264B3">
            <w:pPr>
              <w:rPr>
                <w:lang w:val="ro-RO"/>
              </w:rPr>
            </w:pPr>
          </w:p>
        </w:tc>
        <w:tc>
          <w:tcPr>
            <w:tcW w:w="9356" w:type="dxa"/>
          </w:tcPr>
          <w:p w14:paraId="3A1F08BE" w14:textId="611E0DC9" w:rsidR="00775B67" w:rsidRPr="00AE4713" w:rsidRDefault="002D7A74" w:rsidP="002474D2">
            <w:pPr>
              <w:spacing w:after="120" w:line="276" w:lineRule="auto"/>
              <w:jc w:val="both"/>
              <w:rPr>
                <w:lang w:val="ro-RO"/>
              </w:rPr>
            </w:pPr>
            <w:r w:rsidRPr="00AE4713">
              <w:rPr>
                <w:lang w:val="ro-RO"/>
              </w:rPr>
              <w:t>P</w:t>
            </w:r>
            <w:r w:rsidR="00B1539E" w:rsidRPr="00AE4713">
              <w:rPr>
                <w:lang w:val="ro-RO"/>
              </w:rPr>
              <w:t>roiect</w:t>
            </w:r>
            <w:r w:rsidR="00916F52" w:rsidRPr="00AE4713">
              <w:rPr>
                <w:lang w:val="ro-RO"/>
              </w:rPr>
              <w:t>ul</w:t>
            </w:r>
            <w:r w:rsidR="00B1539E" w:rsidRPr="00AE4713">
              <w:rPr>
                <w:lang w:val="ro-RO"/>
              </w:rPr>
              <w:t xml:space="preserve"> </w:t>
            </w:r>
            <w:r w:rsidR="00A7178B" w:rsidRPr="00AE4713">
              <w:rPr>
                <w:lang w:val="ro-RO"/>
              </w:rPr>
              <w:t xml:space="preserve">prevede modificarea a </w:t>
            </w:r>
            <w:r w:rsidRPr="00AE4713">
              <w:rPr>
                <w:lang w:val="ro-RO"/>
              </w:rPr>
              <w:t>6</w:t>
            </w:r>
            <w:r w:rsidR="00B1539E" w:rsidRPr="00AE4713">
              <w:rPr>
                <w:lang w:val="ro-RO"/>
              </w:rPr>
              <w:t xml:space="preserve"> </w:t>
            </w:r>
            <w:r w:rsidR="00F205A6" w:rsidRPr="00AE4713">
              <w:rPr>
                <w:lang w:val="ro-RO"/>
              </w:rPr>
              <w:t>acte normative</w:t>
            </w:r>
            <w:r w:rsidR="002A4113" w:rsidRPr="00AE4713">
              <w:rPr>
                <w:lang w:val="ro-RO"/>
              </w:rPr>
              <w:t xml:space="preserve">, și anume: </w:t>
            </w:r>
            <w:r w:rsidR="004A46FD" w:rsidRPr="00AE4713">
              <w:rPr>
                <w:lang w:val="ro-RO"/>
              </w:rPr>
              <w:t>Hotărârea Guvernului nr. 592/2019 cu privire la aprobarea Programului de ecologizare a întreprinderilor mici și mijlocii; Hotărârea Guvernului nr. 129/2022 cu privire la aprobarea Programului de transformare digitală a întreprinderilor mici și mijlocii;</w:t>
            </w:r>
            <w:r w:rsidR="002474D2" w:rsidRPr="00AE4713">
              <w:rPr>
                <w:lang w:val="ro-RO"/>
              </w:rPr>
              <w:t xml:space="preserve"> </w:t>
            </w:r>
            <w:r w:rsidR="004A46FD" w:rsidRPr="00AE4713">
              <w:rPr>
                <w:lang w:val="ro-RO"/>
              </w:rPr>
              <w:t>Hotărârea Guvernului nr. 348/2022 cu privire la aprobarea Programului „START pentru TINERI: o afacere durabilă la tine acasă”;</w:t>
            </w:r>
            <w:r w:rsidR="002474D2" w:rsidRPr="00AE4713">
              <w:rPr>
                <w:lang w:val="ro-RO"/>
              </w:rPr>
              <w:t xml:space="preserve"> </w:t>
            </w:r>
            <w:r w:rsidR="004A46FD" w:rsidRPr="00AE4713">
              <w:rPr>
                <w:lang w:val="ro-RO"/>
              </w:rPr>
              <w:t>Hotărârea Guvernului nr. 515/2022 cu privire la aprobarea Programului de retehnologizare și eficiență energetică a întreprinderilor mici și mijlocii;</w:t>
            </w:r>
            <w:r w:rsidR="002474D2" w:rsidRPr="00AE4713">
              <w:rPr>
                <w:lang w:val="ro-RO"/>
              </w:rPr>
              <w:t xml:space="preserve"> </w:t>
            </w:r>
            <w:r w:rsidR="004A46FD" w:rsidRPr="00AE4713">
              <w:rPr>
                <w:lang w:val="ro-RO"/>
              </w:rPr>
              <w:t>Hotărârea Guvernului nr. 622/2022 cu privire la aprobarea Programului de atragere a remitențelor în economie “PARE 1+2”</w:t>
            </w:r>
            <w:r w:rsidR="00B766DE" w:rsidRPr="00AE4713">
              <w:rPr>
                <w:lang w:val="ro-RO"/>
              </w:rPr>
              <w:t xml:space="preserve"> și </w:t>
            </w:r>
            <w:r w:rsidR="00775B67" w:rsidRPr="00AE4713">
              <w:rPr>
                <w:lang w:val="ro-RO"/>
              </w:rPr>
              <w:t>H</w:t>
            </w:r>
            <w:r w:rsidR="00B766DE" w:rsidRPr="00AE4713">
              <w:rPr>
                <w:lang w:val="ro-RO"/>
              </w:rPr>
              <w:t>otărâr</w:t>
            </w:r>
            <w:r w:rsidR="00775B67" w:rsidRPr="00AE4713">
              <w:rPr>
                <w:lang w:val="ro-RO"/>
              </w:rPr>
              <w:t>ea</w:t>
            </w:r>
            <w:r w:rsidR="00B766DE" w:rsidRPr="00AE4713">
              <w:rPr>
                <w:lang w:val="ro-RO"/>
              </w:rPr>
              <w:t xml:space="preserve"> Guvern</w:t>
            </w:r>
            <w:r w:rsidR="00775B67" w:rsidRPr="00AE4713">
              <w:rPr>
                <w:lang w:val="ro-RO"/>
              </w:rPr>
              <w:t>ului</w:t>
            </w:r>
            <w:r w:rsidR="00B766DE" w:rsidRPr="00AE4713">
              <w:rPr>
                <w:lang w:val="ro-RO"/>
              </w:rPr>
              <w:t xml:space="preserve"> nr. 94/2023 privind aprobarea Regulamentului cu privire la activitatea Fondului pentru </w:t>
            </w:r>
            <w:proofErr w:type="spellStart"/>
            <w:r w:rsidR="00B766DE" w:rsidRPr="00AE4713">
              <w:rPr>
                <w:lang w:val="ro-RO"/>
              </w:rPr>
              <w:t>antreprenoriat</w:t>
            </w:r>
            <w:proofErr w:type="spellEnd"/>
            <w:r w:rsidR="00B766DE" w:rsidRPr="00AE4713">
              <w:rPr>
                <w:lang w:val="ro-RO"/>
              </w:rPr>
              <w:t xml:space="preserve"> și creștere economică a Moldovei</w:t>
            </w:r>
            <w:r w:rsidRPr="00AE4713">
              <w:rPr>
                <w:lang w:val="ro-RO"/>
              </w:rPr>
              <w:t xml:space="preserve">. </w:t>
            </w:r>
            <w:r w:rsidR="00A7178B" w:rsidRPr="00AE4713">
              <w:rPr>
                <w:lang w:val="ro-RO"/>
              </w:rPr>
              <w:t xml:space="preserve"> </w:t>
            </w:r>
          </w:p>
          <w:p w14:paraId="6718DFBA" w14:textId="6F560B40" w:rsidR="00132EE6" w:rsidRPr="00AE4713" w:rsidRDefault="002A4113" w:rsidP="002474D2">
            <w:pPr>
              <w:spacing w:after="120" w:line="276" w:lineRule="auto"/>
              <w:jc w:val="both"/>
              <w:rPr>
                <w:lang w:val="ro-RO"/>
              </w:rPr>
            </w:pPr>
            <w:r w:rsidRPr="00AE4713">
              <w:rPr>
                <w:lang w:val="ro-RO"/>
              </w:rPr>
              <w:t>Astfel,</w:t>
            </w:r>
            <w:r w:rsidR="00031543" w:rsidRPr="00AE4713">
              <w:rPr>
                <w:lang w:val="ro-RO"/>
              </w:rPr>
              <w:t xml:space="preserve"> </w:t>
            </w:r>
            <w:r w:rsidRPr="00AE4713">
              <w:rPr>
                <w:lang w:val="ro-RO"/>
              </w:rPr>
              <w:t>î</w:t>
            </w:r>
            <w:r w:rsidR="00A7178B" w:rsidRPr="00AE4713">
              <w:rPr>
                <w:lang w:val="ro-RO"/>
              </w:rPr>
              <w:t xml:space="preserve">n scopul implementării mai eficiente a politicilor privind susținerea dezvoltării antreprenoriatului, </w:t>
            </w:r>
            <w:r w:rsidR="00031543" w:rsidRPr="00AE4713">
              <w:rPr>
                <w:lang w:val="ro-RO"/>
              </w:rPr>
              <w:t xml:space="preserve">inclusiv a întreprinderilor mici și mijlocii, </w:t>
            </w:r>
            <w:r w:rsidR="00A7178B" w:rsidRPr="00AE4713">
              <w:rPr>
                <w:lang w:val="ro-RO"/>
              </w:rPr>
              <w:t xml:space="preserve">în conformitate cu obiectivele stabilite de către </w:t>
            </w:r>
            <w:r w:rsidR="006E1286">
              <w:rPr>
                <w:lang w:val="ro-RO"/>
              </w:rPr>
              <w:t xml:space="preserve">IP </w:t>
            </w:r>
            <w:r w:rsidR="00D97385" w:rsidRPr="00AE4713">
              <w:rPr>
                <w:lang w:val="ro-RO"/>
              </w:rPr>
              <w:t>ODA</w:t>
            </w:r>
            <w:r w:rsidR="00A7178B" w:rsidRPr="00AE4713">
              <w:rPr>
                <w:lang w:val="ro-RO"/>
              </w:rPr>
              <w:t xml:space="preserve">, </w:t>
            </w:r>
            <w:r w:rsidR="000342AA" w:rsidRPr="00AE4713">
              <w:rPr>
                <w:lang w:val="ro-RO"/>
              </w:rPr>
              <w:t xml:space="preserve">s-a decis asupra </w:t>
            </w:r>
            <w:r w:rsidR="00A7178B" w:rsidRPr="00E22CBB">
              <w:rPr>
                <w:lang w:val="ro-RO"/>
              </w:rPr>
              <w:t>uniformiz</w:t>
            </w:r>
            <w:r w:rsidR="000342AA" w:rsidRPr="00E22CBB">
              <w:rPr>
                <w:lang w:val="ro-RO"/>
              </w:rPr>
              <w:t>ării</w:t>
            </w:r>
            <w:r w:rsidR="00A7178B" w:rsidRPr="00E22CBB">
              <w:rPr>
                <w:lang w:val="ro-RO"/>
              </w:rPr>
              <w:t xml:space="preserve"> </w:t>
            </w:r>
            <w:r w:rsidR="00504F4A">
              <w:rPr>
                <w:lang w:val="ro-RO"/>
              </w:rPr>
              <w:t>p</w:t>
            </w:r>
            <w:r w:rsidR="000342AA" w:rsidRPr="007D2F88">
              <w:rPr>
                <w:lang w:val="ro-RO"/>
              </w:rPr>
              <w:t>rogramelor de suport sub formă de grantur</w:t>
            </w:r>
            <w:r w:rsidR="00BC16FB" w:rsidRPr="007D2F88">
              <w:rPr>
                <w:lang w:val="ro-RO"/>
              </w:rPr>
              <w:t>i</w:t>
            </w:r>
            <w:r w:rsidR="00E22CBB" w:rsidRPr="007D2F88">
              <w:rPr>
                <w:lang w:val="ro-RO"/>
              </w:rPr>
              <w:t xml:space="preserve">, implementate de </w:t>
            </w:r>
            <w:r w:rsidR="006E1286">
              <w:rPr>
                <w:lang w:val="ro-RO"/>
              </w:rPr>
              <w:t xml:space="preserve">IP </w:t>
            </w:r>
            <w:r w:rsidR="000342AA" w:rsidRPr="007D2F88">
              <w:rPr>
                <w:lang w:val="ro-RO"/>
              </w:rPr>
              <w:t>ODA</w:t>
            </w:r>
            <w:r w:rsidR="000342AA" w:rsidRPr="00AE4713">
              <w:rPr>
                <w:lang w:val="ro-RO"/>
              </w:rPr>
              <w:t>. Astfel,</w:t>
            </w:r>
            <w:r w:rsidR="001C7123" w:rsidRPr="00AE4713">
              <w:rPr>
                <w:lang w:val="ro-RO"/>
              </w:rPr>
              <w:t xml:space="preserve"> </w:t>
            </w:r>
            <w:r w:rsidR="007539E7" w:rsidRPr="00AE4713">
              <w:rPr>
                <w:lang w:val="ro-RO"/>
              </w:rPr>
              <w:t>au fost operate următoarele modificări</w:t>
            </w:r>
            <w:r w:rsidR="001B70C4" w:rsidRPr="00AE4713">
              <w:rPr>
                <w:lang w:val="ro-RO"/>
              </w:rPr>
              <w:t>, în cuprinsul programelor de stat,</w:t>
            </w:r>
            <w:r w:rsidR="00916F52" w:rsidRPr="00AE4713">
              <w:rPr>
                <w:lang w:val="ro-RO"/>
              </w:rPr>
              <w:t xml:space="preserve"> în partea ce ține de criteriile și domeniile de eligibilitate</w:t>
            </w:r>
            <w:r w:rsidR="00DE443C" w:rsidRPr="00AE4713">
              <w:rPr>
                <w:lang w:val="ro-RO"/>
              </w:rPr>
              <w:t>:</w:t>
            </w:r>
          </w:p>
          <w:p w14:paraId="32D4EAB1" w14:textId="6462E8D5" w:rsidR="006D7676" w:rsidRPr="00AE4713" w:rsidRDefault="001B70C4" w:rsidP="00356B3C">
            <w:pPr>
              <w:pStyle w:val="ListParagraph"/>
              <w:numPr>
                <w:ilvl w:val="0"/>
                <w:numId w:val="12"/>
              </w:numPr>
              <w:spacing w:after="120" w:line="276" w:lineRule="auto"/>
              <w:ind w:left="714" w:hanging="357"/>
              <w:contextualSpacing w:val="0"/>
              <w:jc w:val="both"/>
              <w:rPr>
                <w:lang w:val="ro-RO"/>
              </w:rPr>
            </w:pPr>
            <w:r w:rsidRPr="00AE4713">
              <w:rPr>
                <w:lang w:val="ro-RO"/>
              </w:rPr>
              <w:t>desfășurarea</w:t>
            </w:r>
            <w:r w:rsidR="0024099F" w:rsidRPr="00AE4713">
              <w:rPr>
                <w:lang w:val="ro-RO"/>
              </w:rPr>
              <w:t xml:space="preserve"> </w:t>
            </w:r>
            <w:r w:rsidR="00160207" w:rsidRPr="00AE4713">
              <w:rPr>
                <w:lang w:val="ro-RO"/>
              </w:rPr>
              <w:t>criteriului de eligibilitate cu privire la perioada obligatorie de activitate a solicitanților</w:t>
            </w:r>
            <w:r w:rsidR="00ED46B1" w:rsidRPr="00AE4713">
              <w:rPr>
                <w:lang w:val="ro-RO"/>
              </w:rPr>
              <w:t xml:space="preserve">, </w:t>
            </w:r>
            <w:r w:rsidR="00E21BC1" w:rsidRPr="00AE4713">
              <w:rPr>
                <w:lang w:val="ro-RO"/>
              </w:rPr>
              <w:t xml:space="preserve">“au desfășurat activitate economică în ultimele 12/24  luni înainte de data aplicării la Program, reflectată în situațiile financiare prezentate Biroului Național de Statistică/ darea de seamă fiscală unificată prezentată la Serviciul  Fiscal de Stat, pentru </w:t>
            </w:r>
            <w:r w:rsidR="00E21BC1" w:rsidRPr="005A0BB1">
              <w:rPr>
                <w:lang w:val="ro-RO"/>
              </w:rPr>
              <w:t>ultimul an</w:t>
            </w:r>
            <w:r w:rsidR="00D81168" w:rsidRPr="005A0BB1">
              <w:rPr>
                <w:lang w:val="ro-RO"/>
              </w:rPr>
              <w:t>/ultimii doi ani</w:t>
            </w:r>
            <w:r w:rsidR="00E21BC1" w:rsidRPr="005A0BB1">
              <w:rPr>
                <w:lang w:val="ro-RO"/>
              </w:rPr>
              <w:t xml:space="preserve"> de activitate</w:t>
            </w:r>
            <w:r w:rsidR="00E21BC1" w:rsidRPr="00AE4713">
              <w:rPr>
                <w:lang w:val="ro-RO"/>
              </w:rPr>
              <w:t xml:space="preserve">”, </w:t>
            </w:r>
            <w:r w:rsidR="00ED46B1" w:rsidRPr="00AE4713">
              <w:rPr>
                <w:lang w:val="ro-RO"/>
              </w:rPr>
              <w:t>p</w:t>
            </w:r>
            <w:r w:rsidR="00E64701" w:rsidRPr="00AE4713">
              <w:rPr>
                <w:lang w:val="ro-RO"/>
              </w:rPr>
              <w:t>entru a accentua anume ultima perioadă de activitate, ceea ce demonstrează că compania este viabilă</w:t>
            </w:r>
            <w:r w:rsidR="00362F4C" w:rsidRPr="00AE4713">
              <w:rPr>
                <w:lang w:val="ro-RO"/>
              </w:rPr>
              <w:t xml:space="preserve"> la momentul aplicării la programele de stat</w:t>
            </w:r>
            <w:r w:rsidR="00E64701" w:rsidRPr="00AE4713">
              <w:rPr>
                <w:lang w:val="ro-RO"/>
              </w:rPr>
              <w:t xml:space="preserve">; </w:t>
            </w:r>
          </w:p>
          <w:p w14:paraId="063DF0E6" w14:textId="3E4F932E" w:rsidR="00362F4C" w:rsidRPr="00AE4713" w:rsidRDefault="00D20C78" w:rsidP="00356B3C">
            <w:pPr>
              <w:pStyle w:val="ListParagraph"/>
              <w:numPr>
                <w:ilvl w:val="0"/>
                <w:numId w:val="12"/>
              </w:numPr>
              <w:spacing w:after="120" w:line="276" w:lineRule="auto"/>
              <w:ind w:left="714" w:hanging="357"/>
              <w:contextualSpacing w:val="0"/>
              <w:jc w:val="both"/>
              <w:rPr>
                <w:lang w:val="ro-RO"/>
              </w:rPr>
            </w:pPr>
            <w:r w:rsidRPr="00AE4713">
              <w:rPr>
                <w:lang w:val="ro-RO"/>
              </w:rPr>
              <w:t xml:space="preserve">includerea reglementărilor cu privire la </w:t>
            </w:r>
            <w:r w:rsidR="00CB1D9D" w:rsidRPr="00AE4713">
              <w:rPr>
                <w:lang w:val="ro-RO"/>
              </w:rPr>
              <w:t>calificarea drept eligibile doar a companiilor care</w:t>
            </w:r>
            <w:r w:rsidR="00CA4FB2" w:rsidRPr="00AE4713">
              <w:rPr>
                <w:lang w:val="ro-RO"/>
              </w:rPr>
              <w:t xml:space="preserve"> nu</w:t>
            </w:r>
            <w:r w:rsidR="00CB1D9D" w:rsidRPr="00AE4713">
              <w:rPr>
                <w:lang w:val="ro-RO"/>
              </w:rPr>
              <w:t xml:space="preserve"> sunt afiliate</w:t>
            </w:r>
            <w:r w:rsidR="00CA4FB2" w:rsidRPr="00AE4713">
              <w:rPr>
                <w:lang w:val="ro-RO"/>
              </w:rPr>
              <w:t xml:space="preserve"> într-un grup de întreprinderi al cărui număr de angajați și venituri din vânzări sau active totale deținute cumulativ depă</w:t>
            </w:r>
            <w:r w:rsidR="00AA7F9B" w:rsidRPr="00AE4713">
              <w:rPr>
                <w:lang w:val="ro-RO"/>
              </w:rPr>
              <w:t>ș</w:t>
            </w:r>
            <w:r w:rsidR="00CA4FB2" w:rsidRPr="00AE4713">
              <w:rPr>
                <w:lang w:val="ro-RO"/>
              </w:rPr>
              <w:t xml:space="preserve">esc condițiile </w:t>
            </w:r>
            <w:r w:rsidR="00571B15" w:rsidRPr="00AE4713">
              <w:rPr>
                <w:lang w:val="ro-RO"/>
              </w:rPr>
              <w:t>pentru definirea ÎMM</w:t>
            </w:r>
            <w:r w:rsidR="00FA2640" w:rsidRPr="00AE4713">
              <w:rPr>
                <w:lang w:val="ro-RO"/>
              </w:rPr>
              <w:t xml:space="preserve">, </w:t>
            </w:r>
            <w:r w:rsidR="00571B15" w:rsidRPr="00AE4713">
              <w:rPr>
                <w:lang w:val="ro-RO"/>
              </w:rPr>
              <w:t xml:space="preserve">stabilite la art. 4 din Legea nr. 179/2016 cu privire la întreprinderile mici și mijlocii. Astfel, </w:t>
            </w:r>
            <w:r w:rsidR="008F18B8" w:rsidRPr="00AE4713">
              <w:rPr>
                <w:lang w:val="ro-RO"/>
              </w:rPr>
              <w:t>se urmărește asigurarea condițiilor egale pentru companiile ce aplică la programele de stat (fie că desfășoară în cadrul unei singure com</w:t>
            </w:r>
            <w:r w:rsidR="00AA7F9B" w:rsidRPr="00AE4713">
              <w:rPr>
                <w:lang w:val="ro-RO"/>
              </w:rPr>
              <w:t>pa</w:t>
            </w:r>
            <w:r w:rsidR="008F18B8" w:rsidRPr="00AE4713">
              <w:rPr>
                <w:lang w:val="ro-RO"/>
              </w:rPr>
              <w:t xml:space="preserve">nii toate genurile de activitate, fie că </w:t>
            </w:r>
            <w:r w:rsidR="00AD549A" w:rsidRPr="00AE4713">
              <w:rPr>
                <w:lang w:val="ro-RO"/>
              </w:rPr>
              <w:t>deține companii separate pentru genuri de activitate distinct</w:t>
            </w:r>
            <w:r w:rsidR="0093109F" w:rsidRPr="00AE4713">
              <w:rPr>
                <w:lang w:val="ro-RO"/>
              </w:rPr>
              <w:t>e</w:t>
            </w:r>
            <w:r w:rsidR="008F18B8" w:rsidRPr="00AE4713">
              <w:rPr>
                <w:lang w:val="ro-RO"/>
              </w:rPr>
              <w:t>)</w:t>
            </w:r>
            <w:r w:rsidR="00571B15" w:rsidRPr="00AE4713">
              <w:rPr>
                <w:lang w:val="ro-RO"/>
              </w:rPr>
              <w:t>;</w:t>
            </w:r>
          </w:p>
          <w:p w14:paraId="0F1EAA66" w14:textId="3FBAFDF1" w:rsidR="00D20C78" w:rsidRPr="00AE4713" w:rsidRDefault="00AD2AC7" w:rsidP="00356B3C">
            <w:pPr>
              <w:pStyle w:val="ListParagraph"/>
              <w:numPr>
                <w:ilvl w:val="0"/>
                <w:numId w:val="12"/>
              </w:numPr>
              <w:spacing w:after="120" w:line="276" w:lineRule="auto"/>
              <w:ind w:left="714" w:hanging="357"/>
              <w:contextualSpacing w:val="0"/>
              <w:jc w:val="both"/>
              <w:rPr>
                <w:lang w:val="ro-RO"/>
              </w:rPr>
            </w:pPr>
            <w:r w:rsidRPr="00AE4713">
              <w:rPr>
                <w:lang w:val="ro-RO"/>
              </w:rPr>
              <w:t xml:space="preserve">concretizarea </w:t>
            </w:r>
            <w:r w:rsidR="00356B3C" w:rsidRPr="00AE4713">
              <w:rPr>
                <w:lang w:val="ro-RO"/>
              </w:rPr>
              <w:t>prevederilor cu privire la costuri</w:t>
            </w:r>
            <w:r w:rsidR="00340268" w:rsidRPr="00AE4713">
              <w:rPr>
                <w:lang w:val="ro-RO"/>
              </w:rPr>
              <w:t>le neeligibile</w:t>
            </w:r>
            <w:r w:rsidR="00356B3C" w:rsidRPr="00AE4713">
              <w:rPr>
                <w:lang w:val="ro-RO"/>
              </w:rPr>
              <w:t xml:space="preserve"> suportate înainte de depunerea formularului la componenta II – suport financiar nerambursabil </w:t>
            </w:r>
            <w:r w:rsidR="004C4724" w:rsidRPr="00AE4713">
              <w:rPr>
                <w:lang w:val="ro-RO"/>
              </w:rPr>
              <w:t>la</w:t>
            </w:r>
            <w:r w:rsidR="00356B3C" w:rsidRPr="00AE4713">
              <w:rPr>
                <w:lang w:val="ro-RO"/>
              </w:rPr>
              <w:t xml:space="preserve"> </w:t>
            </w:r>
            <w:r w:rsidR="00340268" w:rsidRPr="00AE4713">
              <w:rPr>
                <w:lang w:val="ro-RO"/>
              </w:rPr>
              <w:t>programel</w:t>
            </w:r>
            <w:r w:rsidR="004C4724" w:rsidRPr="00AE4713">
              <w:rPr>
                <w:lang w:val="ro-RO"/>
              </w:rPr>
              <w:t>e</w:t>
            </w:r>
            <w:r w:rsidR="00340268" w:rsidRPr="00AE4713">
              <w:rPr>
                <w:lang w:val="ro-RO"/>
              </w:rPr>
              <w:t xml:space="preserve"> de stat</w:t>
            </w:r>
            <w:r w:rsidR="00F51404" w:rsidRPr="00AE4713">
              <w:rPr>
                <w:lang w:val="ro-RO"/>
              </w:rPr>
              <w:t xml:space="preserve">. Astfel, nu </w:t>
            </w:r>
            <w:r w:rsidR="004C4724" w:rsidRPr="00AE4713">
              <w:rPr>
                <w:lang w:val="ro-RO"/>
              </w:rPr>
              <w:t xml:space="preserve">sunt eligibile spre </w:t>
            </w:r>
            <w:r w:rsidR="00F51404" w:rsidRPr="00AE4713">
              <w:rPr>
                <w:lang w:val="ro-RO"/>
              </w:rPr>
              <w:t xml:space="preserve">finanțare bunurile înregistrate în evidența contabilă </w:t>
            </w:r>
            <w:r w:rsidR="00F51404" w:rsidRPr="00AE4713">
              <w:rPr>
                <w:lang w:val="ro-RO"/>
              </w:rPr>
              <w:lastRenderedPageBreak/>
              <w:t xml:space="preserve">a ÎMM, dar se specifică că </w:t>
            </w:r>
            <w:r w:rsidR="004C4724" w:rsidRPr="00AE4713">
              <w:rPr>
                <w:lang w:val="ro-RO"/>
              </w:rPr>
              <w:t>se acceptă</w:t>
            </w:r>
            <w:r w:rsidR="00E72072" w:rsidRPr="00AE4713">
              <w:rPr>
                <w:lang w:val="ro-RO"/>
              </w:rPr>
              <w:t xml:space="preserve"> avansurile acordate în mărime de până la 50 % sau egal din valoarea achiziției și efectuate cu mai puțin de 6 luni înain</w:t>
            </w:r>
            <w:r w:rsidR="00166D5D" w:rsidRPr="00AE4713">
              <w:rPr>
                <w:lang w:val="ro-RO"/>
              </w:rPr>
              <w:t>t</w:t>
            </w:r>
            <w:r w:rsidR="00E72072" w:rsidRPr="00AE4713">
              <w:rPr>
                <w:lang w:val="ro-RO"/>
              </w:rPr>
              <w:t xml:space="preserve">e de aplicare la programele de stat, </w:t>
            </w:r>
            <w:r w:rsidR="00D759D8" w:rsidRPr="00AE4713">
              <w:rPr>
                <w:lang w:val="ro-RO"/>
              </w:rPr>
              <w:t>ceea ce facilitează procesul a</w:t>
            </w:r>
            <w:r w:rsidR="00166D5D" w:rsidRPr="00AE4713">
              <w:rPr>
                <w:lang w:val="ro-RO"/>
              </w:rPr>
              <w:t>n</w:t>
            </w:r>
            <w:r w:rsidR="00D759D8" w:rsidRPr="00AE4713">
              <w:rPr>
                <w:lang w:val="ro-RO"/>
              </w:rPr>
              <w:t>treprenorilor de a identifica oferte mai bune, la prețuri mai avantajoase</w:t>
            </w:r>
            <w:r w:rsidR="00924182" w:rsidRPr="00AE4713">
              <w:rPr>
                <w:lang w:val="ro-RO"/>
              </w:rPr>
              <w:t>;</w:t>
            </w:r>
          </w:p>
          <w:p w14:paraId="13757083" w14:textId="77777777" w:rsidR="006857C6" w:rsidRDefault="00D33054" w:rsidP="006857C6">
            <w:pPr>
              <w:pStyle w:val="ListParagraph"/>
              <w:numPr>
                <w:ilvl w:val="0"/>
                <w:numId w:val="12"/>
              </w:numPr>
              <w:spacing w:after="120" w:line="276" w:lineRule="auto"/>
              <w:contextualSpacing w:val="0"/>
              <w:jc w:val="both"/>
              <w:rPr>
                <w:lang w:val="ro-RO"/>
              </w:rPr>
            </w:pPr>
            <w:r w:rsidRPr="006D0A8E">
              <w:rPr>
                <w:lang w:val="ro-RO"/>
              </w:rPr>
              <w:t>includerea</w:t>
            </w:r>
            <w:r w:rsidR="00924182" w:rsidRPr="006D0A8E">
              <w:rPr>
                <w:lang w:val="ro-RO"/>
              </w:rPr>
              <w:t xml:space="preserve"> </w:t>
            </w:r>
            <w:r w:rsidR="002A425E" w:rsidRPr="006D0A8E">
              <w:rPr>
                <w:lang w:val="ro-RO"/>
              </w:rPr>
              <w:t xml:space="preserve">unor indicatori </w:t>
            </w:r>
            <w:r w:rsidR="00924182" w:rsidRPr="006D0A8E">
              <w:rPr>
                <w:lang w:val="ro-RO"/>
              </w:rPr>
              <w:t>de rezultat,</w:t>
            </w:r>
            <w:r w:rsidRPr="006D0A8E">
              <w:rPr>
                <w:lang w:val="ro-RO"/>
              </w:rPr>
              <w:t xml:space="preserve"> care vor garanta o abordare coerentă și axată pe rezultate în procesul de </w:t>
            </w:r>
            <w:r w:rsidR="00AE4713" w:rsidRPr="006D0A8E">
              <w:rPr>
                <w:lang w:val="ro-RO"/>
              </w:rPr>
              <w:t>evaluare</w:t>
            </w:r>
            <w:r w:rsidR="00B410A4" w:rsidRPr="006D0A8E">
              <w:rPr>
                <w:lang w:val="ro-RO"/>
              </w:rPr>
              <w:t xml:space="preserve"> a proiectelor </w:t>
            </w:r>
            <w:r w:rsidR="00AE4713" w:rsidRPr="006D0A8E">
              <w:rPr>
                <w:lang w:val="ro-RO"/>
              </w:rPr>
              <w:t>investiționale</w:t>
            </w:r>
            <w:r w:rsidR="00B410A4" w:rsidRPr="006D0A8E">
              <w:rPr>
                <w:lang w:val="ro-RO"/>
              </w:rPr>
              <w:t>.</w:t>
            </w:r>
            <w:r w:rsidR="00AE4713" w:rsidRPr="006D0A8E">
              <w:rPr>
                <w:lang w:val="ro-RO"/>
              </w:rPr>
              <w:t xml:space="preserve"> Cuantificarea și </w:t>
            </w:r>
            <w:r w:rsidR="002A425E" w:rsidRPr="006D0A8E">
              <w:rPr>
                <w:lang w:val="ro-RO"/>
              </w:rPr>
              <w:t>evaluarea</w:t>
            </w:r>
            <w:r w:rsidR="00AE4713" w:rsidRPr="006D0A8E">
              <w:rPr>
                <w:lang w:val="ro-RO"/>
              </w:rPr>
              <w:t xml:space="preserve"> indicatorilor preconizați</w:t>
            </w:r>
            <w:r w:rsidR="002A425E" w:rsidRPr="006D0A8E">
              <w:rPr>
                <w:lang w:val="ro-RO"/>
              </w:rPr>
              <w:t>, pentru fiecare proiect investițional,</w:t>
            </w:r>
            <w:r w:rsidR="00AE4713" w:rsidRPr="006D0A8E">
              <w:rPr>
                <w:lang w:val="ro-RO"/>
              </w:rPr>
              <w:t xml:space="preserve"> va facilita </w:t>
            </w:r>
            <w:r w:rsidR="002A425E" w:rsidRPr="006D0A8E">
              <w:rPr>
                <w:lang w:val="ro-RO"/>
              </w:rPr>
              <w:t>finanțare</w:t>
            </w:r>
            <w:r w:rsidR="00AE4713" w:rsidRPr="006D0A8E">
              <w:rPr>
                <w:lang w:val="ro-RO"/>
              </w:rPr>
              <w:t xml:space="preserve">a acelor proiecte care prezintă relevanță pentru atingerea indicatorilor de rezultat </w:t>
            </w:r>
            <w:r w:rsidR="00A84D1D" w:rsidRPr="006D0A8E">
              <w:rPr>
                <w:lang w:val="ro-RO"/>
              </w:rPr>
              <w:t xml:space="preserve">scontați </w:t>
            </w:r>
            <w:r w:rsidR="00AE4713" w:rsidRPr="006D0A8E">
              <w:rPr>
                <w:lang w:val="ro-RO"/>
              </w:rPr>
              <w:t xml:space="preserve">și obiectivelor </w:t>
            </w:r>
            <w:r w:rsidR="002A425E" w:rsidRPr="006D0A8E">
              <w:rPr>
                <w:lang w:val="ro-RO"/>
              </w:rPr>
              <w:t>stabilite în programele de stat;</w:t>
            </w:r>
          </w:p>
          <w:p w14:paraId="67531F59" w14:textId="3C8B3378" w:rsidR="006857C6" w:rsidRPr="00EE6910" w:rsidRDefault="008C594F" w:rsidP="006857C6">
            <w:pPr>
              <w:pStyle w:val="ListParagraph"/>
              <w:numPr>
                <w:ilvl w:val="0"/>
                <w:numId w:val="12"/>
              </w:numPr>
              <w:spacing w:line="276" w:lineRule="auto"/>
              <w:contextualSpacing w:val="0"/>
              <w:jc w:val="both"/>
              <w:rPr>
                <w:lang w:val="ro-RO"/>
              </w:rPr>
            </w:pPr>
            <w:r w:rsidRPr="00EE6910">
              <w:rPr>
                <w:lang w:val="ro-RO"/>
              </w:rPr>
              <w:t>stabilirea activităților economice</w:t>
            </w:r>
            <w:r w:rsidR="002E0DA2" w:rsidRPr="00EE6910">
              <w:rPr>
                <w:lang w:val="ro-RO"/>
              </w:rPr>
              <w:t xml:space="preserve"> </w:t>
            </w:r>
            <w:r w:rsidR="00BC6FE4" w:rsidRPr="00EE6910">
              <w:rPr>
                <w:lang w:val="ro-RO"/>
              </w:rPr>
              <w:t>eligibile</w:t>
            </w:r>
            <w:r w:rsidR="002E0DA2" w:rsidRPr="00EE6910">
              <w:rPr>
                <w:lang w:val="ro-RO"/>
              </w:rPr>
              <w:t xml:space="preserve"> pentru </w:t>
            </w:r>
            <w:r w:rsidR="00BC6FE4" w:rsidRPr="00EE6910">
              <w:rPr>
                <w:lang w:val="ro-RO"/>
              </w:rPr>
              <w:t xml:space="preserve">finanțare în cadrul </w:t>
            </w:r>
            <w:r w:rsidR="00900AEF" w:rsidRPr="00EE6910">
              <w:rPr>
                <w:lang w:val="ro-RO"/>
              </w:rPr>
              <w:t>p</w:t>
            </w:r>
            <w:r w:rsidR="00BC6FE4" w:rsidRPr="00EE6910">
              <w:rPr>
                <w:lang w:val="ro-RO"/>
              </w:rPr>
              <w:t>rogramelor</w:t>
            </w:r>
            <w:r w:rsidR="00922F6E" w:rsidRPr="00EE6910">
              <w:rPr>
                <w:lang w:val="ro-RO"/>
              </w:rPr>
              <w:t>,</w:t>
            </w:r>
            <w:r w:rsidR="00BC6FE4" w:rsidRPr="00EE6910">
              <w:rPr>
                <w:lang w:val="ro-RO"/>
              </w:rPr>
              <w:t xml:space="preserve"> în conformitate </w:t>
            </w:r>
            <w:r w:rsidR="004F32F3" w:rsidRPr="00EE6910">
              <w:rPr>
                <w:lang w:val="ro-RO"/>
              </w:rPr>
              <w:t>c</w:t>
            </w:r>
            <w:r w:rsidR="00BC6FE4" w:rsidRPr="00EE6910">
              <w:rPr>
                <w:lang w:val="ro-RO"/>
              </w:rPr>
              <w:t>u Clasificatorul Activităților din Economia Moldovei</w:t>
            </w:r>
            <w:r w:rsidR="002E0DA2" w:rsidRPr="00EE6910">
              <w:rPr>
                <w:lang w:val="ro-RO"/>
              </w:rPr>
              <w:t xml:space="preserve">, </w:t>
            </w:r>
            <w:r w:rsidR="00BC6FE4" w:rsidRPr="00EE6910">
              <w:rPr>
                <w:lang w:val="ro-RO"/>
              </w:rPr>
              <w:t xml:space="preserve">în </w:t>
            </w:r>
            <w:r w:rsidR="00922F6E" w:rsidRPr="00EE6910">
              <w:rPr>
                <w:lang w:val="ro-RO"/>
              </w:rPr>
              <w:t xml:space="preserve">vederea </w:t>
            </w:r>
            <w:r w:rsidR="00BC6FE4" w:rsidRPr="00EE6910">
              <w:rPr>
                <w:lang w:val="ro-RO"/>
              </w:rPr>
              <w:t>expune</w:t>
            </w:r>
            <w:r w:rsidR="00922F6E" w:rsidRPr="00EE6910">
              <w:rPr>
                <w:lang w:val="ro-RO"/>
              </w:rPr>
              <w:t>rii</w:t>
            </w:r>
            <w:r w:rsidR="00A84D1D" w:rsidRPr="00EE6910">
              <w:rPr>
                <w:lang w:val="ro-RO"/>
              </w:rPr>
              <w:t>,</w:t>
            </w:r>
            <w:r w:rsidR="00BC6FE4" w:rsidRPr="00EE6910">
              <w:rPr>
                <w:lang w:val="ro-RO"/>
              </w:rPr>
              <w:t xml:space="preserve"> în mod </w:t>
            </w:r>
            <w:r w:rsidR="004468B6" w:rsidRPr="00EE6910">
              <w:rPr>
                <w:lang w:val="ro-RO"/>
              </w:rPr>
              <w:t>relevant</w:t>
            </w:r>
            <w:r w:rsidR="00A84D1D" w:rsidRPr="00EE6910">
              <w:rPr>
                <w:lang w:val="ro-RO"/>
              </w:rPr>
              <w:t xml:space="preserve">, </w:t>
            </w:r>
            <w:r w:rsidR="00EF04CF" w:rsidRPr="00EE6910">
              <w:rPr>
                <w:lang w:val="ro-RO"/>
              </w:rPr>
              <w:t xml:space="preserve">a </w:t>
            </w:r>
            <w:r w:rsidR="00BC6FE4" w:rsidRPr="00EE6910">
              <w:rPr>
                <w:lang w:val="ro-RO"/>
              </w:rPr>
              <w:t>activitățil</w:t>
            </w:r>
            <w:r w:rsidR="00EF04CF" w:rsidRPr="00EE6910">
              <w:rPr>
                <w:lang w:val="ro-RO"/>
              </w:rPr>
              <w:t>or</w:t>
            </w:r>
            <w:r w:rsidR="00BC6FE4" w:rsidRPr="00EE6910">
              <w:rPr>
                <w:lang w:val="ro-RO"/>
              </w:rPr>
              <w:t xml:space="preserve"> economice </w:t>
            </w:r>
            <w:r w:rsidR="00310F70" w:rsidRPr="00EE6910">
              <w:rPr>
                <w:lang w:val="ro-RO"/>
              </w:rPr>
              <w:t xml:space="preserve">susținute prin intermediul </w:t>
            </w:r>
            <w:r w:rsidR="00900AEF" w:rsidRPr="00EE6910">
              <w:rPr>
                <w:lang w:val="ro-RO"/>
              </w:rPr>
              <w:t>fiecărui p</w:t>
            </w:r>
            <w:r w:rsidR="00310F70" w:rsidRPr="00EE6910">
              <w:rPr>
                <w:lang w:val="ro-RO"/>
              </w:rPr>
              <w:t>rogram</w:t>
            </w:r>
            <w:r w:rsidR="00EF04CF" w:rsidRPr="00EE6910">
              <w:rPr>
                <w:lang w:val="ro-RO"/>
              </w:rPr>
              <w:t xml:space="preserve"> potrivit</w:t>
            </w:r>
            <w:r w:rsidR="00310F70" w:rsidRPr="00EE6910">
              <w:rPr>
                <w:lang w:val="ro-RO"/>
              </w:rPr>
              <w:t xml:space="preserve"> </w:t>
            </w:r>
            <w:r w:rsidR="00BC6FE4" w:rsidRPr="00EE6910">
              <w:rPr>
                <w:lang w:val="ro-RO"/>
              </w:rPr>
              <w:t xml:space="preserve">obiectivelor specifice </w:t>
            </w:r>
            <w:r w:rsidR="00310F70" w:rsidRPr="00EE6910">
              <w:rPr>
                <w:lang w:val="ro-RO"/>
              </w:rPr>
              <w:t>ale acest</w:t>
            </w:r>
            <w:r w:rsidR="00900AEF" w:rsidRPr="00EE6910">
              <w:rPr>
                <w:lang w:val="ro-RO"/>
              </w:rPr>
              <w:t>ora</w:t>
            </w:r>
            <w:r w:rsidR="00EF04CF" w:rsidRPr="00EE6910">
              <w:rPr>
                <w:lang w:val="ro-RO"/>
              </w:rPr>
              <w:t xml:space="preserve"> și în scopul </w:t>
            </w:r>
            <w:r w:rsidR="00462447" w:rsidRPr="00EE6910">
              <w:rPr>
                <w:lang w:val="ro-RO"/>
              </w:rPr>
              <w:t>a</w:t>
            </w:r>
            <w:r w:rsidR="00CB62DF" w:rsidRPr="00EE6910">
              <w:rPr>
                <w:lang w:val="ro-RO"/>
              </w:rPr>
              <w:t>tingerii impactului economic scontat</w:t>
            </w:r>
            <w:r w:rsidR="00310F70" w:rsidRPr="00EE6910">
              <w:rPr>
                <w:lang w:val="ro-RO"/>
              </w:rPr>
              <w:t>, precum și pentru a</w:t>
            </w:r>
            <w:r w:rsidR="00BC6FE4" w:rsidRPr="00EE6910">
              <w:rPr>
                <w:lang w:val="ro-RO"/>
              </w:rPr>
              <w:t xml:space="preserve"> asigura evidența </w:t>
            </w:r>
            <w:r w:rsidR="00310F70" w:rsidRPr="00EE6910">
              <w:rPr>
                <w:lang w:val="ro-RO"/>
              </w:rPr>
              <w:t xml:space="preserve">proiectelor investiționale finanțate în funcție de </w:t>
            </w:r>
            <w:r w:rsidR="00BC6FE4" w:rsidRPr="00EE6910">
              <w:rPr>
                <w:lang w:val="ro-RO"/>
              </w:rPr>
              <w:t>activitățil</w:t>
            </w:r>
            <w:r w:rsidR="00382033" w:rsidRPr="00EE6910">
              <w:rPr>
                <w:lang w:val="ro-RO"/>
              </w:rPr>
              <w:t>e</w:t>
            </w:r>
            <w:r w:rsidR="00BC6FE4" w:rsidRPr="00EE6910">
              <w:rPr>
                <w:lang w:val="ro-RO"/>
              </w:rPr>
              <w:t xml:space="preserve"> economice </w:t>
            </w:r>
            <w:r w:rsidR="00310F70" w:rsidRPr="00EE6910">
              <w:rPr>
                <w:lang w:val="ro-RO"/>
              </w:rPr>
              <w:t>desfășurate.</w:t>
            </w:r>
            <w:r w:rsidR="006857C6" w:rsidRPr="00EE6910">
              <w:rPr>
                <w:lang w:val="ro-RO"/>
              </w:rPr>
              <w:t xml:space="preserve"> </w:t>
            </w:r>
          </w:p>
          <w:p w14:paraId="1084B135" w14:textId="59BCCE2D" w:rsidR="00B05BCC" w:rsidRPr="00EE6910" w:rsidRDefault="006857C6" w:rsidP="0081281F">
            <w:pPr>
              <w:pStyle w:val="ListParagraph"/>
              <w:spacing w:line="276" w:lineRule="auto"/>
              <w:ind w:left="714"/>
              <w:contextualSpacing w:val="0"/>
              <w:jc w:val="both"/>
              <w:rPr>
                <w:lang w:val="ro-MD"/>
              </w:rPr>
            </w:pPr>
            <w:r w:rsidRPr="00EE6910">
              <w:rPr>
                <w:lang w:val="ro-RO"/>
              </w:rPr>
              <w:t>Activitățil</w:t>
            </w:r>
            <w:r w:rsidR="00382033" w:rsidRPr="00EE6910">
              <w:rPr>
                <w:lang w:val="ro-RO"/>
              </w:rPr>
              <w:t>e</w:t>
            </w:r>
            <w:r w:rsidRPr="00EE6910">
              <w:rPr>
                <w:lang w:val="ro-RO"/>
              </w:rPr>
              <w:t xml:space="preserve"> economice neeligibile </w:t>
            </w:r>
            <w:r w:rsidR="00402238" w:rsidRPr="00EE6910">
              <w:rPr>
                <w:lang w:val="ro-RO"/>
              </w:rPr>
              <w:t xml:space="preserve">în cadrul programelor </w:t>
            </w:r>
            <w:r w:rsidRPr="00EE6910">
              <w:rPr>
                <w:lang w:val="ro-RO"/>
              </w:rPr>
              <w:t xml:space="preserve">au fost stabilite în conformitate cu articolul 12 </w:t>
            </w:r>
            <w:r w:rsidR="000D4FD8" w:rsidRPr="00634FAD">
              <w:rPr>
                <w:lang w:val="ro-RO"/>
              </w:rPr>
              <w:t>alin (3)</w:t>
            </w:r>
            <w:r w:rsidR="000D4FD8">
              <w:rPr>
                <w:lang w:val="ro-RO"/>
              </w:rPr>
              <w:t xml:space="preserve"> </w:t>
            </w:r>
            <w:r w:rsidRPr="00EE6910">
              <w:rPr>
                <w:lang w:val="ro-RO"/>
              </w:rPr>
              <w:t xml:space="preserve">din </w:t>
            </w:r>
            <w:r w:rsidRPr="00EE6910">
              <w:rPr>
                <w:lang w:val="ro-MD"/>
              </w:rPr>
              <w:t xml:space="preserve">Legea nr. 179/2016 cu privire la întreprinderile mici și mijlocii și </w:t>
            </w:r>
            <w:r w:rsidR="00402238" w:rsidRPr="00EE6910">
              <w:rPr>
                <w:lang w:val="ro-MD"/>
              </w:rPr>
              <w:t xml:space="preserve">prevederile </w:t>
            </w:r>
            <w:r w:rsidRPr="00EE6910">
              <w:rPr>
                <w:lang w:val="ro-MD"/>
              </w:rPr>
              <w:t>Hotărâril</w:t>
            </w:r>
            <w:r w:rsidR="00402238" w:rsidRPr="00EE6910">
              <w:rPr>
                <w:lang w:val="ro-MD"/>
              </w:rPr>
              <w:t>or</w:t>
            </w:r>
            <w:r w:rsidRPr="00EE6910">
              <w:rPr>
                <w:lang w:val="ro-MD"/>
              </w:rPr>
              <w:t xml:space="preserve"> de Guvern </w:t>
            </w:r>
            <w:r w:rsidR="00402238" w:rsidRPr="00EE6910">
              <w:rPr>
                <w:lang w:val="ro-MD"/>
              </w:rPr>
              <w:t xml:space="preserve">privind aprobarea </w:t>
            </w:r>
            <w:r w:rsidRPr="00EE6910">
              <w:rPr>
                <w:lang w:val="ro-MD"/>
              </w:rPr>
              <w:t xml:space="preserve">Programelor. </w:t>
            </w:r>
            <w:r w:rsidR="00634FAD">
              <w:rPr>
                <w:lang w:val="ro-MD"/>
              </w:rPr>
              <w:t>De asemenea nu sunt eligibile</w:t>
            </w:r>
            <w:r w:rsidR="004E453F" w:rsidRPr="00EE6910">
              <w:rPr>
                <w:lang w:val="ro-MD"/>
              </w:rPr>
              <w:t xml:space="preserve">, în cadrul </w:t>
            </w:r>
            <w:r w:rsidR="00402238" w:rsidRPr="00EE6910">
              <w:rPr>
                <w:lang w:val="ro-MD"/>
              </w:rPr>
              <w:t>p</w:t>
            </w:r>
            <w:r w:rsidR="004E453F" w:rsidRPr="00EE6910">
              <w:rPr>
                <w:lang w:val="ro-MD"/>
              </w:rPr>
              <w:t>rogramelor,</w:t>
            </w:r>
            <w:r w:rsidRPr="00EE6910">
              <w:rPr>
                <w:lang w:val="ro-MD"/>
              </w:rPr>
              <w:t xml:space="preserve"> </w:t>
            </w:r>
            <w:r w:rsidR="00634FAD">
              <w:rPr>
                <w:lang w:val="ro-MD"/>
              </w:rPr>
              <w:t>pentru a fi</w:t>
            </w:r>
            <w:r w:rsidR="004E453F" w:rsidRPr="00EE6910">
              <w:rPr>
                <w:lang w:val="ro-MD"/>
              </w:rPr>
              <w:t xml:space="preserve"> finanțate activități precum:</w:t>
            </w:r>
            <w:r w:rsidR="002F7F50" w:rsidRPr="00EE6910">
              <w:rPr>
                <w:lang w:val="ro-MD"/>
              </w:rPr>
              <w:t xml:space="preserve"> distilarea, rafinarea </w:t>
            </w:r>
            <w:proofErr w:type="spellStart"/>
            <w:r w:rsidR="002F7F50" w:rsidRPr="00EE6910">
              <w:rPr>
                <w:lang w:val="ro-MD"/>
              </w:rPr>
              <w:t>şi</w:t>
            </w:r>
            <w:proofErr w:type="spellEnd"/>
            <w:r w:rsidR="002F7F50" w:rsidRPr="00EE6910">
              <w:rPr>
                <w:lang w:val="ro-MD"/>
              </w:rPr>
              <w:t xml:space="preserve"> mixarea băuturilor alcoolice</w:t>
            </w:r>
            <w:r w:rsidR="00B05BCC" w:rsidRPr="00EE6910">
              <w:rPr>
                <w:lang w:val="ro-MD"/>
              </w:rPr>
              <w:t>;</w:t>
            </w:r>
            <w:r w:rsidR="002F7F50" w:rsidRPr="00EE6910">
              <w:t xml:space="preserve"> </w:t>
            </w:r>
            <w:r w:rsidR="002F7F50" w:rsidRPr="00EE6910">
              <w:rPr>
                <w:lang w:val="ro-MD"/>
              </w:rPr>
              <w:t>fabricarea altor băuturi nedistilate</w:t>
            </w:r>
            <w:r w:rsidR="00B05BCC" w:rsidRPr="00EE6910">
              <w:rPr>
                <w:lang w:val="ro-MD"/>
              </w:rPr>
              <w:t xml:space="preserve">; </w:t>
            </w:r>
            <w:r w:rsidR="002F7F50" w:rsidRPr="00EE6910">
              <w:rPr>
                <w:lang w:val="ro-MD"/>
              </w:rPr>
              <w:t>obținute prin fermentare</w:t>
            </w:r>
            <w:r w:rsidR="00B05BCC" w:rsidRPr="00EE6910">
              <w:rPr>
                <w:lang w:val="ro-MD"/>
              </w:rPr>
              <w:t>;</w:t>
            </w:r>
            <w:r w:rsidR="002F7F50" w:rsidRPr="00EE6910">
              <w:rPr>
                <w:lang w:val="ro-MD"/>
              </w:rPr>
              <w:t xml:space="preserve"> fabricarea produselor din tutun</w:t>
            </w:r>
            <w:r w:rsidR="00B05BCC" w:rsidRPr="00EE6910">
              <w:rPr>
                <w:lang w:val="ro-MD"/>
              </w:rPr>
              <w:t>;</w:t>
            </w:r>
            <w:r w:rsidR="000D745E" w:rsidRPr="00EE6910">
              <w:rPr>
                <w:lang w:val="ro-MD"/>
              </w:rPr>
              <w:t xml:space="preserve"> fabricarea explozivilor</w:t>
            </w:r>
            <w:r w:rsidR="00B05BCC" w:rsidRPr="00EE6910">
              <w:rPr>
                <w:lang w:val="ro-MD"/>
              </w:rPr>
              <w:t>;</w:t>
            </w:r>
            <w:r w:rsidR="000D745E" w:rsidRPr="00EE6910">
              <w:rPr>
                <w:lang w:val="ro-MD"/>
              </w:rPr>
              <w:t xml:space="preserve"> fabricarea armamentului </w:t>
            </w:r>
            <w:proofErr w:type="spellStart"/>
            <w:r w:rsidR="000D745E" w:rsidRPr="00EE6910">
              <w:rPr>
                <w:lang w:val="ro-MD"/>
              </w:rPr>
              <w:t>şi</w:t>
            </w:r>
            <w:proofErr w:type="spellEnd"/>
            <w:r w:rsidR="000D745E" w:rsidRPr="00EE6910">
              <w:rPr>
                <w:lang w:val="ro-MD"/>
              </w:rPr>
              <w:t xml:space="preserve"> </w:t>
            </w:r>
            <w:proofErr w:type="spellStart"/>
            <w:r w:rsidR="000D745E" w:rsidRPr="00EE6910">
              <w:rPr>
                <w:lang w:val="ro-MD"/>
              </w:rPr>
              <w:t>muniţiei</w:t>
            </w:r>
            <w:proofErr w:type="spellEnd"/>
            <w:r w:rsidR="00B05BCC" w:rsidRPr="00EE6910">
              <w:rPr>
                <w:lang w:val="ro-MD"/>
              </w:rPr>
              <w:t xml:space="preserve">; </w:t>
            </w:r>
            <w:r w:rsidR="000D745E" w:rsidRPr="00EE6910">
              <w:rPr>
                <w:lang w:val="ro-MD"/>
              </w:rPr>
              <w:t>fabricarea vehiculelor militare de luptă</w:t>
            </w:r>
            <w:r w:rsidR="00B05BCC" w:rsidRPr="00EE6910">
              <w:rPr>
                <w:lang w:val="ro-MD"/>
              </w:rPr>
              <w:t xml:space="preserve">; </w:t>
            </w:r>
            <w:r w:rsidR="000D745E" w:rsidRPr="00EE6910">
              <w:rPr>
                <w:lang w:val="ro-MD"/>
              </w:rPr>
              <w:t>baterea monedelor</w:t>
            </w:r>
            <w:r w:rsidR="00B05BCC" w:rsidRPr="00EE6910">
              <w:rPr>
                <w:lang w:val="ro-MD"/>
              </w:rPr>
              <w:t>; activități</w:t>
            </w:r>
            <w:r w:rsidR="000D745E" w:rsidRPr="00EE6910">
              <w:rPr>
                <w:lang w:val="ro-MD"/>
              </w:rPr>
              <w:t xml:space="preserve"> de jocuri de noroc </w:t>
            </w:r>
            <w:proofErr w:type="spellStart"/>
            <w:r w:rsidR="000D745E" w:rsidRPr="00EE6910">
              <w:rPr>
                <w:lang w:val="ro-MD"/>
              </w:rPr>
              <w:t>şi</w:t>
            </w:r>
            <w:proofErr w:type="spellEnd"/>
            <w:r w:rsidR="000D745E" w:rsidRPr="00EE6910">
              <w:rPr>
                <w:lang w:val="ro-MD"/>
              </w:rPr>
              <w:t xml:space="preserve"> pariuri</w:t>
            </w:r>
            <w:r w:rsidR="00B05BCC" w:rsidRPr="00EE6910">
              <w:rPr>
                <w:lang w:val="ro-MD"/>
              </w:rPr>
              <w:t>;</w:t>
            </w:r>
            <w:r w:rsidR="00FE7060" w:rsidRPr="00EE6910">
              <w:rPr>
                <w:lang w:val="ro-MD"/>
              </w:rPr>
              <w:t xml:space="preserve"> </w:t>
            </w:r>
            <w:r w:rsidR="00B05BCC" w:rsidRPr="00EE6910">
              <w:rPr>
                <w:lang w:val="ro-MD"/>
              </w:rPr>
              <w:t>activități</w:t>
            </w:r>
            <w:r w:rsidR="00FE7060" w:rsidRPr="00EE6910">
              <w:rPr>
                <w:lang w:val="ro-MD"/>
              </w:rPr>
              <w:t xml:space="preserve"> juridice, </w:t>
            </w:r>
            <w:r w:rsidR="00683825" w:rsidRPr="00EE6910">
              <w:rPr>
                <w:lang w:val="ro-MD"/>
              </w:rPr>
              <w:t xml:space="preserve">tranzacții imobiliare, activități financiare și asigurări, </w:t>
            </w:r>
            <w:r w:rsidR="00FE7060" w:rsidRPr="00EE6910">
              <w:rPr>
                <w:lang w:val="ro-MD"/>
              </w:rPr>
              <w:t>etc</w:t>
            </w:r>
            <w:r w:rsidR="00B05BCC" w:rsidRPr="00EE6910">
              <w:rPr>
                <w:lang w:val="ro-MD"/>
              </w:rPr>
              <w:t>.</w:t>
            </w:r>
          </w:p>
          <w:p w14:paraId="01E296CC" w14:textId="10EB32B9" w:rsidR="00683825" w:rsidRPr="00EE6910" w:rsidRDefault="000D4FD8" w:rsidP="0081281F">
            <w:pPr>
              <w:pStyle w:val="ListParagraph"/>
              <w:spacing w:line="276" w:lineRule="auto"/>
              <w:ind w:left="714"/>
              <w:contextualSpacing w:val="0"/>
              <w:jc w:val="both"/>
              <w:rPr>
                <w:lang w:val="ro-MD"/>
              </w:rPr>
            </w:pPr>
            <w:r w:rsidRPr="00634FAD">
              <w:rPr>
                <w:lang w:val="ro-MD"/>
              </w:rPr>
              <w:t>În Anexele la programe privind activitățile economice eligibile</w:t>
            </w:r>
            <w:r>
              <w:rPr>
                <w:lang w:val="ro-MD"/>
              </w:rPr>
              <w:t xml:space="preserve"> </w:t>
            </w:r>
            <w:r w:rsidR="00EB703D">
              <w:rPr>
                <w:lang w:val="ro-MD"/>
              </w:rPr>
              <w:t>di</w:t>
            </w:r>
            <w:r w:rsidR="00B05BCC" w:rsidRPr="00EE6910">
              <w:rPr>
                <w:lang w:val="ro-MD"/>
              </w:rPr>
              <w:t xml:space="preserve">n </w:t>
            </w:r>
            <w:proofErr w:type="spellStart"/>
            <w:r w:rsidR="00B05BCC" w:rsidRPr="00EE6910">
              <w:rPr>
                <w:lang w:val="ro-MD"/>
              </w:rPr>
              <w:t>secţiune</w:t>
            </w:r>
            <w:proofErr w:type="spellEnd"/>
            <w:r w:rsidR="00B05BCC" w:rsidRPr="00EE6910">
              <w:rPr>
                <w:lang w:val="ro-MD"/>
              </w:rPr>
              <w:t xml:space="preserve"> G - COMERŢ CU RIDICATA ŞI CU AMĂNUNTUL; ÎNTREŢINEREA ŞI REPARAREA AUTOVEHICULELOR ŞI A MOTOCICLETELOR, nu vor fi  finanțate afaceri din domeniul </w:t>
            </w:r>
            <w:proofErr w:type="spellStart"/>
            <w:r w:rsidR="00B05BCC" w:rsidRPr="00EE6910">
              <w:rPr>
                <w:i/>
                <w:iCs/>
                <w:lang w:val="ro-MD"/>
              </w:rPr>
              <w:t>Comerţului</w:t>
            </w:r>
            <w:proofErr w:type="spellEnd"/>
            <w:r w:rsidR="00B05BCC" w:rsidRPr="00EE6910">
              <w:rPr>
                <w:i/>
                <w:iCs/>
                <w:lang w:val="ro-MD"/>
              </w:rPr>
              <w:t xml:space="preserve"> cu ridicata </w:t>
            </w:r>
            <w:proofErr w:type="spellStart"/>
            <w:r w:rsidR="00B05BCC" w:rsidRPr="00EE6910">
              <w:rPr>
                <w:i/>
                <w:iCs/>
                <w:lang w:val="ro-MD"/>
              </w:rPr>
              <w:t>şi</w:t>
            </w:r>
            <w:proofErr w:type="spellEnd"/>
            <w:r w:rsidR="00B05BCC" w:rsidRPr="00EE6910">
              <w:rPr>
                <w:i/>
                <w:iCs/>
                <w:lang w:val="ro-MD"/>
              </w:rPr>
              <w:t xml:space="preserve"> cu amănuntul</w:t>
            </w:r>
            <w:r w:rsidR="00B05BCC" w:rsidRPr="00EE6910">
              <w:rPr>
                <w:lang w:val="ro-MD"/>
              </w:rPr>
              <w:t xml:space="preserve"> (vânzarea fără  transformare) a oricărui tip de mărfuri </w:t>
            </w:r>
            <w:proofErr w:type="spellStart"/>
            <w:r w:rsidR="00B05BCC" w:rsidRPr="00EE6910">
              <w:rPr>
                <w:lang w:val="ro-MD"/>
              </w:rPr>
              <w:t>şi</w:t>
            </w:r>
            <w:proofErr w:type="spellEnd"/>
            <w:r w:rsidR="00B05BCC" w:rsidRPr="00EE6910">
              <w:rPr>
                <w:lang w:val="ro-MD"/>
              </w:rPr>
              <w:t xml:space="preserve"> prestarea serviciilor auxiliare vânzării mărfurilor. Însă</w:t>
            </w:r>
            <w:r w:rsidR="003F2FED" w:rsidRPr="00EE6910">
              <w:rPr>
                <w:lang w:val="ro-MD"/>
              </w:rPr>
              <w:t>,</w:t>
            </w:r>
            <w:r w:rsidR="00B05BCC" w:rsidRPr="00EE6910">
              <w:rPr>
                <w:lang w:val="ro-MD"/>
              </w:rPr>
              <w:t xml:space="preserve"> se propune a fi susținute </w:t>
            </w:r>
            <w:r w:rsidR="00683825" w:rsidRPr="00EE6910">
              <w:rPr>
                <w:lang w:val="ro-MD"/>
              </w:rPr>
              <w:t xml:space="preserve">activitățile economice, precum sunt cele de: fragmentare și redistribuire în loturi mici, inclusiv sortarea, calibrarea, ambalarea, reambalarea sau îmbutelierea produselor autohtone, sortarea deșeurilor, tăierea la comanda clientului a metalelor, lemnului, placajelor lemnoase, plăcilor conglomerate, ș.a. și alte activități similare cu cele enumerate, care nu conduc la o versiune modificată a aceluiași produs și sunt clasificate în această secțiune. La fel, vor fi finanțate și </w:t>
            </w:r>
            <w:r w:rsidR="00B05BCC" w:rsidRPr="00EE6910">
              <w:rPr>
                <w:lang w:val="ro-MD"/>
              </w:rPr>
              <w:t xml:space="preserve">afacerile din domeniul de </w:t>
            </w:r>
            <w:proofErr w:type="spellStart"/>
            <w:r w:rsidR="00B05BCC" w:rsidRPr="00EE6910">
              <w:rPr>
                <w:i/>
                <w:iCs/>
                <w:lang w:val="ro-MD"/>
              </w:rPr>
              <w:t>Întreţinere</w:t>
            </w:r>
            <w:proofErr w:type="spellEnd"/>
            <w:r w:rsidR="00B05BCC" w:rsidRPr="00EE6910">
              <w:rPr>
                <w:i/>
                <w:iCs/>
                <w:lang w:val="ro-MD"/>
              </w:rPr>
              <w:t xml:space="preserve"> </w:t>
            </w:r>
            <w:proofErr w:type="spellStart"/>
            <w:r w:rsidR="00B05BCC" w:rsidRPr="00EE6910">
              <w:rPr>
                <w:i/>
                <w:iCs/>
                <w:lang w:val="ro-MD"/>
              </w:rPr>
              <w:t>şi</w:t>
            </w:r>
            <w:proofErr w:type="spellEnd"/>
            <w:r w:rsidR="00B05BCC" w:rsidRPr="00EE6910">
              <w:rPr>
                <w:i/>
                <w:iCs/>
                <w:lang w:val="ro-MD"/>
              </w:rPr>
              <w:t xml:space="preserve"> reparare</w:t>
            </w:r>
            <w:r w:rsidR="003F2FED" w:rsidRPr="00EE6910">
              <w:rPr>
                <w:i/>
                <w:iCs/>
                <w:lang w:val="ro-MD"/>
              </w:rPr>
              <w:t xml:space="preserve"> </w:t>
            </w:r>
            <w:r w:rsidR="00B05BCC" w:rsidRPr="00EE6910">
              <w:rPr>
                <w:i/>
                <w:iCs/>
                <w:lang w:val="ro-MD"/>
              </w:rPr>
              <w:t>a autovehiculelor</w:t>
            </w:r>
            <w:r w:rsidR="00683825" w:rsidRPr="00EE6910">
              <w:rPr>
                <w:i/>
                <w:iCs/>
                <w:lang w:val="ro-MD"/>
              </w:rPr>
              <w:t xml:space="preserve">, </w:t>
            </w:r>
            <w:r w:rsidR="00683825" w:rsidRPr="00EE6910">
              <w:rPr>
                <w:lang w:val="ro-MD"/>
              </w:rPr>
              <w:t>pentru care se atestă o cerere sporită din partea antreprenorilor, mai ales în faza de lansare a afacerii.</w:t>
            </w:r>
          </w:p>
          <w:p w14:paraId="671AAD1E" w14:textId="0CB833C6" w:rsidR="0081281F" w:rsidRPr="00EE6910" w:rsidRDefault="00F14415" w:rsidP="00D76770">
            <w:pPr>
              <w:pStyle w:val="ListParagraph"/>
              <w:spacing w:line="276" w:lineRule="auto"/>
              <w:ind w:left="714"/>
              <w:contextualSpacing w:val="0"/>
              <w:jc w:val="both"/>
              <w:rPr>
                <w:lang w:val="ro-MD"/>
              </w:rPr>
            </w:pPr>
            <w:r w:rsidRPr="00EE6910">
              <w:rPr>
                <w:lang w:val="ro-MD"/>
              </w:rPr>
              <w:t xml:space="preserve">Adițional, în cadrul </w:t>
            </w:r>
            <w:r w:rsidRPr="00EE6910">
              <w:rPr>
                <w:i/>
                <w:iCs/>
                <w:lang w:val="ro-MD"/>
              </w:rPr>
              <w:t xml:space="preserve">Programului de retehnologizare și eficiență energetică a întreprinderilor mici și mijlocii, </w:t>
            </w:r>
            <w:r w:rsidR="00683825" w:rsidRPr="00EE6910">
              <w:rPr>
                <w:iCs/>
                <w:lang w:val="ro-RO"/>
              </w:rPr>
              <w:t xml:space="preserve">nu vor fi eligibile activitățile </w:t>
            </w:r>
            <w:r w:rsidR="005E106F" w:rsidRPr="00EE6910">
              <w:rPr>
                <w:iCs/>
                <w:lang w:val="ro-RO"/>
              </w:rPr>
              <w:t xml:space="preserve">din secțiunea </w:t>
            </w:r>
            <w:r w:rsidR="0014190E" w:rsidRPr="00EE6910">
              <w:rPr>
                <w:iCs/>
                <w:lang w:val="ro-RO"/>
              </w:rPr>
              <w:t>F,</w:t>
            </w:r>
            <w:r w:rsidR="003F2FED" w:rsidRPr="00EE6910">
              <w:rPr>
                <w:iCs/>
                <w:lang w:val="ro-RO"/>
              </w:rPr>
              <w:t xml:space="preserve"> </w:t>
            </w:r>
            <w:r w:rsidR="005E106F" w:rsidRPr="00E71B28">
              <w:rPr>
                <w:iCs/>
                <w:lang w:val="ro-RO"/>
              </w:rPr>
              <w:t>J, M, N și P</w:t>
            </w:r>
            <w:r w:rsidR="005E106F" w:rsidRPr="00EE6910">
              <w:rPr>
                <w:iCs/>
                <w:lang w:val="ro-RO"/>
              </w:rPr>
              <w:t xml:space="preserve">, iar </w:t>
            </w:r>
            <w:r w:rsidR="0014190E" w:rsidRPr="00EE6910">
              <w:rPr>
                <w:iCs/>
                <w:lang w:val="ro-RO"/>
              </w:rPr>
              <w:t>pentru activitățile din secțiunea G</w:t>
            </w:r>
            <w:r w:rsidRPr="00EE6910">
              <w:rPr>
                <w:iCs/>
                <w:lang w:val="ro-RO"/>
              </w:rPr>
              <w:t xml:space="preserve"> </w:t>
            </w:r>
            <w:r w:rsidR="0014190E" w:rsidRPr="00EE6910">
              <w:rPr>
                <w:iCs/>
                <w:lang w:val="ro-RO"/>
              </w:rPr>
              <w:t>- clasa 4520</w:t>
            </w:r>
            <w:r w:rsidRPr="00EE6910">
              <w:rPr>
                <w:iCs/>
                <w:lang w:val="ro-RO"/>
              </w:rPr>
              <w:t xml:space="preserve"> - </w:t>
            </w:r>
            <w:proofErr w:type="spellStart"/>
            <w:r w:rsidR="005E106F" w:rsidRPr="00EE6910">
              <w:rPr>
                <w:i/>
                <w:lang w:val="ro-MD"/>
              </w:rPr>
              <w:t>Întreţinerea</w:t>
            </w:r>
            <w:proofErr w:type="spellEnd"/>
            <w:r w:rsidR="005E106F" w:rsidRPr="00EE6910">
              <w:rPr>
                <w:i/>
                <w:lang w:val="ro-MD"/>
              </w:rPr>
              <w:t xml:space="preserve"> </w:t>
            </w:r>
            <w:proofErr w:type="spellStart"/>
            <w:r w:rsidR="005E106F" w:rsidRPr="00EE6910">
              <w:rPr>
                <w:i/>
                <w:lang w:val="ro-MD"/>
              </w:rPr>
              <w:t>şi</w:t>
            </w:r>
            <w:proofErr w:type="spellEnd"/>
            <w:r w:rsidR="005E106F" w:rsidRPr="00EE6910">
              <w:rPr>
                <w:i/>
                <w:lang w:val="ro-MD"/>
              </w:rPr>
              <w:t xml:space="preserve"> repararea autovehiculelor</w:t>
            </w:r>
            <w:r w:rsidR="0014190E" w:rsidRPr="00EE6910">
              <w:rPr>
                <w:iCs/>
                <w:lang w:val="ro-MD"/>
              </w:rPr>
              <w:t xml:space="preserve"> </w:t>
            </w:r>
            <w:r w:rsidRPr="00EE6910">
              <w:rPr>
                <w:iCs/>
                <w:lang w:val="ro-MD"/>
              </w:rPr>
              <w:t xml:space="preserve">și din </w:t>
            </w:r>
            <w:r w:rsidR="0014190E" w:rsidRPr="00EE6910">
              <w:rPr>
                <w:iCs/>
                <w:lang w:val="ro-MD"/>
              </w:rPr>
              <w:t>secțiun</w:t>
            </w:r>
            <w:r w:rsidRPr="00EE6910">
              <w:rPr>
                <w:iCs/>
                <w:lang w:val="ro-MD"/>
              </w:rPr>
              <w:t>ile</w:t>
            </w:r>
            <w:r w:rsidR="0014190E" w:rsidRPr="00EE6910">
              <w:rPr>
                <w:iCs/>
                <w:lang w:val="ro-MD"/>
              </w:rPr>
              <w:t xml:space="preserve"> I, </w:t>
            </w:r>
            <w:r w:rsidRPr="00EE6910">
              <w:rPr>
                <w:iCs/>
                <w:lang w:val="ro-MD"/>
              </w:rPr>
              <w:t>Q</w:t>
            </w:r>
            <w:r w:rsidR="0014190E" w:rsidRPr="00EE6910">
              <w:rPr>
                <w:iCs/>
                <w:lang w:val="ro-MD"/>
              </w:rPr>
              <w:t>, R, S, suportul financiar va fi acordat doar pentru instalații de valorificare a energiei alternative</w:t>
            </w:r>
            <w:r w:rsidR="00E30E99" w:rsidRPr="00EE6910">
              <w:rPr>
                <w:iCs/>
                <w:lang w:val="ro-MD"/>
              </w:rPr>
              <w:t xml:space="preserve">, având în vedere </w:t>
            </w:r>
            <w:r w:rsidRPr="00EE6910">
              <w:rPr>
                <w:lang w:val="ro-MD"/>
              </w:rPr>
              <w:t>scopul Programului, care prevede sporirea gradului de performanță a întreprinderilor prin înlocuirea echipamentelor/utilajelor tehnice ineficiente cu soluții tehnologice moderne și optimizarea costurilor de producere prin implementarea măsurilor de eficiență energetică.</w:t>
            </w:r>
          </w:p>
          <w:p w14:paraId="073EED6F" w14:textId="6D673EEF" w:rsidR="0081281F" w:rsidRPr="0081281F" w:rsidRDefault="0081281F" w:rsidP="0081281F">
            <w:pPr>
              <w:pStyle w:val="ListParagraph"/>
              <w:spacing w:after="120" w:line="276" w:lineRule="auto"/>
              <w:ind w:left="714"/>
              <w:contextualSpacing w:val="0"/>
              <w:jc w:val="both"/>
              <w:rPr>
                <w:lang w:val="ro-MD"/>
              </w:rPr>
            </w:pPr>
            <w:r w:rsidRPr="00EE6910">
              <w:rPr>
                <w:lang w:val="ro-MD"/>
              </w:rPr>
              <w:lastRenderedPageBreak/>
              <w:t xml:space="preserve">Totodată, în cadrul </w:t>
            </w:r>
            <w:r w:rsidRPr="00EE6910">
              <w:rPr>
                <w:i/>
                <w:iCs/>
                <w:lang w:val="ro-MD"/>
              </w:rPr>
              <w:t xml:space="preserve">Programului </w:t>
            </w:r>
            <w:r w:rsidRPr="00EE6910">
              <w:rPr>
                <w:i/>
                <w:lang w:val="ro-RO"/>
              </w:rPr>
              <w:t xml:space="preserve">de transformare digitală a întreprinderilor mici și mijlocii, </w:t>
            </w:r>
            <w:r w:rsidRPr="00EE6910">
              <w:rPr>
                <w:iCs/>
                <w:lang w:val="ro-RO"/>
              </w:rPr>
              <w:t>pentru activitățile din secțiunea Q și S vor fi finanțate</w:t>
            </w:r>
            <w:r w:rsidRPr="00EE6910">
              <w:rPr>
                <w:i/>
                <w:lang w:val="ro-RO"/>
              </w:rPr>
              <w:t xml:space="preserve"> </w:t>
            </w:r>
            <w:proofErr w:type="spellStart"/>
            <w:r w:rsidRPr="00EE6910">
              <w:t>doar</w:t>
            </w:r>
            <w:proofErr w:type="spellEnd"/>
            <w:r w:rsidRPr="00EE6910">
              <w:t xml:space="preserve"> </w:t>
            </w:r>
            <w:proofErr w:type="spellStart"/>
            <w:r w:rsidRPr="00EE6910">
              <w:t>acțiunile</w:t>
            </w:r>
            <w:proofErr w:type="spellEnd"/>
            <w:r w:rsidRPr="00EE6910">
              <w:t xml:space="preserve"> </w:t>
            </w:r>
            <w:proofErr w:type="spellStart"/>
            <w:r w:rsidRPr="00EE6910">
              <w:t>pentru</w:t>
            </w:r>
            <w:proofErr w:type="spellEnd"/>
            <w:r w:rsidRPr="00EE6910">
              <w:t xml:space="preserve"> </w:t>
            </w:r>
            <w:proofErr w:type="spellStart"/>
            <w:r w:rsidRPr="00EE6910">
              <w:t>implementarea</w:t>
            </w:r>
            <w:proofErr w:type="spellEnd"/>
            <w:r w:rsidRPr="00EE6910">
              <w:t xml:space="preserve"> </w:t>
            </w:r>
            <w:proofErr w:type="spellStart"/>
            <w:r w:rsidRPr="00EE6910">
              <w:t>soluțiilor</w:t>
            </w:r>
            <w:proofErr w:type="spellEnd"/>
            <w:r w:rsidRPr="00EE6910">
              <w:t xml:space="preserve"> </w:t>
            </w:r>
            <w:proofErr w:type="spellStart"/>
            <w:r w:rsidRPr="00EE6910">
              <w:t>digitale</w:t>
            </w:r>
            <w:proofErr w:type="spellEnd"/>
            <w:r w:rsidRPr="00EE6910">
              <w:t xml:space="preserve"> (</w:t>
            </w:r>
            <w:proofErr w:type="spellStart"/>
            <w:r w:rsidRPr="00EE6910">
              <w:t>aplicații</w:t>
            </w:r>
            <w:proofErr w:type="spellEnd"/>
            <w:r w:rsidRPr="00EE6910">
              <w:t xml:space="preserve"> software / </w:t>
            </w:r>
            <w:proofErr w:type="spellStart"/>
            <w:r w:rsidRPr="00EE6910">
              <w:t>licențe</w:t>
            </w:r>
            <w:proofErr w:type="spellEnd"/>
            <w:r w:rsidRPr="00EE6910">
              <w:t>/ SaaS/, etc.)</w:t>
            </w:r>
            <w:r w:rsidR="00D76770" w:rsidRPr="00EE6910">
              <w:t xml:space="preserve">, care </w:t>
            </w:r>
            <w:proofErr w:type="spellStart"/>
            <w:r w:rsidR="00D76770" w:rsidRPr="00EE6910">
              <w:t>corespund</w:t>
            </w:r>
            <w:proofErr w:type="spellEnd"/>
            <w:r w:rsidR="00D76770" w:rsidRPr="00EE6910">
              <w:t xml:space="preserve"> </w:t>
            </w:r>
            <w:proofErr w:type="spellStart"/>
            <w:r w:rsidR="00D76770" w:rsidRPr="00EE6910">
              <w:t>scopului</w:t>
            </w:r>
            <w:proofErr w:type="spellEnd"/>
            <w:r w:rsidR="00D76770" w:rsidRPr="00EE6910">
              <w:t xml:space="preserve"> de </w:t>
            </w:r>
            <w:proofErr w:type="spellStart"/>
            <w:r w:rsidR="00D76770" w:rsidRPr="00EE6910">
              <w:t>tranformare</w:t>
            </w:r>
            <w:proofErr w:type="spellEnd"/>
            <w:r w:rsidR="00D76770" w:rsidRPr="00EE6910">
              <w:t xml:space="preserve"> </w:t>
            </w:r>
            <w:proofErr w:type="spellStart"/>
            <w:r w:rsidR="00D76770" w:rsidRPr="00EE6910">
              <w:t>digitală</w:t>
            </w:r>
            <w:proofErr w:type="spellEnd"/>
            <w:r w:rsidR="00D76770" w:rsidRPr="00EE6910">
              <w:t xml:space="preserve"> a </w:t>
            </w:r>
            <w:proofErr w:type="spellStart"/>
            <w:r w:rsidR="00D76770" w:rsidRPr="00EE6910">
              <w:t>întreprinderii</w:t>
            </w:r>
            <w:proofErr w:type="spellEnd"/>
            <w:r w:rsidR="00D76770" w:rsidRPr="00EE6910">
              <w:t xml:space="preserve"> </w:t>
            </w:r>
            <w:proofErr w:type="spellStart"/>
            <w:r w:rsidR="00D76770" w:rsidRPr="00EE6910">
              <w:t>prin</w:t>
            </w:r>
            <w:proofErr w:type="spellEnd"/>
            <w:r w:rsidR="00D76770" w:rsidRPr="00EE6910">
              <w:t xml:space="preserve"> </w:t>
            </w:r>
            <w:proofErr w:type="spellStart"/>
            <w:r w:rsidR="00D76770" w:rsidRPr="00EE6910">
              <w:t>digitalizarea</w:t>
            </w:r>
            <w:proofErr w:type="spellEnd"/>
            <w:r w:rsidR="00D76770" w:rsidRPr="00EE6910">
              <w:t xml:space="preserve"> </w:t>
            </w:r>
            <w:proofErr w:type="spellStart"/>
            <w:r w:rsidR="00D76770" w:rsidRPr="00EE6910">
              <w:t>proceselor</w:t>
            </w:r>
            <w:proofErr w:type="spellEnd"/>
            <w:r w:rsidR="00D76770" w:rsidRPr="00EE6910">
              <w:t xml:space="preserve"> </w:t>
            </w:r>
            <w:proofErr w:type="spellStart"/>
            <w:r w:rsidR="00D76770" w:rsidRPr="00EE6910">
              <w:t>companiilor</w:t>
            </w:r>
            <w:proofErr w:type="spellEnd"/>
            <w:r w:rsidR="00D76770" w:rsidRPr="00EE6910">
              <w:t xml:space="preserve">, </w:t>
            </w:r>
            <w:proofErr w:type="spellStart"/>
            <w:r w:rsidR="00D76770" w:rsidRPr="00EE6910">
              <w:t>dar</w:t>
            </w:r>
            <w:proofErr w:type="spellEnd"/>
            <w:r w:rsidR="00D76770" w:rsidRPr="00EE6910">
              <w:t xml:space="preserve"> nu </w:t>
            </w:r>
            <w:proofErr w:type="spellStart"/>
            <w:r w:rsidR="00D76770" w:rsidRPr="00EE6910">
              <w:t>procurare</w:t>
            </w:r>
            <w:proofErr w:type="spellEnd"/>
            <w:r w:rsidR="00D76770" w:rsidRPr="00EE6910">
              <w:t xml:space="preserve"> de </w:t>
            </w:r>
            <w:proofErr w:type="spellStart"/>
            <w:r w:rsidR="00D76770" w:rsidRPr="00EE6910">
              <w:t>echipamente</w:t>
            </w:r>
            <w:proofErr w:type="spellEnd"/>
            <w:r w:rsidR="00D76770" w:rsidRPr="00EE6910">
              <w:t xml:space="preserve"> </w:t>
            </w:r>
            <w:proofErr w:type="spellStart"/>
            <w:r w:rsidR="00D76770" w:rsidRPr="00EE6910">
              <w:t>perfomante</w:t>
            </w:r>
            <w:proofErr w:type="spellEnd"/>
            <w:r w:rsidR="00D76770" w:rsidRPr="00EE6910">
              <w:t xml:space="preserve"> </w:t>
            </w:r>
            <w:proofErr w:type="spellStart"/>
            <w:r w:rsidR="00D76770" w:rsidRPr="00EE6910">
              <w:t>destinate</w:t>
            </w:r>
            <w:proofErr w:type="spellEnd"/>
            <w:r w:rsidR="00D76770" w:rsidRPr="00EE6910">
              <w:t xml:space="preserve"> </w:t>
            </w:r>
            <w:proofErr w:type="spellStart"/>
            <w:r w:rsidR="00D76770" w:rsidRPr="00EE6910">
              <w:t>activității</w:t>
            </w:r>
            <w:proofErr w:type="spellEnd"/>
            <w:r w:rsidR="00D76770" w:rsidRPr="00EE6910">
              <w:t xml:space="preserve"> de </w:t>
            </w:r>
            <w:proofErr w:type="spellStart"/>
            <w:r w:rsidR="00D76770" w:rsidRPr="00EE6910">
              <w:t>bază</w:t>
            </w:r>
            <w:proofErr w:type="spellEnd"/>
            <w:r w:rsidR="00D76770" w:rsidRPr="00EE6910">
              <w:t xml:space="preserve"> a </w:t>
            </w:r>
            <w:proofErr w:type="spellStart"/>
            <w:r w:rsidR="00D76770" w:rsidRPr="00EE6910">
              <w:t>companiei</w:t>
            </w:r>
            <w:proofErr w:type="spellEnd"/>
            <w:r w:rsidR="00D76770" w:rsidRPr="00EE6910">
              <w:t>.</w:t>
            </w:r>
          </w:p>
          <w:p w14:paraId="4051D3B0" w14:textId="26CEAC24" w:rsidR="00D81168" w:rsidRPr="006D0A8E" w:rsidRDefault="00D0189F" w:rsidP="00AD4A83">
            <w:pPr>
              <w:pStyle w:val="ListParagraph"/>
              <w:numPr>
                <w:ilvl w:val="0"/>
                <w:numId w:val="16"/>
              </w:numPr>
              <w:spacing w:after="120" w:line="276" w:lineRule="auto"/>
              <w:ind w:left="746" w:hanging="425"/>
              <w:contextualSpacing w:val="0"/>
              <w:jc w:val="both"/>
              <w:rPr>
                <w:lang w:val="ro-RO"/>
              </w:rPr>
            </w:pPr>
            <w:r w:rsidRPr="006D0A8E">
              <w:rPr>
                <w:lang w:val="ro-RO"/>
              </w:rPr>
              <w:t>expunerea unor categorii de cheltuieli eligibile/neeligibile</w:t>
            </w:r>
            <w:r w:rsidR="00D81168" w:rsidRPr="006D0A8E">
              <w:rPr>
                <w:rFonts w:eastAsia="Calibri"/>
                <w:lang w:val="ro-RO"/>
              </w:rPr>
              <w:t xml:space="preserve">, </w:t>
            </w:r>
            <w:r w:rsidR="00836E72" w:rsidRPr="006D0A8E">
              <w:rPr>
                <w:rFonts w:eastAsia="Calibri"/>
                <w:lang w:val="ro-RO"/>
              </w:rPr>
              <w:t xml:space="preserve">în conformitate cu obiectivele </w:t>
            </w:r>
            <w:r w:rsidR="002F5DAE" w:rsidRPr="006D0A8E">
              <w:rPr>
                <w:rFonts w:eastAsia="Calibri"/>
                <w:lang w:val="ro-RO"/>
              </w:rPr>
              <w:t xml:space="preserve">specifice ale </w:t>
            </w:r>
            <w:r w:rsidR="00900AEF">
              <w:rPr>
                <w:color w:val="000000"/>
                <w:lang w:val="ro-RO"/>
              </w:rPr>
              <w:t>p</w:t>
            </w:r>
            <w:r w:rsidR="002F5DAE" w:rsidRPr="006D0A8E">
              <w:rPr>
                <w:color w:val="000000"/>
                <w:lang w:val="ro-RO"/>
              </w:rPr>
              <w:t>rogramelor</w:t>
            </w:r>
            <w:r w:rsidR="002F5DAE" w:rsidRPr="006D0A8E">
              <w:rPr>
                <w:rFonts w:eastAsia="Calibri"/>
                <w:lang w:val="ro-RO"/>
              </w:rPr>
              <w:t>. În acest sens, au fost extinse</w:t>
            </w:r>
            <w:r w:rsidR="002F5DAE" w:rsidRPr="006D0A8E">
              <w:rPr>
                <w:color w:val="000000"/>
                <w:lang w:val="ro-RO"/>
              </w:rPr>
              <w:t xml:space="preserve"> unele categorii de cheltuieli eligibile </w:t>
            </w:r>
            <w:r w:rsidR="002F5DAE" w:rsidRPr="006D0A8E">
              <w:rPr>
                <w:rFonts w:eastAsia="Calibri"/>
                <w:lang w:val="ro-RO"/>
              </w:rPr>
              <w:t>pentru a acoperi necesitățile de finanțare ale antreprenorilor</w:t>
            </w:r>
            <w:r w:rsidR="0000409A" w:rsidRPr="006D0A8E">
              <w:rPr>
                <w:rFonts w:eastAsia="Calibri"/>
                <w:lang w:val="ro-RO"/>
              </w:rPr>
              <w:t xml:space="preserve"> în faza de lansare a afacerii</w:t>
            </w:r>
            <w:r w:rsidR="002F5DAE" w:rsidRPr="006D0A8E">
              <w:rPr>
                <w:rFonts w:eastAsia="Calibri"/>
                <w:lang w:val="ro-RO"/>
              </w:rPr>
              <w:t>, iar unele</w:t>
            </w:r>
            <w:r w:rsidR="00836E72" w:rsidRPr="006D0A8E">
              <w:rPr>
                <w:rFonts w:eastAsia="Calibri"/>
                <w:lang w:val="ro-RO"/>
              </w:rPr>
              <w:t xml:space="preserve"> categorii </w:t>
            </w:r>
            <w:r w:rsidR="002F5DAE" w:rsidRPr="006D0A8E">
              <w:rPr>
                <w:rFonts w:eastAsia="Calibri"/>
                <w:lang w:val="ro-RO"/>
              </w:rPr>
              <w:t xml:space="preserve">de cheltuieli au fost restricționate pentru a </w:t>
            </w:r>
            <w:r w:rsidR="0000409A" w:rsidRPr="006D0A8E">
              <w:rPr>
                <w:rFonts w:eastAsia="Calibri"/>
                <w:lang w:val="ro-RO"/>
              </w:rPr>
              <w:t xml:space="preserve">evita dublarea finanțării aceluiași tip de investiții din cadrul a mai multor programe/ proiecte de suport, în scopul </w:t>
            </w:r>
            <w:r w:rsidR="00836E72" w:rsidRPr="006D0A8E">
              <w:rPr>
                <w:rFonts w:eastAsia="Calibri"/>
                <w:lang w:val="ro-RO"/>
              </w:rPr>
              <w:t>direcționării eficiente a resurselor financiare ale</w:t>
            </w:r>
            <w:r w:rsidR="00900AEF">
              <w:rPr>
                <w:rFonts w:eastAsia="Calibri"/>
                <w:lang w:val="ro-RO"/>
              </w:rPr>
              <w:t xml:space="preserve"> p</w:t>
            </w:r>
            <w:r w:rsidR="0000409A" w:rsidRPr="006D0A8E">
              <w:rPr>
                <w:rFonts w:eastAsia="Calibri"/>
                <w:lang w:val="ro-RO"/>
              </w:rPr>
              <w:t>rogramelor.</w:t>
            </w:r>
          </w:p>
          <w:p w14:paraId="7EC1E570" w14:textId="35236A3D" w:rsidR="006D7676" w:rsidRPr="006D0A8E" w:rsidRDefault="00166D5D" w:rsidP="00731FC6">
            <w:pPr>
              <w:spacing w:after="120" w:line="276" w:lineRule="auto"/>
              <w:jc w:val="both"/>
              <w:rPr>
                <w:lang w:val="ro-RO"/>
              </w:rPr>
            </w:pPr>
            <w:r w:rsidRPr="006D0A8E">
              <w:rPr>
                <w:lang w:val="ro-RO"/>
              </w:rPr>
              <w:t xml:space="preserve">În aceeași ordine de idei, suplimentar modificărilor </w:t>
            </w:r>
            <w:r w:rsidR="0093109F" w:rsidRPr="006D0A8E">
              <w:rPr>
                <w:lang w:val="ro-RO"/>
              </w:rPr>
              <w:t xml:space="preserve">enumerate supra, </w:t>
            </w:r>
            <w:r w:rsidRPr="006D0A8E">
              <w:rPr>
                <w:lang w:val="ro-RO"/>
              </w:rPr>
              <w:t>ce vizează criteriile/domeniile/cheltuieli</w:t>
            </w:r>
            <w:r w:rsidR="007A0896" w:rsidRPr="006D0A8E">
              <w:rPr>
                <w:lang w:val="ro-RO"/>
              </w:rPr>
              <w:t>l</w:t>
            </w:r>
            <w:r w:rsidRPr="006D0A8E">
              <w:rPr>
                <w:lang w:val="ro-RO"/>
              </w:rPr>
              <w:t>e eligibile</w:t>
            </w:r>
            <w:r w:rsidR="00EF7994" w:rsidRPr="006D0A8E">
              <w:rPr>
                <w:lang w:val="ro-RO"/>
              </w:rPr>
              <w:t>,</w:t>
            </w:r>
            <w:r w:rsidRPr="006D0A8E">
              <w:rPr>
                <w:lang w:val="ro-RO"/>
              </w:rPr>
              <w:t xml:space="preserve"> în cadrul programelor de stat</w:t>
            </w:r>
            <w:r w:rsidR="0042238F" w:rsidRPr="006D0A8E">
              <w:rPr>
                <w:lang w:val="ro-RO"/>
              </w:rPr>
              <w:t xml:space="preserve"> au fost incluse ajustări în scopul expunerii mai concise </w:t>
            </w:r>
            <w:r w:rsidR="00EF7994" w:rsidRPr="006D0A8E">
              <w:rPr>
                <w:lang w:val="ro-RO"/>
              </w:rPr>
              <w:t xml:space="preserve">și mai eficiente </w:t>
            </w:r>
            <w:r w:rsidR="0042238F" w:rsidRPr="006D0A8E">
              <w:rPr>
                <w:lang w:val="ro-RO"/>
              </w:rPr>
              <w:t xml:space="preserve">a condițiilor de participare, după cum urmează: </w:t>
            </w:r>
          </w:p>
          <w:p w14:paraId="4A8CE3C3" w14:textId="2AEF2EBB" w:rsidR="00642227" w:rsidRPr="006D0A8E" w:rsidRDefault="00642227" w:rsidP="00731FC6">
            <w:pPr>
              <w:spacing w:after="120" w:line="276" w:lineRule="auto"/>
              <w:ind w:firstLine="567"/>
              <w:jc w:val="both"/>
              <w:rPr>
                <w:lang w:val="ro-RO"/>
              </w:rPr>
            </w:pPr>
            <w:r w:rsidRPr="006D0A8E">
              <w:rPr>
                <w:lang w:val="ro-RO"/>
              </w:rPr>
              <w:t xml:space="preserve">- la </w:t>
            </w:r>
            <w:r w:rsidRPr="006D0A8E">
              <w:rPr>
                <w:i/>
                <w:lang w:val="ro-RO"/>
              </w:rPr>
              <w:t xml:space="preserve">Programul de </w:t>
            </w:r>
            <w:r w:rsidR="004D7146" w:rsidRPr="006D0A8E">
              <w:rPr>
                <w:i/>
                <w:lang w:val="ro-RO"/>
              </w:rPr>
              <w:t>ecologizare a întreprinderilor mici și mijlocii</w:t>
            </w:r>
            <w:r w:rsidR="005F7D42">
              <w:rPr>
                <w:i/>
                <w:lang w:val="ro-RO"/>
              </w:rPr>
              <w:t xml:space="preserve"> (aprobat prin Hotărârea Guvernului nr.</w:t>
            </w:r>
            <w:r w:rsidR="005F7D42">
              <w:t xml:space="preserve"> </w:t>
            </w:r>
            <w:r w:rsidR="005F7D42" w:rsidRPr="005F7D42">
              <w:rPr>
                <w:i/>
                <w:lang w:val="ro-RO"/>
              </w:rPr>
              <w:t>592/2019</w:t>
            </w:r>
            <w:r w:rsidR="005F7D42">
              <w:rPr>
                <w:i/>
                <w:lang w:val="ro-RO"/>
              </w:rPr>
              <w:t>):</w:t>
            </w:r>
          </w:p>
          <w:p w14:paraId="4BE07721" w14:textId="648A7147" w:rsidR="00494807" w:rsidRPr="006D0A8E" w:rsidRDefault="00494807" w:rsidP="00731FC6">
            <w:pPr>
              <w:pStyle w:val="ListParagraph"/>
              <w:numPr>
                <w:ilvl w:val="0"/>
                <w:numId w:val="7"/>
              </w:numPr>
              <w:spacing w:after="120" w:line="276" w:lineRule="auto"/>
              <w:contextualSpacing w:val="0"/>
              <w:jc w:val="both"/>
              <w:rPr>
                <w:lang w:val="ro-RO"/>
              </w:rPr>
            </w:pPr>
            <w:r w:rsidRPr="006D0A8E">
              <w:rPr>
                <w:lang w:val="ro-RO"/>
              </w:rPr>
              <w:t>includerea criteriului de eligibilitate cu privire la</w:t>
            </w:r>
            <w:r w:rsidR="008C594F" w:rsidRPr="006D0A8E">
              <w:rPr>
                <w:lang w:val="ro-RO"/>
              </w:rPr>
              <w:t xml:space="preserve"> obligativitatea de a urma</w:t>
            </w:r>
            <w:r w:rsidRPr="006D0A8E">
              <w:rPr>
                <w:lang w:val="ro-RO"/>
              </w:rPr>
              <w:t xml:space="preserve"> cursuri de instruire</w:t>
            </w:r>
            <w:r w:rsidR="008C594F" w:rsidRPr="006D0A8E">
              <w:rPr>
                <w:lang w:val="ro-RO"/>
              </w:rPr>
              <w:t xml:space="preserve"> desfășurate în cadrul </w:t>
            </w:r>
            <w:r w:rsidR="00BF150A">
              <w:rPr>
                <w:lang w:val="ro-RO"/>
              </w:rPr>
              <w:t>p</w:t>
            </w:r>
            <w:r w:rsidR="008C594F" w:rsidRPr="006D0A8E">
              <w:rPr>
                <w:lang w:val="ro-RO"/>
              </w:rPr>
              <w:t>rogramului,</w:t>
            </w:r>
            <w:r w:rsidRPr="006D0A8E">
              <w:rPr>
                <w:lang w:val="ro-RO"/>
              </w:rPr>
              <w:t xml:space="preserve"> pentru companiile care au până la 2 ani de la înființare</w:t>
            </w:r>
            <w:r w:rsidR="00E7571B" w:rsidRPr="006D0A8E">
              <w:rPr>
                <w:lang w:val="ro-RO"/>
              </w:rPr>
              <w:t>. Instruirea antreprenorilor în domeniul ecologizării afacerii</w:t>
            </w:r>
            <w:r w:rsidRPr="006D0A8E">
              <w:rPr>
                <w:lang w:val="ro-RO"/>
              </w:rPr>
              <w:t xml:space="preserve"> asigur</w:t>
            </w:r>
            <w:r w:rsidR="00E7571B" w:rsidRPr="006D0A8E">
              <w:rPr>
                <w:lang w:val="ro-RO"/>
              </w:rPr>
              <w:t>ă</w:t>
            </w:r>
            <w:r w:rsidRPr="006D0A8E">
              <w:rPr>
                <w:lang w:val="ro-RO"/>
              </w:rPr>
              <w:t xml:space="preserve"> pregătirea personalului companiei</w:t>
            </w:r>
            <w:r w:rsidR="00E7571B" w:rsidRPr="006D0A8E">
              <w:rPr>
                <w:lang w:val="ro-RO"/>
              </w:rPr>
              <w:t xml:space="preserve"> în identificarea și </w:t>
            </w:r>
            <w:r w:rsidR="00E7571B" w:rsidRPr="006D0A8E">
              <w:rPr>
                <w:lang w:val="ro-MD"/>
              </w:rPr>
              <w:t xml:space="preserve">integrarea acțiunilor de ecologizare în </w:t>
            </w:r>
            <w:r w:rsidR="00E7571B" w:rsidRPr="006D0A8E">
              <w:rPr>
                <w:lang w:val="ro-RO"/>
              </w:rPr>
              <w:t>procesele de producere</w:t>
            </w:r>
            <w:r w:rsidRPr="006D0A8E">
              <w:rPr>
                <w:lang w:val="ro-RO"/>
              </w:rPr>
              <w:t xml:space="preserve"> </w:t>
            </w:r>
            <w:r w:rsidR="00E7571B" w:rsidRPr="006D0A8E">
              <w:rPr>
                <w:lang w:val="ro-RO"/>
              </w:rPr>
              <w:t>și prestări de servicii</w:t>
            </w:r>
            <w:r w:rsidRPr="006D0A8E">
              <w:rPr>
                <w:lang w:val="ro-RO"/>
              </w:rPr>
              <w:t>;</w:t>
            </w:r>
          </w:p>
          <w:p w14:paraId="04255A87" w14:textId="1BE4537E" w:rsidR="00642227" w:rsidRPr="006D0A8E" w:rsidRDefault="00642227" w:rsidP="00731FC6">
            <w:pPr>
              <w:spacing w:after="120" w:line="276" w:lineRule="auto"/>
              <w:ind w:firstLine="567"/>
              <w:jc w:val="both"/>
              <w:rPr>
                <w:lang w:val="ro-RO"/>
              </w:rPr>
            </w:pPr>
            <w:r w:rsidRPr="006D0A8E">
              <w:rPr>
                <w:lang w:val="ro-RO"/>
              </w:rPr>
              <w:t xml:space="preserve">- la </w:t>
            </w:r>
            <w:r w:rsidRPr="006D0A8E">
              <w:rPr>
                <w:i/>
                <w:lang w:val="ro-RO"/>
              </w:rPr>
              <w:t>Programul de transformare digitală a întreprinderilor mici și mijlocii</w:t>
            </w:r>
            <w:r w:rsidR="00BD40D0">
              <w:rPr>
                <w:i/>
                <w:lang w:val="ro-RO"/>
              </w:rPr>
              <w:t xml:space="preserve"> </w:t>
            </w:r>
            <w:r w:rsidR="00BD40D0" w:rsidRPr="00BD40D0">
              <w:rPr>
                <w:i/>
                <w:lang w:val="ro-RO"/>
              </w:rPr>
              <w:t xml:space="preserve">(aprobat prin Hotărârea Guvernului nr. </w:t>
            </w:r>
            <w:r w:rsidR="00BD40D0">
              <w:rPr>
                <w:i/>
                <w:lang w:val="ro-RO"/>
              </w:rPr>
              <w:t>129</w:t>
            </w:r>
            <w:r w:rsidR="00BD40D0" w:rsidRPr="00BD40D0">
              <w:rPr>
                <w:i/>
                <w:lang w:val="ro-RO"/>
              </w:rPr>
              <w:t>/20</w:t>
            </w:r>
            <w:r w:rsidR="00BD40D0">
              <w:rPr>
                <w:i/>
                <w:lang w:val="ro-RO"/>
              </w:rPr>
              <w:t>22</w:t>
            </w:r>
            <w:r w:rsidR="00BD40D0" w:rsidRPr="00BD40D0">
              <w:rPr>
                <w:i/>
                <w:lang w:val="ro-RO"/>
              </w:rPr>
              <w:t>):</w:t>
            </w:r>
            <w:r w:rsidRPr="006D0A8E">
              <w:rPr>
                <w:lang w:val="ro-RO"/>
              </w:rPr>
              <w:t xml:space="preserve"> </w:t>
            </w:r>
          </w:p>
          <w:p w14:paraId="2B4EEAAC" w14:textId="41AFC80D" w:rsidR="00A84D1D" w:rsidRPr="00731FC6" w:rsidRDefault="008C594F" w:rsidP="00731FC6">
            <w:pPr>
              <w:pStyle w:val="ListParagraph"/>
              <w:numPr>
                <w:ilvl w:val="0"/>
                <w:numId w:val="7"/>
              </w:numPr>
              <w:spacing w:after="120" w:line="276" w:lineRule="auto"/>
              <w:contextualSpacing w:val="0"/>
              <w:jc w:val="both"/>
              <w:rPr>
                <w:lang w:val="ro-RO"/>
              </w:rPr>
            </w:pPr>
            <w:r w:rsidRPr="006D0A8E">
              <w:rPr>
                <w:lang w:val="ro-RO"/>
              </w:rPr>
              <w:t xml:space="preserve">excluderea criteriului cu privirea la </w:t>
            </w:r>
            <w:r w:rsidR="008C5957" w:rsidRPr="006D0A8E">
              <w:rPr>
                <w:lang w:val="ro-RO"/>
              </w:rPr>
              <w:t>„</w:t>
            </w:r>
            <w:r w:rsidRPr="006D0A8E">
              <w:rPr>
                <w:lang w:val="ro-RO"/>
              </w:rPr>
              <w:t>deținerea personalului cu competențe în domeniul digitalizării</w:t>
            </w:r>
            <w:r w:rsidR="008C5957" w:rsidRPr="006D0A8E">
              <w:rPr>
                <w:lang w:val="ro-RO"/>
              </w:rPr>
              <w:t>”</w:t>
            </w:r>
            <w:r w:rsidRPr="006D0A8E">
              <w:rPr>
                <w:lang w:val="ro-RO"/>
              </w:rPr>
              <w:t xml:space="preserve">, din motiv că companiile care dezvoltă aplicații software determină </w:t>
            </w:r>
            <w:r w:rsidR="008C5957" w:rsidRPr="006D0A8E">
              <w:rPr>
                <w:lang w:val="ro-RO"/>
              </w:rPr>
              <w:t>ș</w:t>
            </w:r>
            <w:r w:rsidRPr="006D0A8E">
              <w:rPr>
                <w:lang w:val="ro-RO"/>
              </w:rPr>
              <w:t>i necesitățile companiei și asigură instruire sau implementarea acestora, iar după caz și mentenanța ulterioară</w:t>
            </w:r>
            <w:r w:rsidR="00A84D1D" w:rsidRPr="006D0A8E">
              <w:rPr>
                <w:lang w:val="ro-RO"/>
              </w:rPr>
              <w:t>;</w:t>
            </w:r>
          </w:p>
          <w:p w14:paraId="23FD9B66" w14:textId="3F862EF9" w:rsidR="008C594F" w:rsidRPr="001B0FDE" w:rsidRDefault="002E0DA2" w:rsidP="001B0FDE">
            <w:pPr>
              <w:pStyle w:val="ListParagraph"/>
              <w:numPr>
                <w:ilvl w:val="0"/>
                <w:numId w:val="7"/>
              </w:numPr>
              <w:spacing w:after="120" w:line="276" w:lineRule="auto"/>
              <w:contextualSpacing w:val="0"/>
              <w:jc w:val="both"/>
              <w:rPr>
                <w:lang w:val="ro-RO"/>
              </w:rPr>
            </w:pPr>
            <w:r w:rsidRPr="00E22CBB">
              <w:rPr>
                <w:lang w:val="ro-RO"/>
              </w:rPr>
              <w:t>s</w:t>
            </w:r>
            <w:r w:rsidR="008C594F" w:rsidRPr="00E22CBB">
              <w:rPr>
                <w:lang w:val="ro-RO"/>
              </w:rPr>
              <w:t>tabilirea</w:t>
            </w:r>
            <w:r w:rsidR="008C594F" w:rsidRPr="001B0FDE">
              <w:rPr>
                <w:lang w:val="ro-RO"/>
              </w:rPr>
              <w:t xml:space="preserve"> unor cheltuieli </w:t>
            </w:r>
            <w:r w:rsidRPr="001B0FDE">
              <w:rPr>
                <w:lang w:val="ro-RO"/>
              </w:rPr>
              <w:t>neeligibile</w:t>
            </w:r>
            <w:r w:rsidR="008C594F" w:rsidRPr="001B0FDE">
              <w:rPr>
                <w:lang w:val="ro-RO"/>
              </w:rPr>
              <w:t xml:space="preserve">, precum: </w:t>
            </w:r>
            <w:r w:rsidRPr="001B0FDE">
              <w:rPr>
                <w:lang w:val="ro-RO"/>
              </w:rPr>
              <w:t>tehnică de calcul, imprimante, telefoane mobile, tablete, sisteme anti incendiu, soluții digitale pentru ținerea evidenței contabile, care</w:t>
            </w:r>
            <w:r w:rsidR="00AA253A" w:rsidRPr="001B0FDE">
              <w:rPr>
                <w:lang w:val="ro-RO"/>
              </w:rPr>
              <w:t xml:space="preserve"> </w:t>
            </w:r>
            <w:r w:rsidR="001B0FDE" w:rsidRPr="001B0FDE">
              <w:rPr>
                <w:lang w:val="ro-RO"/>
              </w:rPr>
              <w:t xml:space="preserve">sunt necesare pentru a asigura </w:t>
            </w:r>
            <w:r w:rsidRPr="001B0FDE">
              <w:rPr>
                <w:lang w:val="ro-RO"/>
              </w:rPr>
              <w:t>activit</w:t>
            </w:r>
            <w:r w:rsidR="001B0FDE">
              <w:rPr>
                <w:lang w:val="ro-RO"/>
              </w:rPr>
              <w:t xml:space="preserve">atea </w:t>
            </w:r>
            <w:r w:rsidR="001B0FDE" w:rsidRPr="001B0FDE">
              <w:rPr>
                <w:lang w:val="ro-RO"/>
              </w:rPr>
              <w:t>administrativ</w:t>
            </w:r>
            <w:r w:rsidR="001B0FDE">
              <w:rPr>
                <w:lang w:val="ro-RO"/>
              </w:rPr>
              <w:t>ă</w:t>
            </w:r>
            <w:r w:rsidR="001B0FDE" w:rsidRPr="001B0FDE">
              <w:rPr>
                <w:lang w:val="ro-RO"/>
              </w:rPr>
              <w:t xml:space="preserve"> </w:t>
            </w:r>
            <w:r w:rsidRPr="001B0FDE">
              <w:rPr>
                <w:lang w:val="ro-RO"/>
              </w:rPr>
              <w:t xml:space="preserve"> </w:t>
            </w:r>
            <w:r w:rsidR="001B0FDE">
              <w:rPr>
                <w:lang w:val="ro-RO"/>
              </w:rPr>
              <w:t xml:space="preserve">a </w:t>
            </w:r>
            <w:r w:rsidRPr="001B0FDE">
              <w:rPr>
                <w:lang w:val="ro-RO"/>
              </w:rPr>
              <w:t>companie</w:t>
            </w:r>
            <w:r w:rsidR="001B0FDE">
              <w:rPr>
                <w:lang w:val="ro-RO"/>
              </w:rPr>
              <w:t>i</w:t>
            </w:r>
            <w:r w:rsidRPr="001B0FDE">
              <w:rPr>
                <w:lang w:val="ro-RO"/>
              </w:rPr>
              <w:t xml:space="preserve"> </w:t>
            </w:r>
            <w:r w:rsidR="001B0FDE">
              <w:rPr>
                <w:lang w:val="ro-RO"/>
              </w:rPr>
              <w:t>și nu sunt orientate pentru digitalizarea proceselor interne corespunzătoare activităților economice desfășurate de companie</w:t>
            </w:r>
            <w:r w:rsidR="004D6DC3">
              <w:rPr>
                <w:lang w:val="ro-RO"/>
              </w:rPr>
              <w:t xml:space="preserve"> în </w:t>
            </w:r>
            <w:r w:rsidR="004D6DC3" w:rsidRPr="001B0FDE">
              <w:rPr>
                <w:lang w:val="ro-RO"/>
              </w:rPr>
              <w:t>corespund</w:t>
            </w:r>
            <w:r w:rsidR="004D6DC3">
              <w:rPr>
                <w:lang w:val="ro-RO"/>
              </w:rPr>
              <w:t>ere cu</w:t>
            </w:r>
            <w:r w:rsidR="004D6DC3" w:rsidRPr="001B0FDE">
              <w:rPr>
                <w:lang w:val="ro-RO"/>
              </w:rPr>
              <w:t xml:space="preserve"> obiectivel</w:t>
            </w:r>
            <w:r w:rsidR="004D6DC3">
              <w:rPr>
                <w:lang w:val="ro-RO"/>
              </w:rPr>
              <w:t>e</w:t>
            </w:r>
            <w:r w:rsidR="004D6DC3" w:rsidRPr="001B0FDE">
              <w:rPr>
                <w:lang w:val="ro-RO"/>
              </w:rPr>
              <w:t xml:space="preserve"> programului</w:t>
            </w:r>
            <w:r w:rsidR="001B0FDE">
              <w:rPr>
                <w:lang w:val="ro-RO"/>
              </w:rPr>
              <w:t>;</w:t>
            </w:r>
          </w:p>
          <w:p w14:paraId="27126591" w14:textId="0F318429" w:rsidR="0003774B" w:rsidRPr="006D0A8E" w:rsidRDefault="00FC6344" w:rsidP="00731FC6">
            <w:pPr>
              <w:spacing w:after="120" w:line="276" w:lineRule="auto"/>
              <w:ind w:firstLine="567"/>
              <w:jc w:val="both"/>
              <w:rPr>
                <w:i/>
                <w:lang w:val="ro-RO"/>
              </w:rPr>
            </w:pPr>
            <w:r w:rsidRPr="006D0A8E">
              <w:rPr>
                <w:i/>
                <w:lang w:val="ro-RO"/>
              </w:rPr>
              <w:t xml:space="preserve">- la </w:t>
            </w:r>
            <w:r w:rsidR="0003774B" w:rsidRPr="006D0A8E">
              <w:rPr>
                <w:i/>
                <w:lang w:val="ro-RO"/>
              </w:rPr>
              <w:t>Programul „START pentru TINERI: o afacere durabilă la tine acasă”</w:t>
            </w:r>
            <w:r w:rsidR="00BD40D0">
              <w:rPr>
                <w:i/>
                <w:lang w:val="ro-RO"/>
              </w:rPr>
              <w:t xml:space="preserve"> </w:t>
            </w:r>
            <w:r w:rsidR="00BD40D0" w:rsidRPr="00BD40D0">
              <w:rPr>
                <w:i/>
                <w:lang w:val="ro-RO"/>
              </w:rPr>
              <w:t xml:space="preserve">(aprobat prin Hotărârea Guvernului nr. </w:t>
            </w:r>
            <w:r w:rsidR="00BD40D0">
              <w:rPr>
                <w:i/>
                <w:lang w:val="ro-RO"/>
              </w:rPr>
              <w:t>348</w:t>
            </w:r>
            <w:r w:rsidR="00BD40D0" w:rsidRPr="00BD40D0">
              <w:rPr>
                <w:i/>
                <w:lang w:val="ro-RO"/>
              </w:rPr>
              <w:t>/2022):</w:t>
            </w:r>
          </w:p>
          <w:p w14:paraId="1AE694D8" w14:textId="61E7F9EF" w:rsidR="002F0356" w:rsidRPr="00731FC6" w:rsidRDefault="002E0DA2" w:rsidP="00E22CBB">
            <w:pPr>
              <w:pStyle w:val="ListParagraph"/>
              <w:numPr>
                <w:ilvl w:val="0"/>
                <w:numId w:val="13"/>
              </w:numPr>
              <w:spacing w:after="120" w:line="276" w:lineRule="auto"/>
              <w:contextualSpacing w:val="0"/>
              <w:jc w:val="both"/>
              <w:rPr>
                <w:lang w:val="ro-RO"/>
              </w:rPr>
            </w:pPr>
            <w:r w:rsidRPr="006D0A8E">
              <w:rPr>
                <w:lang w:val="ro-RO"/>
              </w:rPr>
              <w:t>includerea noțiunii de antreprenor debutant</w:t>
            </w:r>
            <w:r w:rsidR="00E01BB2" w:rsidRPr="006D0A8E">
              <w:rPr>
                <w:lang w:val="ro-RO"/>
              </w:rPr>
              <w:t xml:space="preserve">, pentru a stabili grupul țintă a </w:t>
            </w:r>
            <w:r w:rsidR="00BF150A">
              <w:rPr>
                <w:lang w:val="ro-RO"/>
              </w:rPr>
              <w:t>p</w:t>
            </w:r>
            <w:r w:rsidR="00E01BB2" w:rsidRPr="006D0A8E">
              <w:rPr>
                <w:lang w:val="ro-RO"/>
              </w:rPr>
              <w:t xml:space="preserve">rogramului, și anume programul vine să susțină tinerii care nu a desfășurat activitate antreprenorială pe o perioadă mai mare de </w:t>
            </w:r>
            <w:r w:rsidR="00AA253A" w:rsidRPr="006D0A8E">
              <w:rPr>
                <w:lang w:val="ro-RO"/>
              </w:rPr>
              <w:t>24 de</w:t>
            </w:r>
            <w:r w:rsidR="00E01BB2" w:rsidRPr="006D0A8E">
              <w:rPr>
                <w:lang w:val="ro-RO"/>
              </w:rPr>
              <w:t xml:space="preserve"> luni. </w:t>
            </w:r>
            <w:r w:rsidR="00A84D1D" w:rsidRPr="006D0A8E">
              <w:rPr>
                <w:lang w:val="ro-RO"/>
              </w:rPr>
              <w:t>La</w:t>
            </w:r>
            <w:r w:rsidR="00AA253A" w:rsidRPr="006D0A8E">
              <w:rPr>
                <w:lang w:val="ro-RO"/>
              </w:rPr>
              <w:t xml:space="preserve"> momentul </w:t>
            </w:r>
            <w:r w:rsidR="00E01BB2" w:rsidRPr="006D0A8E">
              <w:rPr>
                <w:lang w:val="ro-RO"/>
              </w:rPr>
              <w:t>elabor</w:t>
            </w:r>
            <w:r w:rsidR="00AA253A" w:rsidRPr="006D0A8E">
              <w:rPr>
                <w:lang w:val="ro-RO"/>
              </w:rPr>
              <w:t>ării</w:t>
            </w:r>
            <w:r w:rsidR="00E01BB2" w:rsidRPr="006D0A8E">
              <w:rPr>
                <w:lang w:val="ro-RO"/>
              </w:rPr>
              <w:t xml:space="preserve"> </w:t>
            </w:r>
            <w:r w:rsidR="00BF150A">
              <w:rPr>
                <w:lang w:val="ro-RO"/>
              </w:rPr>
              <w:t>p</w:t>
            </w:r>
            <w:r w:rsidR="00E01BB2" w:rsidRPr="006D0A8E">
              <w:rPr>
                <w:lang w:val="ro-RO"/>
              </w:rPr>
              <w:t>rogramul</w:t>
            </w:r>
            <w:r w:rsidR="00AA253A" w:rsidRPr="006D0A8E">
              <w:rPr>
                <w:lang w:val="ro-RO"/>
              </w:rPr>
              <w:t>ui</w:t>
            </w:r>
            <w:r w:rsidR="00E01BB2" w:rsidRPr="006D0A8E">
              <w:rPr>
                <w:lang w:val="ro-RO"/>
              </w:rPr>
              <w:t xml:space="preserve"> nu era posibil de verificat dacă o persoană a mai desfășurat sau nu activitate antreprenorială, astfel, soluția a fost de a </w:t>
            </w:r>
            <w:r w:rsidR="00A84D1D" w:rsidRPr="006D0A8E">
              <w:rPr>
                <w:lang w:val="ro-RO"/>
              </w:rPr>
              <w:t>stabili</w:t>
            </w:r>
            <w:r w:rsidR="00E01BB2" w:rsidRPr="006D0A8E">
              <w:rPr>
                <w:lang w:val="ro-RO"/>
              </w:rPr>
              <w:t xml:space="preserve"> termen</w:t>
            </w:r>
            <w:r w:rsidR="00A84D1D" w:rsidRPr="006D0A8E">
              <w:rPr>
                <w:lang w:val="ro-RO"/>
              </w:rPr>
              <w:t>ul</w:t>
            </w:r>
            <w:r w:rsidR="00E01BB2" w:rsidRPr="006D0A8E">
              <w:rPr>
                <w:lang w:val="ro-RO"/>
              </w:rPr>
              <w:t xml:space="preserve"> de 2 ani pentru fondarea unei companii. La moment, </w:t>
            </w:r>
            <w:r w:rsidR="006E1286">
              <w:rPr>
                <w:lang w:val="ro-RO"/>
              </w:rPr>
              <w:t xml:space="preserve">IP </w:t>
            </w:r>
            <w:r w:rsidR="00E01BB2" w:rsidRPr="006D0A8E">
              <w:rPr>
                <w:lang w:val="ro-RO"/>
              </w:rPr>
              <w:t xml:space="preserve">ODA dispune de capacități de evaluare, inclusiv de acces la date și respectiv permite verificarea </w:t>
            </w:r>
            <w:r w:rsidR="004D6DC3">
              <w:rPr>
                <w:lang w:val="ro-RO"/>
              </w:rPr>
              <w:t>solicitanților</w:t>
            </w:r>
            <w:r w:rsidR="00BF150A">
              <w:rPr>
                <w:lang w:val="ro-RO"/>
              </w:rPr>
              <w:t>,</w:t>
            </w:r>
            <w:r w:rsidR="00E01BB2" w:rsidRPr="006D0A8E">
              <w:rPr>
                <w:lang w:val="ro-RO"/>
              </w:rPr>
              <w:t xml:space="preserve"> ținând cont de termenul de „antreprenor debutant”</w:t>
            </w:r>
            <w:r w:rsidR="002F0356" w:rsidRPr="006D0A8E">
              <w:rPr>
                <w:lang w:val="ro-RO"/>
              </w:rPr>
              <w:t>;</w:t>
            </w:r>
          </w:p>
          <w:p w14:paraId="0C28E2BA" w14:textId="3D8381C7" w:rsidR="002F0356" w:rsidRPr="006D0A8E" w:rsidRDefault="002F0356" w:rsidP="00731FC6">
            <w:pPr>
              <w:pStyle w:val="ListParagraph"/>
              <w:numPr>
                <w:ilvl w:val="0"/>
                <w:numId w:val="7"/>
              </w:numPr>
              <w:spacing w:after="120" w:line="276" w:lineRule="auto"/>
              <w:contextualSpacing w:val="0"/>
              <w:jc w:val="both"/>
              <w:rPr>
                <w:iCs/>
                <w:lang w:val="ro-RO"/>
              </w:rPr>
            </w:pPr>
            <w:r w:rsidRPr="006D0A8E">
              <w:rPr>
                <w:iCs/>
                <w:lang w:val="ro-RO"/>
              </w:rPr>
              <w:lastRenderedPageBreak/>
              <w:t xml:space="preserve">stabilirea unui criteriu de eligibilitate pentru Componenta III a </w:t>
            </w:r>
            <w:r w:rsidR="006B2453">
              <w:rPr>
                <w:iCs/>
                <w:lang w:val="ro-RO"/>
              </w:rPr>
              <w:t>p</w:t>
            </w:r>
            <w:r w:rsidRPr="006D0A8E">
              <w:rPr>
                <w:iCs/>
                <w:lang w:val="ro-RO"/>
              </w:rPr>
              <w:t>rogramului, care prevede c</w:t>
            </w:r>
            <w:r w:rsidR="009E66EC" w:rsidRPr="006D0A8E">
              <w:rPr>
                <w:iCs/>
                <w:lang w:val="ro-RO"/>
              </w:rPr>
              <w:t>ă</w:t>
            </w:r>
            <w:r w:rsidRPr="006D0A8E">
              <w:rPr>
                <w:iCs/>
                <w:lang w:val="ro-RO"/>
              </w:rPr>
              <w:t xml:space="preserve"> solicitantul să fie</w:t>
            </w:r>
            <w:r w:rsidR="00AC5629" w:rsidRPr="00AC5629">
              <w:rPr>
                <w:iCs/>
                <w:lang w:val="ro-RO"/>
              </w:rPr>
              <w:t xml:space="preserve"> fondator al întreprinderii cu statut de persoană fizică sau membru al întreprinderii cu statut de persoană juridică, cu cel puțin 12 luni înainte de data aplicării la </w:t>
            </w:r>
            <w:r w:rsidR="00AC5629">
              <w:rPr>
                <w:iCs/>
                <w:lang w:val="ro-RO"/>
              </w:rPr>
              <w:t>p</w:t>
            </w:r>
            <w:r w:rsidR="00AC5629" w:rsidRPr="00AC5629">
              <w:rPr>
                <w:iCs/>
                <w:lang w:val="ro-RO"/>
              </w:rPr>
              <w:t>rogram</w:t>
            </w:r>
            <w:r w:rsidRPr="006D0A8E">
              <w:rPr>
                <w:bCs/>
                <w:iCs/>
                <w:lang w:val="ro-RO"/>
              </w:rPr>
              <w:t xml:space="preserve">. Pe parcursul implementării acestei Componente s-a constat că unii </w:t>
            </w:r>
            <w:r w:rsidR="00BE3ACA" w:rsidRPr="006D0A8E">
              <w:rPr>
                <w:bCs/>
                <w:iCs/>
                <w:lang w:val="ro-RO"/>
              </w:rPr>
              <w:t>solicitați fac modificări în structura fondatorilor</w:t>
            </w:r>
            <w:r w:rsidR="00AC5629">
              <w:rPr>
                <w:bCs/>
                <w:iCs/>
                <w:lang w:val="ro-RO"/>
              </w:rPr>
              <w:t>/membrilor</w:t>
            </w:r>
            <w:r w:rsidR="00BE3ACA" w:rsidRPr="006D0A8E">
              <w:rPr>
                <w:bCs/>
                <w:iCs/>
                <w:lang w:val="ro-RO"/>
              </w:rPr>
              <w:t xml:space="preserve"> companiei cu scopul de a obține finanțarea, fapt ce denaturează </w:t>
            </w:r>
            <w:r w:rsidR="00A84D1D" w:rsidRPr="006D0A8E">
              <w:rPr>
                <w:bCs/>
                <w:iCs/>
                <w:lang w:val="ro-RO"/>
              </w:rPr>
              <w:t>prevederile</w:t>
            </w:r>
            <w:r w:rsidR="00BE3ACA" w:rsidRPr="006D0A8E">
              <w:rPr>
                <w:bCs/>
                <w:iCs/>
                <w:lang w:val="ro-RO"/>
              </w:rPr>
              <w:t xml:space="preserve"> Programului;</w:t>
            </w:r>
          </w:p>
          <w:p w14:paraId="13E28957" w14:textId="5032651E" w:rsidR="0003774B" w:rsidRPr="006D0A8E" w:rsidRDefault="0003774B" w:rsidP="00731FC6">
            <w:pPr>
              <w:spacing w:after="120" w:line="276" w:lineRule="auto"/>
              <w:ind w:firstLine="567"/>
              <w:jc w:val="both"/>
              <w:rPr>
                <w:i/>
                <w:lang w:val="ro-RO"/>
              </w:rPr>
            </w:pPr>
            <w:r w:rsidRPr="006D0A8E">
              <w:rPr>
                <w:lang w:val="ro-RO"/>
              </w:rPr>
              <w:t xml:space="preserve">- la </w:t>
            </w:r>
            <w:r w:rsidRPr="006D0A8E">
              <w:rPr>
                <w:i/>
                <w:lang w:val="ro-RO"/>
              </w:rPr>
              <w:t>Programul de retehnologizare și eficiență energetică a întreprinderilor mici și mijlocii</w:t>
            </w:r>
            <w:r w:rsidR="001C3F4C">
              <w:rPr>
                <w:i/>
                <w:lang w:val="ro-RO"/>
              </w:rPr>
              <w:t xml:space="preserve"> </w:t>
            </w:r>
            <w:r w:rsidR="001C3F4C" w:rsidRPr="001C3F4C">
              <w:rPr>
                <w:i/>
                <w:lang w:val="ro-RO"/>
              </w:rPr>
              <w:t xml:space="preserve">(aprobat prin Hotărârea Guvernului nr. </w:t>
            </w:r>
            <w:r w:rsidR="001C3F4C">
              <w:rPr>
                <w:i/>
                <w:lang w:val="ro-RO"/>
              </w:rPr>
              <w:t>515</w:t>
            </w:r>
            <w:r w:rsidR="001C3F4C" w:rsidRPr="001C3F4C">
              <w:rPr>
                <w:i/>
                <w:lang w:val="ro-RO"/>
              </w:rPr>
              <w:t>/2022)</w:t>
            </w:r>
            <w:r w:rsidR="00CE2E3E">
              <w:rPr>
                <w:i/>
                <w:lang w:val="ro-RO"/>
              </w:rPr>
              <w:t>:</w:t>
            </w:r>
            <w:r w:rsidRPr="006D0A8E">
              <w:rPr>
                <w:i/>
                <w:lang w:val="ro-RO"/>
              </w:rPr>
              <w:t xml:space="preserve"> </w:t>
            </w:r>
          </w:p>
          <w:p w14:paraId="0F4436AD" w14:textId="5FDE71BD" w:rsidR="00D0189F" w:rsidRPr="00731FC6" w:rsidRDefault="00D0189F" w:rsidP="00731FC6">
            <w:pPr>
              <w:pStyle w:val="ListParagraph"/>
              <w:numPr>
                <w:ilvl w:val="0"/>
                <w:numId w:val="7"/>
              </w:numPr>
              <w:spacing w:after="120" w:line="276" w:lineRule="auto"/>
              <w:contextualSpacing w:val="0"/>
              <w:jc w:val="both"/>
              <w:rPr>
                <w:iCs/>
                <w:lang w:val="ro-RO"/>
              </w:rPr>
            </w:pPr>
            <w:r w:rsidRPr="006D0A8E">
              <w:rPr>
                <w:iCs/>
                <w:lang w:val="ro-RO"/>
              </w:rPr>
              <w:t>i</w:t>
            </w:r>
            <w:r w:rsidR="003F234B" w:rsidRPr="006D0A8E">
              <w:rPr>
                <w:iCs/>
                <w:lang w:val="ro-RO"/>
              </w:rPr>
              <w:t>ncluderea unei prevederi referitor la c</w:t>
            </w:r>
            <w:r w:rsidR="003F234B" w:rsidRPr="006D0A8E">
              <w:rPr>
                <w:bCs/>
                <w:iCs/>
                <w:lang w:val="ro-RO"/>
              </w:rPr>
              <w:t>entralele electrice ce produc energie electrică din surse regenerabile</w:t>
            </w:r>
            <w:r w:rsidR="00AC5629">
              <w:rPr>
                <w:bCs/>
                <w:iCs/>
                <w:lang w:val="ro-RO"/>
              </w:rPr>
              <w:t>.</w:t>
            </w:r>
            <w:r w:rsidR="003F234B" w:rsidRPr="006D0A8E">
              <w:rPr>
                <w:bCs/>
                <w:iCs/>
                <w:lang w:val="ro-RO"/>
              </w:rPr>
              <w:t xml:space="preserve"> </w:t>
            </w:r>
            <w:r w:rsidR="00AC5629">
              <w:rPr>
                <w:bCs/>
                <w:iCs/>
                <w:lang w:val="ro-RO"/>
              </w:rPr>
              <w:t>A</w:t>
            </w:r>
            <w:r w:rsidR="003F234B" w:rsidRPr="006D0A8E">
              <w:rPr>
                <w:bCs/>
                <w:iCs/>
                <w:lang w:val="ro-RO"/>
              </w:rPr>
              <w:t xml:space="preserve">cest tip de investiții se propune </w:t>
            </w:r>
            <w:r w:rsidR="003F234B" w:rsidRPr="006D0A8E">
              <w:rPr>
                <w:iCs/>
                <w:lang w:val="ro-RO"/>
              </w:rPr>
              <w:t>a fi finanțate c</w:t>
            </w:r>
            <w:r w:rsidR="003F234B" w:rsidRPr="006D0A8E">
              <w:rPr>
                <w:bCs/>
                <w:iCs/>
                <w:lang w:val="ro-RO"/>
              </w:rPr>
              <w:t>onform principiilor mecanismului de contorizare netă</w:t>
            </w:r>
            <w:r w:rsidR="00A84D1D" w:rsidRPr="006D0A8E">
              <w:rPr>
                <w:iCs/>
                <w:lang w:val="ro-RO"/>
              </w:rPr>
              <w:t xml:space="preserve">. </w:t>
            </w:r>
            <w:r w:rsidR="00B9370A" w:rsidRPr="006D0A8E">
              <w:rPr>
                <w:iCs/>
                <w:lang w:val="ro-RO"/>
              </w:rPr>
              <w:t>Finanțarea proiectelor investiționale, a căror scop fiind instalarea echipamentelor și instalațiilor de valorificare a surselor de energie alternativă, în conformitate cu prevederile mecanismului de contorizare netă va permite oferirea suportului financiar companiilor pentru investițiile ce prevăd acoperirea necesarului propriu de consum al energiei electrică convenționale. Astfel, acordarea finanțării în limitele prevederilor mecanismului dat va exclude oferirea suportului financiar pentru companiile ce intenționează să înființeze parcuri fotovoltaice</w:t>
            </w:r>
            <w:r w:rsidR="005C224F">
              <w:rPr>
                <w:iCs/>
                <w:lang w:val="ro-RO"/>
              </w:rPr>
              <w:t>;</w:t>
            </w:r>
          </w:p>
          <w:p w14:paraId="6D3F3631" w14:textId="0C9D29DA" w:rsidR="007277C4" w:rsidRPr="00731FC6" w:rsidRDefault="00D0189F" w:rsidP="00731FC6">
            <w:pPr>
              <w:pStyle w:val="ListParagraph"/>
              <w:numPr>
                <w:ilvl w:val="0"/>
                <w:numId w:val="7"/>
              </w:numPr>
              <w:spacing w:after="120" w:line="276" w:lineRule="auto"/>
              <w:contextualSpacing w:val="0"/>
              <w:jc w:val="both"/>
              <w:rPr>
                <w:iCs/>
                <w:lang w:val="ro-RO"/>
              </w:rPr>
            </w:pPr>
            <w:r w:rsidRPr="006D0A8E">
              <w:rPr>
                <w:iCs/>
                <w:lang w:val="ro-RO"/>
              </w:rPr>
              <w:t>e</w:t>
            </w:r>
            <w:r w:rsidR="00D81168" w:rsidRPr="006D0A8E">
              <w:rPr>
                <w:iCs/>
                <w:lang w:val="ro-RO"/>
              </w:rPr>
              <w:t>xcluderea prevederii referitoare la cerințele tehnice de calitate a echipamentului/utilajului propus spre a fi finanțate, dat fiind faptul că reglementarea tehnică a echipamentelor electrice și punerea la dispoziție pe piață a acestora este reglementată de H</w:t>
            </w:r>
            <w:r w:rsidR="00AC5629">
              <w:rPr>
                <w:iCs/>
                <w:lang w:val="ro-RO"/>
              </w:rPr>
              <w:t xml:space="preserve">otărârea </w:t>
            </w:r>
            <w:r w:rsidR="00D81168" w:rsidRPr="006D0A8E">
              <w:rPr>
                <w:iCs/>
                <w:lang w:val="ro-RO"/>
              </w:rPr>
              <w:t>G</w:t>
            </w:r>
            <w:r w:rsidR="00AC5629">
              <w:rPr>
                <w:iCs/>
                <w:lang w:val="ro-RO"/>
              </w:rPr>
              <w:t xml:space="preserve">uvernului nr. </w:t>
            </w:r>
            <w:r w:rsidR="00D81168" w:rsidRPr="006D0A8E">
              <w:rPr>
                <w:iCs/>
                <w:lang w:val="ro-RO"/>
              </w:rPr>
              <w:t>807/2015 pentru aprobarea Reglementării tehnice „Compatibilitatea electromagnetică a echipamentelor” și H</w:t>
            </w:r>
            <w:r w:rsidR="00AC5629">
              <w:rPr>
                <w:iCs/>
                <w:lang w:val="ro-RO"/>
              </w:rPr>
              <w:t xml:space="preserve">otărârea Guvernului nr. </w:t>
            </w:r>
            <w:r w:rsidR="00D81168" w:rsidRPr="006D0A8E">
              <w:rPr>
                <w:iCs/>
                <w:lang w:val="ro-RO"/>
              </w:rPr>
              <w:t>745/2015 pentru aprobarea Reglementării tehnice „Punerea la dispoziție pe piață a echipamentelor electrice destinate utilizării în cadrul unor anumite limite de tensiune”;</w:t>
            </w:r>
          </w:p>
          <w:p w14:paraId="3C43D116" w14:textId="3C5E7908" w:rsidR="00BE3A3B" w:rsidRDefault="0093109F" w:rsidP="00731FC6">
            <w:pPr>
              <w:spacing w:after="120" w:line="276" w:lineRule="auto"/>
              <w:jc w:val="both"/>
              <w:rPr>
                <w:lang w:val="ro-RO"/>
              </w:rPr>
            </w:pPr>
            <w:r w:rsidRPr="006D0A8E">
              <w:rPr>
                <w:lang w:val="ro-RO"/>
              </w:rPr>
              <w:t xml:space="preserve">Totodată, se propune </w:t>
            </w:r>
            <w:r w:rsidR="00BE3A3B">
              <w:rPr>
                <w:lang w:val="ro-RO"/>
              </w:rPr>
              <w:t xml:space="preserve">modificarea </w:t>
            </w:r>
            <w:r w:rsidR="00BE3A3B" w:rsidRPr="00BE3A3B">
              <w:rPr>
                <w:lang w:val="ro-RO"/>
              </w:rPr>
              <w:t>Regulamentul</w:t>
            </w:r>
            <w:r w:rsidR="00BE3A3B">
              <w:rPr>
                <w:lang w:val="ro-RO"/>
              </w:rPr>
              <w:t>ui</w:t>
            </w:r>
            <w:r w:rsidR="00BE3A3B" w:rsidRPr="00BE3A3B">
              <w:rPr>
                <w:lang w:val="ro-RO"/>
              </w:rPr>
              <w:t xml:space="preserve"> cu privire la activitatea Fondului pentru </w:t>
            </w:r>
            <w:proofErr w:type="spellStart"/>
            <w:r w:rsidR="00BE3A3B" w:rsidRPr="00BE3A3B">
              <w:rPr>
                <w:lang w:val="ro-RO"/>
              </w:rPr>
              <w:t>antreprenoriat</w:t>
            </w:r>
            <w:proofErr w:type="spellEnd"/>
            <w:r w:rsidR="00BE3A3B" w:rsidRPr="00BE3A3B">
              <w:rPr>
                <w:lang w:val="ro-RO"/>
              </w:rPr>
              <w:t xml:space="preserve"> și creștere economică a Moldovei, aprobat prin Hotărârea Guvernului nr. 94/2023</w:t>
            </w:r>
            <w:r w:rsidR="00FC6EC7">
              <w:rPr>
                <w:lang w:val="ro-RO"/>
              </w:rPr>
              <w:t>, cu referire la următoarele:</w:t>
            </w:r>
          </w:p>
          <w:p w14:paraId="39219E39" w14:textId="2828231E" w:rsidR="00E05704" w:rsidRDefault="0093109F" w:rsidP="00A56161">
            <w:pPr>
              <w:pStyle w:val="ListParagraph"/>
              <w:numPr>
                <w:ilvl w:val="0"/>
                <w:numId w:val="15"/>
              </w:numPr>
              <w:spacing w:after="120" w:line="276" w:lineRule="auto"/>
              <w:ind w:left="714" w:hanging="357"/>
              <w:contextualSpacing w:val="0"/>
              <w:jc w:val="both"/>
              <w:rPr>
                <w:lang w:val="ro-RO"/>
              </w:rPr>
            </w:pPr>
            <w:r w:rsidRPr="0045184A">
              <w:rPr>
                <w:i/>
                <w:iCs/>
                <w:lang w:val="ro-RO"/>
              </w:rPr>
              <w:t>revizuirea unui criteriu de eligibilitate pentru selectarea băncilor și organizațiilor de creditare nebancară la operațiunile FACEM</w:t>
            </w:r>
            <w:r w:rsidR="00FC6EC7">
              <w:rPr>
                <w:lang w:val="ro-RO"/>
              </w:rPr>
              <w:t>.</w:t>
            </w:r>
            <w:r w:rsidR="00E748E5" w:rsidRPr="00FC6EC7">
              <w:rPr>
                <w:lang w:val="ro-RO"/>
              </w:rPr>
              <w:t xml:space="preserve"> În cadrul consultărilor </w:t>
            </w:r>
            <w:r w:rsidR="00F06308" w:rsidRPr="00FC6EC7">
              <w:rPr>
                <w:lang w:val="ro-RO"/>
              </w:rPr>
              <w:t xml:space="preserve">IP </w:t>
            </w:r>
            <w:r w:rsidR="00E748E5" w:rsidRPr="00FC6EC7">
              <w:rPr>
                <w:lang w:val="ro-RO"/>
              </w:rPr>
              <w:t xml:space="preserve">ODA cu reprezentanții băncilor privind conceptul primului produs de finanțare al FACEM, ce urmează a fi lansat de </w:t>
            </w:r>
            <w:r w:rsidR="00F06308" w:rsidRPr="00FC6EC7">
              <w:rPr>
                <w:lang w:val="ro-RO"/>
              </w:rPr>
              <w:t xml:space="preserve">IP </w:t>
            </w:r>
            <w:r w:rsidR="00E748E5" w:rsidRPr="00FC6EC7">
              <w:rPr>
                <w:lang w:val="ro-RO"/>
              </w:rPr>
              <w:t>ODA, a fost identificată necesitatea revizuirii criteriului de eligibilitate stabilit la pct. 16</w:t>
            </w:r>
            <w:r w:rsidR="00E05704">
              <w:rPr>
                <w:lang w:val="ro-RO"/>
              </w:rPr>
              <w:t>,</w:t>
            </w:r>
            <w:r w:rsidR="00E748E5" w:rsidRPr="00FC6EC7">
              <w:rPr>
                <w:lang w:val="ro-RO"/>
              </w:rPr>
              <w:t xml:space="preserve"> </w:t>
            </w:r>
            <w:proofErr w:type="spellStart"/>
            <w:r w:rsidR="00E748E5" w:rsidRPr="00FC6EC7">
              <w:rPr>
                <w:lang w:val="ro-RO"/>
              </w:rPr>
              <w:t>sbp</w:t>
            </w:r>
            <w:r w:rsidR="00A2397B" w:rsidRPr="00FC6EC7">
              <w:rPr>
                <w:lang w:val="ro-RO"/>
              </w:rPr>
              <w:t>ct</w:t>
            </w:r>
            <w:proofErr w:type="spellEnd"/>
            <w:r w:rsidR="00E748E5" w:rsidRPr="00FC6EC7">
              <w:rPr>
                <w:lang w:val="ro-RO"/>
              </w:rPr>
              <w:t xml:space="preserve">. 5) din Regulamentul cu privire la activitatea Fondului pentru </w:t>
            </w:r>
            <w:proofErr w:type="spellStart"/>
            <w:r w:rsidR="00E748E5" w:rsidRPr="00FC6EC7">
              <w:rPr>
                <w:lang w:val="ro-RO"/>
              </w:rPr>
              <w:t>antreprenoriat</w:t>
            </w:r>
            <w:proofErr w:type="spellEnd"/>
            <w:r w:rsidR="00E748E5" w:rsidRPr="00FC6EC7">
              <w:rPr>
                <w:lang w:val="ro-RO"/>
              </w:rPr>
              <w:t xml:space="preserve"> și creștere economică a Moldovei, aprobat prin Hotărârea Guvernului nr. 94/2023. Argumentul din spatele necesității reiese din misiunea FACEM, luând în considerare</w:t>
            </w:r>
            <w:r w:rsidR="00A2397B" w:rsidRPr="00FC6EC7">
              <w:rPr>
                <w:lang w:val="ro-RO"/>
              </w:rPr>
              <w:t xml:space="preserve"> </w:t>
            </w:r>
            <w:r w:rsidR="00E748E5" w:rsidRPr="00FC6EC7">
              <w:rPr>
                <w:lang w:val="ro-RO"/>
              </w:rPr>
              <w:t xml:space="preserve">volatilitatea permanentă a portofoliului de credite neperformante. În opinia băncilor, acest fapt afectează negativ previzibilitatea normei legale pentru solicitant la etapa depunerii cererii de participare la FACEM, precum și face dificilă aplicabilitatea practică a acesteia. Soluția optimă la problema enunțată a fost identificată prin  corelarea acesteia cu reglementările interne ale </w:t>
            </w:r>
            <w:r w:rsidR="006E1286">
              <w:rPr>
                <w:lang w:val="ro-RO"/>
              </w:rPr>
              <w:t xml:space="preserve">IP </w:t>
            </w:r>
            <w:r w:rsidR="00E748E5" w:rsidRPr="00FC6EC7">
              <w:rPr>
                <w:lang w:val="ro-RO"/>
              </w:rPr>
              <w:t>ODA prin care, în mod operativ,</w:t>
            </w:r>
            <w:r w:rsidR="006615DC" w:rsidRPr="00FC6EC7">
              <w:rPr>
                <w:lang w:val="ro-RO"/>
              </w:rPr>
              <w:t xml:space="preserve"> </w:t>
            </w:r>
            <w:r w:rsidR="00E748E5" w:rsidRPr="00FC6EC7">
              <w:rPr>
                <w:lang w:val="ro-RO"/>
              </w:rPr>
              <w:t>vor putea fi ajustate cerințele față de entitatea financiară parteneră din perspectiva creditelor neperformante în funcție de evoluția pieței de creditare</w:t>
            </w:r>
            <w:r w:rsidR="00E05704">
              <w:rPr>
                <w:lang w:val="ro-RO"/>
              </w:rPr>
              <w:t>;</w:t>
            </w:r>
          </w:p>
          <w:p w14:paraId="28EAB959" w14:textId="4EA5750F" w:rsidR="00A56161" w:rsidRPr="00A56161" w:rsidRDefault="00A56161" w:rsidP="00A56161">
            <w:pPr>
              <w:pStyle w:val="ListParagraph"/>
              <w:numPr>
                <w:ilvl w:val="0"/>
                <w:numId w:val="15"/>
              </w:numPr>
              <w:spacing w:after="120" w:line="276" w:lineRule="auto"/>
              <w:ind w:left="714" w:hanging="357"/>
              <w:contextualSpacing w:val="0"/>
              <w:jc w:val="both"/>
              <w:rPr>
                <w:lang w:val="ro-RO"/>
              </w:rPr>
            </w:pPr>
            <w:r w:rsidRPr="0045184A">
              <w:rPr>
                <w:i/>
                <w:iCs/>
                <w:lang w:val="ro-RO"/>
              </w:rPr>
              <w:t>completarea Regulamentului cu pct. 42</w:t>
            </w:r>
            <w:r w:rsidRPr="0045184A">
              <w:rPr>
                <w:i/>
                <w:iCs/>
                <w:vertAlign w:val="superscript"/>
                <w:lang w:val="ro-RO"/>
              </w:rPr>
              <w:t>1</w:t>
            </w:r>
            <w:r w:rsidRPr="0045184A">
              <w:rPr>
                <w:i/>
                <w:iCs/>
                <w:lang w:val="ro-RO"/>
              </w:rPr>
              <w:t xml:space="preserve"> referitor la acoperirea cheltuielilor FACEM și riscurilor </w:t>
            </w:r>
            <w:r w:rsidR="006E1286">
              <w:rPr>
                <w:i/>
                <w:iCs/>
                <w:lang w:val="ro-RO"/>
              </w:rPr>
              <w:t xml:space="preserve">IP </w:t>
            </w:r>
            <w:r w:rsidRPr="0045184A">
              <w:rPr>
                <w:i/>
                <w:iCs/>
                <w:lang w:val="ro-RO"/>
              </w:rPr>
              <w:t>ODA</w:t>
            </w:r>
            <w:r w:rsidR="006E1286">
              <w:rPr>
                <w:i/>
                <w:iCs/>
                <w:lang w:val="ro-RO"/>
              </w:rPr>
              <w:t>,</w:t>
            </w:r>
            <w:r w:rsidRPr="0045184A">
              <w:rPr>
                <w:i/>
                <w:iCs/>
                <w:lang w:val="ro-RO"/>
              </w:rPr>
              <w:t xml:space="preserve"> în alte cazuri decât cele stabilite în pct. 42</w:t>
            </w:r>
            <w:r w:rsidRPr="00A56161">
              <w:rPr>
                <w:lang w:val="ro-RO"/>
              </w:rPr>
              <w:t>. Norma legală din pct.</w:t>
            </w:r>
            <w:r>
              <w:rPr>
                <w:lang w:val="ro-RO"/>
              </w:rPr>
              <w:t xml:space="preserve"> </w:t>
            </w:r>
            <w:r w:rsidRPr="00A56161">
              <w:rPr>
                <w:lang w:val="ro-RO"/>
              </w:rPr>
              <w:t xml:space="preserve">42 a fost construită în baza ipotezei argumentate că FACEM va oferi ÎMM, în principal, credite la costuri reduse. Totuși, în cadrul elaborării unei noi inițiative de oferire prin </w:t>
            </w:r>
            <w:r w:rsidRPr="00A56161">
              <w:rPr>
                <w:lang w:val="ro-RO"/>
              </w:rPr>
              <w:lastRenderedPageBreak/>
              <w:t>FACEM a suportului pentru ÎMM în accesul la finanțare a fost clarificat faptul că acel text face dificilă aplicabilitatea normei în cazul utilizări altor instrumente de finanțare decât creditul (conform noțiunii), cum ar fi compensarea costurilor creditului (de ex. a dobânzilor). În această speță, în primul rând, nu poate fi utilizat termenul de ”comision”, iar în al doilea rând, nu este relevantă baza de calcul a comisionului de 1% din soldul creditelor</w:t>
            </w:r>
            <w:r w:rsidR="00D80026">
              <w:rPr>
                <w:lang w:val="ro-RO"/>
              </w:rPr>
              <w:t xml:space="preserve"> </w:t>
            </w:r>
            <w:r w:rsidRPr="00A56161">
              <w:rPr>
                <w:lang w:val="ro-RO"/>
              </w:rPr>
              <w:t xml:space="preserve">acordate, deoarece entitatea financiară participantă va oferi credite investiționale beneficiarilor din alte mijloace financiare decât cele ale FACEM, iar </w:t>
            </w:r>
            <w:r w:rsidR="00D80026">
              <w:rPr>
                <w:lang w:val="ro-RO"/>
              </w:rPr>
              <w:t xml:space="preserve"> </w:t>
            </w:r>
            <w:r w:rsidR="00964305">
              <w:rPr>
                <w:lang w:val="ro-RO"/>
              </w:rPr>
              <w:t xml:space="preserve">IP </w:t>
            </w:r>
            <w:r w:rsidRPr="00A56161">
              <w:rPr>
                <w:lang w:val="ro-RO"/>
              </w:rPr>
              <w:t>ODA va oferi mijloace financiare ale FACEM pentru compensarea parțială a cheltuielilor privind dobânzile aferente acelor credite. Soluția identificată constă în completarea Regulamentului cu un punct care acoperă restul cazurilor neacoperite de punctul 42.</w:t>
            </w:r>
          </w:p>
          <w:p w14:paraId="1FFBD6C9" w14:textId="0666AAA3" w:rsidR="002209E5" w:rsidRDefault="002209E5" w:rsidP="002209E5">
            <w:pPr>
              <w:spacing w:after="120" w:line="276" w:lineRule="auto"/>
              <w:jc w:val="both"/>
              <w:rPr>
                <w:lang w:val="ro-RO"/>
              </w:rPr>
            </w:pPr>
            <w:r w:rsidRPr="00AE4713">
              <w:rPr>
                <w:lang w:val="ro-RO"/>
              </w:rPr>
              <w:t>Proiectul conține norma care prevede intrarea în vigoare la data publicării</w:t>
            </w:r>
            <w:r w:rsidR="00F45962" w:rsidRPr="00AE4713">
              <w:rPr>
                <w:lang w:val="ro-RO"/>
              </w:rPr>
              <w:t xml:space="preserve"> în Monitorul Oficial al Republicii Moldova</w:t>
            </w:r>
            <w:r w:rsidRPr="00AE4713">
              <w:rPr>
                <w:lang w:val="ro-RO"/>
              </w:rPr>
              <w:t xml:space="preserve">, pentru ca modificările înserate în </w:t>
            </w:r>
            <w:r w:rsidR="00F45962" w:rsidRPr="00AE4713">
              <w:rPr>
                <w:lang w:val="ro-RO"/>
              </w:rPr>
              <w:t>proiect</w:t>
            </w:r>
            <w:r w:rsidRPr="00AE4713">
              <w:rPr>
                <w:lang w:val="ro-RO"/>
              </w:rPr>
              <w:t xml:space="preserve"> să obțină putere juridică imediată, iar potențialele companii eligibile </w:t>
            </w:r>
            <w:r w:rsidR="00827303">
              <w:rPr>
                <w:lang w:val="ro-RO"/>
              </w:rPr>
              <w:t>p</w:t>
            </w:r>
            <w:r w:rsidRPr="00AE4713">
              <w:rPr>
                <w:lang w:val="ro-RO"/>
              </w:rPr>
              <w:t xml:space="preserve">rogramelor să </w:t>
            </w:r>
            <w:r w:rsidR="001E32F1" w:rsidRPr="00AE4713">
              <w:rPr>
                <w:lang w:val="ro-RO"/>
              </w:rPr>
              <w:t>o</w:t>
            </w:r>
            <w:r w:rsidRPr="00AE4713">
              <w:rPr>
                <w:lang w:val="ro-RO"/>
              </w:rPr>
              <w:t>bțin</w:t>
            </w:r>
            <w:r w:rsidR="001E32F1" w:rsidRPr="00AE4713">
              <w:rPr>
                <w:lang w:val="ro-RO"/>
              </w:rPr>
              <w:t>ă</w:t>
            </w:r>
            <w:r w:rsidRPr="00AE4713">
              <w:rPr>
                <w:lang w:val="ro-RO"/>
              </w:rPr>
              <w:t xml:space="preserve"> cât mai </w:t>
            </w:r>
            <w:r w:rsidR="001E32F1" w:rsidRPr="00AE4713">
              <w:rPr>
                <w:lang w:val="ro-RO"/>
              </w:rPr>
              <w:t>curând</w:t>
            </w:r>
            <w:r w:rsidRPr="00AE4713">
              <w:rPr>
                <w:lang w:val="ro-RO"/>
              </w:rPr>
              <w:t xml:space="preserve"> suport prin schemele de ajutor destinate ÎMM. </w:t>
            </w:r>
          </w:p>
          <w:p w14:paraId="2BACE05F" w14:textId="0372F5A4" w:rsidR="002D4DF1" w:rsidRPr="00AE4713" w:rsidRDefault="002D4DF1" w:rsidP="002209E5">
            <w:pPr>
              <w:spacing w:after="120" w:line="276" w:lineRule="auto"/>
              <w:jc w:val="both"/>
              <w:rPr>
                <w:lang w:val="ro-RO"/>
              </w:rPr>
            </w:pPr>
            <w:r>
              <w:rPr>
                <w:lang w:val="ro-RO"/>
              </w:rPr>
              <w:t>Totodată, modificările operate în prezentul proiect nu afectează programele în derulare.</w:t>
            </w:r>
          </w:p>
          <w:p w14:paraId="1B73D8ED" w14:textId="5F7B79AC" w:rsidR="00BC16FB" w:rsidRPr="00AE4713" w:rsidRDefault="006615DC" w:rsidP="00B20610">
            <w:pPr>
              <w:spacing w:after="120" w:line="276" w:lineRule="auto"/>
              <w:jc w:val="both"/>
              <w:rPr>
                <w:lang w:val="ro-RO"/>
              </w:rPr>
            </w:pPr>
            <w:r w:rsidRPr="00AE4713">
              <w:rPr>
                <w:lang w:val="ro-RO"/>
              </w:rPr>
              <w:t xml:space="preserve">Urmare celor </w:t>
            </w:r>
            <w:r w:rsidR="00B20610" w:rsidRPr="00AE4713">
              <w:rPr>
                <w:lang w:val="ro-RO"/>
              </w:rPr>
              <w:t>expuse</w:t>
            </w:r>
            <w:r w:rsidRPr="00AE4713">
              <w:rPr>
                <w:lang w:val="ro-RO"/>
              </w:rPr>
              <w:t xml:space="preserve">, </w:t>
            </w:r>
            <w:r w:rsidR="00A200C4" w:rsidRPr="00AE4713">
              <w:rPr>
                <w:lang w:val="ro-RO"/>
              </w:rPr>
              <w:t>este necesară operarea modificărilor în cadrul normat</w:t>
            </w:r>
            <w:bookmarkStart w:id="0" w:name="_GoBack"/>
            <w:bookmarkEnd w:id="0"/>
            <w:r w:rsidR="00A200C4" w:rsidRPr="00AE4713">
              <w:rPr>
                <w:lang w:val="ro-RO"/>
              </w:rPr>
              <w:t>iv în scopul actualizării/ajustării acestor mențiuni</w:t>
            </w:r>
            <w:r w:rsidR="00BC16FB" w:rsidRPr="00AE4713">
              <w:rPr>
                <w:lang w:val="ro-RO"/>
              </w:rPr>
              <w:t>.</w:t>
            </w:r>
          </w:p>
        </w:tc>
      </w:tr>
      <w:tr w:rsidR="00B1539E" w:rsidRPr="00AE4713" w14:paraId="4ED3C187" w14:textId="77777777" w:rsidTr="004C613F">
        <w:tc>
          <w:tcPr>
            <w:tcW w:w="709" w:type="dxa"/>
            <w:shd w:val="clear" w:color="auto" w:fill="BFBFBF" w:themeFill="background1" w:themeFillShade="BF"/>
          </w:tcPr>
          <w:p w14:paraId="62E6AD6C" w14:textId="77777777" w:rsidR="00B1539E" w:rsidRPr="00AE4713" w:rsidRDefault="00B1539E" w:rsidP="00C264B3">
            <w:pPr>
              <w:spacing w:line="276" w:lineRule="auto"/>
              <w:jc w:val="both"/>
              <w:rPr>
                <w:b/>
                <w:lang w:val="ro-RO"/>
              </w:rPr>
            </w:pPr>
            <w:r w:rsidRPr="00AE4713">
              <w:rPr>
                <w:b/>
                <w:lang w:val="ro-RO"/>
              </w:rPr>
              <w:lastRenderedPageBreak/>
              <w:t>5.</w:t>
            </w:r>
          </w:p>
        </w:tc>
        <w:tc>
          <w:tcPr>
            <w:tcW w:w="9356" w:type="dxa"/>
            <w:shd w:val="clear" w:color="auto" w:fill="BFBFBF" w:themeFill="background1" w:themeFillShade="BF"/>
          </w:tcPr>
          <w:p w14:paraId="4697F661" w14:textId="77777777" w:rsidR="00B1539E" w:rsidRPr="00AE4713" w:rsidRDefault="00B1539E" w:rsidP="00C264B3">
            <w:pPr>
              <w:ind w:firstLine="34"/>
              <w:jc w:val="both"/>
              <w:rPr>
                <w:b/>
                <w:lang w:val="ro-RO" w:eastAsia="en-GB"/>
              </w:rPr>
            </w:pPr>
            <w:r w:rsidRPr="00AE4713">
              <w:rPr>
                <w:b/>
                <w:lang w:val="ro-RO" w:eastAsia="en-GB"/>
              </w:rPr>
              <w:t xml:space="preserve">Fundamentarea </w:t>
            </w:r>
            <w:proofErr w:type="spellStart"/>
            <w:r w:rsidRPr="00AE4713">
              <w:rPr>
                <w:b/>
                <w:lang w:val="ro-RO" w:eastAsia="en-GB"/>
              </w:rPr>
              <w:t>economico</w:t>
            </w:r>
            <w:proofErr w:type="spellEnd"/>
            <w:r w:rsidRPr="00AE4713">
              <w:rPr>
                <w:b/>
                <w:lang w:val="ro-RO" w:eastAsia="en-GB"/>
              </w:rPr>
              <w:t>-financiară</w:t>
            </w:r>
          </w:p>
        </w:tc>
      </w:tr>
      <w:tr w:rsidR="00B1539E" w:rsidRPr="00E71B28" w14:paraId="6229083D" w14:textId="77777777" w:rsidTr="004C613F">
        <w:tc>
          <w:tcPr>
            <w:tcW w:w="709" w:type="dxa"/>
            <w:shd w:val="clear" w:color="auto" w:fill="FFFFFF" w:themeFill="background1"/>
          </w:tcPr>
          <w:p w14:paraId="2CB42D2A" w14:textId="77777777" w:rsidR="00B1539E" w:rsidRPr="00AE4713" w:rsidRDefault="00B1539E" w:rsidP="00C264B3">
            <w:pPr>
              <w:spacing w:line="276" w:lineRule="auto"/>
              <w:ind w:firstLine="738"/>
              <w:jc w:val="both"/>
              <w:rPr>
                <w:lang w:val="ro-RO"/>
              </w:rPr>
            </w:pPr>
          </w:p>
        </w:tc>
        <w:tc>
          <w:tcPr>
            <w:tcW w:w="9356" w:type="dxa"/>
            <w:shd w:val="clear" w:color="auto" w:fill="FFFFFF" w:themeFill="background1"/>
          </w:tcPr>
          <w:p w14:paraId="766D8234" w14:textId="694A7F25" w:rsidR="00B1539E" w:rsidRPr="00AE4713" w:rsidRDefault="00B1539E" w:rsidP="00DF76F1">
            <w:pPr>
              <w:spacing w:line="340" w:lineRule="exact"/>
              <w:jc w:val="both"/>
              <w:rPr>
                <w:lang w:val="ro-RO"/>
              </w:rPr>
            </w:pPr>
            <w:r w:rsidRPr="00AE4713">
              <w:rPr>
                <w:lang w:val="ro-RO"/>
              </w:rPr>
              <w:t>Realizarea proiectului nu implică cheltuieli financiare suplimentare de la bugetul de stat.</w:t>
            </w:r>
          </w:p>
        </w:tc>
      </w:tr>
      <w:tr w:rsidR="00B1539E" w:rsidRPr="00E71B28" w14:paraId="1888A77A" w14:textId="77777777" w:rsidTr="004C613F">
        <w:tc>
          <w:tcPr>
            <w:tcW w:w="709" w:type="dxa"/>
            <w:shd w:val="clear" w:color="auto" w:fill="A6A6A6" w:themeFill="background1" w:themeFillShade="A6"/>
          </w:tcPr>
          <w:p w14:paraId="5B2DF608" w14:textId="77777777" w:rsidR="00B1539E" w:rsidRPr="00AE4713" w:rsidRDefault="00B1539E" w:rsidP="00C264B3">
            <w:pPr>
              <w:spacing w:line="276" w:lineRule="auto"/>
              <w:rPr>
                <w:b/>
                <w:lang w:val="ro-RO"/>
              </w:rPr>
            </w:pPr>
            <w:r w:rsidRPr="00AE4713">
              <w:rPr>
                <w:b/>
                <w:lang w:val="ro-RO"/>
              </w:rPr>
              <w:t>6.</w:t>
            </w:r>
          </w:p>
        </w:tc>
        <w:tc>
          <w:tcPr>
            <w:tcW w:w="9356" w:type="dxa"/>
            <w:shd w:val="clear" w:color="auto" w:fill="A6A6A6" w:themeFill="background1" w:themeFillShade="A6"/>
          </w:tcPr>
          <w:p w14:paraId="0D448400" w14:textId="77777777" w:rsidR="00B1539E" w:rsidRPr="00AE4713" w:rsidRDefault="00B1539E" w:rsidP="00C264B3">
            <w:pPr>
              <w:spacing w:line="276" w:lineRule="auto"/>
              <w:rPr>
                <w:b/>
                <w:highlight w:val="yellow"/>
                <w:lang w:val="ro-RO"/>
              </w:rPr>
            </w:pPr>
            <w:r w:rsidRPr="00AE4713">
              <w:rPr>
                <w:b/>
                <w:lang w:val="ro-RO"/>
              </w:rPr>
              <w:t>Modul de încorporare a actului în cadrul normativ în vigoare</w:t>
            </w:r>
          </w:p>
        </w:tc>
      </w:tr>
      <w:tr w:rsidR="00B1539E" w:rsidRPr="00E71B28" w14:paraId="553DD0FB" w14:textId="77777777" w:rsidTr="004C613F">
        <w:tc>
          <w:tcPr>
            <w:tcW w:w="709" w:type="dxa"/>
            <w:shd w:val="clear" w:color="auto" w:fill="FFFFFF" w:themeFill="background1"/>
          </w:tcPr>
          <w:p w14:paraId="4D8DC4FE" w14:textId="77777777" w:rsidR="00B1539E" w:rsidRPr="00AE4713" w:rsidRDefault="00B1539E" w:rsidP="00C264B3">
            <w:pPr>
              <w:spacing w:line="276" w:lineRule="auto"/>
              <w:jc w:val="both"/>
              <w:rPr>
                <w:lang w:val="ro-RO"/>
              </w:rPr>
            </w:pPr>
          </w:p>
        </w:tc>
        <w:tc>
          <w:tcPr>
            <w:tcW w:w="9356" w:type="dxa"/>
            <w:shd w:val="clear" w:color="auto" w:fill="FFFFFF" w:themeFill="background1"/>
          </w:tcPr>
          <w:p w14:paraId="52CB1DA9" w14:textId="748F7AE9" w:rsidR="00157EED" w:rsidRPr="00AE4713" w:rsidRDefault="00006434" w:rsidP="00523491">
            <w:pPr>
              <w:spacing w:line="276" w:lineRule="auto"/>
              <w:jc w:val="both"/>
              <w:rPr>
                <w:bCs/>
                <w:lang w:val="ro-RO" w:eastAsia="ro-RO"/>
              </w:rPr>
            </w:pPr>
            <w:r w:rsidRPr="00AE4713">
              <w:rPr>
                <w:bCs/>
                <w:lang w:val="ro-RO" w:eastAsia="ro-RO"/>
              </w:rPr>
              <w:t>Ulterior aprobării proiectului nu va fi necesară modificarea altor acte normative.</w:t>
            </w:r>
          </w:p>
        </w:tc>
      </w:tr>
      <w:tr w:rsidR="00B1539E" w:rsidRPr="00E71B28" w14:paraId="53A08329" w14:textId="77777777" w:rsidTr="004C613F">
        <w:tc>
          <w:tcPr>
            <w:tcW w:w="709" w:type="dxa"/>
            <w:shd w:val="clear" w:color="auto" w:fill="A6A6A6" w:themeFill="background1" w:themeFillShade="A6"/>
          </w:tcPr>
          <w:p w14:paraId="3F871F4D" w14:textId="77777777" w:rsidR="00B1539E" w:rsidRPr="00AE4713" w:rsidRDefault="00B1539E" w:rsidP="00C264B3">
            <w:pPr>
              <w:spacing w:line="276" w:lineRule="auto"/>
              <w:jc w:val="both"/>
              <w:rPr>
                <w:b/>
                <w:lang w:val="ro-RO"/>
              </w:rPr>
            </w:pPr>
            <w:r w:rsidRPr="00AE4713">
              <w:rPr>
                <w:b/>
                <w:lang w:val="ro-RO"/>
              </w:rPr>
              <w:t>7.</w:t>
            </w:r>
          </w:p>
        </w:tc>
        <w:tc>
          <w:tcPr>
            <w:tcW w:w="9356" w:type="dxa"/>
            <w:shd w:val="clear" w:color="auto" w:fill="A6A6A6" w:themeFill="background1" w:themeFillShade="A6"/>
          </w:tcPr>
          <w:p w14:paraId="3DC898F3" w14:textId="77777777" w:rsidR="00B1539E" w:rsidRPr="00AE4713" w:rsidRDefault="00B1539E" w:rsidP="00523491">
            <w:pPr>
              <w:spacing w:line="276" w:lineRule="auto"/>
              <w:jc w:val="both"/>
              <w:rPr>
                <w:highlight w:val="yellow"/>
                <w:lang w:val="ro-RO"/>
              </w:rPr>
            </w:pPr>
            <w:r w:rsidRPr="00AE4713">
              <w:rPr>
                <w:b/>
                <w:lang w:val="ro-RO"/>
              </w:rPr>
              <w:t>Avizarea și consultarea publică a proiectului</w:t>
            </w:r>
          </w:p>
        </w:tc>
      </w:tr>
      <w:tr w:rsidR="00B1539E" w:rsidRPr="00E71B28" w14:paraId="44068B3F" w14:textId="77777777" w:rsidTr="004C613F">
        <w:tc>
          <w:tcPr>
            <w:tcW w:w="709" w:type="dxa"/>
            <w:shd w:val="clear" w:color="auto" w:fill="FFFFFF" w:themeFill="background1"/>
          </w:tcPr>
          <w:p w14:paraId="4FD4906A" w14:textId="77777777" w:rsidR="00B1539E" w:rsidRPr="00AE4713" w:rsidRDefault="00B1539E" w:rsidP="00C264B3">
            <w:pPr>
              <w:spacing w:line="276" w:lineRule="auto"/>
              <w:jc w:val="both"/>
              <w:rPr>
                <w:lang w:val="ro-RO"/>
              </w:rPr>
            </w:pPr>
          </w:p>
        </w:tc>
        <w:tc>
          <w:tcPr>
            <w:tcW w:w="9356" w:type="dxa"/>
            <w:shd w:val="clear" w:color="auto" w:fill="FFFFFF" w:themeFill="background1"/>
          </w:tcPr>
          <w:p w14:paraId="28B50827" w14:textId="3A5764D5" w:rsidR="00585554" w:rsidRPr="00AE4713" w:rsidRDefault="00643912" w:rsidP="00634FAD">
            <w:pPr>
              <w:spacing w:after="120" w:line="276" w:lineRule="auto"/>
              <w:ind w:firstLine="6"/>
              <w:jc w:val="both"/>
              <w:rPr>
                <w:rFonts w:eastAsiaTheme="minorHAnsi"/>
                <w:lang w:val="ro-RO" w:eastAsia="en-US"/>
              </w:rPr>
            </w:pPr>
            <w:r w:rsidRPr="00AE4713">
              <w:rPr>
                <w:rFonts w:eastAsiaTheme="minorHAnsi"/>
                <w:lang w:val="ro-RO" w:eastAsia="en-US"/>
              </w:rPr>
              <w:t>În scopul respectării prevederilor Legii nr. 239/2008 privind transparența în procesul decizional, proiectul este plasat pe pagina web oficială a Ministerului Dezvoltării Economice și Digitalizării: http://www.m</w:t>
            </w:r>
            <w:r w:rsidR="00634FAD">
              <w:rPr>
                <w:rFonts w:eastAsiaTheme="minorHAnsi"/>
                <w:lang w:val="ro-RO" w:eastAsia="en-US"/>
              </w:rPr>
              <w:t>d</w:t>
            </w:r>
            <w:r w:rsidRPr="00AE4713">
              <w:rPr>
                <w:rFonts w:eastAsiaTheme="minorHAnsi"/>
                <w:lang w:val="ro-RO" w:eastAsia="en-US"/>
              </w:rPr>
              <w:t>e</w:t>
            </w:r>
            <w:r w:rsidR="00634FAD">
              <w:rPr>
                <w:rFonts w:eastAsiaTheme="minorHAnsi"/>
                <w:lang w:val="ro-RO" w:eastAsia="en-US"/>
              </w:rPr>
              <w:t>d.gov.md</w:t>
            </w:r>
            <w:r w:rsidRPr="00AE4713">
              <w:rPr>
                <w:rFonts w:eastAsiaTheme="minorHAnsi"/>
                <w:lang w:val="ro-RO" w:eastAsia="en-US"/>
              </w:rPr>
              <w:t>, compartimentul Transparența decizională, directoriul Anunțuri privind consultări publice.</w:t>
            </w:r>
          </w:p>
        </w:tc>
      </w:tr>
      <w:tr w:rsidR="00B1539E" w:rsidRPr="00AE4713" w14:paraId="508C15B2" w14:textId="77777777" w:rsidTr="004C613F">
        <w:tc>
          <w:tcPr>
            <w:tcW w:w="709" w:type="dxa"/>
            <w:shd w:val="clear" w:color="auto" w:fill="A6A6A6" w:themeFill="background1" w:themeFillShade="A6"/>
          </w:tcPr>
          <w:p w14:paraId="4A18C9E0" w14:textId="77777777" w:rsidR="00B1539E" w:rsidRPr="00AE4713" w:rsidRDefault="00B1539E" w:rsidP="00C264B3">
            <w:pPr>
              <w:spacing w:line="276" w:lineRule="auto"/>
              <w:jc w:val="both"/>
              <w:rPr>
                <w:b/>
                <w:lang w:val="ro-RO"/>
              </w:rPr>
            </w:pPr>
            <w:r w:rsidRPr="00AE4713">
              <w:rPr>
                <w:b/>
                <w:lang w:val="ro-RO"/>
              </w:rPr>
              <w:t>8.</w:t>
            </w:r>
          </w:p>
        </w:tc>
        <w:tc>
          <w:tcPr>
            <w:tcW w:w="9356" w:type="dxa"/>
            <w:shd w:val="clear" w:color="auto" w:fill="A6A6A6" w:themeFill="background1" w:themeFillShade="A6"/>
          </w:tcPr>
          <w:p w14:paraId="340575FC" w14:textId="77777777" w:rsidR="00B1539E" w:rsidRPr="00AE4713" w:rsidRDefault="00B1539E" w:rsidP="00C264B3">
            <w:pPr>
              <w:spacing w:line="276" w:lineRule="auto"/>
              <w:jc w:val="both"/>
              <w:rPr>
                <w:b/>
                <w:lang w:val="ro-RO"/>
              </w:rPr>
            </w:pPr>
            <w:r w:rsidRPr="00AE4713">
              <w:rPr>
                <w:b/>
                <w:lang w:val="ro-RO"/>
              </w:rPr>
              <w:t>Consultările expertizei anticorupție</w:t>
            </w:r>
          </w:p>
        </w:tc>
      </w:tr>
      <w:tr w:rsidR="00B1539E" w:rsidRPr="00E71B28" w14:paraId="07F15BB9" w14:textId="77777777" w:rsidTr="004C613F">
        <w:tc>
          <w:tcPr>
            <w:tcW w:w="709" w:type="dxa"/>
            <w:shd w:val="clear" w:color="auto" w:fill="FFFFFF" w:themeFill="background1"/>
          </w:tcPr>
          <w:p w14:paraId="29291CA4" w14:textId="77777777" w:rsidR="00B1539E" w:rsidRPr="00AE4713" w:rsidRDefault="00B1539E" w:rsidP="00C264B3">
            <w:pPr>
              <w:spacing w:line="276" w:lineRule="auto"/>
              <w:jc w:val="both"/>
              <w:rPr>
                <w:lang w:val="ro-RO"/>
              </w:rPr>
            </w:pPr>
          </w:p>
        </w:tc>
        <w:tc>
          <w:tcPr>
            <w:tcW w:w="9356" w:type="dxa"/>
            <w:shd w:val="clear" w:color="auto" w:fill="FFFFFF" w:themeFill="background1"/>
          </w:tcPr>
          <w:p w14:paraId="11ABD404" w14:textId="692D714B" w:rsidR="00B1539E" w:rsidRPr="00AE4713" w:rsidRDefault="00B1539E" w:rsidP="00C264B3">
            <w:pPr>
              <w:spacing w:line="276" w:lineRule="auto"/>
              <w:jc w:val="both"/>
              <w:rPr>
                <w:lang w:val="ro-RO"/>
              </w:rPr>
            </w:pPr>
            <w:r w:rsidRPr="00AE4713">
              <w:rPr>
                <w:lang w:val="ro-RO"/>
              </w:rPr>
              <w:t xml:space="preserve">Proiectul </w:t>
            </w:r>
            <w:r w:rsidR="007E716E" w:rsidRPr="00AE4713">
              <w:rPr>
                <w:lang w:val="ro-RO"/>
              </w:rPr>
              <w:t xml:space="preserve">urmează </w:t>
            </w:r>
            <w:r w:rsidR="002A33B9" w:rsidRPr="00AE4713">
              <w:rPr>
                <w:lang w:val="ro-RO"/>
              </w:rPr>
              <w:t>a f</w:t>
            </w:r>
            <w:r w:rsidR="007E716E" w:rsidRPr="00AE4713">
              <w:rPr>
                <w:lang w:val="ro-RO"/>
              </w:rPr>
              <w:t>i</w:t>
            </w:r>
            <w:r w:rsidRPr="00AE4713">
              <w:rPr>
                <w:lang w:val="ro-RO"/>
              </w:rPr>
              <w:t xml:space="preserve"> supus expertizei anticorupție</w:t>
            </w:r>
            <w:r w:rsidR="00F06018" w:rsidRPr="00AE4713">
              <w:rPr>
                <w:lang w:val="ro-RO"/>
              </w:rPr>
              <w:t>.</w:t>
            </w:r>
          </w:p>
        </w:tc>
      </w:tr>
      <w:tr w:rsidR="00B1539E" w:rsidRPr="00AE4713" w14:paraId="3C34DD73" w14:textId="77777777" w:rsidTr="004C613F">
        <w:tc>
          <w:tcPr>
            <w:tcW w:w="709" w:type="dxa"/>
            <w:shd w:val="clear" w:color="auto" w:fill="A6A6A6" w:themeFill="background1" w:themeFillShade="A6"/>
          </w:tcPr>
          <w:p w14:paraId="51587982" w14:textId="77777777" w:rsidR="00B1539E" w:rsidRPr="00AE4713" w:rsidRDefault="00B1539E" w:rsidP="00C264B3">
            <w:pPr>
              <w:spacing w:line="276" w:lineRule="auto"/>
              <w:jc w:val="both"/>
              <w:rPr>
                <w:b/>
                <w:lang w:val="ro-RO"/>
              </w:rPr>
            </w:pPr>
            <w:r w:rsidRPr="00AE4713">
              <w:rPr>
                <w:b/>
                <w:lang w:val="ro-RO"/>
              </w:rPr>
              <w:t>9.</w:t>
            </w:r>
          </w:p>
        </w:tc>
        <w:tc>
          <w:tcPr>
            <w:tcW w:w="9356" w:type="dxa"/>
            <w:shd w:val="clear" w:color="auto" w:fill="A6A6A6" w:themeFill="background1" w:themeFillShade="A6"/>
          </w:tcPr>
          <w:p w14:paraId="4A3A5DFF" w14:textId="77777777" w:rsidR="00B1539E" w:rsidRPr="00AE4713" w:rsidRDefault="00B1539E" w:rsidP="00C264B3">
            <w:pPr>
              <w:spacing w:line="276" w:lineRule="auto"/>
              <w:jc w:val="both"/>
              <w:rPr>
                <w:b/>
                <w:lang w:val="ro-RO"/>
              </w:rPr>
            </w:pPr>
            <w:r w:rsidRPr="00AE4713">
              <w:rPr>
                <w:b/>
                <w:lang w:val="ro-RO"/>
              </w:rPr>
              <w:t>Consultările expertizei de compatibilitate</w:t>
            </w:r>
          </w:p>
        </w:tc>
      </w:tr>
      <w:tr w:rsidR="00B1539E" w:rsidRPr="00AE4713" w14:paraId="737765BA" w14:textId="77777777" w:rsidTr="004C613F">
        <w:tc>
          <w:tcPr>
            <w:tcW w:w="709" w:type="dxa"/>
            <w:shd w:val="clear" w:color="auto" w:fill="FFFFFF" w:themeFill="background1"/>
          </w:tcPr>
          <w:p w14:paraId="53204823" w14:textId="77777777" w:rsidR="00B1539E" w:rsidRPr="00AE4713" w:rsidRDefault="00B1539E" w:rsidP="00C264B3">
            <w:pPr>
              <w:spacing w:line="276" w:lineRule="auto"/>
              <w:jc w:val="both"/>
              <w:rPr>
                <w:lang w:val="ro-RO"/>
              </w:rPr>
            </w:pPr>
          </w:p>
        </w:tc>
        <w:tc>
          <w:tcPr>
            <w:tcW w:w="9356" w:type="dxa"/>
            <w:shd w:val="clear" w:color="auto" w:fill="FFFFFF" w:themeFill="background1"/>
          </w:tcPr>
          <w:p w14:paraId="187C4BDF" w14:textId="671CCE3E" w:rsidR="00B1539E" w:rsidRPr="00AE4713" w:rsidRDefault="002D4DF1" w:rsidP="00C264B3">
            <w:pPr>
              <w:autoSpaceDE w:val="0"/>
              <w:autoSpaceDN w:val="0"/>
              <w:adjustRightInd w:val="0"/>
              <w:rPr>
                <w:rFonts w:eastAsiaTheme="minorHAnsi"/>
                <w:lang w:val="ro-RO" w:eastAsia="en-US"/>
              </w:rPr>
            </w:pPr>
            <w:r>
              <w:rPr>
                <w:rFonts w:eastAsiaTheme="minorHAnsi"/>
                <w:lang w:val="ro-RO" w:eastAsia="en-US"/>
              </w:rPr>
              <w:t>Nu este necesară</w:t>
            </w:r>
          </w:p>
        </w:tc>
      </w:tr>
      <w:tr w:rsidR="00B1539E" w:rsidRPr="00AE4713" w14:paraId="2D5D2D59" w14:textId="77777777" w:rsidTr="004C613F">
        <w:tc>
          <w:tcPr>
            <w:tcW w:w="709" w:type="dxa"/>
            <w:shd w:val="clear" w:color="auto" w:fill="A6A6A6" w:themeFill="background1" w:themeFillShade="A6"/>
          </w:tcPr>
          <w:p w14:paraId="468687DB" w14:textId="77777777" w:rsidR="00B1539E" w:rsidRPr="00AE4713" w:rsidRDefault="00B1539E" w:rsidP="00C264B3">
            <w:pPr>
              <w:spacing w:line="276" w:lineRule="auto"/>
              <w:jc w:val="both"/>
              <w:rPr>
                <w:b/>
                <w:lang w:val="ro-RO"/>
              </w:rPr>
            </w:pPr>
            <w:r w:rsidRPr="00AE4713">
              <w:rPr>
                <w:b/>
                <w:lang w:val="ro-RO"/>
              </w:rPr>
              <w:t>10.</w:t>
            </w:r>
          </w:p>
        </w:tc>
        <w:tc>
          <w:tcPr>
            <w:tcW w:w="9356" w:type="dxa"/>
            <w:shd w:val="clear" w:color="auto" w:fill="A6A6A6" w:themeFill="background1" w:themeFillShade="A6"/>
          </w:tcPr>
          <w:p w14:paraId="3216BCFE" w14:textId="77777777" w:rsidR="00B1539E" w:rsidRPr="00AE4713" w:rsidRDefault="00B1539E" w:rsidP="00C264B3">
            <w:pPr>
              <w:spacing w:line="276" w:lineRule="auto"/>
              <w:jc w:val="both"/>
              <w:rPr>
                <w:lang w:val="ro-RO"/>
              </w:rPr>
            </w:pPr>
            <w:r w:rsidRPr="00AE4713">
              <w:rPr>
                <w:b/>
                <w:lang w:val="ro-RO"/>
              </w:rPr>
              <w:t>Constatările expertizei juridice</w:t>
            </w:r>
          </w:p>
        </w:tc>
      </w:tr>
      <w:tr w:rsidR="00B1539E" w:rsidRPr="00E71B28" w14:paraId="2CD0B934" w14:textId="77777777" w:rsidTr="004C613F">
        <w:tc>
          <w:tcPr>
            <w:tcW w:w="709" w:type="dxa"/>
            <w:shd w:val="clear" w:color="auto" w:fill="FFFFFF" w:themeFill="background1"/>
          </w:tcPr>
          <w:p w14:paraId="6AA17756" w14:textId="77777777" w:rsidR="00B1539E" w:rsidRPr="00AE4713" w:rsidRDefault="00B1539E" w:rsidP="00C264B3">
            <w:pPr>
              <w:spacing w:line="276" w:lineRule="auto"/>
              <w:jc w:val="both"/>
              <w:rPr>
                <w:lang w:val="ro-RO"/>
              </w:rPr>
            </w:pPr>
          </w:p>
        </w:tc>
        <w:tc>
          <w:tcPr>
            <w:tcW w:w="9356" w:type="dxa"/>
            <w:shd w:val="clear" w:color="auto" w:fill="FFFFFF" w:themeFill="background1"/>
          </w:tcPr>
          <w:p w14:paraId="7F4C4A70" w14:textId="1B8E9530" w:rsidR="00B1539E" w:rsidRPr="00AE4713" w:rsidRDefault="00B1539E" w:rsidP="00C6159B">
            <w:pPr>
              <w:autoSpaceDE w:val="0"/>
              <w:autoSpaceDN w:val="0"/>
              <w:adjustRightInd w:val="0"/>
              <w:spacing w:line="276" w:lineRule="auto"/>
              <w:jc w:val="both"/>
              <w:rPr>
                <w:lang w:val="ro-RO"/>
              </w:rPr>
            </w:pPr>
            <w:r w:rsidRPr="00AE4713">
              <w:rPr>
                <w:rFonts w:eastAsiaTheme="minorHAnsi"/>
                <w:lang w:val="ro-RO" w:eastAsia="en-US"/>
              </w:rPr>
              <w:t>Proiectul a f</w:t>
            </w:r>
            <w:r w:rsidR="00973D40" w:rsidRPr="00AE4713">
              <w:rPr>
                <w:rFonts w:eastAsiaTheme="minorHAnsi"/>
                <w:lang w:val="ro-RO" w:eastAsia="en-US"/>
              </w:rPr>
              <w:t>ost</w:t>
            </w:r>
            <w:r w:rsidRPr="00AE4713">
              <w:rPr>
                <w:rFonts w:eastAsiaTheme="minorHAnsi"/>
                <w:lang w:val="ro-RO" w:eastAsia="en-US"/>
              </w:rPr>
              <w:t xml:space="preserve"> supus expertizei juridice în procesul</w:t>
            </w:r>
            <w:r w:rsidR="00C6159B" w:rsidRPr="00AE4713">
              <w:rPr>
                <w:rFonts w:eastAsiaTheme="minorHAnsi"/>
                <w:lang w:val="ro-RO" w:eastAsia="en-US"/>
              </w:rPr>
              <w:t xml:space="preserve"> </w:t>
            </w:r>
            <w:r w:rsidRPr="00AE4713">
              <w:rPr>
                <w:rFonts w:eastAsiaTheme="minorHAnsi"/>
                <w:lang w:val="ro-RO" w:eastAsia="en-US"/>
              </w:rPr>
              <w:t>desfășurării procesului de avizare.</w:t>
            </w:r>
          </w:p>
        </w:tc>
      </w:tr>
      <w:tr w:rsidR="00B1539E" w:rsidRPr="00AE4713" w14:paraId="182B5C91" w14:textId="77777777" w:rsidTr="004C613F">
        <w:tc>
          <w:tcPr>
            <w:tcW w:w="709" w:type="dxa"/>
            <w:tcBorders>
              <w:bottom w:val="single" w:sz="4" w:space="0" w:color="auto"/>
            </w:tcBorders>
            <w:shd w:val="clear" w:color="auto" w:fill="A6A6A6" w:themeFill="background1" w:themeFillShade="A6"/>
          </w:tcPr>
          <w:p w14:paraId="5E5DC5F2" w14:textId="77777777" w:rsidR="00B1539E" w:rsidRPr="00AE4713" w:rsidRDefault="00B1539E" w:rsidP="00C264B3">
            <w:pPr>
              <w:spacing w:line="276" w:lineRule="auto"/>
              <w:jc w:val="both"/>
              <w:rPr>
                <w:b/>
                <w:lang w:val="ro-RO"/>
              </w:rPr>
            </w:pPr>
            <w:r w:rsidRPr="00AE4713">
              <w:rPr>
                <w:b/>
                <w:lang w:val="ro-RO"/>
              </w:rPr>
              <w:t>11.</w:t>
            </w:r>
          </w:p>
        </w:tc>
        <w:tc>
          <w:tcPr>
            <w:tcW w:w="9356" w:type="dxa"/>
            <w:tcBorders>
              <w:bottom w:val="single" w:sz="4" w:space="0" w:color="auto"/>
            </w:tcBorders>
            <w:shd w:val="clear" w:color="auto" w:fill="A6A6A6" w:themeFill="background1" w:themeFillShade="A6"/>
          </w:tcPr>
          <w:p w14:paraId="4E7FCEBF" w14:textId="77777777" w:rsidR="00B1539E" w:rsidRPr="00AE4713" w:rsidRDefault="00B1539E" w:rsidP="00C264B3">
            <w:pPr>
              <w:spacing w:line="276" w:lineRule="auto"/>
              <w:jc w:val="both"/>
              <w:rPr>
                <w:b/>
                <w:lang w:val="ro-RO"/>
              </w:rPr>
            </w:pPr>
            <w:r w:rsidRPr="00AE4713">
              <w:rPr>
                <w:b/>
                <w:lang w:val="ro-RO"/>
              </w:rPr>
              <w:t>Constatările altor expertize</w:t>
            </w:r>
          </w:p>
        </w:tc>
      </w:tr>
      <w:tr w:rsidR="00B1539E" w:rsidRPr="00AE4713" w14:paraId="74C8DBD3" w14:textId="77777777" w:rsidTr="004C613F">
        <w:tc>
          <w:tcPr>
            <w:tcW w:w="709" w:type="dxa"/>
            <w:tcBorders>
              <w:bottom w:val="single" w:sz="4" w:space="0" w:color="auto"/>
            </w:tcBorders>
            <w:shd w:val="clear" w:color="auto" w:fill="FFFFFF" w:themeFill="background1"/>
          </w:tcPr>
          <w:p w14:paraId="528ADEB9" w14:textId="77777777" w:rsidR="00B1539E" w:rsidRPr="00AE4713" w:rsidRDefault="00B1539E" w:rsidP="00C264B3">
            <w:pPr>
              <w:spacing w:line="276" w:lineRule="auto"/>
              <w:jc w:val="both"/>
              <w:rPr>
                <w:lang w:val="ro-RO"/>
              </w:rPr>
            </w:pPr>
          </w:p>
        </w:tc>
        <w:tc>
          <w:tcPr>
            <w:tcW w:w="9356" w:type="dxa"/>
            <w:tcBorders>
              <w:bottom w:val="single" w:sz="4" w:space="0" w:color="auto"/>
            </w:tcBorders>
            <w:shd w:val="clear" w:color="auto" w:fill="FFFFFF" w:themeFill="background1"/>
          </w:tcPr>
          <w:p w14:paraId="348F33F4" w14:textId="26A57835" w:rsidR="00B1539E" w:rsidRPr="00AE4713" w:rsidRDefault="002D4DF1" w:rsidP="00522A28">
            <w:pPr>
              <w:spacing w:line="276" w:lineRule="auto"/>
              <w:jc w:val="both"/>
              <w:rPr>
                <w:lang w:val="ro-RO"/>
              </w:rPr>
            </w:pPr>
            <w:r>
              <w:rPr>
                <w:lang w:val="ro-RO"/>
              </w:rPr>
              <w:t>Nu este necesară</w:t>
            </w:r>
          </w:p>
        </w:tc>
      </w:tr>
    </w:tbl>
    <w:p w14:paraId="58A612BB" w14:textId="77777777" w:rsidR="00B1539E" w:rsidRPr="00AE4713" w:rsidRDefault="00B1539E" w:rsidP="00B1539E">
      <w:pPr>
        <w:rPr>
          <w:b/>
          <w:lang w:val="ro-RO"/>
        </w:rPr>
      </w:pPr>
    </w:p>
    <w:p w14:paraId="15E73B56" w14:textId="77777777" w:rsidR="00523491" w:rsidRPr="00AE4713" w:rsidRDefault="00523491" w:rsidP="002C01B5">
      <w:pPr>
        <w:ind w:firstLine="708"/>
        <w:rPr>
          <w:b/>
          <w:lang w:val="ro-RO"/>
        </w:rPr>
      </w:pPr>
    </w:p>
    <w:p w14:paraId="312EA01E" w14:textId="2A40C8F4" w:rsidR="00297E97" w:rsidRPr="00AE4713" w:rsidRDefault="00D156BA" w:rsidP="00807D0D">
      <w:pPr>
        <w:rPr>
          <w:lang w:val="ro-RO"/>
        </w:rPr>
      </w:pPr>
      <w:r w:rsidRPr="00AE4713">
        <w:rPr>
          <w:b/>
          <w:lang w:val="ro-RO"/>
        </w:rPr>
        <w:t>Secretar general</w:t>
      </w:r>
      <w:r w:rsidR="002A33B9" w:rsidRPr="00AE4713">
        <w:rPr>
          <w:b/>
          <w:lang w:val="ro-RO"/>
        </w:rPr>
        <w:tab/>
      </w:r>
      <w:r w:rsidR="00BC16FB" w:rsidRPr="00AE4713">
        <w:rPr>
          <w:b/>
          <w:lang w:val="ro-RO"/>
        </w:rPr>
        <w:tab/>
      </w:r>
      <w:r w:rsidR="00BC16FB" w:rsidRPr="00AE4713">
        <w:rPr>
          <w:b/>
          <w:lang w:val="ro-RO"/>
        </w:rPr>
        <w:tab/>
      </w:r>
      <w:r w:rsidR="00BC16FB" w:rsidRPr="00AE4713">
        <w:rPr>
          <w:b/>
          <w:lang w:val="ro-RO"/>
        </w:rPr>
        <w:tab/>
      </w:r>
      <w:r w:rsidR="00BC16FB" w:rsidRPr="00AE4713">
        <w:rPr>
          <w:b/>
          <w:lang w:val="ro-RO"/>
        </w:rPr>
        <w:tab/>
      </w:r>
      <w:r w:rsidR="00BC16FB" w:rsidRPr="00AE4713">
        <w:rPr>
          <w:b/>
          <w:lang w:val="ro-RO"/>
        </w:rPr>
        <w:tab/>
      </w:r>
      <w:r w:rsidR="00BC16FB" w:rsidRPr="00AE4713">
        <w:rPr>
          <w:b/>
          <w:lang w:val="ro-RO"/>
        </w:rPr>
        <w:tab/>
      </w:r>
      <w:r w:rsidR="00807D0D">
        <w:rPr>
          <w:b/>
          <w:lang w:val="ro-RO"/>
        </w:rPr>
        <w:t xml:space="preserve">                 </w:t>
      </w:r>
      <w:r w:rsidR="00A21971">
        <w:rPr>
          <w:b/>
          <w:lang w:val="ro-RO"/>
        </w:rPr>
        <w:t>Veronica ARPINTIN</w:t>
      </w:r>
    </w:p>
    <w:sectPr w:rsidR="00297E97" w:rsidRPr="00AE4713" w:rsidSect="004C613F">
      <w:footerReference w:type="default" r:id="rId7"/>
      <w:pgSz w:w="11906" w:h="16838" w:code="9"/>
      <w:pgMar w:top="709" w:right="1133" w:bottom="993" w:left="1134" w:header="709"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AA622" w14:textId="77777777" w:rsidR="001F4CE8" w:rsidRDefault="001F4CE8" w:rsidP="00B1539E">
      <w:r>
        <w:separator/>
      </w:r>
    </w:p>
  </w:endnote>
  <w:endnote w:type="continuationSeparator" w:id="0">
    <w:p w14:paraId="01B00B37" w14:textId="77777777" w:rsidR="001F4CE8" w:rsidRDefault="001F4CE8" w:rsidP="00B15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17437" w14:textId="6E7BC53D" w:rsidR="00295750" w:rsidRPr="00861D46" w:rsidRDefault="000625F7">
    <w:pPr>
      <w:pStyle w:val="Footer"/>
      <w:jc w:val="right"/>
      <w:rPr>
        <w:sz w:val="22"/>
        <w:szCs w:val="22"/>
      </w:rPr>
    </w:pPr>
    <w:r w:rsidRPr="00861D46">
      <w:rPr>
        <w:sz w:val="22"/>
        <w:szCs w:val="22"/>
      </w:rPr>
      <w:fldChar w:fldCharType="begin"/>
    </w:r>
    <w:r w:rsidR="00B633D0" w:rsidRPr="00861D46">
      <w:rPr>
        <w:sz w:val="22"/>
        <w:szCs w:val="22"/>
      </w:rPr>
      <w:instrText xml:space="preserve"> PAGE   \* MERGEFORMAT </w:instrText>
    </w:r>
    <w:r w:rsidRPr="00861D46">
      <w:rPr>
        <w:sz w:val="22"/>
        <w:szCs w:val="22"/>
      </w:rPr>
      <w:fldChar w:fldCharType="separate"/>
    </w:r>
    <w:r w:rsidR="002D4DF1">
      <w:rPr>
        <w:noProof/>
        <w:sz w:val="22"/>
        <w:szCs w:val="22"/>
      </w:rPr>
      <w:t>5</w:t>
    </w:r>
    <w:r w:rsidRPr="00861D46">
      <w:rPr>
        <w:sz w:val="22"/>
        <w:szCs w:val="22"/>
      </w:rPr>
      <w:fldChar w:fldCharType="end"/>
    </w:r>
  </w:p>
  <w:p w14:paraId="27A4445D" w14:textId="77777777" w:rsidR="00295750" w:rsidRDefault="001F4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D21231" w14:textId="77777777" w:rsidR="001F4CE8" w:rsidRDefault="001F4CE8" w:rsidP="00B1539E">
      <w:r>
        <w:separator/>
      </w:r>
    </w:p>
  </w:footnote>
  <w:footnote w:type="continuationSeparator" w:id="0">
    <w:p w14:paraId="1474BCDC" w14:textId="77777777" w:rsidR="001F4CE8" w:rsidRDefault="001F4CE8" w:rsidP="00B153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82BCE"/>
    <w:multiLevelType w:val="hybridMultilevel"/>
    <w:tmpl w:val="97260F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24E294C"/>
    <w:multiLevelType w:val="hybridMultilevel"/>
    <w:tmpl w:val="15BAF20C"/>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 w15:restartNumberingAfterBreak="0">
    <w:nsid w:val="0B8C2727"/>
    <w:multiLevelType w:val="hybridMultilevel"/>
    <w:tmpl w:val="C2B659C0"/>
    <w:lvl w:ilvl="0" w:tplc="C5D28BF6">
      <w:start w:val="1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F181568"/>
    <w:multiLevelType w:val="hybridMultilevel"/>
    <w:tmpl w:val="59D47E18"/>
    <w:lvl w:ilvl="0" w:tplc="7548C72C">
      <w:start w:val="1"/>
      <w:numFmt w:val="decimal"/>
      <w:lvlText w:val="%1)"/>
      <w:lvlJc w:val="left"/>
      <w:pPr>
        <w:ind w:left="940" w:hanging="360"/>
      </w:pPr>
      <w:rPr>
        <w:rFonts w:hint="default"/>
      </w:rPr>
    </w:lvl>
    <w:lvl w:ilvl="1" w:tplc="04180019" w:tentative="1">
      <w:start w:val="1"/>
      <w:numFmt w:val="lowerLetter"/>
      <w:lvlText w:val="%2."/>
      <w:lvlJc w:val="left"/>
      <w:pPr>
        <w:ind w:left="1660" w:hanging="360"/>
      </w:pPr>
    </w:lvl>
    <w:lvl w:ilvl="2" w:tplc="0418001B" w:tentative="1">
      <w:start w:val="1"/>
      <w:numFmt w:val="lowerRoman"/>
      <w:lvlText w:val="%3."/>
      <w:lvlJc w:val="right"/>
      <w:pPr>
        <w:ind w:left="2380" w:hanging="180"/>
      </w:pPr>
    </w:lvl>
    <w:lvl w:ilvl="3" w:tplc="0418000F" w:tentative="1">
      <w:start w:val="1"/>
      <w:numFmt w:val="decimal"/>
      <w:lvlText w:val="%4."/>
      <w:lvlJc w:val="left"/>
      <w:pPr>
        <w:ind w:left="3100" w:hanging="360"/>
      </w:pPr>
    </w:lvl>
    <w:lvl w:ilvl="4" w:tplc="04180019" w:tentative="1">
      <w:start w:val="1"/>
      <w:numFmt w:val="lowerLetter"/>
      <w:lvlText w:val="%5."/>
      <w:lvlJc w:val="left"/>
      <w:pPr>
        <w:ind w:left="3820" w:hanging="360"/>
      </w:pPr>
    </w:lvl>
    <w:lvl w:ilvl="5" w:tplc="0418001B" w:tentative="1">
      <w:start w:val="1"/>
      <w:numFmt w:val="lowerRoman"/>
      <w:lvlText w:val="%6."/>
      <w:lvlJc w:val="right"/>
      <w:pPr>
        <w:ind w:left="4540" w:hanging="180"/>
      </w:pPr>
    </w:lvl>
    <w:lvl w:ilvl="6" w:tplc="0418000F" w:tentative="1">
      <w:start w:val="1"/>
      <w:numFmt w:val="decimal"/>
      <w:lvlText w:val="%7."/>
      <w:lvlJc w:val="left"/>
      <w:pPr>
        <w:ind w:left="5260" w:hanging="360"/>
      </w:pPr>
    </w:lvl>
    <w:lvl w:ilvl="7" w:tplc="04180019" w:tentative="1">
      <w:start w:val="1"/>
      <w:numFmt w:val="lowerLetter"/>
      <w:lvlText w:val="%8."/>
      <w:lvlJc w:val="left"/>
      <w:pPr>
        <w:ind w:left="5980" w:hanging="360"/>
      </w:pPr>
    </w:lvl>
    <w:lvl w:ilvl="8" w:tplc="0418001B" w:tentative="1">
      <w:start w:val="1"/>
      <w:numFmt w:val="lowerRoman"/>
      <w:lvlText w:val="%9."/>
      <w:lvlJc w:val="right"/>
      <w:pPr>
        <w:ind w:left="6700" w:hanging="180"/>
      </w:pPr>
    </w:lvl>
  </w:abstractNum>
  <w:abstractNum w:abstractNumId="4" w15:restartNumberingAfterBreak="0">
    <w:nsid w:val="23E6725C"/>
    <w:multiLevelType w:val="hybridMultilevel"/>
    <w:tmpl w:val="EC60D122"/>
    <w:lvl w:ilvl="0" w:tplc="08090011">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26177469"/>
    <w:multiLevelType w:val="hybridMultilevel"/>
    <w:tmpl w:val="82F0B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2F57D2"/>
    <w:multiLevelType w:val="hybridMultilevel"/>
    <w:tmpl w:val="D51E896A"/>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7" w15:restartNumberingAfterBreak="0">
    <w:nsid w:val="29207DC6"/>
    <w:multiLevelType w:val="hybridMultilevel"/>
    <w:tmpl w:val="E6923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822DD2"/>
    <w:multiLevelType w:val="hybridMultilevel"/>
    <w:tmpl w:val="F920FE80"/>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9" w15:restartNumberingAfterBreak="0">
    <w:nsid w:val="3FD755B4"/>
    <w:multiLevelType w:val="hybridMultilevel"/>
    <w:tmpl w:val="2B16668C"/>
    <w:lvl w:ilvl="0" w:tplc="16F2B4EE">
      <w:start w:val="1"/>
      <w:numFmt w:val="bullet"/>
      <w:lvlText w:val=""/>
      <w:lvlJc w:val="left"/>
      <w:pPr>
        <w:ind w:left="1287"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00F3DC9"/>
    <w:multiLevelType w:val="hybridMultilevel"/>
    <w:tmpl w:val="C814240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23E7CD3"/>
    <w:multiLevelType w:val="hybridMultilevel"/>
    <w:tmpl w:val="1B38B62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A975A55"/>
    <w:multiLevelType w:val="hybridMultilevel"/>
    <w:tmpl w:val="6972BADC"/>
    <w:lvl w:ilvl="0" w:tplc="D0DAE830">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13" w15:restartNumberingAfterBreak="0">
    <w:nsid w:val="50CE32E1"/>
    <w:multiLevelType w:val="hybridMultilevel"/>
    <w:tmpl w:val="1BD056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611367B0"/>
    <w:multiLevelType w:val="hybridMultilevel"/>
    <w:tmpl w:val="4BB6ED0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74B76BDC"/>
    <w:multiLevelType w:val="hybridMultilevel"/>
    <w:tmpl w:val="3BC0A052"/>
    <w:lvl w:ilvl="0" w:tplc="0418000F">
      <w:start w:val="1"/>
      <w:numFmt w:val="decimal"/>
      <w:lvlText w:val="%1."/>
      <w:lvlJc w:val="left"/>
      <w:pPr>
        <w:ind w:left="1300" w:hanging="360"/>
      </w:pPr>
    </w:lvl>
    <w:lvl w:ilvl="1" w:tplc="04180019" w:tentative="1">
      <w:start w:val="1"/>
      <w:numFmt w:val="lowerLetter"/>
      <w:lvlText w:val="%2."/>
      <w:lvlJc w:val="left"/>
      <w:pPr>
        <w:ind w:left="2020" w:hanging="360"/>
      </w:pPr>
    </w:lvl>
    <w:lvl w:ilvl="2" w:tplc="0418001B" w:tentative="1">
      <w:start w:val="1"/>
      <w:numFmt w:val="lowerRoman"/>
      <w:lvlText w:val="%3."/>
      <w:lvlJc w:val="right"/>
      <w:pPr>
        <w:ind w:left="2740" w:hanging="180"/>
      </w:pPr>
    </w:lvl>
    <w:lvl w:ilvl="3" w:tplc="0418000F" w:tentative="1">
      <w:start w:val="1"/>
      <w:numFmt w:val="decimal"/>
      <w:lvlText w:val="%4."/>
      <w:lvlJc w:val="left"/>
      <w:pPr>
        <w:ind w:left="3460" w:hanging="360"/>
      </w:pPr>
    </w:lvl>
    <w:lvl w:ilvl="4" w:tplc="04180019" w:tentative="1">
      <w:start w:val="1"/>
      <w:numFmt w:val="lowerLetter"/>
      <w:lvlText w:val="%5."/>
      <w:lvlJc w:val="left"/>
      <w:pPr>
        <w:ind w:left="4180" w:hanging="360"/>
      </w:pPr>
    </w:lvl>
    <w:lvl w:ilvl="5" w:tplc="0418001B" w:tentative="1">
      <w:start w:val="1"/>
      <w:numFmt w:val="lowerRoman"/>
      <w:lvlText w:val="%6."/>
      <w:lvlJc w:val="right"/>
      <w:pPr>
        <w:ind w:left="4900" w:hanging="180"/>
      </w:pPr>
    </w:lvl>
    <w:lvl w:ilvl="6" w:tplc="0418000F" w:tentative="1">
      <w:start w:val="1"/>
      <w:numFmt w:val="decimal"/>
      <w:lvlText w:val="%7."/>
      <w:lvlJc w:val="left"/>
      <w:pPr>
        <w:ind w:left="5620" w:hanging="360"/>
      </w:pPr>
    </w:lvl>
    <w:lvl w:ilvl="7" w:tplc="04180019" w:tentative="1">
      <w:start w:val="1"/>
      <w:numFmt w:val="lowerLetter"/>
      <w:lvlText w:val="%8."/>
      <w:lvlJc w:val="left"/>
      <w:pPr>
        <w:ind w:left="6340" w:hanging="360"/>
      </w:pPr>
    </w:lvl>
    <w:lvl w:ilvl="8" w:tplc="0418001B" w:tentative="1">
      <w:start w:val="1"/>
      <w:numFmt w:val="lowerRoman"/>
      <w:lvlText w:val="%9."/>
      <w:lvlJc w:val="right"/>
      <w:pPr>
        <w:ind w:left="7060" w:hanging="180"/>
      </w:pPr>
    </w:lvl>
  </w:abstractNum>
  <w:num w:numId="1">
    <w:abstractNumId w:val="0"/>
  </w:num>
  <w:num w:numId="2">
    <w:abstractNumId w:val="8"/>
  </w:num>
  <w:num w:numId="3">
    <w:abstractNumId w:val="6"/>
  </w:num>
  <w:num w:numId="4">
    <w:abstractNumId w:val="1"/>
  </w:num>
  <w:num w:numId="5">
    <w:abstractNumId w:val="4"/>
  </w:num>
  <w:num w:numId="6">
    <w:abstractNumId w:val="9"/>
  </w:num>
  <w:num w:numId="7">
    <w:abstractNumId w:val="14"/>
  </w:num>
  <w:num w:numId="8">
    <w:abstractNumId w:val="7"/>
  </w:num>
  <w:num w:numId="9">
    <w:abstractNumId w:val="10"/>
  </w:num>
  <w:num w:numId="10">
    <w:abstractNumId w:val="15"/>
  </w:num>
  <w:num w:numId="11">
    <w:abstractNumId w:val="3"/>
  </w:num>
  <w:num w:numId="12">
    <w:abstractNumId w:val="2"/>
  </w:num>
  <w:num w:numId="13">
    <w:abstractNumId w:val="5"/>
  </w:num>
  <w:num w:numId="14">
    <w:abstractNumId w:val="13"/>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39E"/>
    <w:rsid w:val="00000A36"/>
    <w:rsid w:val="00002DEE"/>
    <w:rsid w:val="0000409A"/>
    <w:rsid w:val="00005939"/>
    <w:rsid w:val="00006434"/>
    <w:rsid w:val="00030268"/>
    <w:rsid w:val="00031543"/>
    <w:rsid w:val="000332F4"/>
    <w:rsid w:val="000342AA"/>
    <w:rsid w:val="0003564D"/>
    <w:rsid w:val="0003718E"/>
    <w:rsid w:val="0003774B"/>
    <w:rsid w:val="00043877"/>
    <w:rsid w:val="0004636B"/>
    <w:rsid w:val="000625F7"/>
    <w:rsid w:val="000812CE"/>
    <w:rsid w:val="0008544A"/>
    <w:rsid w:val="000A55E0"/>
    <w:rsid w:val="000D457F"/>
    <w:rsid w:val="000D4FD8"/>
    <w:rsid w:val="000D552A"/>
    <w:rsid w:val="000D6B38"/>
    <w:rsid w:val="000D745E"/>
    <w:rsid w:val="000F1D15"/>
    <w:rsid w:val="000F583C"/>
    <w:rsid w:val="000F6868"/>
    <w:rsid w:val="000F766C"/>
    <w:rsid w:val="001053CC"/>
    <w:rsid w:val="0011100A"/>
    <w:rsid w:val="00123956"/>
    <w:rsid w:val="00126A2E"/>
    <w:rsid w:val="00132EE6"/>
    <w:rsid w:val="0013438C"/>
    <w:rsid w:val="00135E95"/>
    <w:rsid w:val="0014190E"/>
    <w:rsid w:val="00145FA2"/>
    <w:rsid w:val="00157EED"/>
    <w:rsid w:val="00160207"/>
    <w:rsid w:val="00163540"/>
    <w:rsid w:val="00165ACB"/>
    <w:rsid w:val="00166D5D"/>
    <w:rsid w:val="00174776"/>
    <w:rsid w:val="0018419C"/>
    <w:rsid w:val="001A0123"/>
    <w:rsid w:val="001A5560"/>
    <w:rsid w:val="001A65E2"/>
    <w:rsid w:val="001B0FDE"/>
    <w:rsid w:val="001B33BC"/>
    <w:rsid w:val="001B70C4"/>
    <w:rsid w:val="001C3F4C"/>
    <w:rsid w:val="001C7123"/>
    <w:rsid w:val="001D22DA"/>
    <w:rsid w:val="001E32F1"/>
    <w:rsid w:val="001E3DDA"/>
    <w:rsid w:val="001E7B95"/>
    <w:rsid w:val="001F3F50"/>
    <w:rsid w:val="001F4CE8"/>
    <w:rsid w:val="001F6791"/>
    <w:rsid w:val="002209E5"/>
    <w:rsid w:val="00227961"/>
    <w:rsid w:val="0023151D"/>
    <w:rsid w:val="0024099F"/>
    <w:rsid w:val="002474D2"/>
    <w:rsid w:val="00276FA5"/>
    <w:rsid w:val="00282339"/>
    <w:rsid w:val="00292FFF"/>
    <w:rsid w:val="002948E5"/>
    <w:rsid w:val="00297E97"/>
    <w:rsid w:val="002A0F35"/>
    <w:rsid w:val="002A33B9"/>
    <w:rsid w:val="002A4113"/>
    <w:rsid w:val="002A425E"/>
    <w:rsid w:val="002A5A16"/>
    <w:rsid w:val="002B15FF"/>
    <w:rsid w:val="002C01B5"/>
    <w:rsid w:val="002C090F"/>
    <w:rsid w:val="002D4DF1"/>
    <w:rsid w:val="002D7A74"/>
    <w:rsid w:val="002D7B64"/>
    <w:rsid w:val="002E0DA2"/>
    <w:rsid w:val="002E6731"/>
    <w:rsid w:val="002F0356"/>
    <w:rsid w:val="002F5DAE"/>
    <w:rsid w:val="002F7F50"/>
    <w:rsid w:val="0030371E"/>
    <w:rsid w:val="003055DC"/>
    <w:rsid w:val="00310F70"/>
    <w:rsid w:val="0032050C"/>
    <w:rsid w:val="003336C8"/>
    <w:rsid w:val="00340268"/>
    <w:rsid w:val="00345B00"/>
    <w:rsid w:val="00355710"/>
    <w:rsid w:val="00356B3C"/>
    <w:rsid w:val="00362F4C"/>
    <w:rsid w:val="00364901"/>
    <w:rsid w:val="00382033"/>
    <w:rsid w:val="003920A0"/>
    <w:rsid w:val="00395F21"/>
    <w:rsid w:val="003A2D09"/>
    <w:rsid w:val="003D1453"/>
    <w:rsid w:val="003D262E"/>
    <w:rsid w:val="003E797F"/>
    <w:rsid w:val="003F0012"/>
    <w:rsid w:val="003F0586"/>
    <w:rsid w:val="003F234B"/>
    <w:rsid w:val="003F2FED"/>
    <w:rsid w:val="00402238"/>
    <w:rsid w:val="0042238F"/>
    <w:rsid w:val="004320DD"/>
    <w:rsid w:val="00432E36"/>
    <w:rsid w:val="0043563F"/>
    <w:rsid w:val="00441A23"/>
    <w:rsid w:val="004468B6"/>
    <w:rsid w:val="0045184A"/>
    <w:rsid w:val="004620B0"/>
    <w:rsid w:val="00462447"/>
    <w:rsid w:val="00463976"/>
    <w:rsid w:val="00463AD1"/>
    <w:rsid w:val="00465F68"/>
    <w:rsid w:val="00474ACB"/>
    <w:rsid w:val="00480394"/>
    <w:rsid w:val="004864E7"/>
    <w:rsid w:val="00492308"/>
    <w:rsid w:val="00494807"/>
    <w:rsid w:val="0049480F"/>
    <w:rsid w:val="004A08DE"/>
    <w:rsid w:val="004A46FD"/>
    <w:rsid w:val="004B2073"/>
    <w:rsid w:val="004B3821"/>
    <w:rsid w:val="004C4130"/>
    <w:rsid w:val="004C4724"/>
    <w:rsid w:val="004C613F"/>
    <w:rsid w:val="004D6DC3"/>
    <w:rsid w:val="004D7146"/>
    <w:rsid w:val="004E453F"/>
    <w:rsid w:val="004F1800"/>
    <w:rsid w:val="004F32F3"/>
    <w:rsid w:val="00504F4A"/>
    <w:rsid w:val="0051636D"/>
    <w:rsid w:val="00522362"/>
    <w:rsid w:val="00522A28"/>
    <w:rsid w:val="00523491"/>
    <w:rsid w:val="005608B1"/>
    <w:rsid w:val="00561EA1"/>
    <w:rsid w:val="00563455"/>
    <w:rsid w:val="0056464D"/>
    <w:rsid w:val="00566298"/>
    <w:rsid w:val="0056637B"/>
    <w:rsid w:val="00571B15"/>
    <w:rsid w:val="00585554"/>
    <w:rsid w:val="00592DFC"/>
    <w:rsid w:val="005A0BB1"/>
    <w:rsid w:val="005B0044"/>
    <w:rsid w:val="005C224F"/>
    <w:rsid w:val="005C5F67"/>
    <w:rsid w:val="005E106F"/>
    <w:rsid w:val="005E33FF"/>
    <w:rsid w:val="005F5F71"/>
    <w:rsid w:val="005F7D42"/>
    <w:rsid w:val="00602FF8"/>
    <w:rsid w:val="0060352D"/>
    <w:rsid w:val="00617F43"/>
    <w:rsid w:val="006223C6"/>
    <w:rsid w:val="00623998"/>
    <w:rsid w:val="00634FAD"/>
    <w:rsid w:val="00640AB1"/>
    <w:rsid w:val="006416A0"/>
    <w:rsid w:val="00642227"/>
    <w:rsid w:val="00642497"/>
    <w:rsid w:val="00643912"/>
    <w:rsid w:val="00651E49"/>
    <w:rsid w:val="00653172"/>
    <w:rsid w:val="006615DC"/>
    <w:rsid w:val="00661E54"/>
    <w:rsid w:val="00674E35"/>
    <w:rsid w:val="006776C7"/>
    <w:rsid w:val="006804FE"/>
    <w:rsid w:val="00680695"/>
    <w:rsid w:val="00683825"/>
    <w:rsid w:val="00685173"/>
    <w:rsid w:val="006857C6"/>
    <w:rsid w:val="00686F34"/>
    <w:rsid w:val="006944F7"/>
    <w:rsid w:val="006A2DAE"/>
    <w:rsid w:val="006A3F56"/>
    <w:rsid w:val="006A5C18"/>
    <w:rsid w:val="006B2453"/>
    <w:rsid w:val="006C4AAF"/>
    <w:rsid w:val="006C7985"/>
    <w:rsid w:val="006D0A8E"/>
    <w:rsid w:val="006D1AF0"/>
    <w:rsid w:val="006D7676"/>
    <w:rsid w:val="006E1286"/>
    <w:rsid w:val="00706EFB"/>
    <w:rsid w:val="0071149B"/>
    <w:rsid w:val="0071716E"/>
    <w:rsid w:val="007277C4"/>
    <w:rsid w:val="00731FC6"/>
    <w:rsid w:val="007336B0"/>
    <w:rsid w:val="007427BA"/>
    <w:rsid w:val="007469BB"/>
    <w:rsid w:val="007471B6"/>
    <w:rsid w:val="007539E7"/>
    <w:rsid w:val="007579F9"/>
    <w:rsid w:val="00761217"/>
    <w:rsid w:val="00764813"/>
    <w:rsid w:val="00775B67"/>
    <w:rsid w:val="00795689"/>
    <w:rsid w:val="007A0896"/>
    <w:rsid w:val="007A08A6"/>
    <w:rsid w:val="007A3707"/>
    <w:rsid w:val="007A707E"/>
    <w:rsid w:val="007B40C8"/>
    <w:rsid w:val="007B474B"/>
    <w:rsid w:val="007D2F88"/>
    <w:rsid w:val="007E716E"/>
    <w:rsid w:val="007F393E"/>
    <w:rsid w:val="00804466"/>
    <w:rsid w:val="00807D0D"/>
    <w:rsid w:val="0081281F"/>
    <w:rsid w:val="00816E9A"/>
    <w:rsid w:val="00825154"/>
    <w:rsid w:val="00827303"/>
    <w:rsid w:val="008350EB"/>
    <w:rsid w:val="00836E72"/>
    <w:rsid w:val="00842AEE"/>
    <w:rsid w:val="008470F3"/>
    <w:rsid w:val="00861731"/>
    <w:rsid w:val="008766CA"/>
    <w:rsid w:val="008878FB"/>
    <w:rsid w:val="008976BC"/>
    <w:rsid w:val="008A44B1"/>
    <w:rsid w:val="008C1366"/>
    <w:rsid w:val="008C4E75"/>
    <w:rsid w:val="008C594F"/>
    <w:rsid w:val="008C5957"/>
    <w:rsid w:val="008C5F62"/>
    <w:rsid w:val="008F18B8"/>
    <w:rsid w:val="008F5D0C"/>
    <w:rsid w:val="00900AEF"/>
    <w:rsid w:val="00916F52"/>
    <w:rsid w:val="00922F6E"/>
    <w:rsid w:val="00924182"/>
    <w:rsid w:val="0093109F"/>
    <w:rsid w:val="009544CE"/>
    <w:rsid w:val="00964305"/>
    <w:rsid w:val="00971F37"/>
    <w:rsid w:val="00973D40"/>
    <w:rsid w:val="009942AF"/>
    <w:rsid w:val="009A5833"/>
    <w:rsid w:val="009B5A95"/>
    <w:rsid w:val="009E66EC"/>
    <w:rsid w:val="009F4FFF"/>
    <w:rsid w:val="00A02B05"/>
    <w:rsid w:val="00A200C4"/>
    <w:rsid w:val="00A21971"/>
    <w:rsid w:val="00A221AF"/>
    <w:rsid w:val="00A2397B"/>
    <w:rsid w:val="00A5105C"/>
    <w:rsid w:val="00A5428B"/>
    <w:rsid w:val="00A56161"/>
    <w:rsid w:val="00A70CA9"/>
    <w:rsid w:val="00A7178B"/>
    <w:rsid w:val="00A717F8"/>
    <w:rsid w:val="00A84D1D"/>
    <w:rsid w:val="00AA253A"/>
    <w:rsid w:val="00AA31EE"/>
    <w:rsid w:val="00AA3DEF"/>
    <w:rsid w:val="00AA7F9B"/>
    <w:rsid w:val="00AC27C4"/>
    <w:rsid w:val="00AC5629"/>
    <w:rsid w:val="00AD2AC7"/>
    <w:rsid w:val="00AD4A83"/>
    <w:rsid w:val="00AD549A"/>
    <w:rsid w:val="00AD7F1A"/>
    <w:rsid w:val="00AE4713"/>
    <w:rsid w:val="00B05BCC"/>
    <w:rsid w:val="00B1539E"/>
    <w:rsid w:val="00B20610"/>
    <w:rsid w:val="00B4040D"/>
    <w:rsid w:val="00B410A4"/>
    <w:rsid w:val="00B437F8"/>
    <w:rsid w:val="00B54945"/>
    <w:rsid w:val="00B606F1"/>
    <w:rsid w:val="00B633D0"/>
    <w:rsid w:val="00B766DE"/>
    <w:rsid w:val="00B84AF3"/>
    <w:rsid w:val="00B87B54"/>
    <w:rsid w:val="00B9370A"/>
    <w:rsid w:val="00BC16FB"/>
    <w:rsid w:val="00BC6FE4"/>
    <w:rsid w:val="00BD238B"/>
    <w:rsid w:val="00BD40D0"/>
    <w:rsid w:val="00BD44F8"/>
    <w:rsid w:val="00BE3A3B"/>
    <w:rsid w:val="00BE3ACA"/>
    <w:rsid w:val="00BE77CC"/>
    <w:rsid w:val="00BF150A"/>
    <w:rsid w:val="00C11458"/>
    <w:rsid w:val="00C44B9A"/>
    <w:rsid w:val="00C51E78"/>
    <w:rsid w:val="00C6159B"/>
    <w:rsid w:val="00C71CC1"/>
    <w:rsid w:val="00C80760"/>
    <w:rsid w:val="00C8268C"/>
    <w:rsid w:val="00C95AAB"/>
    <w:rsid w:val="00CA4FB2"/>
    <w:rsid w:val="00CA7383"/>
    <w:rsid w:val="00CB1D9D"/>
    <w:rsid w:val="00CB62DF"/>
    <w:rsid w:val="00CC5731"/>
    <w:rsid w:val="00CE2E3E"/>
    <w:rsid w:val="00CE7032"/>
    <w:rsid w:val="00D0189F"/>
    <w:rsid w:val="00D04B7B"/>
    <w:rsid w:val="00D0752E"/>
    <w:rsid w:val="00D14913"/>
    <w:rsid w:val="00D156BA"/>
    <w:rsid w:val="00D20C78"/>
    <w:rsid w:val="00D25EF4"/>
    <w:rsid w:val="00D33054"/>
    <w:rsid w:val="00D43524"/>
    <w:rsid w:val="00D4476B"/>
    <w:rsid w:val="00D672A4"/>
    <w:rsid w:val="00D759D8"/>
    <w:rsid w:val="00D76770"/>
    <w:rsid w:val="00D80026"/>
    <w:rsid w:val="00D81168"/>
    <w:rsid w:val="00D81F15"/>
    <w:rsid w:val="00D85403"/>
    <w:rsid w:val="00D97385"/>
    <w:rsid w:val="00D97A5B"/>
    <w:rsid w:val="00DB039A"/>
    <w:rsid w:val="00DC7DB7"/>
    <w:rsid w:val="00DE443C"/>
    <w:rsid w:val="00DF093F"/>
    <w:rsid w:val="00DF0E21"/>
    <w:rsid w:val="00DF6016"/>
    <w:rsid w:val="00DF76F1"/>
    <w:rsid w:val="00E01BB2"/>
    <w:rsid w:val="00E05704"/>
    <w:rsid w:val="00E21BC1"/>
    <w:rsid w:val="00E22CBB"/>
    <w:rsid w:val="00E30E99"/>
    <w:rsid w:val="00E359BF"/>
    <w:rsid w:val="00E40A3F"/>
    <w:rsid w:val="00E4288D"/>
    <w:rsid w:val="00E64701"/>
    <w:rsid w:val="00E67F3D"/>
    <w:rsid w:val="00E70FC9"/>
    <w:rsid w:val="00E71B28"/>
    <w:rsid w:val="00E72072"/>
    <w:rsid w:val="00E748E5"/>
    <w:rsid w:val="00E7571B"/>
    <w:rsid w:val="00E767AB"/>
    <w:rsid w:val="00E81550"/>
    <w:rsid w:val="00EA0FE9"/>
    <w:rsid w:val="00EA2B18"/>
    <w:rsid w:val="00EB0D22"/>
    <w:rsid w:val="00EB703D"/>
    <w:rsid w:val="00ED3EF9"/>
    <w:rsid w:val="00ED46B1"/>
    <w:rsid w:val="00EE6910"/>
    <w:rsid w:val="00EF04CF"/>
    <w:rsid w:val="00EF286D"/>
    <w:rsid w:val="00EF7994"/>
    <w:rsid w:val="00F029DF"/>
    <w:rsid w:val="00F06018"/>
    <w:rsid w:val="00F06308"/>
    <w:rsid w:val="00F06E4C"/>
    <w:rsid w:val="00F120A8"/>
    <w:rsid w:val="00F12704"/>
    <w:rsid w:val="00F14415"/>
    <w:rsid w:val="00F205A6"/>
    <w:rsid w:val="00F317C8"/>
    <w:rsid w:val="00F31C61"/>
    <w:rsid w:val="00F45962"/>
    <w:rsid w:val="00F51404"/>
    <w:rsid w:val="00F55858"/>
    <w:rsid w:val="00F6665D"/>
    <w:rsid w:val="00F70EF2"/>
    <w:rsid w:val="00F83C0C"/>
    <w:rsid w:val="00F8439B"/>
    <w:rsid w:val="00F87E91"/>
    <w:rsid w:val="00F94B45"/>
    <w:rsid w:val="00FA2640"/>
    <w:rsid w:val="00FB5E54"/>
    <w:rsid w:val="00FB705D"/>
    <w:rsid w:val="00FC2BCF"/>
    <w:rsid w:val="00FC6344"/>
    <w:rsid w:val="00FC6EC7"/>
    <w:rsid w:val="00FD01F3"/>
    <w:rsid w:val="00FD6A51"/>
    <w:rsid w:val="00FE0518"/>
    <w:rsid w:val="00FE2AD0"/>
    <w:rsid w:val="00FE7060"/>
    <w:rsid w:val="00FF32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A8B36"/>
  <w15:docId w15:val="{77A3FE3D-A3E4-41BA-8C6D-009CA9344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74B"/>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1539E"/>
    <w:pPr>
      <w:tabs>
        <w:tab w:val="center" w:pos="4677"/>
        <w:tab w:val="right" w:pos="9355"/>
      </w:tabs>
    </w:pPr>
  </w:style>
  <w:style w:type="character" w:customStyle="1" w:styleId="FooterChar">
    <w:name w:val="Footer Char"/>
    <w:basedOn w:val="DefaultParagraphFont"/>
    <w:link w:val="Footer"/>
    <w:uiPriority w:val="99"/>
    <w:rsid w:val="00B1539E"/>
    <w:rPr>
      <w:rFonts w:ascii="Times New Roman" w:eastAsia="Times New Roman" w:hAnsi="Times New Roman" w:cs="Times New Roman"/>
      <w:sz w:val="24"/>
      <w:szCs w:val="24"/>
      <w:lang w:eastAsia="ru-RU"/>
    </w:rPr>
  </w:style>
  <w:style w:type="character" w:styleId="Hyperlink">
    <w:name w:val="Hyperlink"/>
    <w:rsid w:val="00B1539E"/>
    <w:rPr>
      <w:rFonts w:cs="Times New Roman"/>
      <w:color w:val="0000FF"/>
      <w:u w:val="single"/>
    </w:rPr>
  </w:style>
  <w:style w:type="paragraph" w:styleId="ListParagraph">
    <w:name w:val="List Paragraph"/>
    <w:aliases w:val="strikethrough,List Paragraph 1,Scriptoria bullet points,standaard met opsomming,HotarirePunct1,Citation List,List Paragraph (numbered (a)),References,ReferencesCxSpLast,lp1,Normal 2,Colorful List - Accent 12,Main numbered paragraph"/>
    <w:basedOn w:val="Normal"/>
    <w:link w:val="ListParagraphChar"/>
    <w:qFormat/>
    <w:rsid w:val="00B1539E"/>
    <w:pPr>
      <w:ind w:left="720"/>
      <w:contextualSpacing/>
    </w:pPr>
  </w:style>
  <w:style w:type="character" w:customStyle="1" w:styleId="ListParagraphChar">
    <w:name w:val="List Paragraph Char"/>
    <w:aliases w:val="strikethrough Char,List Paragraph 1 Char,Scriptoria bullet points Char,standaard met opsomming Char,HotarirePunct1 Char,Citation List Char,List Paragraph (numbered (a)) Char,References Char,ReferencesCxSpLast Char,lp1 Char"/>
    <w:link w:val="ListParagraph"/>
    <w:uiPriority w:val="34"/>
    <w:locked/>
    <w:rsid w:val="00B1539E"/>
    <w:rPr>
      <w:rFonts w:ascii="Times New Roman" w:eastAsia="Times New Roman" w:hAnsi="Times New Roman" w:cs="Times New Roman"/>
      <w:sz w:val="24"/>
      <w:szCs w:val="24"/>
      <w:lang w:eastAsia="ru-RU"/>
    </w:rPr>
  </w:style>
  <w:style w:type="paragraph" w:styleId="FootnoteText">
    <w:name w:val="footnote text"/>
    <w:aliases w:val="Char, Char,Знак1, Знак1,single space,footnote text,FOOTNOTES,fn,Footnote Text Char1,Footnote Text Char2 Char,Footnote Text Char1 Char Char,Footnote Text Char2 Char Char Char,Footnote Text Char1 Char Char Char Char, Cha,ft,Cha,A"/>
    <w:basedOn w:val="Normal"/>
    <w:link w:val="FootnoteTextChar"/>
    <w:unhideWhenUsed/>
    <w:qFormat/>
    <w:rsid w:val="00B1539E"/>
    <w:rPr>
      <w:rFonts w:eastAsiaTheme="minorHAnsi" w:cstheme="minorBidi"/>
      <w:sz w:val="20"/>
      <w:szCs w:val="20"/>
      <w:lang w:val="ro-RO" w:eastAsia="en-US"/>
    </w:rPr>
  </w:style>
  <w:style w:type="character" w:customStyle="1" w:styleId="FootnoteTextChar">
    <w:name w:val="Footnote Text Char"/>
    <w:aliases w:val="Char Char, Char Char,Знак1 Char, Знак1 Char,single space Char,footnote text Char,FOOTNOTES Char,fn Char,Footnote Text Char1 Char,Footnote Text Char2 Char Char,Footnote Text Char1 Char Char Char,Footnote Text Char2 Char Char Char Char"/>
    <w:basedOn w:val="DefaultParagraphFont"/>
    <w:link w:val="FootnoteText"/>
    <w:rsid w:val="00B1539E"/>
    <w:rPr>
      <w:rFonts w:ascii="Times New Roman" w:hAnsi="Times New Roman"/>
      <w:sz w:val="20"/>
      <w:szCs w:val="20"/>
      <w:lang w:val="ro-RO"/>
    </w:rPr>
  </w:style>
  <w:style w:type="character" w:styleId="FootnoteReference">
    <w:name w:val="footnote reference"/>
    <w:aliases w:val="ftref,Times 10 Point,Exposant 3 Point,Footnote symbol,Footnote reference number,EN Footnote Reference,note TESI,16 Point,Superscript 6 Point,BVI fnr,FOOTNOTES Char1,fn Char1,single space Char1,ft Char1,Ref,fr"/>
    <w:basedOn w:val="DefaultParagraphFont"/>
    <w:link w:val="FNRefeCharChar"/>
    <w:uiPriority w:val="99"/>
    <w:unhideWhenUsed/>
    <w:rsid w:val="00B1539E"/>
    <w:rPr>
      <w:vertAlign w:val="superscript"/>
    </w:rPr>
  </w:style>
  <w:style w:type="paragraph" w:customStyle="1" w:styleId="FNRefeCharChar">
    <w:name w:val="FNRefe Char Char"/>
    <w:aliases w:val="BVI fnr Char Char, BVI fnr Char Char Char, BVI fnr Car Car Char Char Char,BVI fnr Car Char Char Char, BVI fnr Car Car Car Car Char Char Char Char Char,BVI fnr Char Char Char,BVI fnr Car Car Char Char Char"/>
    <w:basedOn w:val="Normal"/>
    <w:link w:val="FootnoteReference"/>
    <w:uiPriority w:val="99"/>
    <w:qFormat/>
    <w:rsid w:val="00B1539E"/>
    <w:pPr>
      <w:spacing w:after="160" w:line="240" w:lineRule="exact"/>
    </w:pPr>
    <w:rPr>
      <w:rFonts w:asciiTheme="minorHAnsi" w:eastAsiaTheme="minorHAnsi" w:hAnsiTheme="minorHAnsi" w:cstheme="minorBidi"/>
      <w:sz w:val="22"/>
      <w:szCs w:val="22"/>
      <w:vertAlign w:val="superscript"/>
      <w:lang w:eastAsia="en-US"/>
    </w:rPr>
  </w:style>
  <w:style w:type="table" w:styleId="TableGrid">
    <w:name w:val="Table Grid"/>
    <w:basedOn w:val="TableNormal"/>
    <w:uiPriority w:val="39"/>
    <w:rsid w:val="00B1539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40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40C8"/>
    <w:rPr>
      <w:rFonts w:ascii="Segoe UI" w:eastAsia="Times New Roman" w:hAnsi="Segoe UI" w:cs="Segoe UI"/>
      <w:sz w:val="18"/>
      <w:szCs w:val="18"/>
      <w:lang w:eastAsia="ru-RU"/>
    </w:rPr>
  </w:style>
  <w:style w:type="character" w:styleId="CommentReference">
    <w:name w:val="annotation reference"/>
    <w:basedOn w:val="DefaultParagraphFont"/>
    <w:uiPriority w:val="99"/>
    <w:semiHidden/>
    <w:unhideWhenUsed/>
    <w:rsid w:val="00B54945"/>
    <w:rPr>
      <w:sz w:val="16"/>
      <w:szCs w:val="16"/>
    </w:rPr>
  </w:style>
  <w:style w:type="paragraph" w:styleId="CommentText">
    <w:name w:val="annotation text"/>
    <w:basedOn w:val="Normal"/>
    <w:link w:val="CommentTextChar"/>
    <w:uiPriority w:val="99"/>
    <w:unhideWhenUsed/>
    <w:rsid w:val="00B54945"/>
    <w:pPr>
      <w:widowControl w:val="0"/>
      <w:autoSpaceDE w:val="0"/>
      <w:autoSpaceDN w:val="0"/>
    </w:pPr>
    <w:rPr>
      <w:rFonts w:ascii="Cambria" w:eastAsia="Cambria" w:hAnsi="Cambria" w:cs="Cambria"/>
      <w:sz w:val="20"/>
      <w:szCs w:val="20"/>
      <w:lang w:val="ro-RO" w:eastAsia="en-US"/>
    </w:rPr>
  </w:style>
  <w:style w:type="character" w:customStyle="1" w:styleId="CommentTextChar">
    <w:name w:val="Comment Text Char"/>
    <w:basedOn w:val="DefaultParagraphFont"/>
    <w:link w:val="CommentText"/>
    <w:uiPriority w:val="99"/>
    <w:rsid w:val="00B54945"/>
    <w:rPr>
      <w:rFonts w:ascii="Cambria" w:eastAsia="Cambria" w:hAnsi="Cambria" w:cs="Cambria"/>
      <w:sz w:val="20"/>
      <w:szCs w:val="20"/>
      <w:lang w:val="ro-RO"/>
    </w:rPr>
  </w:style>
  <w:style w:type="paragraph" w:styleId="Revision">
    <w:name w:val="Revision"/>
    <w:hidden/>
    <w:uiPriority w:val="99"/>
    <w:semiHidden/>
    <w:rsid w:val="0071716E"/>
    <w:pPr>
      <w:spacing w:after="0" w:line="240" w:lineRule="auto"/>
    </w:pPr>
    <w:rPr>
      <w:rFonts w:ascii="Times New Roman" w:eastAsia="Times New Roman" w:hAnsi="Times New Roman" w:cs="Times New Roman"/>
      <w:sz w:val="24"/>
      <w:szCs w:val="24"/>
      <w:lang w:eastAsia="ru-RU"/>
    </w:rPr>
  </w:style>
  <w:style w:type="paragraph" w:styleId="CommentSubject">
    <w:name w:val="annotation subject"/>
    <w:basedOn w:val="CommentText"/>
    <w:next w:val="CommentText"/>
    <w:link w:val="CommentSubjectChar"/>
    <w:uiPriority w:val="99"/>
    <w:semiHidden/>
    <w:unhideWhenUsed/>
    <w:rsid w:val="004D6DC3"/>
    <w:pPr>
      <w:widowControl/>
      <w:autoSpaceDE/>
      <w:autoSpaceDN/>
    </w:pPr>
    <w:rPr>
      <w:rFonts w:ascii="Times New Roman" w:eastAsia="Times New Roman" w:hAnsi="Times New Roman" w:cs="Times New Roman"/>
      <w:b/>
      <w:bCs/>
      <w:lang w:val="ru-RU" w:eastAsia="ru-RU"/>
    </w:rPr>
  </w:style>
  <w:style w:type="character" w:customStyle="1" w:styleId="CommentSubjectChar">
    <w:name w:val="Comment Subject Char"/>
    <w:basedOn w:val="CommentTextChar"/>
    <w:link w:val="CommentSubject"/>
    <w:uiPriority w:val="99"/>
    <w:semiHidden/>
    <w:rsid w:val="004D6DC3"/>
    <w:rPr>
      <w:rFonts w:ascii="Times New Roman" w:eastAsia="Times New Roman" w:hAnsi="Times New Roman" w:cs="Times New Roman"/>
      <w:b/>
      <w:bCs/>
      <w:sz w:val="20"/>
      <w:szCs w:val="20"/>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84802">
      <w:bodyDiv w:val="1"/>
      <w:marLeft w:val="0"/>
      <w:marRight w:val="0"/>
      <w:marTop w:val="0"/>
      <w:marBottom w:val="0"/>
      <w:divBdr>
        <w:top w:val="none" w:sz="0" w:space="0" w:color="auto"/>
        <w:left w:val="none" w:sz="0" w:space="0" w:color="auto"/>
        <w:bottom w:val="none" w:sz="0" w:space="0" w:color="auto"/>
        <w:right w:val="none" w:sz="0" w:space="0" w:color="auto"/>
      </w:divBdr>
    </w:div>
    <w:div w:id="197591417">
      <w:bodyDiv w:val="1"/>
      <w:marLeft w:val="0"/>
      <w:marRight w:val="0"/>
      <w:marTop w:val="0"/>
      <w:marBottom w:val="0"/>
      <w:divBdr>
        <w:top w:val="none" w:sz="0" w:space="0" w:color="auto"/>
        <w:left w:val="none" w:sz="0" w:space="0" w:color="auto"/>
        <w:bottom w:val="none" w:sz="0" w:space="0" w:color="auto"/>
        <w:right w:val="none" w:sz="0" w:space="0" w:color="auto"/>
      </w:divBdr>
    </w:div>
    <w:div w:id="320668934">
      <w:bodyDiv w:val="1"/>
      <w:marLeft w:val="0"/>
      <w:marRight w:val="0"/>
      <w:marTop w:val="0"/>
      <w:marBottom w:val="0"/>
      <w:divBdr>
        <w:top w:val="none" w:sz="0" w:space="0" w:color="auto"/>
        <w:left w:val="none" w:sz="0" w:space="0" w:color="auto"/>
        <w:bottom w:val="none" w:sz="0" w:space="0" w:color="auto"/>
        <w:right w:val="none" w:sz="0" w:space="0" w:color="auto"/>
      </w:divBdr>
    </w:div>
    <w:div w:id="612052797">
      <w:bodyDiv w:val="1"/>
      <w:marLeft w:val="0"/>
      <w:marRight w:val="0"/>
      <w:marTop w:val="0"/>
      <w:marBottom w:val="0"/>
      <w:divBdr>
        <w:top w:val="none" w:sz="0" w:space="0" w:color="auto"/>
        <w:left w:val="none" w:sz="0" w:space="0" w:color="auto"/>
        <w:bottom w:val="none" w:sz="0" w:space="0" w:color="auto"/>
        <w:right w:val="none" w:sz="0" w:space="0" w:color="auto"/>
      </w:divBdr>
    </w:div>
    <w:div w:id="696811058">
      <w:bodyDiv w:val="1"/>
      <w:marLeft w:val="0"/>
      <w:marRight w:val="0"/>
      <w:marTop w:val="0"/>
      <w:marBottom w:val="0"/>
      <w:divBdr>
        <w:top w:val="none" w:sz="0" w:space="0" w:color="auto"/>
        <w:left w:val="none" w:sz="0" w:space="0" w:color="auto"/>
        <w:bottom w:val="none" w:sz="0" w:space="0" w:color="auto"/>
        <w:right w:val="none" w:sz="0" w:space="0" w:color="auto"/>
      </w:divBdr>
    </w:div>
    <w:div w:id="718287497">
      <w:bodyDiv w:val="1"/>
      <w:marLeft w:val="0"/>
      <w:marRight w:val="0"/>
      <w:marTop w:val="0"/>
      <w:marBottom w:val="0"/>
      <w:divBdr>
        <w:top w:val="none" w:sz="0" w:space="0" w:color="auto"/>
        <w:left w:val="none" w:sz="0" w:space="0" w:color="auto"/>
        <w:bottom w:val="none" w:sz="0" w:space="0" w:color="auto"/>
        <w:right w:val="none" w:sz="0" w:space="0" w:color="auto"/>
      </w:divBdr>
    </w:div>
    <w:div w:id="1058168680">
      <w:bodyDiv w:val="1"/>
      <w:marLeft w:val="0"/>
      <w:marRight w:val="0"/>
      <w:marTop w:val="0"/>
      <w:marBottom w:val="0"/>
      <w:divBdr>
        <w:top w:val="none" w:sz="0" w:space="0" w:color="auto"/>
        <w:left w:val="none" w:sz="0" w:space="0" w:color="auto"/>
        <w:bottom w:val="none" w:sz="0" w:space="0" w:color="auto"/>
        <w:right w:val="none" w:sz="0" w:space="0" w:color="auto"/>
      </w:divBdr>
    </w:div>
    <w:div w:id="1609309003">
      <w:bodyDiv w:val="1"/>
      <w:marLeft w:val="0"/>
      <w:marRight w:val="0"/>
      <w:marTop w:val="0"/>
      <w:marBottom w:val="0"/>
      <w:divBdr>
        <w:top w:val="none" w:sz="0" w:space="0" w:color="auto"/>
        <w:left w:val="none" w:sz="0" w:space="0" w:color="auto"/>
        <w:bottom w:val="none" w:sz="0" w:space="0" w:color="auto"/>
        <w:right w:val="none" w:sz="0" w:space="0" w:color="auto"/>
      </w:divBdr>
    </w:div>
    <w:div w:id="1789473446">
      <w:bodyDiv w:val="1"/>
      <w:marLeft w:val="0"/>
      <w:marRight w:val="0"/>
      <w:marTop w:val="0"/>
      <w:marBottom w:val="0"/>
      <w:divBdr>
        <w:top w:val="none" w:sz="0" w:space="0" w:color="auto"/>
        <w:left w:val="none" w:sz="0" w:space="0" w:color="auto"/>
        <w:bottom w:val="none" w:sz="0" w:space="0" w:color="auto"/>
        <w:right w:val="none" w:sz="0" w:space="0" w:color="auto"/>
      </w:divBdr>
    </w:div>
    <w:div w:id="184906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6</Pages>
  <Words>3008</Words>
  <Characters>17149</Characters>
  <Application>Microsoft Office Word</Application>
  <DocSecurity>0</DocSecurity>
  <Lines>142</Lines>
  <Paragraphs>40</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Hewlett-Packard Company</Company>
  <LinksUpToDate>false</LinksUpToDate>
  <CharactersWithSpaces>20117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Lupea</dc:creator>
  <cp:keywords/>
  <dc:description/>
  <cp:lastModifiedBy>Cristina Lupea</cp:lastModifiedBy>
  <cp:revision>16</cp:revision>
  <cp:lastPrinted>2023-04-28T08:13:00Z</cp:lastPrinted>
  <dcterms:created xsi:type="dcterms:W3CDTF">2023-05-10T11:42:00Z</dcterms:created>
  <dcterms:modified xsi:type="dcterms:W3CDTF">2023-07-21T10:38:00Z</dcterms:modified>
</cp:coreProperties>
</file>