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197E" w14:textId="77777777" w:rsidR="00841B7B" w:rsidRPr="00C94366" w:rsidRDefault="00841B7B" w:rsidP="00841B7B">
      <w:pPr>
        <w:jc w:val="center"/>
        <w:rPr>
          <w:rFonts w:ascii="Times New Roman" w:hAnsi="Times New Roman" w:cs="Times New Roman"/>
          <w:b/>
          <w:sz w:val="20"/>
          <w:szCs w:val="20"/>
          <w:lang w:val="ro-RO"/>
        </w:rPr>
      </w:pPr>
      <w:r w:rsidRPr="00C94366">
        <w:rPr>
          <w:rFonts w:ascii="Times New Roman" w:hAnsi="Times New Roman" w:cs="Times New Roman"/>
          <w:b/>
          <w:sz w:val="20"/>
          <w:szCs w:val="20"/>
          <w:lang w:val="ro-RO"/>
        </w:rPr>
        <w:t>Tabel de concordanță</w:t>
      </w:r>
    </w:p>
    <w:p w14:paraId="3C227166" w14:textId="627A0053" w:rsidR="00841B7B" w:rsidRPr="00841B7B" w:rsidRDefault="00841B7B" w:rsidP="00841B7B">
      <w:pPr>
        <w:jc w:val="center"/>
        <w:rPr>
          <w:rFonts w:ascii="Times New Roman" w:eastAsia="Arial Unicode MS" w:hAnsi="Times New Roman" w:cs="Times New Roman"/>
          <w:b/>
          <w:bCs/>
          <w:kern w:val="3"/>
          <w:sz w:val="20"/>
          <w:szCs w:val="20"/>
          <w:lang w:val="ro-RO"/>
        </w:rPr>
      </w:pPr>
      <w:r w:rsidRPr="00C94366">
        <w:rPr>
          <w:rFonts w:ascii="Times New Roman" w:eastAsia="Calibri" w:hAnsi="Times New Roman" w:cs="Times New Roman"/>
          <w:b/>
          <w:sz w:val="20"/>
          <w:szCs w:val="20"/>
          <w:lang w:val="ro-RO" w:eastAsia="ja-JP"/>
        </w:rPr>
        <w:t xml:space="preserve">la proiectul </w:t>
      </w:r>
      <w:r w:rsidRPr="00C94366">
        <w:rPr>
          <w:rFonts w:ascii="Times New Roman" w:eastAsia="Times New Roman" w:hAnsi="Times New Roman" w:cs="Times New Roman"/>
          <w:b/>
          <w:sz w:val="20"/>
          <w:szCs w:val="20"/>
          <w:lang w:val="ro-RO"/>
        </w:rPr>
        <w:t>Hotărîrii de Guvern</w:t>
      </w:r>
      <w:r w:rsidRPr="00C94366">
        <w:rPr>
          <w:rFonts w:ascii="Times New Roman" w:eastAsia="Arial Unicode MS" w:hAnsi="Times New Roman" w:cs="Times New Roman"/>
          <w:b/>
          <w:kern w:val="3"/>
          <w:sz w:val="20"/>
          <w:szCs w:val="20"/>
          <w:lang w:val="ro-RO"/>
        </w:rPr>
        <w:t xml:space="preserve"> </w:t>
      </w:r>
      <w:r w:rsidRPr="00C94366">
        <w:rPr>
          <w:rFonts w:ascii="Times New Roman" w:eastAsia="Arial Unicode MS" w:hAnsi="Times New Roman" w:cs="Times New Roman"/>
          <w:b/>
          <w:bCs/>
          <w:kern w:val="3"/>
          <w:sz w:val="20"/>
          <w:szCs w:val="20"/>
          <w:lang w:val="ro-RO"/>
        </w:rPr>
        <w:t>pentru aprobarea Normei sanitar</w:t>
      </w:r>
      <w:r>
        <w:rPr>
          <w:rFonts w:ascii="Times New Roman" w:eastAsia="Arial Unicode MS" w:hAnsi="Times New Roman" w:cs="Times New Roman"/>
          <w:b/>
          <w:bCs/>
          <w:kern w:val="3"/>
          <w:sz w:val="20"/>
          <w:szCs w:val="20"/>
          <w:lang w:val="ro-RO"/>
        </w:rPr>
        <w:t xml:space="preserve"> </w:t>
      </w:r>
      <w:r w:rsidRPr="00C94366">
        <w:rPr>
          <w:rFonts w:ascii="Times New Roman" w:eastAsia="Arial Unicode MS" w:hAnsi="Times New Roman" w:cs="Times New Roman"/>
          <w:b/>
          <w:bCs/>
          <w:kern w:val="3"/>
          <w:sz w:val="20"/>
          <w:szCs w:val="20"/>
          <w:lang w:val="ro-RO"/>
        </w:rPr>
        <w:t xml:space="preserve">veterinare privind metodele analitice pentru reziduurile de substanțe farmacologic active utilizate la animalele de la care se obțin produse alimentare </w:t>
      </w:r>
    </w:p>
    <w:tbl>
      <w:tblPr>
        <w:tblStyle w:val="TableGrid"/>
        <w:tblpPr w:leftFromText="180" w:rightFromText="180" w:vertAnchor="text" w:tblpX="122" w:tblpY="1"/>
        <w:tblOverlap w:val="never"/>
        <w:tblW w:w="14884" w:type="dxa"/>
        <w:tblLayout w:type="fixed"/>
        <w:tblLook w:val="04A0" w:firstRow="1" w:lastRow="0" w:firstColumn="1" w:lastColumn="0" w:noHBand="0" w:noVBand="1"/>
      </w:tblPr>
      <w:tblGrid>
        <w:gridCol w:w="625"/>
        <w:gridCol w:w="4478"/>
        <w:gridCol w:w="5245"/>
        <w:gridCol w:w="1352"/>
        <w:gridCol w:w="1530"/>
        <w:gridCol w:w="720"/>
        <w:gridCol w:w="934"/>
      </w:tblGrid>
      <w:tr w:rsidR="00841B7B" w:rsidRPr="00841B7B" w14:paraId="4C54023C" w14:textId="77777777" w:rsidTr="00701870">
        <w:trPr>
          <w:trHeight w:val="440"/>
        </w:trPr>
        <w:tc>
          <w:tcPr>
            <w:tcW w:w="625" w:type="dxa"/>
          </w:tcPr>
          <w:p w14:paraId="6BA79218" w14:textId="19FFA73F" w:rsidR="00841B7B" w:rsidRDefault="00841B7B" w:rsidP="00841B7B">
            <w:pPr>
              <w:tabs>
                <w:tab w:val="left" w:pos="29"/>
              </w:tabs>
              <w:ind w:left="29"/>
              <w:jc w:val="both"/>
              <w:rPr>
                <w:rFonts w:eastAsia="Times New Roman"/>
                <w:b/>
                <w:color w:val="000000" w:themeColor="text1"/>
                <w:lang w:val="ro-RO"/>
              </w:rPr>
            </w:pPr>
            <w:r>
              <w:rPr>
                <w:rFonts w:eastAsia="Times New Roman"/>
                <w:b/>
                <w:color w:val="000000" w:themeColor="text1"/>
                <w:lang w:val="ro-RO"/>
              </w:rPr>
              <w:t xml:space="preserve">1. </w:t>
            </w:r>
          </w:p>
        </w:tc>
        <w:tc>
          <w:tcPr>
            <w:tcW w:w="14259" w:type="dxa"/>
            <w:gridSpan w:val="6"/>
          </w:tcPr>
          <w:p w14:paraId="76348752" w14:textId="77777777" w:rsidR="00841B7B" w:rsidRPr="00C94366" w:rsidRDefault="00841B7B" w:rsidP="00841B7B">
            <w:pPr>
              <w:tabs>
                <w:tab w:val="left" w:pos="284"/>
              </w:tabs>
              <w:ind w:left="284"/>
              <w:jc w:val="both"/>
              <w:rPr>
                <w:color w:val="000000" w:themeColor="text1"/>
                <w:lang w:val="ro-RO"/>
              </w:rPr>
            </w:pPr>
            <w:r w:rsidRPr="00C94366">
              <w:rPr>
                <w:color w:val="000000" w:themeColor="text1"/>
                <w:lang w:val="ro-RO"/>
              </w:rPr>
              <w:t>Regulamentul (UE) 2019/1871 al Comisiei din 7 noiembrie 2019 privind valorile de referință pentru substanțele farmacologic active nepermise care sunt prezente în alimentele de origine animală și de abrogare a Deciziei 2005/34/CE.</w:t>
            </w:r>
          </w:p>
          <w:p w14:paraId="0D9C9D87" w14:textId="77777777" w:rsidR="00841B7B" w:rsidRPr="00C94366" w:rsidRDefault="00841B7B" w:rsidP="00841B7B">
            <w:pPr>
              <w:tabs>
                <w:tab w:val="left" w:pos="284"/>
              </w:tabs>
              <w:jc w:val="both"/>
              <w:rPr>
                <w:rFonts w:eastAsia="Times New Roman"/>
                <w:b/>
                <w:color w:val="000000" w:themeColor="text1"/>
                <w:lang w:val="ro-RO"/>
              </w:rPr>
            </w:pPr>
          </w:p>
        </w:tc>
      </w:tr>
      <w:tr w:rsidR="00841B7B" w:rsidRPr="00841B7B" w14:paraId="608BF18F" w14:textId="77777777" w:rsidTr="00770BD2">
        <w:trPr>
          <w:trHeight w:val="440"/>
        </w:trPr>
        <w:tc>
          <w:tcPr>
            <w:tcW w:w="625" w:type="dxa"/>
          </w:tcPr>
          <w:p w14:paraId="3AE0FC63" w14:textId="7C047A25" w:rsidR="00841B7B" w:rsidRPr="00C94366" w:rsidRDefault="00841B7B" w:rsidP="00841B7B">
            <w:pPr>
              <w:tabs>
                <w:tab w:val="left" w:pos="29"/>
              </w:tabs>
              <w:ind w:left="29"/>
              <w:jc w:val="both"/>
              <w:rPr>
                <w:rFonts w:eastAsia="Times New Roman"/>
                <w:b/>
                <w:color w:val="000000" w:themeColor="text1"/>
                <w:lang w:val="ro-RO"/>
              </w:rPr>
            </w:pPr>
            <w:r>
              <w:rPr>
                <w:rFonts w:eastAsia="Times New Roman"/>
                <w:b/>
                <w:color w:val="000000" w:themeColor="text1"/>
                <w:lang w:val="ro-RO"/>
              </w:rPr>
              <w:t xml:space="preserve">2. </w:t>
            </w:r>
          </w:p>
        </w:tc>
        <w:tc>
          <w:tcPr>
            <w:tcW w:w="14259" w:type="dxa"/>
            <w:gridSpan w:val="6"/>
          </w:tcPr>
          <w:p w14:paraId="0EF58B0C" w14:textId="77777777" w:rsidR="00841B7B" w:rsidRPr="00C94366" w:rsidRDefault="00841B7B" w:rsidP="00841B7B">
            <w:pPr>
              <w:tabs>
                <w:tab w:val="left" w:pos="284"/>
              </w:tabs>
              <w:suppressAutoHyphens/>
              <w:autoSpaceDN w:val="0"/>
              <w:ind w:left="284"/>
              <w:jc w:val="both"/>
              <w:textAlignment w:val="baseline"/>
              <w:rPr>
                <w:rFonts w:eastAsia="Times New Roman"/>
                <w:color w:val="000000" w:themeColor="text1"/>
                <w:lang w:val="ro-RO"/>
              </w:rPr>
            </w:pPr>
            <w:r w:rsidRPr="00C94366">
              <w:rPr>
                <w:rFonts w:eastAsia="Times New Roman"/>
                <w:color w:val="000000" w:themeColor="text1"/>
                <w:lang w:val="ro-RO"/>
              </w:rPr>
              <w:t>proiectul Hotărîrii de Guvern pentru aprobarea Normei sanitar</w:t>
            </w:r>
            <w:r>
              <w:rPr>
                <w:rFonts w:eastAsia="Times New Roman"/>
                <w:color w:val="000000" w:themeColor="text1"/>
                <w:lang w:val="ro-RO"/>
              </w:rPr>
              <w:t xml:space="preserve"> </w:t>
            </w:r>
            <w:r w:rsidRPr="00C94366">
              <w:rPr>
                <w:rFonts w:eastAsia="Times New Roman"/>
                <w:color w:val="000000" w:themeColor="text1"/>
                <w:lang w:val="ro-RO"/>
              </w:rPr>
              <w:t xml:space="preserve">veterinare privind metodele analitice pentru reziduurile de substanțe farmacologic active utilizate la animalele de la care se obțin produse alimentare </w:t>
            </w:r>
          </w:p>
          <w:p w14:paraId="4B8C4DA8" w14:textId="42423DED" w:rsidR="00841B7B" w:rsidRPr="00C94366" w:rsidRDefault="00841B7B" w:rsidP="00841B7B">
            <w:pPr>
              <w:tabs>
                <w:tab w:val="left" w:pos="284"/>
              </w:tabs>
              <w:jc w:val="both"/>
              <w:rPr>
                <w:rFonts w:eastAsia="Times New Roman"/>
                <w:b/>
                <w:color w:val="000000" w:themeColor="text1"/>
                <w:lang w:val="ro-RO"/>
              </w:rPr>
            </w:pPr>
          </w:p>
        </w:tc>
      </w:tr>
      <w:tr w:rsidR="00841B7B" w:rsidRPr="00841B7B" w14:paraId="05B5D351" w14:textId="77777777" w:rsidTr="00C16940">
        <w:trPr>
          <w:trHeight w:val="372"/>
        </w:trPr>
        <w:tc>
          <w:tcPr>
            <w:tcW w:w="625" w:type="dxa"/>
          </w:tcPr>
          <w:p w14:paraId="20E77B1E" w14:textId="637BE74F" w:rsidR="00841B7B" w:rsidRPr="00C94366" w:rsidRDefault="00841B7B" w:rsidP="00841B7B">
            <w:pPr>
              <w:tabs>
                <w:tab w:val="left" w:pos="29"/>
              </w:tabs>
              <w:ind w:left="29"/>
              <w:jc w:val="both"/>
              <w:rPr>
                <w:rFonts w:eastAsia="Times New Roman"/>
                <w:b/>
                <w:color w:val="000000" w:themeColor="text1"/>
                <w:lang w:val="ro-RO"/>
              </w:rPr>
            </w:pPr>
            <w:r>
              <w:rPr>
                <w:rFonts w:eastAsia="Times New Roman"/>
                <w:b/>
                <w:color w:val="000000" w:themeColor="text1"/>
                <w:lang w:val="ro-RO"/>
              </w:rPr>
              <w:t>3.</w:t>
            </w:r>
          </w:p>
        </w:tc>
        <w:tc>
          <w:tcPr>
            <w:tcW w:w="14259" w:type="dxa"/>
            <w:gridSpan w:val="6"/>
          </w:tcPr>
          <w:p w14:paraId="647F60EA" w14:textId="7CE3FCA9" w:rsidR="00841B7B" w:rsidRPr="00C94366" w:rsidRDefault="00841B7B" w:rsidP="00841B7B">
            <w:pPr>
              <w:tabs>
                <w:tab w:val="left" w:pos="284"/>
              </w:tabs>
              <w:jc w:val="both"/>
              <w:rPr>
                <w:rFonts w:eastAsia="Times New Roman"/>
                <w:b/>
                <w:color w:val="000000" w:themeColor="text1"/>
                <w:lang w:val="ro-RO"/>
              </w:rPr>
            </w:pPr>
            <w:r w:rsidRPr="00C94366">
              <w:rPr>
                <w:rFonts w:eastAsia="Times New Roman"/>
                <w:b/>
                <w:color w:val="000000" w:themeColor="text1"/>
                <w:lang w:val="ro-RO"/>
              </w:rPr>
              <w:t>Gradul general de compatibilitate- Parțial compatibil</w:t>
            </w:r>
          </w:p>
        </w:tc>
      </w:tr>
      <w:tr w:rsidR="00841B7B" w:rsidRPr="00C94366" w14:paraId="3E1FA17F" w14:textId="77777777" w:rsidTr="00841B7B">
        <w:trPr>
          <w:trHeight w:val="372"/>
        </w:trPr>
        <w:tc>
          <w:tcPr>
            <w:tcW w:w="5103" w:type="dxa"/>
            <w:gridSpan w:val="2"/>
          </w:tcPr>
          <w:p w14:paraId="49932D49" w14:textId="17A7CD92" w:rsidR="00841B7B" w:rsidRPr="00F00B76" w:rsidRDefault="00841B7B" w:rsidP="00841B7B">
            <w:pPr>
              <w:tabs>
                <w:tab w:val="left" w:pos="29"/>
              </w:tabs>
              <w:ind w:left="29"/>
              <w:jc w:val="both"/>
              <w:rPr>
                <w:b/>
                <w:bCs/>
                <w:color w:val="000000" w:themeColor="text1"/>
                <w:lang w:val="ro-RO"/>
              </w:rPr>
            </w:pPr>
            <w:r w:rsidRPr="00C94366">
              <w:rPr>
                <w:rFonts w:eastAsia="Times New Roman"/>
                <w:b/>
                <w:color w:val="000000" w:themeColor="text1"/>
                <w:lang w:val="ro-RO"/>
              </w:rPr>
              <w:t>Actul Uniunii Europene</w:t>
            </w:r>
          </w:p>
        </w:tc>
        <w:tc>
          <w:tcPr>
            <w:tcW w:w="5245" w:type="dxa"/>
          </w:tcPr>
          <w:p w14:paraId="2E3D1A4B" w14:textId="1B86280B" w:rsidR="00841B7B" w:rsidRPr="00C94366" w:rsidRDefault="00841B7B" w:rsidP="00841B7B">
            <w:pPr>
              <w:jc w:val="center"/>
              <w:rPr>
                <w:b/>
                <w:bCs/>
                <w:lang w:val="ro-RO"/>
              </w:rPr>
            </w:pPr>
            <w:r w:rsidRPr="00C94366">
              <w:rPr>
                <w:rFonts w:eastAsia="Times New Roman"/>
                <w:b/>
                <w:color w:val="000000" w:themeColor="text1"/>
                <w:lang w:val="ro-RO"/>
              </w:rPr>
              <w:t>Proiectul de act normativ național</w:t>
            </w:r>
          </w:p>
        </w:tc>
        <w:tc>
          <w:tcPr>
            <w:tcW w:w="1352" w:type="dxa"/>
          </w:tcPr>
          <w:p w14:paraId="792681BD" w14:textId="04BAE4D9" w:rsidR="00841B7B" w:rsidRPr="00C94366" w:rsidRDefault="00841B7B" w:rsidP="00841B7B">
            <w:pPr>
              <w:tabs>
                <w:tab w:val="left" w:pos="284"/>
              </w:tabs>
              <w:jc w:val="both"/>
              <w:rPr>
                <w:color w:val="000000" w:themeColor="text1"/>
                <w:lang w:val="ro-RO"/>
              </w:rPr>
            </w:pPr>
            <w:r w:rsidRPr="00C94366">
              <w:rPr>
                <w:rFonts w:eastAsia="Times New Roman"/>
                <w:b/>
                <w:color w:val="000000" w:themeColor="text1"/>
                <w:lang w:val="ro-RO"/>
              </w:rPr>
              <w:t>Gradul de compatibilitate</w:t>
            </w:r>
          </w:p>
        </w:tc>
        <w:tc>
          <w:tcPr>
            <w:tcW w:w="1530" w:type="dxa"/>
          </w:tcPr>
          <w:p w14:paraId="554C2F56" w14:textId="10EA0AD0" w:rsidR="00841B7B" w:rsidRPr="00C94366" w:rsidRDefault="00841B7B" w:rsidP="00841B7B">
            <w:pPr>
              <w:tabs>
                <w:tab w:val="left" w:pos="284"/>
              </w:tabs>
              <w:ind w:left="284"/>
              <w:jc w:val="both"/>
              <w:rPr>
                <w:b/>
                <w:color w:val="000000" w:themeColor="text1"/>
                <w:lang w:val="ro-RO"/>
              </w:rPr>
            </w:pPr>
            <w:r w:rsidRPr="00C94366">
              <w:rPr>
                <w:rFonts w:eastAsia="Times New Roman"/>
                <w:b/>
                <w:color w:val="000000" w:themeColor="text1"/>
                <w:lang w:val="ro-RO"/>
              </w:rPr>
              <w:t>Diferențele</w:t>
            </w:r>
          </w:p>
        </w:tc>
        <w:tc>
          <w:tcPr>
            <w:tcW w:w="720" w:type="dxa"/>
          </w:tcPr>
          <w:p w14:paraId="66C0E3DC" w14:textId="7DAD86F4" w:rsidR="00841B7B" w:rsidRPr="00C94366" w:rsidRDefault="00841B7B" w:rsidP="00841B7B">
            <w:pPr>
              <w:tabs>
                <w:tab w:val="left" w:pos="284"/>
              </w:tabs>
              <w:jc w:val="both"/>
              <w:rPr>
                <w:b/>
                <w:color w:val="000000" w:themeColor="text1"/>
                <w:lang w:val="ro-RO"/>
              </w:rPr>
            </w:pPr>
            <w:r w:rsidRPr="00C94366">
              <w:rPr>
                <w:rFonts w:eastAsia="Times New Roman"/>
                <w:b/>
                <w:color w:val="000000" w:themeColor="text1"/>
                <w:lang w:val="ro-RO"/>
              </w:rPr>
              <w:t>Observațiile</w:t>
            </w:r>
          </w:p>
        </w:tc>
        <w:tc>
          <w:tcPr>
            <w:tcW w:w="934" w:type="dxa"/>
          </w:tcPr>
          <w:p w14:paraId="10F26529" w14:textId="051F4418" w:rsidR="00841B7B" w:rsidRPr="00C94366" w:rsidRDefault="00841B7B" w:rsidP="00841B7B">
            <w:pPr>
              <w:tabs>
                <w:tab w:val="left" w:pos="284"/>
              </w:tabs>
              <w:jc w:val="both"/>
              <w:rPr>
                <w:b/>
                <w:color w:val="000000" w:themeColor="text1"/>
                <w:lang w:val="ro-RO"/>
              </w:rPr>
            </w:pPr>
            <w:r w:rsidRPr="00C94366">
              <w:rPr>
                <w:rFonts w:eastAsia="Times New Roman"/>
                <w:b/>
                <w:color w:val="000000" w:themeColor="text1"/>
                <w:lang w:val="ro-RO"/>
              </w:rPr>
              <w:t>Autoritatea/persoana responsabilă</w:t>
            </w:r>
          </w:p>
        </w:tc>
      </w:tr>
      <w:tr w:rsidR="00841B7B" w:rsidRPr="00C94366" w14:paraId="33560CA9" w14:textId="77777777" w:rsidTr="00841B7B">
        <w:trPr>
          <w:trHeight w:val="372"/>
        </w:trPr>
        <w:tc>
          <w:tcPr>
            <w:tcW w:w="5103" w:type="dxa"/>
            <w:gridSpan w:val="2"/>
          </w:tcPr>
          <w:p w14:paraId="6C241A01" w14:textId="1B83ED2A" w:rsidR="00841B7B" w:rsidRPr="00F00B76" w:rsidRDefault="00841B7B" w:rsidP="00841B7B">
            <w:pPr>
              <w:tabs>
                <w:tab w:val="left" w:pos="29"/>
              </w:tabs>
              <w:ind w:left="29"/>
              <w:jc w:val="both"/>
              <w:rPr>
                <w:b/>
                <w:bCs/>
                <w:color w:val="000000" w:themeColor="text1"/>
                <w:lang w:val="ro-RO"/>
              </w:rPr>
            </w:pPr>
            <w:r w:rsidRPr="00C94366">
              <w:rPr>
                <w:b/>
                <w:color w:val="000000" w:themeColor="text1"/>
                <w:lang w:val="ro-RO"/>
              </w:rPr>
              <w:t>4</w:t>
            </w:r>
          </w:p>
        </w:tc>
        <w:tc>
          <w:tcPr>
            <w:tcW w:w="5245" w:type="dxa"/>
          </w:tcPr>
          <w:p w14:paraId="4006921F" w14:textId="2F2E30B0" w:rsidR="00841B7B" w:rsidRPr="00C94366" w:rsidRDefault="00841B7B" w:rsidP="00841B7B">
            <w:pPr>
              <w:jc w:val="center"/>
              <w:rPr>
                <w:b/>
                <w:bCs/>
                <w:lang w:val="ro-RO"/>
              </w:rPr>
            </w:pPr>
            <w:r w:rsidRPr="00C94366">
              <w:rPr>
                <w:b/>
                <w:color w:val="000000" w:themeColor="text1"/>
                <w:lang w:val="ro-RO"/>
              </w:rPr>
              <w:t>5</w:t>
            </w:r>
          </w:p>
        </w:tc>
        <w:tc>
          <w:tcPr>
            <w:tcW w:w="1352" w:type="dxa"/>
          </w:tcPr>
          <w:p w14:paraId="57208F8B" w14:textId="1A0E8DE8" w:rsidR="00841B7B" w:rsidRPr="00C94366" w:rsidRDefault="00841B7B" w:rsidP="00841B7B">
            <w:pPr>
              <w:tabs>
                <w:tab w:val="left" w:pos="284"/>
              </w:tabs>
              <w:jc w:val="both"/>
              <w:rPr>
                <w:color w:val="000000" w:themeColor="text1"/>
                <w:lang w:val="ro-RO"/>
              </w:rPr>
            </w:pPr>
            <w:r w:rsidRPr="00C94366">
              <w:rPr>
                <w:b/>
                <w:color w:val="000000" w:themeColor="text1"/>
                <w:lang w:val="ro-RO"/>
              </w:rPr>
              <w:t>6</w:t>
            </w:r>
          </w:p>
        </w:tc>
        <w:tc>
          <w:tcPr>
            <w:tcW w:w="1530" w:type="dxa"/>
          </w:tcPr>
          <w:p w14:paraId="172FB0FF" w14:textId="3B66B913" w:rsidR="00841B7B" w:rsidRPr="00C94366" w:rsidRDefault="00841B7B" w:rsidP="00841B7B">
            <w:pPr>
              <w:tabs>
                <w:tab w:val="left" w:pos="284"/>
              </w:tabs>
              <w:ind w:left="284"/>
              <w:jc w:val="both"/>
              <w:rPr>
                <w:b/>
                <w:color w:val="000000" w:themeColor="text1"/>
                <w:lang w:val="ro-RO"/>
              </w:rPr>
            </w:pPr>
            <w:r w:rsidRPr="00C94366">
              <w:rPr>
                <w:b/>
                <w:color w:val="000000" w:themeColor="text1"/>
                <w:lang w:val="ro-RO"/>
              </w:rPr>
              <w:t>7</w:t>
            </w:r>
          </w:p>
        </w:tc>
        <w:tc>
          <w:tcPr>
            <w:tcW w:w="720" w:type="dxa"/>
          </w:tcPr>
          <w:p w14:paraId="1BA5F6E3" w14:textId="6ED6E5CA" w:rsidR="00841B7B" w:rsidRPr="00C94366" w:rsidRDefault="00841B7B" w:rsidP="00841B7B">
            <w:pPr>
              <w:tabs>
                <w:tab w:val="left" w:pos="284"/>
              </w:tabs>
              <w:jc w:val="both"/>
              <w:rPr>
                <w:b/>
                <w:color w:val="000000" w:themeColor="text1"/>
                <w:lang w:val="ro-RO"/>
              </w:rPr>
            </w:pPr>
            <w:r w:rsidRPr="00C94366">
              <w:rPr>
                <w:b/>
                <w:color w:val="000000" w:themeColor="text1"/>
                <w:lang w:val="ro-RO"/>
              </w:rPr>
              <w:t>8</w:t>
            </w:r>
          </w:p>
        </w:tc>
        <w:tc>
          <w:tcPr>
            <w:tcW w:w="934" w:type="dxa"/>
          </w:tcPr>
          <w:p w14:paraId="48FD2A8C" w14:textId="453A790F" w:rsidR="00841B7B" w:rsidRPr="00C94366" w:rsidRDefault="00841B7B" w:rsidP="00841B7B">
            <w:pPr>
              <w:tabs>
                <w:tab w:val="left" w:pos="284"/>
              </w:tabs>
              <w:jc w:val="both"/>
              <w:rPr>
                <w:b/>
                <w:color w:val="000000" w:themeColor="text1"/>
                <w:lang w:val="ro-RO"/>
              </w:rPr>
            </w:pPr>
            <w:r w:rsidRPr="00C94366">
              <w:rPr>
                <w:b/>
                <w:color w:val="000000" w:themeColor="text1"/>
                <w:lang w:val="ro-RO"/>
              </w:rPr>
              <w:t>9</w:t>
            </w:r>
          </w:p>
        </w:tc>
      </w:tr>
      <w:tr w:rsidR="00841B7B" w:rsidRPr="00C94366" w14:paraId="0BE56A09" w14:textId="77777777" w:rsidTr="00841B7B">
        <w:trPr>
          <w:trHeight w:val="372"/>
        </w:trPr>
        <w:tc>
          <w:tcPr>
            <w:tcW w:w="5103" w:type="dxa"/>
            <w:gridSpan w:val="2"/>
          </w:tcPr>
          <w:p w14:paraId="1FCF4D12" w14:textId="77777777" w:rsidR="00841B7B" w:rsidRPr="00F00B76" w:rsidRDefault="00841B7B" w:rsidP="00841B7B">
            <w:pPr>
              <w:tabs>
                <w:tab w:val="left" w:pos="29"/>
              </w:tabs>
              <w:ind w:left="29"/>
              <w:jc w:val="both"/>
              <w:rPr>
                <w:b/>
                <w:bCs/>
                <w:color w:val="000000" w:themeColor="text1"/>
                <w:lang w:val="ro-RO"/>
              </w:rPr>
            </w:pPr>
            <w:bookmarkStart w:id="0" w:name="_GoBack"/>
            <w:bookmarkEnd w:id="0"/>
            <w:r w:rsidRPr="00F00B76">
              <w:rPr>
                <w:b/>
                <w:bCs/>
                <w:color w:val="000000" w:themeColor="text1"/>
                <w:lang w:val="ro-RO"/>
              </w:rPr>
              <w:t>REGULAMENTUL (UE) 2019/1871 AL COMISIEI din 7 noiembrie 2019 privind valorile de referință pentru substanțele farmacologic active nepermise care sunt prezente în alimentele de origine animală și de abrogare a Deciziei 2005/34/CE</w:t>
            </w:r>
          </w:p>
        </w:tc>
        <w:tc>
          <w:tcPr>
            <w:tcW w:w="5245" w:type="dxa"/>
          </w:tcPr>
          <w:p w14:paraId="3F9C28A4" w14:textId="781CEBC0" w:rsidR="00B43C96" w:rsidRDefault="00B43C96" w:rsidP="00B43C96">
            <w:pPr>
              <w:rPr>
                <w:b/>
                <w:bCs/>
                <w:lang w:val="ro-RO"/>
              </w:rPr>
            </w:pPr>
          </w:p>
          <w:p w14:paraId="3A927648" w14:textId="36661CCA" w:rsidR="00B43C96" w:rsidRPr="00B43C96" w:rsidRDefault="00B43C96" w:rsidP="00B43C96">
            <w:pPr>
              <w:tabs>
                <w:tab w:val="left" w:pos="284"/>
              </w:tabs>
              <w:suppressAutoHyphens/>
              <w:autoSpaceDN w:val="0"/>
              <w:ind w:left="284"/>
              <w:jc w:val="both"/>
              <w:textAlignment w:val="baseline"/>
              <w:rPr>
                <w:rFonts w:eastAsia="Times New Roman"/>
                <w:color w:val="000000" w:themeColor="text1"/>
                <w:lang w:val="ro-RO"/>
              </w:rPr>
            </w:pPr>
            <w:r>
              <w:rPr>
                <w:rFonts w:eastAsia="Times New Roman"/>
                <w:color w:val="000000" w:themeColor="text1"/>
                <w:lang w:val="ro-RO"/>
              </w:rPr>
              <w:t>P</w:t>
            </w:r>
            <w:r w:rsidRPr="00C94366">
              <w:rPr>
                <w:rFonts w:eastAsia="Times New Roman"/>
                <w:color w:val="000000" w:themeColor="text1"/>
                <w:lang w:val="ro-RO"/>
              </w:rPr>
              <w:t>roiectul Hotărîrii de Guvern pentru aprobarea Normei sanitar</w:t>
            </w:r>
            <w:r>
              <w:rPr>
                <w:rFonts w:eastAsia="Times New Roman"/>
                <w:color w:val="000000" w:themeColor="text1"/>
                <w:lang w:val="ro-RO"/>
              </w:rPr>
              <w:t xml:space="preserve"> </w:t>
            </w:r>
            <w:r w:rsidRPr="00C94366">
              <w:rPr>
                <w:rFonts w:eastAsia="Times New Roman"/>
                <w:color w:val="000000" w:themeColor="text1"/>
                <w:lang w:val="ro-RO"/>
              </w:rPr>
              <w:t xml:space="preserve">veterinare privind metodele analitice pentru reziduurile de substanțe farmacologic active utilizate la animalele de la care se obțin produse alimentare </w:t>
            </w:r>
          </w:p>
          <w:p w14:paraId="1D21F4E5" w14:textId="3ABCC3A4" w:rsidR="00B43C96" w:rsidRDefault="00B43C96" w:rsidP="00841B7B">
            <w:pPr>
              <w:jc w:val="center"/>
              <w:rPr>
                <w:b/>
                <w:bCs/>
                <w:lang w:val="ro-RO"/>
              </w:rPr>
            </w:pPr>
          </w:p>
          <w:p w14:paraId="76AA4B3C" w14:textId="77777777" w:rsidR="00B43C96" w:rsidRDefault="00B43C96" w:rsidP="00841B7B">
            <w:pPr>
              <w:jc w:val="center"/>
              <w:rPr>
                <w:b/>
                <w:bCs/>
                <w:lang w:val="ro-RO"/>
              </w:rPr>
            </w:pPr>
          </w:p>
          <w:p w14:paraId="6ECC7A83" w14:textId="757C60D8" w:rsidR="00841B7B" w:rsidRPr="00C94366" w:rsidRDefault="00841B7B" w:rsidP="00841B7B">
            <w:pPr>
              <w:jc w:val="center"/>
              <w:rPr>
                <w:b/>
                <w:bCs/>
                <w:lang w:val="ro-RO"/>
              </w:rPr>
            </w:pPr>
            <w:r w:rsidRPr="00C94366">
              <w:rPr>
                <w:b/>
                <w:bCs/>
                <w:lang w:val="ro-RO"/>
              </w:rPr>
              <w:t>Capitolul 6</w:t>
            </w:r>
          </w:p>
          <w:p w14:paraId="3584DEAA" w14:textId="77777777" w:rsidR="00841B7B" w:rsidRPr="00C94366" w:rsidRDefault="00841B7B" w:rsidP="00841B7B">
            <w:pPr>
              <w:jc w:val="center"/>
              <w:rPr>
                <w:b/>
                <w:bCs/>
                <w:lang w:val="ro-RO"/>
              </w:rPr>
            </w:pPr>
            <w:r w:rsidRPr="00C94366">
              <w:rPr>
                <w:b/>
                <w:bCs/>
                <w:lang w:val="ro-RO"/>
              </w:rPr>
              <w:t>valorile de referință pentru substanțele farmacologic active nepermise în cazul cărora nu s-a stabilit nicio limită maximă pentru reziduuri</w:t>
            </w:r>
          </w:p>
          <w:p w14:paraId="455EE8F6"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651C10F6" w14:textId="77777777" w:rsidR="00841B7B" w:rsidRPr="00C94366" w:rsidRDefault="00841B7B" w:rsidP="00841B7B">
            <w:pPr>
              <w:tabs>
                <w:tab w:val="left" w:pos="284"/>
              </w:tabs>
              <w:jc w:val="both"/>
              <w:rPr>
                <w:color w:val="000000" w:themeColor="text1"/>
                <w:lang w:val="ro-RO"/>
              </w:rPr>
            </w:pPr>
            <w:r w:rsidRPr="00C94366">
              <w:rPr>
                <w:color w:val="000000" w:themeColor="text1"/>
                <w:lang w:val="ro-RO"/>
              </w:rPr>
              <w:t>compatibil</w:t>
            </w:r>
          </w:p>
        </w:tc>
        <w:tc>
          <w:tcPr>
            <w:tcW w:w="1530" w:type="dxa"/>
          </w:tcPr>
          <w:p w14:paraId="00C3A748" w14:textId="17CF1F44" w:rsidR="00841B7B" w:rsidRPr="00C94366" w:rsidRDefault="00841B7B" w:rsidP="00841B7B">
            <w:pPr>
              <w:tabs>
                <w:tab w:val="left" w:pos="284"/>
              </w:tabs>
              <w:ind w:left="284"/>
              <w:jc w:val="both"/>
              <w:rPr>
                <w:b/>
                <w:color w:val="000000" w:themeColor="text1"/>
                <w:lang w:val="ro-RO"/>
              </w:rPr>
            </w:pPr>
            <w:r>
              <w:rPr>
                <w:b/>
                <w:color w:val="000000" w:themeColor="text1"/>
                <w:lang w:val="ro-RO"/>
              </w:rPr>
              <w:t>Adus în concordanță cu legislația RM</w:t>
            </w:r>
          </w:p>
        </w:tc>
        <w:tc>
          <w:tcPr>
            <w:tcW w:w="720" w:type="dxa"/>
          </w:tcPr>
          <w:p w14:paraId="6CF51692" w14:textId="77777777" w:rsidR="00841B7B" w:rsidRPr="00C94366" w:rsidRDefault="00841B7B" w:rsidP="00841B7B">
            <w:pPr>
              <w:tabs>
                <w:tab w:val="left" w:pos="284"/>
              </w:tabs>
              <w:jc w:val="both"/>
              <w:rPr>
                <w:b/>
                <w:color w:val="000000" w:themeColor="text1"/>
                <w:lang w:val="ro-RO"/>
              </w:rPr>
            </w:pPr>
          </w:p>
        </w:tc>
        <w:tc>
          <w:tcPr>
            <w:tcW w:w="934" w:type="dxa"/>
          </w:tcPr>
          <w:p w14:paraId="116FDFB2" w14:textId="55CD7999" w:rsidR="00841B7B" w:rsidRPr="00C94366" w:rsidRDefault="00841B7B" w:rsidP="00841B7B">
            <w:pPr>
              <w:tabs>
                <w:tab w:val="left" w:pos="284"/>
              </w:tabs>
              <w:jc w:val="both"/>
              <w:rPr>
                <w:b/>
                <w:color w:val="000000" w:themeColor="text1"/>
                <w:lang w:val="ro-RO"/>
              </w:rPr>
            </w:pPr>
            <w:r>
              <w:rPr>
                <w:b/>
                <w:color w:val="000000" w:themeColor="text1"/>
                <w:lang w:val="ro-RO"/>
              </w:rPr>
              <w:t>MAIA</w:t>
            </w:r>
          </w:p>
        </w:tc>
      </w:tr>
      <w:tr w:rsidR="00841B7B" w:rsidRPr="00C94366" w14:paraId="75B7CA16" w14:textId="77777777" w:rsidTr="00841B7B">
        <w:trPr>
          <w:trHeight w:val="372"/>
        </w:trPr>
        <w:tc>
          <w:tcPr>
            <w:tcW w:w="5103" w:type="dxa"/>
            <w:gridSpan w:val="2"/>
          </w:tcPr>
          <w:p w14:paraId="7B21A1D9" w14:textId="77777777" w:rsidR="00841B7B" w:rsidRPr="00C94366" w:rsidRDefault="00841B7B" w:rsidP="00841B7B">
            <w:pPr>
              <w:tabs>
                <w:tab w:val="left" w:pos="29"/>
              </w:tabs>
              <w:ind w:left="29"/>
              <w:jc w:val="both"/>
              <w:rPr>
                <w:lang w:val="ro-RO"/>
              </w:rPr>
            </w:pPr>
            <w:r w:rsidRPr="00C94366">
              <w:rPr>
                <w:lang w:val="ro-RO"/>
              </w:rPr>
              <w:t>Articolul 1 Domeniu de aplicare Prezentul regulament stabilește: (a) norme de stabilire a valorilor de referință pentru reziduurile de substanțe farmacologic active în cazul cărora nu s-a stabilit nicio limită maximă pentru reziduuri în conformitate cu Regulamentul (CE) nr. 470/2009;</w:t>
            </w:r>
          </w:p>
          <w:p w14:paraId="544B0614" w14:textId="77777777" w:rsidR="00841B7B" w:rsidRPr="00C94366" w:rsidRDefault="00841B7B" w:rsidP="00841B7B">
            <w:pPr>
              <w:tabs>
                <w:tab w:val="left" w:pos="29"/>
              </w:tabs>
              <w:ind w:left="29"/>
              <w:jc w:val="both"/>
              <w:rPr>
                <w:lang w:val="ro-RO"/>
              </w:rPr>
            </w:pPr>
            <w:r w:rsidRPr="00C94366">
              <w:rPr>
                <w:lang w:val="ro-RO"/>
              </w:rPr>
              <w:t xml:space="preserve">(b) principii metodologice și metode științifice pentru evaluarea riscurilor în ceea ce privește siguranța valorilor de referință; </w:t>
            </w:r>
          </w:p>
          <w:p w14:paraId="5D351E08" w14:textId="77777777" w:rsidR="00841B7B" w:rsidRPr="00C94366" w:rsidRDefault="00841B7B" w:rsidP="00841B7B">
            <w:pPr>
              <w:tabs>
                <w:tab w:val="left" w:pos="29"/>
              </w:tabs>
              <w:ind w:left="29"/>
              <w:jc w:val="both"/>
              <w:rPr>
                <w:lang w:val="ro-RO"/>
              </w:rPr>
            </w:pPr>
            <w:r w:rsidRPr="00C94366">
              <w:rPr>
                <w:lang w:val="ro-RO"/>
              </w:rPr>
              <w:lastRenderedPageBreak/>
              <w:t xml:space="preserve">(c) valori de referință în cazul reziduurilor de anumite substanțe farmacologic active în cazul cărora nu s-a stabilit nicio limită maximă pentru reziduuri în conformitate cu Regulamentul (CE) nr. 470/2009; </w:t>
            </w:r>
          </w:p>
          <w:p w14:paraId="59CE00E8" w14:textId="77777777" w:rsidR="00841B7B" w:rsidRPr="00C94366" w:rsidRDefault="00841B7B" w:rsidP="00841B7B">
            <w:pPr>
              <w:tabs>
                <w:tab w:val="left" w:pos="29"/>
              </w:tabs>
              <w:ind w:left="29"/>
              <w:jc w:val="both"/>
              <w:rPr>
                <w:color w:val="000000" w:themeColor="text1"/>
                <w:lang w:val="ro-RO"/>
              </w:rPr>
            </w:pPr>
            <w:r w:rsidRPr="00C94366">
              <w:rPr>
                <w:lang w:val="ro-RO"/>
              </w:rPr>
              <w:t>(d) norme specifice privind măsurile care trebuie luate în cazul confirmării prezenței unui reziduu al unei substanțe interzise sau nepermise la niveluri superioare, egale sau inferioare în raport cu valoarea de referință.</w:t>
            </w:r>
          </w:p>
        </w:tc>
        <w:tc>
          <w:tcPr>
            <w:tcW w:w="5245" w:type="dxa"/>
          </w:tcPr>
          <w:p w14:paraId="4F05A29E"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263C552D" w14:textId="2510BFCC" w:rsidR="00841B7B" w:rsidRPr="00C94366" w:rsidRDefault="00B43C96" w:rsidP="00841B7B">
            <w:pPr>
              <w:tabs>
                <w:tab w:val="left" w:pos="284"/>
              </w:tabs>
              <w:jc w:val="both"/>
              <w:rPr>
                <w:color w:val="000000" w:themeColor="text1"/>
                <w:lang w:val="ro-RO"/>
              </w:rPr>
            </w:pPr>
            <w:r>
              <w:rPr>
                <w:color w:val="000000" w:themeColor="text1"/>
                <w:lang w:val="ro-RO"/>
              </w:rPr>
              <w:t>compatibil</w:t>
            </w:r>
          </w:p>
        </w:tc>
        <w:tc>
          <w:tcPr>
            <w:tcW w:w="1530" w:type="dxa"/>
          </w:tcPr>
          <w:p w14:paraId="739C67A7" w14:textId="77777777" w:rsidR="00841B7B" w:rsidRPr="00C94366" w:rsidRDefault="00841B7B" w:rsidP="00841B7B">
            <w:pPr>
              <w:tabs>
                <w:tab w:val="left" w:pos="284"/>
              </w:tabs>
              <w:ind w:left="284"/>
              <w:jc w:val="both"/>
              <w:rPr>
                <w:b/>
                <w:color w:val="000000" w:themeColor="text1"/>
                <w:lang w:val="ro-RO"/>
              </w:rPr>
            </w:pPr>
            <w:r>
              <w:rPr>
                <w:b/>
                <w:color w:val="000000" w:themeColor="text1"/>
                <w:lang w:val="ro-RO"/>
              </w:rPr>
              <w:t>neaplicabil</w:t>
            </w:r>
          </w:p>
        </w:tc>
        <w:tc>
          <w:tcPr>
            <w:tcW w:w="720" w:type="dxa"/>
          </w:tcPr>
          <w:p w14:paraId="5241565F" w14:textId="77777777" w:rsidR="00841B7B" w:rsidRPr="00C94366" w:rsidRDefault="00841B7B" w:rsidP="00841B7B">
            <w:pPr>
              <w:tabs>
                <w:tab w:val="left" w:pos="284"/>
              </w:tabs>
              <w:jc w:val="both"/>
              <w:rPr>
                <w:b/>
                <w:color w:val="000000" w:themeColor="text1"/>
                <w:lang w:val="ro-RO"/>
              </w:rPr>
            </w:pPr>
          </w:p>
        </w:tc>
        <w:tc>
          <w:tcPr>
            <w:tcW w:w="934" w:type="dxa"/>
          </w:tcPr>
          <w:p w14:paraId="2F9B5926" w14:textId="77777777" w:rsidR="00841B7B" w:rsidRPr="00C94366" w:rsidRDefault="00841B7B" w:rsidP="00841B7B">
            <w:pPr>
              <w:tabs>
                <w:tab w:val="left" w:pos="284"/>
              </w:tabs>
              <w:jc w:val="both"/>
              <w:rPr>
                <w:b/>
                <w:color w:val="000000" w:themeColor="text1"/>
                <w:lang w:val="ro-RO"/>
              </w:rPr>
            </w:pPr>
          </w:p>
        </w:tc>
      </w:tr>
      <w:tr w:rsidR="00841B7B" w:rsidRPr="00841B7B" w14:paraId="05404C77" w14:textId="77777777" w:rsidTr="00841B7B">
        <w:trPr>
          <w:trHeight w:val="372"/>
        </w:trPr>
        <w:tc>
          <w:tcPr>
            <w:tcW w:w="5103" w:type="dxa"/>
            <w:gridSpan w:val="2"/>
          </w:tcPr>
          <w:p w14:paraId="26D0B28B" w14:textId="77777777" w:rsidR="00841B7B" w:rsidRDefault="00841B7B" w:rsidP="00841B7B">
            <w:pPr>
              <w:tabs>
                <w:tab w:val="left" w:pos="29"/>
              </w:tabs>
              <w:ind w:left="29" w:firstLine="708"/>
              <w:jc w:val="both"/>
              <w:rPr>
                <w:lang w:val="ro-RO"/>
              </w:rPr>
            </w:pPr>
            <w:r w:rsidRPr="00C94366">
              <w:rPr>
                <w:lang w:val="ro-RO"/>
              </w:rPr>
              <w:t xml:space="preserve">Articolul 2 Norme pentru stabilirea valorilor de referință Valorile de referință se stabilesc la cel mai mic nivel care poate fi obținut din punct de vedere analitic de laboratoarele oficiale de control, desemnate în conformitate cu articolul 37 din Regulamentul (UE) 2017/625 al Parlamentului European și al Consiliului ( 9 ). </w:t>
            </w:r>
          </w:p>
          <w:p w14:paraId="2F5E3E69" w14:textId="77777777" w:rsidR="00841B7B" w:rsidRDefault="00841B7B" w:rsidP="00841B7B">
            <w:pPr>
              <w:tabs>
                <w:tab w:val="left" w:pos="29"/>
              </w:tabs>
              <w:ind w:left="29" w:firstLine="708"/>
              <w:jc w:val="both"/>
              <w:rPr>
                <w:lang w:val="ro-RO"/>
              </w:rPr>
            </w:pPr>
          </w:p>
          <w:p w14:paraId="4D8D19A9" w14:textId="77777777" w:rsidR="00841B7B" w:rsidRPr="00C94366" w:rsidRDefault="00841B7B" w:rsidP="00841B7B">
            <w:pPr>
              <w:tabs>
                <w:tab w:val="left" w:pos="29"/>
              </w:tabs>
              <w:ind w:left="29" w:firstLine="708"/>
              <w:jc w:val="both"/>
              <w:rPr>
                <w:color w:val="000000" w:themeColor="text1"/>
                <w:lang w:val="ro-RO"/>
              </w:rPr>
            </w:pPr>
            <w:r w:rsidRPr="00C94366">
              <w:rPr>
                <w:lang w:val="ro-RO"/>
              </w:rPr>
              <w:t>Valorile de referință se revizuiesc în mod regulat pentru a se asigura faptul că ele corespund celor mai mici niveluri care pot fi obținute ținând seama de cele mai recente evoluții științifice. La stabilirea sau la revizuirea valorilor de referință, Comisia consultă laboratoarele europene de referință relevante cu privire la capacitățile analitice ale laboratoarelor naționale de referință și ale laboratoarelor oficiale în ceea ce privește concentrația minimă de reziduuri care poate fi identificată printr-o metodă analitică, validată în conformitate cu cerințele Deciziei 2002/657/CE</w:t>
            </w:r>
          </w:p>
        </w:tc>
        <w:tc>
          <w:tcPr>
            <w:tcW w:w="5245" w:type="dxa"/>
          </w:tcPr>
          <w:p w14:paraId="391E483B"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1. Valorile de referință se stabilesc la cel mai mic nivel care poate fi obținut din punct de vedere analitic de laboratoarele oficiale de control, desemnate în conformitate cu articolul 12 din Legea 50/2013 cu privire la controalele oficiale pentru verificarea conformităţii cu legislaţia privind hrana pentru animale şi produsele alimentare şi cu normele de sănătate şi de bunăstare a animalelor.</w:t>
            </w:r>
          </w:p>
          <w:p w14:paraId="59C5BF1F"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2. Valorile de referință se revizuiesc în mod regulat pentru a se asigura faptul că ele corespund celor mai mici niveluri care pot fi obținute ținând seama de cele mai recente evoluții științifice. La stabilirea sau la revizuirea valorilor de referință, se vor consulta laboratoarele europene de referință relevante cu privire la capacitățile analitice ale laboratoarelor naționale de referință și ale laboratoarelor oficiale în ceea ce privește concentrația minimă de reziduuri care poate fi identificată printr-o metodă analitică.</w:t>
            </w:r>
          </w:p>
        </w:tc>
        <w:tc>
          <w:tcPr>
            <w:tcW w:w="1352" w:type="dxa"/>
          </w:tcPr>
          <w:p w14:paraId="1241F13D" w14:textId="77777777" w:rsidR="00841B7B" w:rsidRPr="00C94366" w:rsidRDefault="00841B7B" w:rsidP="00841B7B">
            <w:pPr>
              <w:tabs>
                <w:tab w:val="left" w:pos="284"/>
              </w:tabs>
              <w:jc w:val="both"/>
              <w:rPr>
                <w:color w:val="000000" w:themeColor="text1"/>
                <w:lang w:val="ro-RO"/>
              </w:rPr>
            </w:pPr>
          </w:p>
        </w:tc>
        <w:tc>
          <w:tcPr>
            <w:tcW w:w="1530" w:type="dxa"/>
          </w:tcPr>
          <w:p w14:paraId="06D076FF" w14:textId="77777777" w:rsidR="00841B7B" w:rsidRPr="00C94366" w:rsidRDefault="00841B7B" w:rsidP="00841B7B">
            <w:pPr>
              <w:tabs>
                <w:tab w:val="left" w:pos="284"/>
              </w:tabs>
              <w:ind w:left="284"/>
              <w:jc w:val="both"/>
              <w:rPr>
                <w:b/>
                <w:color w:val="000000" w:themeColor="text1"/>
                <w:lang w:val="ro-RO"/>
              </w:rPr>
            </w:pPr>
          </w:p>
        </w:tc>
        <w:tc>
          <w:tcPr>
            <w:tcW w:w="720" w:type="dxa"/>
          </w:tcPr>
          <w:p w14:paraId="0671D335" w14:textId="77777777" w:rsidR="00841B7B" w:rsidRPr="00C94366" w:rsidRDefault="00841B7B" w:rsidP="00841B7B">
            <w:pPr>
              <w:tabs>
                <w:tab w:val="left" w:pos="284"/>
              </w:tabs>
              <w:jc w:val="both"/>
              <w:rPr>
                <w:b/>
                <w:color w:val="000000" w:themeColor="text1"/>
                <w:lang w:val="ro-RO"/>
              </w:rPr>
            </w:pPr>
          </w:p>
        </w:tc>
        <w:tc>
          <w:tcPr>
            <w:tcW w:w="934" w:type="dxa"/>
          </w:tcPr>
          <w:p w14:paraId="57C03F11" w14:textId="77777777" w:rsidR="00841B7B" w:rsidRPr="00C94366" w:rsidRDefault="00841B7B" w:rsidP="00841B7B">
            <w:pPr>
              <w:tabs>
                <w:tab w:val="left" w:pos="284"/>
              </w:tabs>
              <w:jc w:val="both"/>
              <w:rPr>
                <w:b/>
                <w:color w:val="000000" w:themeColor="text1"/>
                <w:lang w:val="ro-RO"/>
              </w:rPr>
            </w:pPr>
          </w:p>
        </w:tc>
      </w:tr>
      <w:tr w:rsidR="00841B7B" w:rsidRPr="00841B7B" w14:paraId="1D8F66B7" w14:textId="77777777" w:rsidTr="00841B7B">
        <w:trPr>
          <w:trHeight w:val="372"/>
        </w:trPr>
        <w:tc>
          <w:tcPr>
            <w:tcW w:w="5103" w:type="dxa"/>
            <w:gridSpan w:val="2"/>
          </w:tcPr>
          <w:p w14:paraId="0EC22A2E" w14:textId="77777777" w:rsidR="00841B7B" w:rsidRPr="00C94366" w:rsidRDefault="00841B7B" w:rsidP="00841B7B">
            <w:pPr>
              <w:tabs>
                <w:tab w:val="left" w:pos="29"/>
              </w:tabs>
              <w:ind w:left="29"/>
              <w:jc w:val="both"/>
              <w:rPr>
                <w:lang w:val="ro-RO"/>
              </w:rPr>
            </w:pPr>
            <w:r w:rsidRPr="00C94366">
              <w:rPr>
                <w:lang w:val="ro-RO"/>
              </w:rPr>
              <w:t>Articolul 3 Principii metodologice și metode științifice de evaluare a riscurilor</w:t>
            </w:r>
          </w:p>
          <w:p w14:paraId="49D8DBFC" w14:textId="77777777" w:rsidR="00841B7B" w:rsidRPr="00C94366" w:rsidRDefault="00841B7B" w:rsidP="00841B7B">
            <w:pPr>
              <w:tabs>
                <w:tab w:val="left" w:pos="29"/>
              </w:tabs>
              <w:ind w:left="29"/>
              <w:jc w:val="both"/>
              <w:rPr>
                <w:lang w:val="ro-RO"/>
              </w:rPr>
            </w:pPr>
            <w:r w:rsidRPr="00C94366">
              <w:rPr>
                <w:lang w:val="ro-RO"/>
              </w:rPr>
              <w:t xml:space="preserve"> (1) Evaluarea riscurilor aplicată în scopul evaluării siguranței valorilor de referință ține seama de: </w:t>
            </w:r>
          </w:p>
          <w:p w14:paraId="1F7C3202" w14:textId="77777777" w:rsidR="00841B7B" w:rsidRPr="00C94366" w:rsidRDefault="00841B7B" w:rsidP="00841B7B">
            <w:pPr>
              <w:tabs>
                <w:tab w:val="left" w:pos="29"/>
              </w:tabs>
              <w:ind w:left="29"/>
              <w:jc w:val="both"/>
              <w:rPr>
                <w:lang w:val="ro-RO"/>
              </w:rPr>
            </w:pPr>
            <w:r w:rsidRPr="00C94366">
              <w:rPr>
                <w:lang w:val="ro-RO"/>
              </w:rPr>
              <w:t xml:space="preserve">(a) potențialul toxic și activitatea farmacologică a substanței; (b) doza de reziduu absorbită prin intermediul alimentelor. (2) În scopul determinării potențialului toxic și a activității farmacologice a substanței, se aplică următoarele valori toxicologice de screening: </w:t>
            </w:r>
          </w:p>
          <w:p w14:paraId="7A9739EF" w14:textId="77777777" w:rsidR="00841B7B" w:rsidRPr="00C94366" w:rsidRDefault="00841B7B" w:rsidP="00841B7B">
            <w:pPr>
              <w:tabs>
                <w:tab w:val="left" w:pos="29"/>
              </w:tabs>
              <w:ind w:left="29"/>
              <w:jc w:val="both"/>
              <w:rPr>
                <w:lang w:val="ro-RO"/>
              </w:rPr>
            </w:pPr>
            <w:r w:rsidRPr="00C94366">
              <w:rPr>
                <w:lang w:val="ro-RO"/>
              </w:rPr>
              <w:t xml:space="preserve">(a)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w:t>
            </w:r>
            <w:r w:rsidRPr="00C94366">
              <w:rPr>
                <w:lang w:val="ro-RO"/>
              </w:rPr>
              <w:lastRenderedPageBreak/>
              <w:t xml:space="preserve">privire la genotoxicitate și, prin urmare, genotoxicitatea nu poate fi exclusă: 0,0025 μg/kg de greutate corporală pe zi; </w:t>
            </w:r>
          </w:p>
          <w:p w14:paraId="16968368" w14:textId="77777777" w:rsidR="00841B7B" w:rsidRPr="00C94366" w:rsidRDefault="00841B7B" w:rsidP="00841B7B">
            <w:pPr>
              <w:tabs>
                <w:tab w:val="left" w:pos="29"/>
              </w:tabs>
              <w:ind w:left="29"/>
              <w:jc w:val="both"/>
              <w:rPr>
                <w:lang w:val="ro-RO"/>
              </w:rPr>
            </w:pPr>
            <w:r w:rsidRPr="00C94366">
              <w:rPr>
                <w:lang w:val="ro-RO"/>
              </w:rPr>
              <w:t xml:space="preserve">(b) pentru substanțele din grupa II, care corespund substanțelor farmacologic active nepermise cu activitate farmacologică asupra sistemului nervos sau a sistemului de reproducere sau care sunt corticoizi: 0,0042 µg/kg greutate corporală pe zi; </w:t>
            </w:r>
          </w:p>
          <w:p w14:paraId="273BF0BE" w14:textId="77777777" w:rsidR="00841B7B" w:rsidRDefault="00841B7B" w:rsidP="00841B7B">
            <w:pPr>
              <w:tabs>
                <w:tab w:val="left" w:pos="29"/>
              </w:tabs>
              <w:ind w:left="29"/>
              <w:jc w:val="both"/>
              <w:rPr>
                <w:lang w:val="ro-RO"/>
              </w:rPr>
            </w:pPr>
            <w:r w:rsidRPr="00C94366">
              <w:rPr>
                <w:lang w:val="ro-RO"/>
              </w:rPr>
              <w:t xml:space="preserve">(c) pentru substanțele din grupa III, care corespund substanțelor farmacologic active nepermise cu efect antiinfecțios, antiinflamator și antiparazitar și alți agenți farmacologic activi: 0,22 µg/kg greutate corporală pe zi. </w:t>
            </w:r>
          </w:p>
          <w:p w14:paraId="418F7932" w14:textId="77777777" w:rsidR="00841B7B" w:rsidRPr="00C94366" w:rsidRDefault="00841B7B" w:rsidP="00841B7B">
            <w:pPr>
              <w:tabs>
                <w:tab w:val="left" w:pos="29"/>
              </w:tabs>
              <w:ind w:left="29"/>
              <w:jc w:val="both"/>
              <w:rPr>
                <w:lang w:val="ro-RO"/>
              </w:rPr>
            </w:pPr>
          </w:p>
          <w:p w14:paraId="38295AA4" w14:textId="77777777" w:rsidR="00841B7B" w:rsidRPr="00C94366" w:rsidRDefault="00841B7B" w:rsidP="00841B7B">
            <w:pPr>
              <w:tabs>
                <w:tab w:val="left" w:pos="29"/>
              </w:tabs>
              <w:ind w:left="29"/>
              <w:jc w:val="both"/>
              <w:rPr>
                <w:lang w:val="ro-RO"/>
              </w:rPr>
            </w:pPr>
            <w:r w:rsidRPr="00C94366">
              <w:rPr>
                <w:lang w:val="ro-RO"/>
              </w:rPr>
              <w:t>(3) Aportul de alimente relevant se determină pe baza cifrelor privind consumul de alimente, a modelelor de consum de alimente și a prezenței substanței în diferite produse alimentare.</w:t>
            </w:r>
          </w:p>
          <w:p w14:paraId="25871980" w14:textId="77777777" w:rsidR="00841B7B" w:rsidRPr="00C94366" w:rsidRDefault="00841B7B" w:rsidP="00841B7B">
            <w:pPr>
              <w:tabs>
                <w:tab w:val="left" w:pos="29"/>
              </w:tabs>
              <w:ind w:left="29"/>
              <w:jc w:val="both"/>
              <w:rPr>
                <w:color w:val="000000" w:themeColor="text1"/>
                <w:lang w:val="ro-RO"/>
              </w:rPr>
            </w:pPr>
            <w:r w:rsidRPr="00C94366">
              <w:rPr>
                <w:lang w:val="ro-RO"/>
              </w:rPr>
              <w:t>(4) 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tc>
        <w:tc>
          <w:tcPr>
            <w:tcW w:w="5245" w:type="dxa"/>
          </w:tcPr>
          <w:p w14:paraId="4AEA07C2"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lastRenderedPageBreak/>
              <w:t xml:space="preserve">3. Evaluarea riscurilor aplicată în scopul evaluării siguranței valorilor de referință ține seama de: </w:t>
            </w:r>
          </w:p>
          <w:p w14:paraId="0F388987"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 xml:space="preserve">1) potențialul toxic și activitatea farmacologică a substanței; </w:t>
            </w:r>
          </w:p>
          <w:p w14:paraId="0700B0AD"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2) doza de reziduu absorbită prin intermediul alimentelor</w:t>
            </w:r>
          </w:p>
          <w:p w14:paraId="40868BE7"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4. În scopul determinării potențialului toxic și a activității farmacologice a substanței, se aplică următoarele valori toxicologice de screening:</w:t>
            </w:r>
          </w:p>
          <w:p w14:paraId="04B1F975"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p w14:paraId="3ABBBD7E"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1)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4F616942"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p w14:paraId="670FE4B0"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 xml:space="preserve"> 2) pentru substanțele din grupa II, care corespund substanțelor farmacologic active nepermise cu activitate farmacologică asupra sistemului nervos sau a sistemului de reproducere sau care sunt corticoizi: 0,0042 µg/kg greutate corporală pe zi; </w:t>
            </w:r>
          </w:p>
          <w:p w14:paraId="67C51A5D" w14:textId="77777777" w:rsidR="00841B7B" w:rsidRPr="00C94366" w:rsidRDefault="00841B7B" w:rsidP="00841B7B">
            <w:pPr>
              <w:suppressAutoHyphens/>
              <w:autoSpaceDN w:val="0"/>
              <w:jc w:val="both"/>
              <w:textAlignment w:val="baseline"/>
              <w:rPr>
                <w:rFonts w:eastAsia="Arial Unicode MS"/>
                <w:color w:val="000000" w:themeColor="text1"/>
                <w:kern w:val="3"/>
                <w:lang w:val="ro-RO"/>
              </w:rPr>
            </w:pPr>
          </w:p>
          <w:p w14:paraId="0F91473E"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3) pentru substanțele din grupa III, care corespund substanțelor farmacologic active nepermise cu efect antiinfecțios, antiinflamator și antiparazitar și alți agenți farmacologic activi: 0,22 µg/kg greutate corporală pe zi.</w:t>
            </w:r>
          </w:p>
          <w:p w14:paraId="5366C6C0"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28E39A8E"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5. Aportul de alimente relevant se determină pe baza cifrelor privind consumul de alimente, a modelelor de consum de alimente și a prezenței substanței în diferite produse alimentare.</w:t>
            </w:r>
          </w:p>
          <w:p w14:paraId="3EACF528"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6. 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tc>
        <w:tc>
          <w:tcPr>
            <w:tcW w:w="1352" w:type="dxa"/>
          </w:tcPr>
          <w:p w14:paraId="0C45C285" w14:textId="0E9ABF38" w:rsidR="00841B7B" w:rsidRPr="00C94366" w:rsidRDefault="00B43C96" w:rsidP="00841B7B">
            <w:pPr>
              <w:tabs>
                <w:tab w:val="left" w:pos="284"/>
              </w:tabs>
              <w:jc w:val="both"/>
              <w:rPr>
                <w:color w:val="000000" w:themeColor="text1"/>
                <w:lang w:val="ro-RO"/>
              </w:rPr>
            </w:pPr>
            <w:r>
              <w:rPr>
                <w:color w:val="000000" w:themeColor="text1"/>
                <w:lang w:val="ro-RO"/>
              </w:rPr>
              <w:lastRenderedPageBreak/>
              <w:t>compatibil</w:t>
            </w:r>
          </w:p>
        </w:tc>
        <w:tc>
          <w:tcPr>
            <w:tcW w:w="1530" w:type="dxa"/>
          </w:tcPr>
          <w:p w14:paraId="6B442AA0" w14:textId="77777777" w:rsidR="00841B7B" w:rsidRPr="00C94366" w:rsidRDefault="00841B7B" w:rsidP="00841B7B">
            <w:pPr>
              <w:tabs>
                <w:tab w:val="left" w:pos="284"/>
              </w:tabs>
              <w:ind w:left="284"/>
              <w:jc w:val="both"/>
              <w:rPr>
                <w:b/>
                <w:color w:val="000000" w:themeColor="text1"/>
                <w:lang w:val="ro-RO"/>
              </w:rPr>
            </w:pPr>
          </w:p>
        </w:tc>
        <w:tc>
          <w:tcPr>
            <w:tcW w:w="720" w:type="dxa"/>
          </w:tcPr>
          <w:p w14:paraId="312432D0" w14:textId="77777777" w:rsidR="00841B7B" w:rsidRPr="00C94366" w:rsidRDefault="00841B7B" w:rsidP="00841B7B">
            <w:pPr>
              <w:tabs>
                <w:tab w:val="left" w:pos="284"/>
              </w:tabs>
              <w:jc w:val="both"/>
              <w:rPr>
                <w:b/>
                <w:color w:val="000000" w:themeColor="text1"/>
                <w:lang w:val="ro-RO"/>
              </w:rPr>
            </w:pPr>
          </w:p>
        </w:tc>
        <w:tc>
          <w:tcPr>
            <w:tcW w:w="934" w:type="dxa"/>
          </w:tcPr>
          <w:p w14:paraId="54BE249C" w14:textId="77777777" w:rsidR="00841B7B" w:rsidRPr="00C94366" w:rsidRDefault="00841B7B" w:rsidP="00841B7B">
            <w:pPr>
              <w:tabs>
                <w:tab w:val="left" w:pos="284"/>
              </w:tabs>
              <w:jc w:val="both"/>
              <w:rPr>
                <w:b/>
                <w:color w:val="000000" w:themeColor="text1"/>
                <w:lang w:val="ro-RO"/>
              </w:rPr>
            </w:pPr>
          </w:p>
        </w:tc>
      </w:tr>
      <w:tr w:rsidR="00841B7B" w:rsidRPr="00841B7B" w14:paraId="54E02487" w14:textId="77777777" w:rsidTr="00841B7B">
        <w:trPr>
          <w:trHeight w:val="372"/>
        </w:trPr>
        <w:tc>
          <w:tcPr>
            <w:tcW w:w="5103" w:type="dxa"/>
            <w:gridSpan w:val="2"/>
          </w:tcPr>
          <w:p w14:paraId="21643F7E" w14:textId="77777777" w:rsidR="00841B7B" w:rsidRPr="00C94366" w:rsidRDefault="00841B7B" w:rsidP="00841B7B">
            <w:pPr>
              <w:tabs>
                <w:tab w:val="left" w:pos="29"/>
              </w:tabs>
              <w:ind w:left="29"/>
              <w:jc w:val="both"/>
              <w:rPr>
                <w:lang w:val="ro-RO"/>
              </w:rPr>
            </w:pPr>
            <w:r w:rsidRPr="00C94366">
              <w:rPr>
                <w:lang w:val="ro-RO"/>
              </w:rPr>
              <w:t xml:space="preserve">Articolul 4 Evaluarea riscurilor specifice unei substanțe </w:t>
            </w:r>
          </w:p>
          <w:p w14:paraId="1DE4836A" w14:textId="77777777" w:rsidR="00841B7B" w:rsidRPr="00C94366" w:rsidRDefault="00841B7B" w:rsidP="00841B7B">
            <w:pPr>
              <w:tabs>
                <w:tab w:val="left" w:pos="29"/>
              </w:tabs>
              <w:ind w:left="29"/>
              <w:jc w:val="both"/>
              <w:rPr>
                <w:lang w:val="ro-RO"/>
              </w:rPr>
            </w:pPr>
            <w:r w:rsidRPr="00C94366">
              <w:rPr>
                <w:lang w:val="ro-RO"/>
              </w:rPr>
              <w:t xml:space="preserve">(1) Pentru o evaluare a riscurilor specifice unei substanțe care să determine dacă valorile de referință sunt adecvate pentru a proteja sănătatea umană se adresează o cerere la EFSA, în special pentru substanțele: </w:t>
            </w:r>
          </w:p>
          <w:p w14:paraId="62924DA7" w14:textId="77777777" w:rsidR="00841B7B" w:rsidRPr="00C94366" w:rsidRDefault="00841B7B" w:rsidP="00841B7B">
            <w:pPr>
              <w:tabs>
                <w:tab w:val="left" w:pos="29"/>
              </w:tabs>
              <w:ind w:left="29"/>
              <w:jc w:val="both"/>
              <w:rPr>
                <w:lang w:val="ro-RO"/>
              </w:rPr>
            </w:pPr>
            <w:r w:rsidRPr="00C94366">
              <w:rPr>
                <w:lang w:val="ro-RO"/>
              </w:rPr>
              <w:t xml:space="preserve">(a) care cauzează discrazii sanguine sau alergii (cu excepția sensibilizării pielii); </w:t>
            </w:r>
          </w:p>
          <w:p w14:paraId="21B9D8D6" w14:textId="77777777" w:rsidR="00841B7B" w:rsidRPr="00C94366" w:rsidRDefault="00841B7B" w:rsidP="00841B7B">
            <w:pPr>
              <w:tabs>
                <w:tab w:val="left" w:pos="29"/>
              </w:tabs>
              <w:ind w:left="29"/>
              <w:jc w:val="both"/>
              <w:rPr>
                <w:lang w:val="ro-RO"/>
              </w:rPr>
            </w:pPr>
            <w:r w:rsidRPr="00C94366">
              <w:rPr>
                <w:lang w:val="ro-RO"/>
              </w:rPr>
              <w:t>(b) care sunt carcinogene cu potențial mare;</w:t>
            </w:r>
          </w:p>
          <w:p w14:paraId="71C0430F" w14:textId="77777777" w:rsidR="00841B7B" w:rsidRDefault="00841B7B" w:rsidP="00841B7B">
            <w:pPr>
              <w:tabs>
                <w:tab w:val="left" w:pos="29"/>
              </w:tabs>
              <w:ind w:left="29"/>
              <w:jc w:val="both"/>
              <w:rPr>
                <w:lang w:val="ro-RO"/>
              </w:rPr>
            </w:pPr>
            <w:r w:rsidRPr="00C94366">
              <w:rPr>
                <w:lang w:val="ro-RO"/>
              </w:rPr>
              <w:t xml:space="preserve"> (c)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77D994ED" w14:textId="77777777" w:rsidR="00841B7B" w:rsidRPr="00C94366" w:rsidRDefault="00841B7B" w:rsidP="00841B7B">
            <w:pPr>
              <w:tabs>
                <w:tab w:val="left" w:pos="29"/>
              </w:tabs>
              <w:ind w:left="29"/>
              <w:jc w:val="both"/>
              <w:rPr>
                <w:lang w:val="ro-RO"/>
              </w:rPr>
            </w:pPr>
          </w:p>
          <w:p w14:paraId="71333950" w14:textId="77777777" w:rsidR="00841B7B" w:rsidRDefault="00841B7B" w:rsidP="00841B7B">
            <w:pPr>
              <w:tabs>
                <w:tab w:val="left" w:pos="29"/>
              </w:tabs>
              <w:ind w:left="29"/>
              <w:jc w:val="both"/>
              <w:rPr>
                <w:lang w:val="ro-RO"/>
              </w:rPr>
            </w:pPr>
            <w:r w:rsidRPr="00C94366">
              <w:rPr>
                <w:lang w:val="ro-RO"/>
              </w:rPr>
              <w:t xml:space="preserve">(2)   Dacă este cazul, Comisia transmite o cerere la EFSA pentru o evaluare a riscurilor specifice unei substanțe pentru a stabili dacă o valoare de referință este adecvată pentru a proteja sănătatea umană, în cazul în care aplicarea metodei </w:t>
            </w:r>
            <w:r w:rsidRPr="00C94366">
              <w:rPr>
                <w:lang w:val="ro-RO"/>
              </w:rPr>
              <w:lastRenderedPageBreak/>
              <w:t>prevăzute la articolul 3 alineatul (4) 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w:t>
            </w:r>
          </w:p>
          <w:p w14:paraId="552A9D95" w14:textId="77777777" w:rsidR="00841B7B" w:rsidRDefault="00841B7B" w:rsidP="00841B7B">
            <w:pPr>
              <w:tabs>
                <w:tab w:val="left" w:pos="29"/>
              </w:tabs>
              <w:ind w:left="29"/>
              <w:jc w:val="both"/>
              <w:rPr>
                <w:lang w:val="ro-RO"/>
              </w:rPr>
            </w:pPr>
          </w:p>
          <w:p w14:paraId="5EEC5024" w14:textId="77777777" w:rsidR="00841B7B" w:rsidRPr="00C94366" w:rsidRDefault="00841B7B" w:rsidP="00841B7B">
            <w:pPr>
              <w:tabs>
                <w:tab w:val="left" w:pos="29"/>
              </w:tabs>
              <w:ind w:left="29"/>
              <w:jc w:val="both"/>
              <w:rPr>
                <w:color w:val="000000" w:themeColor="text1"/>
                <w:lang w:val="ro-RO"/>
              </w:rPr>
            </w:pPr>
            <w:r w:rsidRPr="00C94366">
              <w:rPr>
                <w:lang w:val="ro-RO"/>
              </w:rPr>
              <w:t xml:space="preserve"> (3) 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și europene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tc>
        <w:tc>
          <w:tcPr>
            <w:tcW w:w="5245" w:type="dxa"/>
          </w:tcPr>
          <w:p w14:paraId="2ACB6E50"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lastRenderedPageBreak/>
              <w:t>7.Pentru o evaluare a riscurilor specifice unei substanțe care să determine dacă valorile de referință sunt adecvate pentru a proteja sănătatea umană se adresează o cerere la Autoritatea Europeană pentru Siguranța Alimentară (în continuare EFSA), în special pentru substanțele:</w:t>
            </w:r>
          </w:p>
          <w:p w14:paraId="5953C8DB"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 xml:space="preserve"> 1) care cauzează discrazii sanguine sau alergii (cu excepția sensibilizării pielii); </w:t>
            </w:r>
          </w:p>
          <w:p w14:paraId="7E4D5292"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 xml:space="preserve">2) care sunt carcinogene cu potențial mare; </w:t>
            </w:r>
          </w:p>
          <w:p w14:paraId="7765A325"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C94366">
              <w:rPr>
                <w:rFonts w:eastAsia="Arial Unicode MS"/>
                <w:color w:val="000000" w:themeColor="text1"/>
                <w:kern w:val="3"/>
                <w:lang w:val="ro-RO"/>
              </w:rPr>
              <w:t>3)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1130C93E"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17A4FA4F"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09342C">
              <w:rPr>
                <w:rFonts w:eastAsia="Arial Unicode MS"/>
                <w:color w:val="000000" w:themeColor="text1"/>
                <w:kern w:val="3"/>
                <w:lang w:val="ro-RO"/>
              </w:rPr>
              <w:t>8.Dacă este cazul, se va face o evaluare a riscurilor specifice unei substanțe pentru a stabili dacă o valoare de referință este adecvată pentru a proteja sănătatea umană, în cazul în care aplicarea metodei prevăzute la punctul 6</w:t>
            </w:r>
            <w:r>
              <w:rPr>
                <w:rFonts w:eastAsia="Arial Unicode MS"/>
                <w:color w:val="000000" w:themeColor="text1"/>
                <w:kern w:val="3"/>
                <w:lang w:val="ro-RO"/>
              </w:rPr>
              <w:t xml:space="preserve"> </w:t>
            </w:r>
            <w:r w:rsidRPr="00C94366">
              <w:rPr>
                <w:lang w:val="ro-RO"/>
              </w:rPr>
              <w:t xml:space="preserve"> indică faptul că </w:t>
            </w:r>
            <w:r w:rsidRPr="00C94366">
              <w:rPr>
                <w:lang w:val="ro-RO"/>
              </w:rPr>
              <w:lastRenderedPageBreak/>
              <w:t>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w:t>
            </w:r>
          </w:p>
          <w:p w14:paraId="2F2377AD" w14:textId="77777777" w:rsidR="00841B7B" w:rsidRDefault="00841B7B" w:rsidP="00841B7B">
            <w:pPr>
              <w:suppressAutoHyphens/>
              <w:autoSpaceDN w:val="0"/>
              <w:jc w:val="both"/>
              <w:textAlignment w:val="baseline"/>
              <w:rPr>
                <w:rFonts w:eastAsia="Arial Unicode MS"/>
                <w:color w:val="000000" w:themeColor="text1"/>
                <w:kern w:val="3"/>
                <w:lang w:val="ro-RO"/>
              </w:rPr>
            </w:pPr>
          </w:p>
          <w:p w14:paraId="7EB2EC8E"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3129F315" w14:textId="77777777" w:rsidR="00841B7B" w:rsidRPr="0009342C" w:rsidRDefault="00841B7B" w:rsidP="00841B7B">
            <w:pPr>
              <w:suppressAutoHyphens/>
              <w:autoSpaceDN w:val="0"/>
              <w:ind w:left="34" w:firstLine="34"/>
              <w:jc w:val="both"/>
              <w:textAlignment w:val="baseline"/>
              <w:rPr>
                <w:rFonts w:eastAsia="Arial Unicode MS"/>
                <w:color w:val="000000" w:themeColor="text1"/>
                <w:kern w:val="3"/>
                <w:lang w:val="ro-RO"/>
              </w:rPr>
            </w:pPr>
            <w:r w:rsidRPr="0009342C">
              <w:rPr>
                <w:rFonts w:eastAsia="Arial Unicode MS"/>
                <w:color w:val="000000" w:themeColor="text1"/>
                <w:kern w:val="3"/>
                <w:lang w:val="ro-RO"/>
              </w:rPr>
              <w:t>9.În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p w14:paraId="315F2AE5"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2AFD6ADC" w14:textId="61A66D1B" w:rsidR="00841B7B" w:rsidRPr="00C94366" w:rsidRDefault="00B43C96" w:rsidP="00841B7B">
            <w:pPr>
              <w:tabs>
                <w:tab w:val="left" w:pos="284"/>
              </w:tabs>
              <w:jc w:val="both"/>
              <w:rPr>
                <w:color w:val="000000" w:themeColor="text1"/>
                <w:lang w:val="ro-RO"/>
              </w:rPr>
            </w:pPr>
            <w:r>
              <w:rPr>
                <w:color w:val="000000" w:themeColor="text1"/>
                <w:lang w:val="ro-RO"/>
              </w:rPr>
              <w:lastRenderedPageBreak/>
              <w:t>compatibil</w:t>
            </w:r>
          </w:p>
        </w:tc>
        <w:tc>
          <w:tcPr>
            <w:tcW w:w="1530" w:type="dxa"/>
          </w:tcPr>
          <w:p w14:paraId="56F94154" w14:textId="77777777" w:rsidR="00841B7B" w:rsidRPr="00C94366" w:rsidRDefault="00841B7B" w:rsidP="00841B7B">
            <w:pPr>
              <w:tabs>
                <w:tab w:val="left" w:pos="284"/>
              </w:tabs>
              <w:ind w:left="284"/>
              <w:jc w:val="both"/>
              <w:rPr>
                <w:b/>
                <w:color w:val="000000" w:themeColor="text1"/>
                <w:lang w:val="ro-RO"/>
              </w:rPr>
            </w:pPr>
          </w:p>
        </w:tc>
        <w:tc>
          <w:tcPr>
            <w:tcW w:w="720" w:type="dxa"/>
          </w:tcPr>
          <w:p w14:paraId="334C1154" w14:textId="77777777" w:rsidR="00841B7B" w:rsidRPr="00C94366" w:rsidRDefault="00841B7B" w:rsidP="00841B7B">
            <w:pPr>
              <w:tabs>
                <w:tab w:val="left" w:pos="284"/>
              </w:tabs>
              <w:jc w:val="both"/>
              <w:rPr>
                <w:b/>
                <w:color w:val="000000" w:themeColor="text1"/>
                <w:lang w:val="ro-RO"/>
              </w:rPr>
            </w:pPr>
          </w:p>
        </w:tc>
        <w:tc>
          <w:tcPr>
            <w:tcW w:w="934" w:type="dxa"/>
          </w:tcPr>
          <w:p w14:paraId="084186E1" w14:textId="77777777" w:rsidR="00841B7B" w:rsidRPr="00C94366" w:rsidRDefault="00841B7B" w:rsidP="00841B7B">
            <w:pPr>
              <w:tabs>
                <w:tab w:val="left" w:pos="284"/>
              </w:tabs>
              <w:jc w:val="both"/>
              <w:rPr>
                <w:b/>
                <w:color w:val="000000" w:themeColor="text1"/>
                <w:lang w:val="ro-RO"/>
              </w:rPr>
            </w:pPr>
          </w:p>
        </w:tc>
      </w:tr>
      <w:tr w:rsidR="00841B7B" w:rsidRPr="00841B7B" w14:paraId="4D6E5752" w14:textId="77777777" w:rsidTr="00841B7B">
        <w:trPr>
          <w:trHeight w:val="372"/>
        </w:trPr>
        <w:tc>
          <w:tcPr>
            <w:tcW w:w="5103" w:type="dxa"/>
            <w:gridSpan w:val="2"/>
          </w:tcPr>
          <w:p w14:paraId="35E63120" w14:textId="77777777" w:rsidR="00841B7B" w:rsidRPr="00C94366" w:rsidRDefault="00841B7B" w:rsidP="00841B7B">
            <w:pPr>
              <w:tabs>
                <w:tab w:val="left" w:pos="29"/>
              </w:tabs>
              <w:ind w:left="29"/>
              <w:jc w:val="both"/>
              <w:rPr>
                <w:lang w:val="ro-RO"/>
              </w:rPr>
            </w:pPr>
            <w:r w:rsidRPr="00C94366">
              <w:rPr>
                <w:lang w:val="ro-RO"/>
              </w:rPr>
              <w:t>Articolul 5 Asigurarea respectării valorilor de referință</w:t>
            </w:r>
          </w:p>
          <w:p w14:paraId="5AF7698C" w14:textId="77777777" w:rsidR="00841B7B" w:rsidRPr="00C94366" w:rsidRDefault="00841B7B" w:rsidP="00841B7B">
            <w:pPr>
              <w:tabs>
                <w:tab w:val="left" w:pos="29"/>
              </w:tabs>
              <w:ind w:left="29"/>
              <w:jc w:val="both"/>
              <w:rPr>
                <w:lang w:val="ro-RO"/>
              </w:rPr>
            </w:pPr>
          </w:p>
          <w:p w14:paraId="6099004A" w14:textId="77777777" w:rsidR="00841B7B" w:rsidRPr="00C94366" w:rsidRDefault="00841B7B" w:rsidP="00841B7B">
            <w:pPr>
              <w:tabs>
                <w:tab w:val="left" w:pos="29"/>
              </w:tabs>
              <w:ind w:left="29"/>
              <w:jc w:val="both"/>
              <w:rPr>
                <w:color w:val="000000" w:themeColor="text1"/>
                <w:lang w:val="ro-RO"/>
              </w:rPr>
            </w:pPr>
            <w:r w:rsidRPr="00C94366">
              <w:rPr>
                <w:lang w:val="ro-RO"/>
              </w:rPr>
              <w:t xml:space="preserve"> În scopul aplicării măsurilor de control vizând unele reziduuri de substanțe în produsele alimentare de origine animală, a căror utilizare este interzisă sau nepermisă în Uniune, valorile de referință prevăzute în anexă se aplică indiferent de matricea alimentelor testate. Alimentele de origine animală care conțin reziduuri de substanță farmacologic activă într-o concentrație egală sau superioară în raport cu valoarea de referință sunt considerate neconforme cu legislația Uniunii și sunt interzise în lanțul alimentar. Alimentele de origine animală care conțin reziduuri de substanță farmacologic activă într-o concentrație inferioară în raport cu valoarea de referință nu sunt interzise în lanțul alimentar.</w:t>
            </w:r>
          </w:p>
        </w:tc>
        <w:tc>
          <w:tcPr>
            <w:tcW w:w="5245" w:type="dxa"/>
          </w:tcPr>
          <w:p w14:paraId="68AD0E51"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sidRPr="0009342C">
              <w:rPr>
                <w:rFonts w:eastAsia="Arial Unicode MS"/>
                <w:color w:val="000000" w:themeColor="text1"/>
                <w:kern w:val="3"/>
                <w:lang w:val="ro-RO"/>
              </w:rPr>
              <w:t>10. În scopul aplicării măsurilor de control vizând unele reziduuri de substanțe în produsele alimentare de origine animală, a căror utilizare este interzisă sau nepermisă, valorile de referință prevăzute în anexă se aplică indiferent de matricea alimentelor testate. Alimentele de origine 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520B27CB"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110285F1" w14:textId="48B493A1" w:rsidR="00841B7B" w:rsidRPr="00C94366" w:rsidRDefault="00B43C96" w:rsidP="00841B7B">
            <w:pPr>
              <w:tabs>
                <w:tab w:val="left" w:pos="284"/>
              </w:tabs>
              <w:jc w:val="both"/>
              <w:rPr>
                <w:color w:val="000000" w:themeColor="text1"/>
                <w:lang w:val="ro-RO"/>
              </w:rPr>
            </w:pPr>
            <w:r>
              <w:rPr>
                <w:color w:val="000000" w:themeColor="text1"/>
                <w:lang w:val="ro-RO"/>
              </w:rPr>
              <w:t>compatibil</w:t>
            </w:r>
          </w:p>
        </w:tc>
        <w:tc>
          <w:tcPr>
            <w:tcW w:w="1530" w:type="dxa"/>
          </w:tcPr>
          <w:p w14:paraId="28D9374F" w14:textId="77777777" w:rsidR="00841B7B" w:rsidRPr="00C94366" w:rsidRDefault="00841B7B" w:rsidP="00841B7B">
            <w:pPr>
              <w:tabs>
                <w:tab w:val="left" w:pos="284"/>
              </w:tabs>
              <w:ind w:left="284"/>
              <w:jc w:val="both"/>
              <w:rPr>
                <w:b/>
                <w:color w:val="000000" w:themeColor="text1"/>
                <w:lang w:val="ro-RO"/>
              </w:rPr>
            </w:pPr>
          </w:p>
        </w:tc>
        <w:tc>
          <w:tcPr>
            <w:tcW w:w="720" w:type="dxa"/>
          </w:tcPr>
          <w:p w14:paraId="302B937D" w14:textId="77777777" w:rsidR="00841B7B" w:rsidRPr="00C94366" w:rsidRDefault="00841B7B" w:rsidP="00841B7B">
            <w:pPr>
              <w:tabs>
                <w:tab w:val="left" w:pos="284"/>
              </w:tabs>
              <w:jc w:val="both"/>
              <w:rPr>
                <w:b/>
                <w:color w:val="000000" w:themeColor="text1"/>
                <w:lang w:val="ro-RO"/>
              </w:rPr>
            </w:pPr>
          </w:p>
        </w:tc>
        <w:tc>
          <w:tcPr>
            <w:tcW w:w="934" w:type="dxa"/>
          </w:tcPr>
          <w:p w14:paraId="12C5E852" w14:textId="77777777" w:rsidR="00841B7B" w:rsidRPr="00C94366" w:rsidRDefault="00841B7B" w:rsidP="00841B7B">
            <w:pPr>
              <w:tabs>
                <w:tab w:val="left" w:pos="284"/>
              </w:tabs>
              <w:jc w:val="both"/>
              <w:rPr>
                <w:b/>
                <w:color w:val="000000" w:themeColor="text1"/>
                <w:lang w:val="ro-RO"/>
              </w:rPr>
            </w:pPr>
          </w:p>
        </w:tc>
      </w:tr>
      <w:tr w:rsidR="00841B7B" w:rsidRPr="00C94366" w14:paraId="7B88F56C" w14:textId="77777777" w:rsidTr="00841B7B">
        <w:trPr>
          <w:trHeight w:val="372"/>
        </w:trPr>
        <w:tc>
          <w:tcPr>
            <w:tcW w:w="5103" w:type="dxa"/>
            <w:gridSpan w:val="2"/>
          </w:tcPr>
          <w:p w14:paraId="1D18D436" w14:textId="77777777" w:rsidR="00841B7B" w:rsidRPr="00C94366" w:rsidRDefault="00841B7B" w:rsidP="00841B7B">
            <w:pPr>
              <w:tabs>
                <w:tab w:val="left" w:pos="29"/>
              </w:tabs>
              <w:ind w:left="29" w:firstLine="708"/>
              <w:jc w:val="both"/>
              <w:rPr>
                <w:lang w:val="ro-RO"/>
              </w:rPr>
            </w:pPr>
            <w:r w:rsidRPr="00C94366">
              <w:rPr>
                <w:lang w:val="ro-RO"/>
              </w:rPr>
              <w:t>Articolul 6 Schimb de informații și anchete în cazul prezenței confirmate a unei substanțe interzise sau nepermise</w:t>
            </w:r>
          </w:p>
          <w:p w14:paraId="5C91D2EA" w14:textId="77777777" w:rsidR="00841B7B" w:rsidRPr="00C94366" w:rsidRDefault="00841B7B" w:rsidP="00841B7B">
            <w:pPr>
              <w:tabs>
                <w:tab w:val="left" w:pos="29"/>
              </w:tabs>
              <w:ind w:left="29" w:firstLine="708"/>
              <w:jc w:val="both"/>
              <w:rPr>
                <w:lang w:val="ro-RO"/>
              </w:rPr>
            </w:pPr>
          </w:p>
          <w:p w14:paraId="615536CB" w14:textId="77777777" w:rsidR="00841B7B" w:rsidRPr="00C94366" w:rsidRDefault="00841B7B" w:rsidP="00841B7B">
            <w:pPr>
              <w:tabs>
                <w:tab w:val="left" w:pos="29"/>
              </w:tabs>
              <w:ind w:left="29" w:firstLine="708"/>
              <w:jc w:val="both"/>
              <w:rPr>
                <w:lang w:val="ro-RO"/>
              </w:rPr>
            </w:pPr>
            <w:r w:rsidRPr="00C94366">
              <w:rPr>
                <w:lang w:val="ro-RO"/>
              </w:rPr>
              <w:t xml:space="preserve"> În cazul în care rezultatele controalelor oficiale, inclusiv ale testelor analitice, identifică reziduuri de substanțe </w:t>
            </w:r>
            <w:r w:rsidRPr="00C94366">
              <w:rPr>
                <w:lang w:val="ro-RO"/>
              </w:rPr>
              <w:lastRenderedPageBreak/>
              <w:t>interzise sau nepermise la niveluri superioare, egale sau inferioare valorilor de referință, autoritatea competentă efectuează anchetele menționate la articolul 137 alineatul (2) sau (3) din Regulamentul (UE) 2017/625 și la articolul 13, la articolul 16 alineatul (2), la articolul 17 și la articolele 22-24 din Directiva 96/23/CE ( 10), pentru a stabili dacă a fost aplicat un tratament ilegal cu o substanță farmacologic activă interzisă sau nepermisă.</w:t>
            </w:r>
          </w:p>
          <w:p w14:paraId="1D23F725" w14:textId="77777777" w:rsidR="00841B7B" w:rsidRPr="00C94366" w:rsidRDefault="00841B7B" w:rsidP="00841B7B">
            <w:pPr>
              <w:tabs>
                <w:tab w:val="left" w:pos="29"/>
              </w:tabs>
              <w:ind w:left="29" w:firstLine="708"/>
              <w:jc w:val="both"/>
              <w:rPr>
                <w:lang w:val="ro-RO"/>
              </w:rPr>
            </w:pPr>
          </w:p>
          <w:p w14:paraId="07CD016A" w14:textId="77777777" w:rsidR="00841B7B" w:rsidRDefault="00841B7B" w:rsidP="00841B7B">
            <w:pPr>
              <w:tabs>
                <w:tab w:val="left" w:pos="29"/>
              </w:tabs>
              <w:ind w:left="29" w:firstLine="708"/>
              <w:jc w:val="both"/>
              <w:rPr>
                <w:lang w:val="ro-RO"/>
              </w:rPr>
            </w:pPr>
            <w:r w:rsidRPr="00C94366">
              <w:rPr>
                <w:lang w:val="ro-RO"/>
              </w:rPr>
              <w:t xml:space="preserve">În cazul constatării unei neconformități, autoritatea competentă aplică una sau mai multe dintre măsurile menționate la articolul 138 din Regulamentul (UE) 2017/625, precum și la articolul 15 alineatul (3), la articolul 17 și la articolele 23-25 din Directiva 96/23/CE. </w:t>
            </w:r>
          </w:p>
          <w:p w14:paraId="5EBBF11C" w14:textId="77777777" w:rsidR="00841B7B" w:rsidRDefault="00841B7B" w:rsidP="00841B7B">
            <w:pPr>
              <w:tabs>
                <w:tab w:val="left" w:pos="29"/>
              </w:tabs>
              <w:ind w:left="29" w:firstLine="708"/>
              <w:jc w:val="both"/>
              <w:rPr>
                <w:lang w:val="ro-RO"/>
              </w:rPr>
            </w:pPr>
          </w:p>
          <w:p w14:paraId="6B1DA273" w14:textId="77777777" w:rsidR="00841B7B" w:rsidRPr="00C94366" w:rsidRDefault="00841B7B" w:rsidP="00841B7B">
            <w:pPr>
              <w:tabs>
                <w:tab w:val="left" w:pos="29"/>
              </w:tabs>
              <w:ind w:left="29" w:firstLine="708"/>
              <w:jc w:val="both"/>
              <w:rPr>
                <w:color w:val="000000" w:themeColor="text1"/>
                <w:lang w:val="ro-RO"/>
              </w:rPr>
            </w:pPr>
            <w:r w:rsidRPr="00C94366">
              <w:rPr>
                <w:lang w:val="ro-RO"/>
              </w:rPr>
              <w:t>Autoritatea competentă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autoritatea competentă informează Comisia și celelalte state membre în cadrul Comitetului permanent pentru plante, animale, produse alimentare și hrană pentru animale. În cazul în care comportamentul recurent implică produse alimentare importate, Comisia aduce acest fapt la cunoștința autorității competente din țara sau din țările de origine. Statele membre raportează rezultatele controalelor oficiale, inclusiv ale testelor analitice, care indică prezența confirmată a unei substanțe interzise sau nepermise la niveluri superioare sau egale în raport cu valorile de referință, prin intermediul Sistemului de alertă rapidă pentru alimente și furaje.</w:t>
            </w:r>
          </w:p>
        </w:tc>
        <w:tc>
          <w:tcPr>
            <w:tcW w:w="5245" w:type="dxa"/>
          </w:tcPr>
          <w:p w14:paraId="6AEE0977" w14:textId="77777777" w:rsidR="00841B7B" w:rsidRDefault="00841B7B" w:rsidP="00841B7B">
            <w:pPr>
              <w:rPr>
                <w:lang w:val="ro-RO"/>
              </w:rPr>
            </w:pPr>
          </w:p>
          <w:p w14:paraId="48EE0574" w14:textId="77777777" w:rsidR="00841B7B" w:rsidRDefault="00841B7B" w:rsidP="00841B7B">
            <w:pPr>
              <w:rPr>
                <w:lang w:val="ro-RO"/>
              </w:rPr>
            </w:pPr>
          </w:p>
          <w:p w14:paraId="6E540A48" w14:textId="77777777" w:rsidR="00841B7B" w:rsidRDefault="00841B7B" w:rsidP="00841B7B">
            <w:pPr>
              <w:rPr>
                <w:lang w:val="ro-RO"/>
              </w:rPr>
            </w:pPr>
          </w:p>
          <w:p w14:paraId="291B4F83" w14:textId="77777777" w:rsidR="00841B7B" w:rsidRDefault="00841B7B" w:rsidP="00841B7B">
            <w:pPr>
              <w:rPr>
                <w:lang w:val="ro-RO"/>
              </w:rPr>
            </w:pPr>
            <w:r>
              <w:rPr>
                <w:lang w:val="ro-RO"/>
              </w:rPr>
              <w:t xml:space="preserve">11. În cazul în care rezultatele controalelor oficiale, inclusiv ale testelor analitice, identifică reziduuri de substanțe interzise </w:t>
            </w:r>
            <w:r>
              <w:rPr>
                <w:lang w:val="ro-RO"/>
              </w:rPr>
              <w:lastRenderedPageBreak/>
              <w:t>sau nepermise la niveluri superioare, egale sau inferioare valorilor de referință, autoritatea competentă efectuează anchete pentru a stabili dacă a fost aplicat un tratament ilegal cu o substanță farmacologic activă interzisă sau nepermisă.</w:t>
            </w:r>
          </w:p>
          <w:p w14:paraId="17C62909"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28210CF2"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16FA6F1E"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20858527"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3D51E5EF"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p>
          <w:p w14:paraId="09EEE795" w14:textId="77777777" w:rsidR="00841B7B" w:rsidRDefault="00841B7B" w:rsidP="00841B7B">
            <w:pPr>
              <w:rPr>
                <w:lang w:val="ro-RO"/>
              </w:rPr>
            </w:pPr>
            <w:r>
              <w:rPr>
                <w:lang w:val="ro-RO"/>
              </w:rPr>
              <w:t>12. În cazul constatării unei neconformități, Agenția aplică una sau mai multe dintre măsurile menționate la articolul 30 din Legea 50/2013 cu privire la controalele oficiale pentru verificarea conformităţii cu legislaţia privind hrana pentru animale şi produsele alimentare şi cu normele de sănătate şi de bunăstare a animalelor.</w:t>
            </w:r>
          </w:p>
          <w:p w14:paraId="2D36E5DE" w14:textId="77777777" w:rsidR="00841B7B" w:rsidRDefault="00841B7B" w:rsidP="00841B7B">
            <w:pPr>
              <w:rPr>
                <w:lang w:val="ro-RO"/>
              </w:rPr>
            </w:pPr>
            <w:r>
              <w:rPr>
                <w:lang w:val="ro-RO"/>
              </w:rPr>
              <w:t xml:space="preserve">13. Agenția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Agenția informează autoritatea competentă din țara sau din țările de origine. </w:t>
            </w:r>
          </w:p>
          <w:p w14:paraId="2E1D4BF8"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34F82629" w14:textId="77777777" w:rsidR="00841B7B" w:rsidRDefault="00841B7B" w:rsidP="00841B7B">
            <w:pPr>
              <w:tabs>
                <w:tab w:val="left" w:pos="284"/>
              </w:tabs>
              <w:jc w:val="both"/>
              <w:rPr>
                <w:color w:val="000000" w:themeColor="text1"/>
                <w:lang w:val="ro-RO"/>
              </w:rPr>
            </w:pPr>
          </w:p>
          <w:p w14:paraId="2EDCCE29" w14:textId="77777777" w:rsidR="00841B7B" w:rsidRDefault="00841B7B" w:rsidP="00841B7B">
            <w:pPr>
              <w:tabs>
                <w:tab w:val="left" w:pos="284"/>
              </w:tabs>
              <w:jc w:val="both"/>
              <w:rPr>
                <w:color w:val="000000" w:themeColor="text1"/>
                <w:lang w:val="ro-RO"/>
              </w:rPr>
            </w:pPr>
          </w:p>
          <w:p w14:paraId="67DDB782" w14:textId="529053C4" w:rsidR="00841B7B" w:rsidRDefault="00B43C96" w:rsidP="00841B7B">
            <w:pPr>
              <w:tabs>
                <w:tab w:val="left" w:pos="284"/>
              </w:tabs>
              <w:jc w:val="both"/>
              <w:rPr>
                <w:color w:val="000000" w:themeColor="text1"/>
                <w:lang w:val="ro-RO"/>
              </w:rPr>
            </w:pPr>
            <w:r>
              <w:rPr>
                <w:color w:val="000000" w:themeColor="text1"/>
                <w:lang w:val="ro-RO"/>
              </w:rPr>
              <w:t>compatibil</w:t>
            </w:r>
          </w:p>
          <w:p w14:paraId="3FD5F468" w14:textId="77777777" w:rsidR="00841B7B" w:rsidRDefault="00841B7B" w:rsidP="00841B7B">
            <w:pPr>
              <w:tabs>
                <w:tab w:val="left" w:pos="284"/>
              </w:tabs>
              <w:jc w:val="both"/>
              <w:rPr>
                <w:color w:val="000000" w:themeColor="text1"/>
                <w:lang w:val="ro-RO"/>
              </w:rPr>
            </w:pPr>
          </w:p>
          <w:p w14:paraId="0E0E0F21" w14:textId="77777777" w:rsidR="00841B7B" w:rsidRDefault="00841B7B" w:rsidP="00841B7B">
            <w:pPr>
              <w:tabs>
                <w:tab w:val="left" w:pos="284"/>
              </w:tabs>
              <w:jc w:val="both"/>
              <w:rPr>
                <w:color w:val="000000" w:themeColor="text1"/>
                <w:lang w:val="ro-RO"/>
              </w:rPr>
            </w:pPr>
          </w:p>
          <w:p w14:paraId="4C671431" w14:textId="77777777" w:rsidR="00841B7B" w:rsidRDefault="00841B7B" w:rsidP="00841B7B">
            <w:pPr>
              <w:tabs>
                <w:tab w:val="left" w:pos="284"/>
              </w:tabs>
              <w:jc w:val="both"/>
              <w:rPr>
                <w:color w:val="000000" w:themeColor="text1"/>
                <w:lang w:val="ro-RO"/>
              </w:rPr>
            </w:pPr>
          </w:p>
          <w:p w14:paraId="297E8647" w14:textId="77777777" w:rsidR="00841B7B" w:rsidRDefault="00841B7B" w:rsidP="00841B7B">
            <w:pPr>
              <w:tabs>
                <w:tab w:val="left" w:pos="284"/>
              </w:tabs>
              <w:jc w:val="both"/>
              <w:rPr>
                <w:color w:val="000000" w:themeColor="text1"/>
                <w:lang w:val="ro-RO"/>
              </w:rPr>
            </w:pPr>
          </w:p>
          <w:p w14:paraId="75F20989" w14:textId="77777777" w:rsidR="00841B7B" w:rsidRDefault="00841B7B" w:rsidP="00841B7B">
            <w:pPr>
              <w:tabs>
                <w:tab w:val="left" w:pos="284"/>
              </w:tabs>
              <w:jc w:val="both"/>
              <w:rPr>
                <w:color w:val="000000" w:themeColor="text1"/>
                <w:lang w:val="ro-RO"/>
              </w:rPr>
            </w:pPr>
          </w:p>
          <w:p w14:paraId="6164D25D" w14:textId="77777777" w:rsidR="00841B7B" w:rsidRDefault="00841B7B" w:rsidP="00841B7B">
            <w:pPr>
              <w:tabs>
                <w:tab w:val="left" w:pos="284"/>
              </w:tabs>
              <w:jc w:val="both"/>
              <w:rPr>
                <w:color w:val="000000" w:themeColor="text1"/>
                <w:lang w:val="ro-RO"/>
              </w:rPr>
            </w:pPr>
          </w:p>
          <w:p w14:paraId="73E734E4" w14:textId="77777777" w:rsidR="00841B7B" w:rsidRDefault="00841B7B" w:rsidP="00841B7B">
            <w:pPr>
              <w:tabs>
                <w:tab w:val="left" w:pos="284"/>
              </w:tabs>
              <w:jc w:val="both"/>
              <w:rPr>
                <w:color w:val="000000" w:themeColor="text1"/>
                <w:lang w:val="ro-RO"/>
              </w:rPr>
            </w:pPr>
          </w:p>
          <w:p w14:paraId="07E4F961" w14:textId="77777777" w:rsidR="00841B7B" w:rsidRDefault="00841B7B" w:rsidP="00841B7B">
            <w:pPr>
              <w:tabs>
                <w:tab w:val="left" w:pos="284"/>
              </w:tabs>
              <w:jc w:val="both"/>
              <w:rPr>
                <w:color w:val="000000" w:themeColor="text1"/>
                <w:lang w:val="ro-RO"/>
              </w:rPr>
            </w:pPr>
          </w:p>
          <w:p w14:paraId="763FBD1A" w14:textId="77777777" w:rsidR="00841B7B" w:rsidRDefault="00841B7B" w:rsidP="00841B7B">
            <w:pPr>
              <w:tabs>
                <w:tab w:val="left" w:pos="284"/>
              </w:tabs>
              <w:jc w:val="both"/>
              <w:rPr>
                <w:color w:val="000000" w:themeColor="text1"/>
                <w:lang w:val="ro-RO"/>
              </w:rPr>
            </w:pPr>
          </w:p>
          <w:p w14:paraId="06467780" w14:textId="77777777" w:rsidR="00841B7B" w:rsidRDefault="00841B7B" w:rsidP="00841B7B">
            <w:pPr>
              <w:tabs>
                <w:tab w:val="left" w:pos="284"/>
              </w:tabs>
              <w:jc w:val="both"/>
              <w:rPr>
                <w:color w:val="000000" w:themeColor="text1"/>
                <w:lang w:val="ro-RO"/>
              </w:rPr>
            </w:pPr>
          </w:p>
          <w:p w14:paraId="58631016" w14:textId="77777777" w:rsidR="00841B7B" w:rsidRDefault="00841B7B" w:rsidP="00841B7B">
            <w:pPr>
              <w:tabs>
                <w:tab w:val="left" w:pos="284"/>
              </w:tabs>
              <w:jc w:val="both"/>
              <w:rPr>
                <w:color w:val="000000" w:themeColor="text1"/>
                <w:lang w:val="ro-RO"/>
              </w:rPr>
            </w:pPr>
          </w:p>
          <w:p w14:paraId="6B6D0ABC" w14:textId="77777777" w:rsidR="00841B7B" w:rsidRDefault="00841B7B" w:rsidP="00841B7B">
            <w:pPr>
              <w:tabs>
                <w:tab w:val="left" w:pos="284"/>
              </w:tabs>
              <w:jc w:val="both"/>
              <w:rPr>
                <w:color w:val="000000" w:themeColor="text1"/>
                <w:lang w:val="ro-RO"/>
              </w:rPr>
            </w:pPr>
          </w:p>
          <w:p w14:paraId="5141B9F8" w14:textId="77777777" w:rsidR="00841B7B" w:rsidRDefault="00841B7B" w:rsidP="00841B7B">
            <w:pPr>
              <w:tabs>
                <w:tab w:val="left" w:pos="284"/>
              </w:tabs>
              <w:jc w:val="both"/>
              <w:rPr>
                <w:color w:val="000000" w:themeColor="text1"/>
                <w:lang w:val="ro-RO"/>
              </w:rPr>
            </w:pPr>
          </w:p>
          <w:p w14:paraId="618839AE" w14:textId="77777777" w:rsidR="00841B7B" w:rsidRDefault="00841B7B" w:rsidP="00841B7B">
            <w:pPr>
              <w:tabs>
                <w:tab w:val="left" w:pos="284"/>
              </w:tabs>
              <w:jc w:val="both"/>
              <w:rPr>
                <w:color w:val="000000" w:themeColor="text1"/>
                <w:lang w:val="ro-RO"/>
              </w:rPr>
            </w:pPr>
          </w:p>
          <w:p w14:paraId="4219B934" w14:textId="77777777" w:rsidR="00841B7B" w:rsidRDefault="00841B7B" w:rsidP="00841B7B">
            <w:pPr>
              <w:tabs>
                <w:tab w:val="left" w:pos="284"/>
              </w:tabs>
              <w:jc w:val="both"/>
              <w:rPr>
                <w:color w:val="000000" w:themeColor="text1"/>
                <w:lang w:val="ro-RO"/>
              </w:rPr>
            </w:pPr>
          </w:p>
          <w:p w14:paraId="6FE2D66E" w14:textId="77777777" w:rsidR="00841B7B" w:rsidRDefault="00841B7B" w:rsidP="00841B7B">
            <w:pPr>
              <w:tabs>
                <w:tab w:val="left" w:pos="284"/>
              </w:tabs>
              <w:jc w:val="both"/>
              <w:rPr>
                <w:color w:val="000000" w:themeColor="text1"/>
                <w:lang w:val="ro-RO"/>
              </w:rPr>
            </w:pPr>
          </w:p>
          <w:p w14:paraId="6C49324B" w14:textId="77777777" w:rsidR="00841B7B" w:rsidRDefault="00841B7B" w:rsidP="00841B7B">
            <w:pPr>
              <w:tabs>
                <w:tab w:val="left" w:pos="284"/>
              </w:tabs>
              <w:jc w:val="both"/>
              <w:rPr>
                <w:color w:val="000000" w:themeColor="text1"/>
                <w:lang w:val="ro-RO"/>
              </w:rPr>
            </w:pPr>
          </w:p>
          <w:p w14:paraId="4F1B5CA8" w14:textId="77777777" w:rsidR="00841B7B" w:rsidRDefault="00841B7B" w:rsidP="00841B7B">
            <w:pPr>
              <w:tabs>
                <w:tab w:val="left" w:pos="284"/>
              </w:tabs>
              <w:jc w:val="both"/>
              <w:rPr>
                <w:color w:val="000000" w:themeColor="text1"/>
                <w:lang w:val="ro-RO"/>
              </w:rPr>
            </w:pPr>
          </w:p>
          <w:p w14:paraId="67BE8B25" w14:textId="77777777" w:rsidR="00841B7B" w:rsidRDefault="00841B7B" w:rsidP="00841B7B">
            <w:pPr>
              <w:tabs>
                <w:tab w:val="left" w:pos="284"/>
              </w:tabs>
              <w:jc w:val="both"/>
              <w:rPr>
                <w:color w:val="000000" w:themeColor="text1"/>
                <w:lang w:val="ro-RO"/>
              </w:rPr>
            </w:pPr>
            <w:r>
              <w:rPr>
                <w:color w:val="000000" w:themeColor="text1"/>
                <w:lang w:val="ro-RO"/>
              </w:rPr>
              <w:t>Parțial compatibil</w:t>
            </w:r>
          </w:p>
          <w:p w14:paraId="13ECFCC9" w14:textId="77777777" w:rsidR="00841B7B" w:rsidRDefault="00841B7B" w:rsidP="00841B7B">
            <w:pPr>
              <w:tabs>
                <w:tab w:val="left" w:pos="284"/>
              </w:tabs>
              <w:jc w:val="both"/>
              <w:rPr>
                <w:color w:val="000000" w:themeColor="text1"/>
                <w:lang w:val="ro-RO"/>
              </w:rPr>
            </w:pPr>
          </w:p>
          <w:p w14:paraId="05AA658B" w14:textId="77777777" w:rsidR="00841B7B" w:rsidRDefault="00841B7B" w:rsidP="00841B7B">
            <w:pPr>
              <w:tabs>
                <w:tab w:val="left" w:pos="284"/>
              </w:tabs>
              <w:jc w:val="both"/>
              <w:rPr>
                <w:color w:val="000000" w:themeColor="text1"/>
                <w:lang w:val="ro-RO"/>
              </w:rPr>
            </w:pPr>
          </w:p>
          <w:p w14:paraId="750633A6" w14:textId="77777777" w:rsidR="00841B7B" w:rsidRDefault="00841B7B" w:rsidP="00841B7B">
            <w:pPr>
              <w:tabs>
                <w:tab w:val="left" w:pos="284"/>
              </w:tabs>
              <w:jc w:val="both"/>
              <w:rPr>
                <w:color w:val="000000" w:themeColor="text1"/>
                <w:lang w:val="ro-RO"/>
              </w:rPr>
            </w:pPr>
          </w:p>
          <w:p w14:paraId="09F86351" w14:textId="77777777" w:rsidR="00841B7B" w:rsidRDefault="00841B7B" w:rsidP="00841B7B">
            <w:pPr>
              <w:tabs>
                <w:tab w:val="left" w:pos="284"/>
              </w:tabs>
              <w:jc w:val="both"/>
              <w:rPr>
                <w:color w:val="000000" w:themeColor="text1"/>
                <w:lang w:val="ro-RO"/>
              </w:rPr>
            </w:pPr>
          </w:p>
          <w:p w14:paraId="1906BF38" w14:textId="77777777" w:rsidR="00841B7B" w:rsidRDefault="00841B7B" w:rsidP="00841B7B">
            <w:pPr>
              <w:tabs>
                <w:tab w:val="left" w:pos="284"/>
              </w:tabs>
              <w:jc w:val="both"/>
              <w:rPr>
                <w:color w:val="000000" w:themeColor="text1"/>
                <w:lang w:val="ro-RO"/>
              </w:rPr>
            </w:pPr>
          </w:p>
          <w:p w14:paraId="32E281F0" w14:textId="77777777" w:rsidR="00841B7B" w:rsidRDefault="00841B7B" w:rsidP="00841B7B">
            <w:pPr>
              <w:tabs>
                <w:tab w:val="left" w:pos="284"/>
              </w:tabs>
              <w:jc w:val="both"/>
              <w:rPr>
                <w:color w:val="000000" w:themeColor="text1"/>
                <w:lang w:val="ro-RO"/>
              </w:rPr>
            </w:pPr>
          </w:p>
          <w:p w14:paraId="369FAFAD" w14:textId="77777777" w:rsidR="00841B7B" w:rsidRDefault="00841B7B" w:rsidP="00841B7B">
            <w:pPr>
              <w:tabs>
                <w:tab w:val="left" w:pos="284"/>
              </w:tabs>
              <w:jc w:val="both"/>
              <w:rPr>
                <w:color w:val="000000" w:themeColor="text1"/>
                <w:lang w:val="ro-RO"/>
              </w:rPr>
            </w:pPr>
          </w:p>
          <w:p w14:paraId="2723515F" w14:textId="77777777" w:rsidR="00841B7B" w:rsidRPr="00C94366" w:rsidRDefault="00841B7B" w:rsidP="00841B7B">
            <w:pPr>
              <w:tabs>
                <w:tab w:val="left" w:pos="284"/>
              </w:tabs>
              <w:jc w:val="both"/>
              <w:rPr>
                <w:color w:val="000000" w:themeColor="text1"/>
                <w:lang w:val="ro-RO"/>
              </w:rPr>
            </w:pPr>
          </w:p>
        </w:tc>
        <w:tc>
          <w:tcPr>
            <w:tcW w:w="1530" w:type="dxa"/>
          </w:tcPr>
          <w:p w14:paraId="10F574F8" w14:textId="77777777" w:rsidR="00841B7B" w:rsidRPr="00C94366" w:rsidRDefault="00841B7B" w:rsidP="00841B7B">
            <w:pPr>
              <w:tabs>
                <w:tab w:val="left" w:pos="284"/>
              </w:tabs>
              <w:ind w:left="284"/>
              <w:jc w:val="both"/>
              <w:rPr>
                <w:b/>
                <w:color w:val="000000" w:themeColor="text1"/>
                <w:lang w:val="ro-RO"/>
              </w:rPr>
            </w:pPr>
          </w:p>
        </w:tc>
        <w:tc>
          <w:tcPr>
            <w:tcW w:w="720" w:type="dxa"/>
          </w:tcPr>
          <w:p w14:paraId="3394FE33" w14:textId="77777777" w:rsidR="00841B7B" w:rsidRPr="00C94366" w:rsidRDefault="00841B7B" w:rsidP="00841B7B">
            <w:pPr>
              <w:tabs>
                <w:tab w:val="left" w:pos="284"/>
              </w:tabs>
              <w:jc w:val="both"/>
              <w:rPr>
                <w:b/>
                <w:color w:val="000000" w:themeColor="text1"/>
                <w:lang w:val="ro-RO"/>
              </w:rPr>
            </w:pPr>
          </w:p>
        </w:tc>
        <w:tc>
          <w:tcPr>
            <w:tcW w:w="934" w:type="dxa"/>
          </w:tcPr>
          <w:p w14:paraId="75E8B587" w14:textId="77777777" w:rsidR="00841B7B" w:rsidRPr="00C94366" w:rsidRDefault="00841B7B" w:rsidP="00841B7B">
            <w:pPr>
              <w:tabs>
                <w:tab w:val="left" w:pos="284"/>
              </w:tabs>
              <w:jc w:val="both"/>
              <w:rPr>
                <w:b/>
                <w:color w:val="000000" w:themeColor="text1"/>
                <w:lang w:val="ro-RO"/>
              </w:rPr>
            </w:pPr>
          </w:p>
        </w:tc>
      </w:tr>
      <w:tr w:rsidR="00841B7B" w:rsidRPr="00C94366" w14:paraId="009E845F" w14:textId="77777777" w:rsidTr="00841B7B">
        <w:trPr>
          <w:trHeight w:val="372"/>
        </w:trPr>
        <w:tc>
          <w:tcPr>
            <w:tcW w:w="5103" w:type="dxa"/>
            <w:gridSpan w:val="2"/>
          </w:tcPr>
          <w:p w14:paraId="503C3A54" w14:textId="77777777" w:rsidR="00841B7B" w:rsidRPr="00C94366" w:rsidRDefault="00841B7B" w:rsidP="00841B7B">
            <w:pPr>
              <w:tabs>
                <w:tab w:val="left" w:pos="29"/>
              </w:tabs>
              <w:ind w:left="29"/>
              <w:jc w:val="both"/>
              <w:rPr>
                <w:color w:val="000000" w:themeColor="text1"/>
                <w:lang w:val="ro-RO"/>
              </w:rPr>
            </w:pPr>
            <w:r w:rsidRPr="00C94366">
              <w:rPr>
                <w:lang w:val="ro-RO"/>
              </w:rPr>
              <w:t>Articolul 7 Abrogarea Deciziei 2005/34/CE Decizia 2005/34/CE se abrogă.</w:t>
            </w:r>
          </w:p>
        </w:tc>
        <w:tc>
          <w:tcPr>
            <w:tcW w:w="5245" w:type="dxa"/>
          </w:tcPr>
          <w:p w14:paraId="3196795D"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74BABE3F" w14:textId="77777777" w:rsidR="00841B7B" w:rsidRPr="00C94366" w:rsidRDefault="00841B7B" w:rsidP="00841B7B">
            <w:pPr>
              <w:tabs>
                <w:tab w:val="left" w:pos="284"/>
              </w:tabs>
              <w:jc w:val="both"/>
              <w:rPr>
                <w:color w:val="000000" w:themeColor="text1"/>
                <w:lang w:val="ro-RO"/>
              </w:rPr>
            </w:pPr>
            <w:r>
              <w:rPr>
                <w:color w:val="000000" w:themeColor="text1"/>
                <w:lang w:val="ro-RO"/>
              </w:rPr>
              <w:t>necompatibil</w:t>
            </w:r>
          </w:p>
        </w:tc>
        <w:tc>
          <w:tcPr>
            <w:tcW w:w="1530" w:type="dxa"/>
          </w:tcPr>
          <w:p w14:paraId="3B217272" w14:textId="77777777" w:rsidR="00841B7B" w:rsidRPr="00C94366" w:rsidRDefault="00841B7B" w:rsidP="00841B7B">
            <w:pPr>
              <w:tabs>
                <w:tab w:val="left" w:pos="284"/>
              </w:tabs>
              <w:ind w:left="284"/>
              <w:jc w:val="both"/>
              <w:rPr>
                <w:b/>
                <w:color w:val="000000" w:themeColor="text1"/>
                <w:lang w:val="ro-RO"/>
              </w:rPr>
            </w:pPr>
          </w:p>
        </w:tc>
        <w:tc>
          <w:tcPr>
            <w:tcW w:w="720" w:type="dxa"/>
          </w:tcPr>
          <w:p w14:paraId="0D304720" w14:textId="77777777" w:rsidR="00841B7B" w:rsidRPr="00C94366" w:rsidRDefault="00841B7B" w:rsidP="00841B7B">
            <w:pPr>
              <w:tabs>
                <w:tab w:val="left" w:pos="284"/>
              </w:tabs>
              <w:jc w:val="both"/>
              <w:rPr>
                <w:b/>
                <w:color w:val="000000" w:themeColor="text1"/>
                <w:lang w:val="ro-RO"/>
              </w:rPr>
            </w:pPr>
          </w:p>
        </w:tc>
        <w:tc>
          <w:tcPr>
            <w:tcW w:w="934" w:type="dxa"/>
          </w:tcPr>
          <w:p w14:paraId="10254396" w14:textId="77777777" w:rsidR="00841B7B" w:rsidRPr="00C94366" w:rsidRDefault="00841B7B" w:rsidP="00841B7B">
            <w:pPr>
              <w:tabs>
                <w:tab w:val="left" w:pos="284"/>
              </w:tabs>
              <w:jc w:val="both"/>
              <w:rPr>
                <w:b/>
                <w:color w:val="000000" w:themeColor="text1"/>
                <w:lang w:val="ro-RO"/>
              </w:rPr>
            </w:pPr>
          </w:p>
        </w:tc>
      </w:tr>
      <w:tr w:rsidR="00841B7B" w:rsidRPr="00C94366" w14:paraId="7C0F3880" w14:textId="77777777" w:rsidTr="00841B7B">
        <w:trPr>
          <w:trHeight w:val="372"/>
        </w:trPr>
        <w:tc>
          <w:tcPr>
            <w:tcW w:w="5103" w:type="dxa"/>
            <w:gridSpan w:val="2"/>
          </w:tcPr>
          <w:p w14:paraId="5C48F0CC" w14:textId="77777777" w:rsidR="00841B7B" w:rsidRPr="00C94366" w:rsidRDefault="00841B7B" w:rsidP="00841B7B">
            <w:pPr>
              <w:tabs>
                <w:tab w:val="left" w:pos="29"/>
              </w:tabs>
              <w:ind w:left="29"/>
              <w:jc w:val="both"/>
              <w:rPr>
                <w:lang w:val="ro-RO"/>
              </w:rPr>
            </w:pPr>
            <w:r w:rsidRPr="00C94366">
              <w:rPr>
                <w:lang w:val="ro-RO"/>
              </w:rPr>
              <w:t xml:space="preserve">Articolul 8 Aplicarea valorilor de referință </w:t>
            </w:r>
          </w:p>
          <w:p w14:paraId="754ABC77" w14:textId="77777777" w:rsidR="00841B7B" w:rsidRPr="00C94366" w:rsidRDefault="00841B7B" w:rsidP="00841B7B">
            <w:pPr>
              <w:tabs>
                <w:tab w:val="left" w:pos="29"/>
              </w:tabs>
              <w:ind w:left="29"/>
              <w:jc w:val="both"/>
              <w:rPr>
                <w:lang w:val="ro-RO"/>
              </w:rPr>
            </w:pPr>
          </w:p>
          <w:p w14:paraId="4F2D1E49" w14:textId="77777777" w:rsidR="00841B7B" w:rsidRPr="00C94366" w:rsidRDefault="00841B7B" w:rsidP="00841B7B">
            <w:pPr>
              <w:tabs>
                <w:tab w:val="left" w:pos="29"/>
              </w:tabs>
              <w:ind w:left="29"/>
              <w:jc w:val="both"/>
              <w:rPr>
                <w:color w:val="000000" w:themeColor="text1"/>
                <w:lang w:val="ro-RO"/>
              </w:rPr>
            </w:pPr>
            <w:r w:rsidRPr="00C94366">
              <w:rPr>
                <w:lang w:val="ro-RO"/>
              </w:rPr>
              <w:t xml:space="preserve">Valorile de referință prevăzute în anexa la prezentul regulament se aplică de la 28 noiembrie 2022. Până la data prevăzută la primul paragraf, limitele de performanță minime </w:t>
            </w:r>
            <w:r w:rsidRPr="00C94366">
              <w:rPr>
                <w:lang w:val="ro-RO"/>
              </w:rPr>
              <w:lastRenderedPageBreak/>
              <w:t>necesare pentru cloramfenicol, metaboliții nitrofuranului și suma dintre verdele malachit și verdele leucomalachit, incluse în anexa II la Decizia 2002/657/CE, se aplică drept valori de referință pentru alimentele de origine animală importate din țări terțe și pentru produsele alimentare de origine animală produse în Uniune.</w:t>
            </w:r>
          </w:p>
        </w:tc>
        <w:tc>
          <w:tcPr>
            <w:tcW w:w="5245" w:type="dxa"/>
          </w:tcPr>
          <w:p w14:paraId="10EFB682"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5739407D" w14:textId="77777777" w:rsidR="00841B7B" w:rsidRPr="00C94366" w:rsidRDefault="00841B7B" w:rsidP="00841B7B">
            <w:pPr>
              <w:tabs>
                <w:tab w:val="left" w:pos="284"/>
              </w:tabs>
              <w:jc w:val="both"/>
              <w:rPr>
                <w:color w:val="000000" w:themeColor="text1"/>
                <w:lang w:val="ro-RO"/>
              </w:rPr>
            </w:pPr>
            <w:r>
              <w:rPr>
                <w:color w:val="000000" w:themeColor="text1"/>
                <w:lang w:val="ro-RO"/>
              </w:rPr>
              <w:t>necompatibil</w:t>
            </w:r>
          </w:p>
        </w:tc>
        <w:tc>
          <w:tcPr>
            <w:tcW w:w="1530" w:type="dxa"/>
          </w:tcPr>
          <w:p w14:paraId="4A6BDC24" w14:textId="77777777" w:rsidR="00841B7B" w:rsidRPr="00C94366" w:rsidRDefault="00841B7B" w:rsidP="00841B7B">
            <w:pPr>
              <w:tabs>
                <w:tab w:val="left" w:pos="284"/>
              </w:tabs>
              <w:ind w:left="284"/>
              <w:jc w:val="both"/>
              <w:rPr>
                <w:b/>
                <w:color w:val="000000" w:themeColor="text1"/>
                <w:lang w:val="ro-RO"/>
              </w:rPr>
            </w:pPr>
          </w:p>
        </w:tc>
        <w:tc>
          <w:tcPr>
            <w:tcW w:w="720" w:type="dxa"/>
          </w:tcPr>
          <w:p w14:paraId="26E93E07" w14:textId="77777777" w:rsidR="00841B7B" w:rsidRPr="00C94366" w:rsidRDefault="00841B7B" w:rsidP="00841B7B">
            <w:pPr>
              <w:tabs>
                <w:tab w:val="left" w:pos="284"/>
              </w:tabs>
              <w:jc w:val="both"/>
              <w:rPr>
                <w:b/>
                <w:color w:val="000000" w:themeColor="text1"/>
                <w:lang w:val="ro-RO"/>
              </w:rPr>
            </w:pPr>
          </w:p>
        </w:tc>
        <w:tc>
          <w:tcPr>
            <w:tcW w:w="934" w:type="dxa"/>
          </w:tcPr>
          <w:p w14:paraId="5CFD4A10" w14:textId="77777777" w:rsidR="00841B7B" w:rsidRPr="00C94366" w:rsidRDefault="00841B7B" w:rsidP="00841B7B">
            <w:pPr>
              <w:tabs>
                <w:tab w:val="left" w:pos="284"/>
              </w:tabs>
              <w:jc w:val="both"/>
              <w:rPr>
                <w:b/>
                <w:color w:val="000000" w:themeColor="text1"/>
                <w:lang w:val="ro-RO"/>
              </w:rPr>
            </w:pPr>
          </w:p>
        </w:tc>
      </w:tr>
      <w:tr w:rsidR="00841B7B" w:rsidRPr="00C94366" w14:paraId="1AECF54D" w14:textId="77777777" w:rsidTr="00841B7B">
        <w:trPr>
          <w:trHeight w:val="372"/>
        </w:trPr>
        <w:tc>
          <w:tcPr>
            <w:tcW w:w="5103" w:type="dxa"/>
            <w:gridSpan w:val="2"/>
          </w:tcPr>
          <w:p w14:paraId="6EF78DE5" w14:textId="77777777" w:rsidR="00841B7B" w:rsidRPr="00C94366" w:rsidRDefault="00841B7B" w:rsidP="00841B7B">
            <w:pPr>
              <w:tabs>
                <w:tab w:val="left" w:pos="29"/>
              </w:tabs>
              <w:ind w:left="29"/>
              <w:jc w:val="center"/>
              <w:rPr>
                <w:lang w:val="ro-RO"/>
              </w:rPr>
            </w:pPr>
            <w:r w:rsidRPr="00C94366">
              <w:rPr>
                <w:lang w:val="ro-RO"/>
              </w:rPr>
              <w:t xml:space="preserve">Articolul 9 Intrare în vigoare </w:t>
            </w:r>
          </w:p>
          <w:p w14:paraId="2A0B6CB9" w14:textId="77777777" w:rsidR="00841B7B" w:rsidRPr="00C94366" w:rsidRDefault="00841B7B" w:rsidP="00841B7B">
            <w:pPr>
              <w:tabs>
                <w:tab w:val="left" w:pos="29"/>
              </w:tabs>
              <w:ind w:left="29"/>
              <w:jc w:val="center"/>
              <w:rPr>
                <w:lang w:val="ro-RO"/>
              </w:rPr>
            </w:pPr>
          </w:p>
          <w:p w14:paraId="1356C9A7" w14:textId="77777777" w:rsidR="00841B7B" w:rsidRPr="00C94366" w:rsidRDefault="00841B7B" w:rsidP="00841B7B">
            <w:pPr>
              <w:tabs>
                <w:tab w:val="left" w:pos="29"/>
              </w:tabs>
              <w:ind w:left="29"/>
              <w:jc w:val="center"/>
              <w:rPr>
                <w:color w:val="000000" w:themeColor="text1"/>
                <w:lang w:val="ro-RO"/>
              </w:rPr>
            </w:pPr>
            <w:r w:rsidRPr="00C94366">
              <w:rPr>
                <w:lang w:val="ro-RO"/>
              </w:rPr>
              <w:t>Prezentul regulament intră în vigoare în a douăzecea zi de la data publicării în Jurnalul Oficial al Uniunii Europene. Prezentul regulament este obligatoriu în toate elementele sale și se aplică direct în toate statele membre. Adoptat la Bruxelles, 7 noiembrie 2019.</w:t>
            </w:r>
          </w:p>
        </w:tc>
        <w:tc>
          <w:tcPr>
            <w:tcW w:w="5245" w:type="dxa"/>
          </w:tcPr>
          <w:p w14:paraId="0382DA59"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4DFF312B" w14:textId="77777777" w:rsidR="00841B7B" w:rsidRPr="00C94366" w:rsidRDefault="00841B7B" w:rsidP="00841B7B">
            <w:pPr>
              <w:tabs>
                <w:tab w:val="left" w:pos="284"/>
              </w:tabs>
              <w:jc w:val="both"/>
              <w:rPr>
                <w:color w:val="000000" w:themeColor="text1"/>
                <w:lang w:val="ro-RO"/>
              </w:rPr>
            </w:pPr>
            <w:r>
              <w:rPr>
                <w:color w:val="000000" w:themeColor="text1"/>
                <w:lang w:val="ro-RO"/>
              </w:rPr>
              <w:t>necompatibil</w:t>
            </w:r>
          </w:p>
        </w:tc>
        <w:tc>
          <w:tcPr>
            <w:tcW w:w="1530" w:type="dxa"/>
          </w:tcPr>
          <w:p w14:paraId="520E183C" w14:textId="77777777" w:rsidR="00841B7B" w:rsidRPr="00C94366" w:rsidRDefault="00841B7B" w:rsidP="00841B7B">
            <w:pPr>
              <w:tabs>
                <w:tab w:val="left" w:pos="284"/>
              </w:tabs>
              <w:ind w:left="284"/>
              <w:jc w:val="both"/>
              <w:rPr>
                <w:b/>
                <w:color w:val="000000" w:themeColor="text1"/>
                <w:lang w:val="ro-RO"/>
              </w:rPr>
            </w:pPr>
          </w:p>
        </w:tc>
        <w:tc>
          <w:tcPr>
            <w:tcW w:w="720" w:type="dxa"/>
          </w:tcPr>
          <w:p w14:paraId="01C498EE" w14:textId="77777777" w:rsidR="00841B7B" w:rsidRPr="00C94366" w:rsidRDefault="00841B7B" w:rsidP="00841B7B">
            <w:pPr>
              <w:tabs>
                <w:tab w:val="left" w:pos="284"/>
              </w:tabs>
              <w:jc w:val="both"/>
              <w:rPr>
                <w:b/>
                <w:color w:val="000000" w:themeColor="text1"/>
                <w:lang w:val="ro-RO"/>
              </w:rPr>
            </w:pPr>
          </w:p>
        </w:tc>
        <w:tc>
          <w:tcPr>
            <w:tcW w:w="934" w:type="dxa"/>
          </w:tcPr>
          <w:p w14:paraId="6E2BA1D9" w14:textId="77777777" w:rsidR="00841B7B" w:rsidRPr="00C94366" w:rsidRDefault="00841B7B" w:rsidP="00841B7B">
            <w:pPr>
              <w:tabs>
                <w:tab w:val="left" w:pos="284"/>
              </w:tabs>
              <w:jc w:val="both"/>
              <w:rPr>
                <w:b/>
                <w:color w:val="000000" w:themeColor="text1"/>
                <w:lang w:val="ro-RO"/>
              </w:rPr>
            </w:pPr>
          </w:p>
        </w:tc>
      </w:tr>
      <w:tr w:rsidR="00841B7B" w:rsidRPr="00C94366" w14:paraId="3BCE6D49" w14:textId="77777777" w:rsidTr="00841B7B">
        <w:trPr>
          <w:trHeight w:val="372"/>
        </w:trPr>
        <w:tc>
          <w:tcPr>
            <w:tcW w:w="5103" w:type="dxa"/>
            <w:gridSpan w:val="2"/>
          </w:tcPr>
          <w:p w14:paraId="0F8B51EF" w14:textId="77777777" w:rsidR="00841B7B" w:rsidRDefault="00841B7B" w:rsidP="00841B7B">
            <w:pPr>
              <w:tabs>
                <w:tab w:val="left" w:pos="29"/>
              </w:tabs>
              <w:ind w:left="29"/>
              <w:jc w:val="center"/>
              <w:rPr>
                <w:lang w:val="ro-RO"/>
              </w:rPr>
            </w:pPr>
            <w:r w:rsidRPr="00C94366">
              <w:rPr>
                <w:lang w:val="ro-RO"/>
              </w:rPr>
              <w:t>ANEXĂ Valorile de referință (VR)</w:t>
            </w:r>
          </w:p>
          <w:p w14:paraId="6ED2F1D2" w14:textId="77777777" w:rsidR="00841B7B" w:rsidRDefault="00841B7B" w:rsidP="00841B7B">
            <w:pPr>
              <w:shd w:val="clear" w:color="auto" w:fill="FFFFFF"/>
              <w:spacing w:before="60" w:after="60" w:line="312" w:lineRule="atLeast"/>
              <w:rPr>
                <w:color w:val="333333"/>
                <w:sz w:val="19"/>
                <w:szCs w:val="19"/>
                <w:lang w:val="ro-RO"/>
              </w:rPr>
            </w:pPr>
            <w:r>
              <w:rPr>
                <w:color w:val="333333"/>
                <w:sz w:val="19"/>
                <w:szCs w:val="19"/>
                <w:lang w:val="ro-RO"/>
              </w:rPr>
              <w:t>  (</w:t>
            </w:r>
            <w:r>
              <w:rPr>
                <w:color w:val="333333"/>
                <w:sz w:val="13"/>
                <w:szCs w:val="13"/>
                <w:vertAlign w:val="superscript"/>
                <w:lang w:val="ro-RO"/>
              </w:rPr>
              <w:t>1</w:t>
            </w:r>
            <w:r>
              <w:rPr>
                <w:color w:val="333333"/>
                <w:sz w:val="19"/>
                <w:szCs w:val="19"/>
                <w:lang w:val="ro-RO"/>
              </w:rPr>
              <w:t>) Din cauza prezenței naturale a SEM în raci la niveluri peste VR, numai nivelurile de AOZ, AMOZ, AHD și DNSH peste VR sunt un indiciu clar al utilizării ilegale a nitrofuranilor și a metaboliților acestora. VR de 0,5 µg/kg pentru SEM în raci se aplică numai atunci când utilizarea ilegală a nitrofurazonei pe raci a fost confirmată.</w:t>
            </w:r>
          </w:p>
          <w:p w14:paraId="2D9407BE" w14:textId="77777777" w:rsidR="00841B7B" w:rsidRPr="00C94366" w:rsidRDefault="00841B7B" w:rsidP="00841B7B">
            <w:pPr>
              <w:tabs>
                <w:tab w:val="left" w:pos="29"/>
              </w:tabs>
              <w:ind w:left="29"/>
              <w:jc w:val="center"/>
              <w:rPr>
                <w:lang w:val="ro-RO"/>
              </w:rPr>
            </w:pPr>
          </w:p>
        </w:tc>
        <w:tc>
          <w:tcPr>
            <w:tcW w:w="5245" w:type="dxa"/>
          </w:tcPr>
          <w:p w14:paraId="22F9C0A4" w14:textId="77777777" w:rsidR="00841B7B" w:rsidRDefault="00841B7B" w:rsidP="00841B7B">
            <w:pPr>
              <w:suppressAutoHyphens/>
              <w:autoSpaceDN w:val="0"/>
              <w:ind w:left="34" w:firstLine="34"/>
              <w:jc w:val="both"/>
              <w:textAlignment w:val="baseline"/>
              <w:rPr>
                <w:rFonts w:eastAsia="Arial Unicode MS"/>
                <w:color w:val="000000" w:themeColor="text1"/>
                <w:kern w:val="3"/>
                <w:lang w:val="ro-RO"/>
              </w:rPr>
            </w:pPr>
            <w:r>
              <w:rPr>
                <w:rFonts w:eastAsia="Arial Unicode MS"/>
                <w:color w:val="000000" w:themeColor="text1"/>
                <w:kern w:val="3"/>
                <w:lang w:val="ro-RO"/>
              </w:rPr>
              <w:t xml:space="preserve">Tabel : </w:t>
            </w:r>
            <w:r w:rsidRPr="0092356D">
              <w:rPr>
                <w:rFonts w:eastAsia="Arial Unicode MS"/>
                <w:color w:val="000000" w:themeColor="text1"/>
                <w:kern w:val="3"/>
                <w:lang w:val="ro-RO"/>
              </w:rPr>
              <w:t>Valorile de referință (VR)</w:t>
            </w:r>
          </w:p>
          <w:p w14:paraId="62602B64" w14:textId="77777777" w:rsidR="00841B7B" w:rsidRDefault="00841B7B" w:rsidP="00841B7B">
            <w:pPr>
              <w:shd w:val="clear" w:color="auto" w:fill="FFFFFF"/>
              <w:spacing w:before="60" w:after="60" w:line="312" w:lineRule="atLeast"/>
              <w:rPr>
                <w:color w:val="333333"/>
                <w:sz w:val="19"/>
                <w:szCs w:val="19"/>
                <w:lang w:val="ro-RO"/>
              </w:rPr>
            </w:pPr>
            <w:r>
              <w:rPr>
                <w:color w:val="333333"/>
                <w:sz w:val="19"/>
                <w:szCs w:val="19"/>
                <w:lang w:val="ro-RO"/>
              </w:rPr>
              <w:t>  (</w:t>
            </w:r>
            <w:r>
              <w:rPr>
                <w:color w:val="333333"/>
                <w:sz w:val="13"/>
                <w:szCs w:val="13"/>
                <w:vertAlign w:val="superscript"/>
                <w:lang w:val="ro-RO"/>
              </w:rPr>
              <w:t>1</w:t>
            </w:r>
            <w:r>
              <w:rPr>
                <w:color w:val="333333"/>
                <w:sz w:val="19"/>
                <w:szCs w:val="19"/>
                <w:lang w:val="ro-RO"/>
              </w:rPr>
              <w:t>) Din cauza prezenței naturale a SEM în raci la niveluri peste VR, numai nivelurile de AOZ, AMOZ, AHD și DNSH peste VR sunt un indiciu clar al utilizării ilegale a nitrofuranilor și a metaboliților acestora. VR de 0,5 µg/kg pentru SEM în raci se aplică numai atunci când utilizarea ilegală a nitrofurazonei pe raci a fost confirmată.</w:t>
            </w:r>
          </w:p>
          <w:p w14:paraId="1E6D9709" w14:textId="77777777" w:rsidR="00841B7B" w:rsidRPr="00C94366" w:rsidRDefault="00841B7B" w:rsidP="00841B7B">
            <w:pPr>
              <w:suppressAutoHyphens/>
              <w:autoSpaceDN w:val="0"/>
              <w:ind w:left="34" w:firstLine="34"/>
              <w:jc w:val="both"/>
              <w:textAlignment w:val="baseline"/>
              <w:rPr>
                <w:rFonts w:eastAsia="Arial Unicode MS"/>
                <w:color w:val="000000" w:themeColor="text1"/>
                <w:kern w:val="3"/>
                <w:lang w:val="ro-RO"/>
              </w:rPr>
            </w:pPr>
          </w:p>
        </w:tc>
        <w:tc>
          <w:tcPr>
            <w:tcW w:w="1352" w:type="dxa"/>
          </w:tcPr>
          <w:p w14:paraId="6D4809D6" w14:textId="77777777" w:rsidR="00841B7B" w:rsidRPr="00C94366" w:rsidRDefault="00841B7B" w:rsidP="00841B7B">
            <w:pPr>
              <w:tabs>
                <w:tab w:val="left" w:pos="284"/>
              </w:tabs>
              <w:jc w:val="both"/>
              <w:rPr>
                <w:color w:val="000000" w:themeColor="text1"/>
                <w:lang w:val="ro-RO"/>
              </w:rPr>
            </w:pPr>
            <w:r>
              <w:rPr>
                <w:color w:val="000000" w:themeColor="text1"/>
                <w:lang w:val="ro-RO"/>
              </w:rPr>
              <w:t>compatibil</w:t>
            </w:r>
          </w:p>
        </w:tc>
        <w:tc>
          <w:tcPr>
            <w:tcW w:w="1530" w:type="dxa"/>
          </w:tcPr>
          <w:p w14:paraId="7FAE4136" w14:textId="77777777" w:rsidR="00841B7B" w:rsidRPr="00C94366" w:rsidRDefault="00841B7B" w:rsidP="00841B7B">
            <w:pPr>
              <w:tabs>
                <w:tab w:val="left" w:pos="284"/>
              </w:tabs>
              <w:ind w:left="284"/>
              <w:jc w:val="both"/>
              <w:rPr>
                <w:b/>
                <w:color w:val="000000" w:themeColor="text1"/>
                <w:lang w:val="ro-RO"/>
              </w:rPr>
            </w:pPr>
          </w:p>
        </w:tc>
        <w:tc>
          <w:tcPr>
            <w:tcW w:w="720" w:type="dxa"/>
          </w:tcPr>
          <w:p w14:paraId="5B08B92A" w14:textId="77777777" w:rsidR="00841B7B" w:rsidRPr="00C94366" w:rsidRDefault="00841B7B" w:rsidP="00841B7B">
            <w:pPr>
              <w:tabs>
                <w:tab w:val="left" w:pos="284"/>
              </w:tabs>
              <w:jc w:val="both"/>
              <w:rPr>
                <w:b/>
                <w:color w:val="000000" w:themeColor="text1"/>
                <w:lang w:val="ro-RO"/>
              </w:rPr>
            </w:pPr>
          </w:p>
        </w:tc>
        <w:tc>
          <w:tcPr>
            <w:tcW w:w="934" w:type="dxa"/>
          </w:tcPr>
          <w:p w14:paraId="78B46688" w14:textId="77777777" w:rsidR="00841B7B" w:rsidRPr="00C94366" w:rsidRDefault="00841B7B" w:rsidP="00841B7B">
            <w:pPr>
              <w:tabs>
                <w:tab w:val="left" w:pos="284"/>
              </w:tabs>
              <w:jc w:val="both"/>
              <w:rPr>
                <w:b/>
                <w:color w:val="000000" w:themeColor="text1"/>
                <w:lang w:val="ro-RO"/>
              </w:rPr>
            </w:pPr>
          </w:p>
        </w:tc>
      </w:tr>
    </w:tbl>
    <w:p w14:paraId="7943695A" w14:textId="77777777" w:rsidR="00841B7B" w:rsidRPr="00C94366" w:rsidRDefault="00841B7B" w:rsidP="00841B7B">
      <w:pPr>
        <w:spacing w:after="0"/>
        <w:jc w:val="both"/>
        <w:rPr>
          <w:lang w:val="ro-RO"/>
        </w:rPr>
      </w:pPr>
    </w:p>
    <w:p w14:paraId="7BB99C1A" w14:textId="77777777" w:rsidR="00F12C76" w:rsidRDefault="00F12C76" w:rsidP="006C0B77">
      <w:pPr>
        <w:spacing w:after="0"/>
        <w:ind w:firstLine="709"/>
        <w:jc w:val="both"/>
      </w:pPr>
    </w:p>
    <w:sectPr w:rsidR="00F12C76" w:rsidSect="00003908">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CBCD" w14:textId="77777777" w:rsidR="00FB6BB9" w:rsidRDefault="00FB6BB9" w:rsidP="00841B7B">
      <w:pPr>
        <w:spacing w:after="0" w:line="240" w:lineRule="auto"/>
      </w:pPr>
      <w:r>
        <w:separator/>
      </w:r>
    </w:p>
  </w:endnote>
  <w:endnote w:type="continuationSeparator" w:id="0">
    <w:p w14:paraId="43C8C4B7" w14:textId="77777777" w:rsidR="00FB6BB9" w:rsidRDefault="00FB6BB9" w:rsidP="008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A15D" w14:textId="77777777" w:rsidR="00FB6BB9" w:rsidRDefault="00FB6BB9" w:rsidP="00841B7B">
      <w:pPr>
        <w:spacing w:after="0" w:line="240" w:lineRule="auto"/>
      </w:pPr>
      <w:r>
        <w:separator/>
      </w:r>
    </w:p>
  </w:footnote>
  <w:footnote w:type="continuationSeparator" w:id="0">
    <w:p w14:paraId="0887475D" w14:textId="77777777" w:rsidR="00FB6BB9" w:rsidRDefault="00FB6BB9" w:rsidP="00841B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7B"/>
    <w:rsid w:val="006C0B77"/>
    <w:rsid w:val="008242FF"/>
    <w:rsid w:val="00841B7B"/>
    <w:rsid w:val="00870751"/>
    <w:rsid w:val="00922C48"/>
    <w:rsid w:val="00B43C96"/>
    <w:rsid w:val="00B915B7"/>
    <w:rsid w:val="00EA59DF"/>
    <w:rsid w:val="00EE4070"/>
    <w:rsid w:val="00F12C76"/>
    <w:rsid w:val="00F907AE"/>
    <w:rsid w:val="00FB6BB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BE55"/>
  <w15:chartTrackingRefBased/>
  <w15:docId w15:val="{3C908DA3-A433-49DC-B9A1-DD924CAE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7B"/>
    <w:rPr>
      <w:rFonts w:eastAsia="SimSu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B7B"/>
    <w:pPr>
      <w:spacing w:after="0" w:line="240" w:lineRule="auto"/>
    </w:pPr>
    <w:rPr>
      <w:rFonts w:ascii="Times New Roman" w:eastAsia="SimSun" w:hAnsi="Times New Roman" w:cs="Times New Roman"/>
      <w:sz w:val="20"/>
      <w:szCs w:val="20"/>
      <w:lang w:val="ru-RU"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B7B"/>
    <w:rPr>
      <w:rFonts w:eastAsia="SimSun"/>
      <w:lang w:val="ru-RU"/>
    </w:rPr>
  </w:style>
  <w:style w:type="paragraph" w:styleId="Footer">
    <w:name w:val="footer"/>
    <w:basedOn w:val="Normal"/>
    <w:link w:val="FooterChar"/>
    <w:uiPriority w:val="99"/>
    <w:unhideWhenUsed/>
    <w:rsid w:val="00841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B7B"/>
    <w:rPr>
      <w:rFonts w:eastAsia="SimSu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2689</Words>
  <Characters>15600</Characters>
  <Application>Microsoft Office Word</Application>
  <DocSecurity>0</DocSecurity>
  <Lines>130</Lines>
  <Paragraphs>36</Paragraphs>
  <ScaleCrop>false</ScaleCrop>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Malancea</dc:creator>
  <cp:keywords/>
  <dc:description/>
  <cp:lastModifiedBy>Nicolae Malancea</cp:lastModifiedBy>
  <cp:revision>2</cp:revision>
  <dcterms:created xsi:type="dcterms:W3CDTF">2023-06-29T05:41:00Z</dcterms:created>
  <dcterms:modified xsi:type="dcterms:W3CDTF">2023-06-29T05:59:00Z</dcterms:modified>
</cp:coreProperties>
</file>