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401" w:rsidRPr="00412401" w:rsidRDefault="00412401" w:rsidP="00412401">
      <w:pPr>
        <w:spacing w:after="0" w:line="240" w:lineRule="auto"/>
        <w:ind w:hanging="284"/>
        <w:jc w:val="center"/>
        <w:rPr>
          <w:rFonts w:ascii="Times New Roman" w:eastAsia="Times New Roman" w:hAnsi="Times New Roman" w:cs="Times New Roman"/>
          <w:b/>
          <w:sz w:val="24"/>
          <w:szCs w:val="24"/>
          <w:lang w:val="ro-MD"/>
        </w:rPr>
      </w:pPr>
      <w:bookmarkStart w:id="0" w:name="_GoBack"/>
      <w:bookmarkEnd w:id="0"/>
      <w:r w:rsidRPr="00412401">
        <w:rPr>
          <w:rFonts w:ascii="Times New Roman" w:eastAsia="Times New Roman" w:hAnsi="Times New Roman" w:cs="Times New Roman"/>
          <w:b/>
          <w:sz w:val="24"/>
          <w:szCs w:val="24"/>
          <w:lang w:val="ro-MD"/>
        </w:rPr>
        <w:t>Notă informativă la proiectul Hotărârii Guvernului cu privire la reorganizarea unor întreprinderi de stat</w:t>
      </w:r>
    </w:p>
    <w:tbl>
      <w:tblPr>
        <w:tblStyle w:val="12"/>
        <w:tblW w:w="10349" w:type="dxa"/>
        <w:tblInd w:w="-856" w:type="dxa"/>
        <w:tblLook w:val="04A0" w:firstRow="1" w:lastRow="0" w:firstColumn="1" w:lastColumn="0" w:noHBand="0" w:noVBand="1"/>
      </w:tblPr>
      <w:tblGrid>
        <w:gridCol w:w="10349"/>
      </w:tblGrid>
      <w:tr w:rsidR="00412401" w:rsidRPr="00412401" w:rsidTr="00F00A68">
        <w:trPr>
          <w:trHeight w:val="569"/>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b/>
                <w:sz w:val="24"/>
                <w:szCs w:val="24"/>
                <w:lang w:val="ro-MD"/>
              </w:rPr>
            </w:pPr>
            <w:r w:rsidRPr="00412401">
              <w:rPr>
                <w:rFonts w:ascii="Times New Roman" w:eastAsia="Times New Roman" w:hAnsi="Times New Roman"/>
                <w:b/>
                <w:sz w:val="24"/>
                <w:szCs w:val="24"/>
                <w:lang w:val="ro-MD"/>
              </w:rPr>
              <w:t xml:space="preserve">1. Denumirea autorului </w:t>
            </w:r>
            <w:proofErr w:type="spellStart"/>
            <w:r w:rsidRPr="00412401">
              <w:rPr>
                <w:rFonts w:ascii="Times New Roman" w:eastAsia="Times New Roman" w:hAnsi="Times New Roman"/>
                <w:b/>
                <w:sz w:val="24"/>
                <w:szCs w:val="24"/>
                <w:lang w:val="ro-MD"/>
              </w:rPr>
              <w:t>şi</w:t>
            </w:r>
            <w:proofErr w:type="spellEnd"/>
            <w:r w:rsidRPr="00412401">
              <w:rPr>
                <w:rFonts w:ascii="Times New Roman" w:eastAsia="Times New Roman" w:hAnsi="Times New Roman"/>
                <w:b/>
                <w:sz w:val="24"/>
                <w:szCs w:val="24"/>
                <w:lang w:val="ro-MD"/>
              </w:rPr>
              <w:t>, după caz, a participanților la elaborarea proiectului</w:t>
            </w:r>
          </w:p>
        </w:tc>
      </w:tr>
      <w:tr w:rsidR="00412401" w:rsidRPr="00412401" w:rsidTr="00F00A68">
        <w:trPr>
          <w:trHeight w:val="274"/>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4"/>
                <w:lang w:val="ro-MD"/>
              </w:rPr>
            </w:pPr>
            <w:r w:rsidRPr="00412401">
              <w:rPr>
                <w:rFonts w:ascii="Times New Roman" w:eastAsia="Times New Roman" w:hAnsi="Times New Roman"/>
                <w:sz w:val="24"/>
                <w:szCs w:val="24"/>
                <w:lang w:val="ro-MD"/>
              </w:rPr>
              <w:t xml:space="preserve">    </w:t>
            </w:r>
            <w:r w:rsidRPr="00412401">
              <w:rPr>
                <w:rFonts w:ascii="Times New Roman" w:eastAsia="Times New Roman" w:hAnsi="Times New Roman"/>
                <w:sz w:val="24"/>
                <w:szCs w:val="20"/>
                <w:lang w:val="ro-MD"/>
              </w:rPr>
              <w:t>Proiectul a fost elaborat de Agenția Proprietății Publice</w:t>
            </w:r>
          </w:p>
        </w:tc>
      </w:tr>
      <w:tr w:rsidR="00412401" w:rsidRPr="00412401" w:rsidTr="00F00A68">
        <w:trPr>
          <w:trHeight w:val="559"/>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b/>
                <w:sz w:val="24"/>
                <w:szCs w:val="24"/>
                <w:lang w:val="ro-MD"/>
              </w:rPr>
            </w:pPr>
            <w:r w:rsidRPr="00412401">
              <w:rPr>
                <w:rFonts w:ascii="Times New Roman" w:eastAsia="Times New Roman" w:hAnsi="Times New Roman"/>
                <w:b/>
                <w:sz w:val="24"/>
                <w:szCs w:val="24"/>
                <w:lang w:val="ro-MD"/>
              </w:rPr>
              <w:t>2. Condițiile ce au impus elaborarea proiectului de act normativ și finalitățile urmărite</w:t>
            </w:r>
          </w:p>
        </w:tc>
      </w:tr>
      <w:tr w:rsidR="00412401" w:rsidRPr="00412401" w:rsidTr="00F00A68">
        <w:trPr>
          <w:trHeight w:val="1323"/>
        </w:trPr>
        <w:tc>
          <w:tcPr>
            <w:tcW w:w="10349" w:type="dxa"/>
          </w:tcPr>
          <w:p w:rsidR="00412401" w:rsidRPr="00412401" w:rsidRDefault="00412401" w:rsidP="00412401">
            <w:pPr>
              <w:shd w:val="clear" w:color="auto" w:fill="FFFFFF"/>
              <w:ind w:firstLine="346"/>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Prezentul proiect a fost elaborat în contextul prevederilor art. 19 alin. 3 lit. b) din Legea nr. 246/2017 cu privire la întreprinderea de stat și întreprinderea municipală, prin care se propune inițierea reorganizării întreprinderilor de stat în altă formă juridică de organizare prevăzută de legislație.</w:t>
            </w:r>
          </w:p>
          <w:p w:rsidR="00412401" w:rsidRPr="00412401" w:rsidRDefault="00412401" w:rsidP="00412401">
            <w:pPr>
              <w:shd w:val="clear" w:color="auto" w:fill="FFFFFF"/>
              <w:ind w:firstLine="346"/>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Reorganizarea propusă, și anume fuziunea (absorbția) Î.S. ,,Direcția Nodului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cu Î.S. „Nodul Hidroenergetic Costești” în calitate de întreprindere absorbantă, cu ulterioara transformare a acesteia în Societate pe acțiuni „Nodul Hidroenergetic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are drept scop crearea unui agent economic, care va acoperi atât segmentul producerii  energiei electrice cât și asigurarea tehnică a acestuia.</w:t>
            </w:r>
          </w:p>
          <w:p w:rsidR="00412401" w:rsidRPr="00412401" w:rsidRDefault="00412401" w:rsidP="00412401">
            <w:pPr>
              <w:shd w:val="clear" w:color="auto" w:fill="FFFFFF"/>
              <w:ind w:firstLine="346"/>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Nodul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xml:space="preserve"> este un sistem complex de importanță strategică atât pentru Republica Moldova cât și pentru România, constituit în scopul prevenirii și protecției împotriva inundațiilor și care are ca destinație regularizarea debitelor de apă pe râul Prut pentru alimentarea cu apă a centrelor populate și a industriei, a irigațiilor, atenuarea viiturilor pentru prevenirea inundării terenurilor, producerea energiei electrice și după posibilități, asigurarea nivelurilor necesare navigației, dezvoltarea pisciculturii, tranzitarea peste frontieră a autovehiculelor.</w:t>
            </w:r>
          </w:p>
          <w:p w:rsidR="00412401" w:rsidRPr="00412401" w:rsidRDefault="00412401" w:rsidP="00412401">
            <w:pPr>
              <w:shd w:val="clear" w:color="auto" w:fill="FFFFFF"/>
              <w:ind w:firstLine="346"/>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În scopul exploatării durabile a Nodului hidroenergetic Costești care este componentul de bază în producerea energiei electrice de către Î.S. ,,Nodul Hidroenergetic Costești”, precum și în vederea diminuării riscului inundațiilor, sunt necesare lucrări permanente de întreținere și reparații curente a barajului, fapt ce implică cheltuieli considerabile care, în ansamblu, sunt suportate de către Î.S „Direcția Nodului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xml:space="preserve">”. Este de menționat că Î.S. ,,Nodul Hidroenergetic Costești” utilizează anual aproximativ 700 - 900 </w:t>
            </w:r>
            <w:proofErr w:type="spellStart"/>
            <w:r w:rsidRPr="00412401">
              <w:rPr>
                <w:rFonts w:ascii="Times New Roman" w:eastAsia="Times New Roman" w:hAnsi="Times New Roman"/>
                <w:sz w:val="24"/>
                <w:szCs w:val="20"/>
                <w:lang w:val="ro-MD"/>
              </w:rPr>
              <w:t>mln</w:t>
            </w:r>
            <w:proofErr w:type="spellEnd"/>
            <w:r w:rsidRPr="00412401">
              <w:rPr>
                <w:rFonts w:ascii="Times New Roman" w:eastAsia="Times New Roman" w:hAnsi="Times New Roman"/>
                <w:sz w:val="24"/>
                <w:szCs w:val="20"/>
                <w:lang w:val="ro-MD"/>
              </w:rPr>
              <w:t xml:space="preserve">./m3 de apă pentru producerea energiei electrice, care constituie 5-6% din energia produsă anual de producătorii autohtoni.    </w:t>
            </w:r>
          </w:p>
          <w:p w:rsidR="00412401" w:rsidRPr="00412401" w:rsidRDefault="00412401" w:rsidP="00412401">
            <w:pPr>
              <w:ind w:firstLine="709"/>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 xml:space="preserve">    Astfel, având în vedere durata relativ mare de exploatare a construcțiilor hidroelectrice, în scopul măririi gradului de siguranță a centralelor electrice, în anul 2010 a fost efectuat un studiu de fezabilitate, care a reliefat măsurile de introducere a abordării </w:t>
            </w:r>
            <w:proofErr w:type="spellStart"/>
            <w:r w:rsidRPr="00412401">
              <w:rPr>
                <w:rFonts w:ascii="Times New Roman" w:eastAsia="Times New Roman" w:hAnsi="Times New Roman"/>
                <w:sz w:val="24"/>
                <w:szCs w:val="20"/>
                <w:lang w:val="ro-MD"/>
              </w:rPr>
              <w:t>ecosistemice</w:t>
            </w:r>
            <w:proofErr w:type="spellEnd"/>
            <w:r w:rsidRPr="00412401">
              <w:rPr>
                <w:rFonts w:ascii="Times New Roman" w:eastAsia="Times New Roman" w:hAnsi="Times New Roman"/>
                <w:sz w:val="24"/>
                <w:szCs w:val="20"/>
                <w:lang w:val="ro-MD"/>
              </w:rPr>
              <w:t xml:space="preserve"> în managementul inundațiilor. </w:t>
            </w:r>
          </w:p>
          <w:p w:rsidR="00412401" w:rsidRPr="00412401" w:rsidRDefault="00412401" w:rsidP="00412401">
            <w:pPr>
              <w:ind w:firstLine="709"/>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Urmare analizei și evaluării efectuate, s-a propus realizarea lucrărilor necesare punerii în siguranță și reabilitarea amenajărilor Nodului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Ulterior, în 2011 a fost elaborat proiectul tehnic ,,Punerea în siguranță și reabilitarea amenajărilor de la Nodul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costul total al lucrărilor fiind de 304 395 890 lei.</w:t>
            </w:r>
          </w:p>
          <w:p w:rsidR="00412401" w:rsidRPr="00412401" w:rsidRDefault="00412401" w:rsidP="00412401">
            <w:pPr>
              <w:ind w:firstLine="709"/>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 xml:space="preserve">        Conform situației la 31.12.2022, activele totale ale Î.S. ” Nodul Hidroenergetic Costești” constituie în total 80,02 mil. lei, activele nete sunt în mărime de 77,93 mil. lei, fiind în descreștere cu 7,1 mil. lei sau 0,91% în comparație cu anul 2021. Pe parcursul anului 2022 întreprinderea a înregistrat venituri din vânzări în mărime de 38,66 mil. lei, profitul net obținut a constituit 12,63 mil. lei, respectiv în bugetul de stat au fost transferată defalcări în suma de 6 317,84 mii lei.  </w:t>
            </w:r>
          </w:p>
          <w:p w:rsidR="00412401" w:rsidRPr="00412401" w:rsidRDefault="00412401" w:rsidP="00412401">
            <w:pPr>
              <w:ind w:firstLine="346"/>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Numărul mediu scriptic a personalului Î.S. ”Nodul Hidroenergetic Costești” la 31 decembrie 2022 a constituit 26 de persoane:</w:t>
            </w:r>
          </w:p>
          <w:p w:rsidR="00412401" w:rsidRPr="00412401" w:rsidRDefault="00412401" w:rsidP="00412401">
            <w:pPr>
              <w:numPr>
                <w:ilvl w:val="0"/>
                <w:numId w:val="5"/>
              </w:numPr>
              <w:ind w:left="237" w:hanging="142"/>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personal administrativ 8 persoane;</w:t>
            </w:r>
          </w:p>
          <w:p w:rsidR="00412401" w:rsidRPr="00412401" w:rsidRDefault="00412401" w:rsidP="00412401">
            <w:pPr>
              <w:numPr>
                <w:ilvl w:val="0"/>
                <w:numId w:val="5"/>
              </w:numPr>
              <w:ind w:left="237" w:hanging="142"/>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muncitori 18 persoane.</w:t>
            </w:r>
          </w:p>
          <w:p w:rsidR="00412401" w:rsidRPr="00412401" w:rsidRDefault="00412401" w:rsidP="00412401">
            <w:pPr>
              <w:ind w:firstLine="488"/>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Subsidiar, conform situației la 31.12.2022, activele totale ale Î.S. ”Direcția Nodului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xml:space="preserve">” constituie în total 71,52 mil. lei, activele nete sunt în mărime de (-13,16 mil. lei), </w:t>
            </w:r>
            <w:proofErr w:type="spellStart"/>
            <w:r w:rsidRPr="00412401">
              <w:rPr>
                <w:rFonts w:ascii="Times New Roman" w:eastAsia="Times New Roman" w:hAnsi="Times New Roman"/>
                <w:sz w:val="24"/>
                <w:szCs w:val="20"/>
                <w:lang w:val="ro-MD"/>
              </w:rPr>
              <w:t>micșorîndu</w:t>
            </w:r>
            <w:proofErr w:type="spellEnd"/>
            <w:r w:rsidRPr="00412401">
              <w:rPr>
                <w:rFonts w:ascii="Times New Roman" w:eastAsia="Times New Roman" w:hAnsi="Times New Roman"/>
                <w:sz w:val="24"/>
                <w:szCs w:val="20"/>
                <w:lang w:val="ro-MD"/>
              </w:rPr>
              <w:t xml:space="preserve">-se cu 43,52 mil. lei sau 43,56% în comparație cu anul 2021. Pe parcursul anului 2022 întreprinderea a înregistrat venituri din vânzări în mărime de 5,85 mil. lei, pierderea netă obținută a constituit 2,71 mil lei. </w:t>
            </w:r>
          </w:p>
          <w:p w:rsidR="00412401" w:rsidRPr="00412401" w:rsidRDefault="00412401" w:rsidP="00412401">
            <w:pPr>
              <w:ind w:firstLine="709"/>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lastRenderedPageBreak/>
              <w:t xml:space="preserve">    Numărul mediu scriptic a personalului Î.S. ”Direcția Nodului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la 31 decembrie 2022 a constituit 36 de persoane:</w:t>
            </w:r>
          </w:p>
          <w:p w:rsidR="00412401" w:rsidRPr="00412401" w:rsidRDefault="00412401" w:rsidP="00412401">
            <w:pPr>
              <w:numPr>
                <w:ilvl w:val="0"/>
                <w:numId w:val="5"/>
              </w:numPr>
              <w:ind w:left="237" w:hanging="142"/>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personal administrativ 17 persoane;</w:t>
            </w:r>
          </w:p>
          <w:p w:rsidR="00412401" w:rsidRPr="00412401" w:rsidRDefault="00412401" w:rsidP="00412401">
            <w:pPr>
              <w:numPr>
                <w:ilvl w:val="0"/>
                <w:numId w:val="5"/>
              </w:numPr>
              <w:tabs>
                <w:tab w:val="left" w:pos="286"/>
              </w:tabs>
              <w:ind w:firstLine="62"/>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 xml:space="preserve">muncitori 19 persoane.          </w:t>
            </w:r>
          </w:p>
          <w:p w:rsidR="00412401" w:rsidRPr="00412401" w:rsidRDefault="00412401" w:rsidP="00412401">
            <w:pPr>
              <w:shd w:val="clear" w:color="auto" w:fill="FFFFFF"/>
              <w:ind w:firstLine="346"/>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În contextul în care Î.S. „Direcția Nodului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și Î.S. ,,Nodul Hidroenergetic Costești” desfășoară activități interdependente, se propune reorganizarea întreprinderilor nominalizate prin fuziune și crearea în baza acestora a unui agent economic viabil, capabil să gestioneze eficient patrimoniul public, să asigure exploatarea durabilă, în siguranță a complexului hidrotehnic și nodului hidroenergetic, astfel generând realizarea performanțelor în domeniu și atingerea rezultatelor financiare favorabile.</w:t>
            </w:r>
          </w:p>
          <w:p w:rsidR="00412401" w:rsidRPr="00412401" w:rsidRDefault="00412401" w:rsidP="00412401">
            <w:pPr>
              <w:shd w:val="clear" w:color="auto" w:fill="FFFFFF"/>
              <w:ind w:firstLine="346"/>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Astfel, pornind de la prevederile art. 19 alin. 3 lit. b) din Legea nr. 246/2017 cu privire la întreprinderea de stat și întreprinderea municipală, prin care s-a inițiat procedura reorganizării întreprinderilor de stat în altă formă juridică de organizare prevăzută de legislație, precum și ținând cont de prevederile pct.7 din Regulamentul cu privire la organizarea și funcționarea Agenției Proprietății Publice, aprobat prin Hotărârea Guvernului nr.902/2017, potrivit cărora la domeniile de activitate ale Agenției, se referă asigurarea drepturilor și intereselor patrimoniale ale statului, precum și administrarea corporativă a întreprinderilor de stat și a societăților comerciale cu capital public, a fost elaborat proiectul în cauză, fapt ce impune o astfel de măsură pentru a asigura gestionarea eficientă a bunurilor statului.</w:t>
            </w:r>
          </w:p>
        </w:tc>
      </w:tr>
      <w:tr w:rsidR="00412401" w:rsidRPr="00412401" w:rsidTr="00F00A68">
        <w:trPr>
          <w:trHeight w:val="559"/>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4"/>
                <w:lang w:val="ro-MD"/>
              </w:rPr>
            </w:pPr>
            <w:r w:rsidRPr="00412401">
              <w:rPr>
                <w:rFonts w:ascii="Times New Roman" w:eastAsia="Times New Roman" w:hAnsi="Times New Roman"/>
                <w:b/>
                <w:sz w:val="24"/>
                <w:szCs w:val="24"/>
                <w:lang w:val="ro-MD"/>
              </w:rPr>
              <w:lastRenderedPageBreak/>
              <w:t>3. Descrierea gradului de compatibilitate pentru proiectele care au ca scop armonizarea legislației naționale cu legislația Uniunii Europene</w:t>
            </w:r>
          </w:p>
        </w:tc>
      </w:tr>
      <w:tr w:rsidR="00412401" w:rsidRPr="00412401" w:rsidTr="00F00A68">
        <w:trPr>
          <w:trHeight w:val="149"/>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4"/>
                <w:lang w:val="ro-MD"/>
              </w:rPr>
            </w:pPr>
            <w:r w:rsidRPr="00412401">
              <w:rPr>
                <w:rFonts w:ascii="Times New Roman" w:eastAsia="Times New Roman" w:hAnsi="Times New Roman"/>
                <w:sz w:val="24"/>
                <w:szCs w:val="24"/>
                <w:lang w:val="ro-MD"/>
              </w:rPr>
              <w:t xml:space="preserve">    </w:t>
            </w:r>
            <w:r w:rsidRPr="00412401">
              <w:rPr>
                <w:rFonts w:ascii="Times New Roman" w:eastAsia="Times New Roman" w:hAnsi="Times New Roman"/>
                <w:sz w:val="24"/>
                <w:szCs w:val="20"/>
                <w:lang w:val="ro-MD"/>
              </w:rPr>
              <w:t>Nu se impune descrierea</w:t>
            </w:r>
          </w:p>
        </w:tc>
      </w:tr>
      <w:tr w:rsidR="00412401" w:rsidRPr="00412401" w:rsidTr="00F00A68">
        <w:trPr>
          <w:trHeight w:val="360"/>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4"/>
                <w:lang w:val="ro-MD"/>
              </w:rPr>
            </w:pPr>
            <w:r w:rsidRPr="00412401">
              <w:rPr>
                <w:rFonts w:ascii="Times New Roman" w:eastAsia="Times New Roman" w:hAnsi="Times New Roman"/>
                <w:b/>
                <w:sz w:val="24"/>
                <w:szCs w:val="24"/>
                <w:lang w:val="ro-MD"/>
              </w:rPr>
              <w:t>4. Principalele prevederi ale proiectului și evidențierea elementelor noi</w:t>
            </w:r>
          </w:p>
        </w:tc>
      </w:tr>
      <w:tr w:rsidR="00412401" w:rsidRPr="00412401" w:rsidTr="00F00A68">
        <w:trPr>
          <w:trHeight w:val="1117"/>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 xml:space="preserve">     Proiectul prevede reorganizarea a 2 întreprinderi de stat în 2 etape:</w:t>
            </w:r>
          </w:p>
          <w:p w:rsidR="00412401" w:rsidRPr="00412401" w:rsidRDefault="00412401" w:rsidP="00412401">
            <w:pPr>
              <w:shd w:val="clear" w:color="auto" w:fill="FFFFFF"/>
              <w:ind w:firstLine="709"/>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I etapă – fuziunea (absorbția) Î.S. ,,Direcția Nodului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cu Î.S. ,,Nodul Hidroenergetic Costești”, în calitate de entitate absorbantă;</w:t>
            </w:r>
          </w:p>
          <w:p w:rsidR="00412401" w:rsidRPr="00412401" w:rsidRDefault="00412401" w:rsidP="00412401">
            <w:pPr>
              <w:shd w:val="clear" w:color="auto" w:fill="FFFFFF"/>
              <w:ind w:firstLine="709"/>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II etapă - transformarea Î.S. ,,Nodul Hidroenergetic Costești” din întreprindere de stat în Societate pe acțiuni „Nodul Hidroenergetic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w:t>
            </w:r>
          </w:p>
          <w:p w:rsidR="00412401" w:rsidRPr="00412401" w:rsidRDefault="00412401" w:rsidP="00412401">
            <w:pPr>
              <w:shd w:val="clear" w:color="auto" w:fill="FFFFFF"/>
              <w:ind w:firstLine="709"/>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 xml:space="preserve">    Potrivit proiectului instituția responsabilă de reorganizarea întreprinderilor respective va fi Agenția Proprietății Publice, care deține calitatea de fondator ale ambelor întreprinderi și care va întreprinde următoarele acțiuni:</w:t>
            </w:r>
          </w:p>
          <w:p w:rsidR="00412401" w:rsidRPr="00412401" w:rsidRDefault="00412401" w:rsidP="00412401">
            <w:pPr>
              <w:shd w:val="clear" w:color="auto" w:fill="FFFFFF"/>
              <w:ind w:firstLine="709"/>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-va institui comisia de transmitere a bunurilor din gestiunea Î.S. ,,Direcția Nodului Hidrotehnic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către Î.S. „Nodul Hidroenergetic Costești”;</w:t>
            </w:r>
          </w:p>
          <w:p w:rsidR="00412401" w:rsidRPr="00412401" w:rsidRDefault="00412401" w:rsidP="00412401">
            <w:pPr>
              <w:shd w:val="clear" w:color="auto" w:fill="FFFFFF"/>
              <w:ind w:firstLine="709"/>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-va asigura reorganizarea prin transformare a Î.S. „Nodul Hidroenergetic Costești” în societate pe acțiuni ,,Nodul Hidroenergetic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w:t>
            </w:r>
          </w:p>
          <w:p w:rsidR="00412401" w:rsidRPr="00412401" w:rsidRDefault="00412401" w:rsidP="00412401">
            <w:pPr>
              <w:shd w:val="clear" w:color="auto" w:fill="FFFFFF"/>
              <w:ind w:firstLine="709"/>
              <w:contextualSpacing/>
              <w:jc w:val="both"/>
              <w:rPr>
                <w:rFonts w:ascii="Times New Roman" w:eastAsia="Times New Roman" w:hAnsi="Times New Roman"/>
                <w:sz w:val="24"/>
                <w:szCs w:val="24"/>
                <w:lang w:val="ro-MD"/>
              </w:rPr>
            </w:pPr>
            <w:r w:rsidRPr="00412401">
              <w:rPr>
                <w:rFonts w:ascii="Times New Roman" w:eastAsia="Times New Roman" w:hAnsi="Times New Roman"/>
                <w:sz w:val="24"/>
                <w:szCs w:val="20"/>
                <w:lang w:val="ro-MD"/>
              </w:rPr>
              <w:t>-va aproba statutul Societății pe acțiuni „Nodul Hidroenergetic Costești-</w:t>
            </w:r>
            <w:proofErr w:type="spellStart"/>
            <w:r w:rsidRPr="00412401">
              <w:rPr>
                <w:rFonts w:ascii="Times New Roman" w:eastAsia="Times New Roman" w:hAnsi="Times New Roman"/>
                <w:sz w:val="24"/>
                <w:szCs w:val="20"/>
                <w:lang w:val="ro-MD"/>
              </w:rPr>
              <w:t>Stînca</w:t>
            </w:r>
            <w:proofErr w:type="spellEnd"/>
            <w:r w:rsidRPr="00412401">
              <w:rPr>
                <w:rFonts w:ascii="Times New Roman" w:eastAsia="Times New Roman" w:hAnsi="Times New Roman"/>
                <w:sz w:val="24"/>
                <w:szCs w:val="20"/>
                <w:lang w:val="ro-MD"/>
              </w:rPr>
              <w:t>” cu cota integrală de stat și va desemna organele de conducere.</w:t>
            </w:r>
          </w:p>
        </w:tc>
      </w:tr>
      <w:tr w:rsidR="00412401" w:rsidRPr="00412401" w:rsidTr="00F00A68">
        <w:trPr>
          <w:trHeight w:val="351"/>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b/>
                <w:color w:val="000000"/>
                <w:sz w:val="24"/>
                <w:szCs w:val="24"/>
                <w:lang w:val="ro-MD"/>
              </w:rPr>
            </w:pPr>
            <w:r w:rsidRPr="00412401">
              <w:rPr>
                <w:rFonts w:ascii="Times New Roman" w:eastAsia="Times New Roman" w:hAnsi="Times New Roman"/>
                <w:b/>
                <w:sz w:val="24"/>
                <w:szCs w:val="24"/>
                <w:lang w:val="ro-MD"/>
              </w:rPr>
              <w:t>5. Fundamentarea economico-financiară</w:t>
            </w:r>
          </w:p>
        </w:tc>
      </w:tr>
      <w:tr w:rsidR="00412401" w:rsidRPr="00412401" w:rsidTr="00F00A68">
        <w:trPr>
          <w:trHeight w:val="274"/>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 xml:space="preserve">    Implementarea actului normativ nu necesită cheltuieli financiare.</w:t>
            </w:r>
          </w:p>
        </w:tc>
      </w:tr>
      <w:tr w:rsidR="00412401" w:rsidRPr="00412401" w:rsidTr="00F00A68">
        <w:trPr>
          <w:trHeight w:val="285"/>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b/>
                <w:sz w:val="24"/>
                <w:szCs w:val="24"/>
                <w:lang w:val="ro-MD"/>
              </w:rPr>
            </w:pPr>
            <w:r w:rsidRPr="00412401">
              <w:rPr>
                <w:rFonts w:ascii="Times New Roman" w:eastAsia="Times New Roman" w:hAnsi="Times New Roman"/>
                <w:b/>
                <w:sz w:val="24"/>
                <w:szCs w:val="24"/>
                <w:lang w:val="ro-MD"/>
              </w:rPr>
              <w:t>6. Modul de încorporare a actului în cadrul normativ în vigoare</w:t>
            </w:r>
          </w:p>
        </w:tc>
      </w:tr>
      <w:tr w:rsidR="00412401" w:rsidRPr="00412401" w:rsidTr="00F00A68">
        <w:trPr>
          <w:trHeight w:val="285"/>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4"/>
                <w:lang w:val="ro-MD"/>
              </w:rPr>
            </w:pPr>
            <w:r w:rsidRPr="00412401">
              <w:rPr>
                <w:rFonts w:ascii="Times New Roman" w:eastAsia="Times New Roman" w:hAnsi="Times New Roman"/>
                <w:sz w:val="24"/>
                <w:szCs w:val="20"/>
                <w:lang w:val="ro-MD"/>
              </w:rPr>
              <w:t xml:space="preserve">    După aprobarea prezentului act normativ urmează a fi aduse în concordanță prevederile Hotărârii Guvernului nr. 902/2017 cu privire la organizarea și funcționarea Agenției Proprietății Publice, prin operarea modificărilor la anexele nr. 4 și 41.</w:t>
            </w:r>
          </w:p>
        </w:tc>
      </w:tr>
      <w:tr w:rsidR="00412401" w:rsidRPr="00412401" w:rsidTr="00F00A68">
        <w:trPr>
          <w:trHeight w:val="274"/>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4"/>
                <w:lang w:val="ro-MD"/>
              </w:rPr>
            </w:pPr>
            <w:r w:rsidRPr="00412401">
              <w:rPr>
                <w:rFonts w:ascii="Times New Roman" w:eastAsia="Times New Roman" w:hAnsi="Times New Roman"/>
                <w:b/>
                <w:sz w:val="24"/>
                <w:szCs w:val="24"/>
                <w:lang w:val="ro-MD"/>
              </w:rPr>
              <w:t>7. Avizarea și consultarea publică a proiectului</w:t>
            </w:r>
          </w:p>
        </w:tc>
      </w:tr>
      <w:tr w:rsidR="00412401" w:rsidRPr="00412401" w:rsidTr="00F00A68">
        <w:trPr>
          <w:trHeight w:val="519"/>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sz w:val="24"/>
                <w:szCs w:val="20"/>
                <w:lang w:val="ro-MD"/>
              </w:rPr>
            </w:pPr>
            <w:r w:rsidRPr="00412401">
              <w:rPr>
                <w:rFonts w:ascii="Times New Roman" w:eastAsia="Times New Roman" w:hAnsi="Times New Roman"/>
                <w:sz w:val="24"/>
                <w:szCs w:val="20"/>
                <w:lang w:val="ro-MD"/>
              </w:rPr>
              <w:t xml:space="preserve">    În vederea respectării Legii nr. 239/2008 privind transparența în procesul decizional, anunțul referitor la inițierea elaborării proiectului actului normativ a fost plasat pe pagina web oficială a Agenției Proprietății Publice, la rubrica ,,transparență decizională”.</w:t>
            </w:r>
          </w:p>
          <w:p w:rsidR="00412401" w:rsidRPr="00412401" w:rsidRDefault="00412401" w:rsidP="00412401">
            <w:pPr>
              <w:shd w:val="clear" w:color="auto" w:fill="FFFFFF"/>
              <w:ind w:firstLine="709"/>
              <w:contextualSpacing/>
              <w:jc w:val="both"/>
              <w:rPr>
                <w:rFonts w:ascii="Times New Roman" w:eastAsia="Times New Roman" w:hAnsi="Times New Roman"/>
                <w:sz w:val="24"/>
                <w:szCs w:val="24"/>
                <w:lang w:val="ro-MD"/>
              </w:rPr>
            </w:pPr>
            <w:r w:rsidRPr="00412401">
              <w:rPr>
                <w:rFonts w:ascii="Times New Roman" w:eastAsia="Times New Roman" w:hAnsi="Times New Roman"/>
                <w:sz w:val="24"/>
                <w:szCs w:val="20"/>
                <w:lang w:val="ro-MD"/>
              </w:rPr>
              <w:t xml:space="preserve">    Corespunzător, după înregistrarea proiectului de către Cancelaria de Stat, proiectul actului normativ și nota informativă vor fi publicate pe pagina web oficială a Agenției Proprietății Publice și pe platforma guvernamentală </w:t>
            </w:r>
            <w:hyperlink r:id="rId5">
              <w:r w:rsidRPr="00412401">
                <w:rPr>
                  <w:rFonts w:ascii="Times New Roman" w:eastAsia="Times New Roman" w:hAnsi="Times New Roman"/>
                  <w:sz w:val="24"/>
                  <w:szCs w:val="20"/>
                  <w:lang w:val="ro-MD"/>
                </w:rPr>
                <w:t>www.particip.gov.md</w:t>
              </w:r>
            </w:hyperlink>
            <w:r w:rsidRPr="00412401">
              <w:rPr>
                <w:rFonts w:ascii="Times New Roman" w:eastAsia="Times New Roman" w:hAnsi="Times New Roman"/>
                <w:sz w:val="24"/>
                <w:szCs w:val="20"/>
                <w:lang w:val="ro-MD"/>
              </w:rPr>
              <w:t>, pentru consultări și dezbateri publice.</w:t>
            </w:r>
          </w:p>
        </w:tc>
      </w:tr>
      <w:tr w:rsidR="00412401" w:rsidRPr="00412401" w:rsidTr="00F00A68">
        <w:trPr>
          <w:trHeight w:val="369"/>
        </w:trPr>
        <w:tc>
          <w:tcPr>
            <w:tcW w:w="10349" w:type="dxa"/>
          </w:tcPr>
          <w:p w:rsidR="00412401" w:rsidRPr="00412401" w:rsidRDefault="00412401" w:rsidP="00412401">
            <w:pPr>
              <w:widowControl w:val="0"/>
              <w:autoSpaceDE w:val="0"/>
              <w:autoSpaceDN w:val="0"/>
              <w:ind w:left="47" w:right="97" w:firstLine="709"/>
              <w:jc w:val="both"/>
              <w:rPr>
                <w:rFonts w:ascii="Times New Roman" w:eastAsia="Times New Roman" w:hAnsi="Times New Roman"/>
                <w:sz w:val="24"/>
                <w:szCs w:val="24"/>
                <w:lang w:val="ro-MD"/>
              </w:rPr>
            </w:pPr>
            <w:r w:rsidRPr="00412401">
              <w:rPr>
                <w:rFonts w:ascii="Times New Roman" w:eastAsia="Times New Roman" w:hAnsi="Times New Roman"/>
                <w:b/>
                <w:sz w:val="24"/>
                <w:szCs w:val="24"/>
                <w:lang w:val="ro-MD"/>
              </w:rPr>
              <w:t>8. Constatările expertizei anticorupție</w:t>
            </w:r>
          </w:p>
        </w:tc>
      </w:tr>
      <w:tr w:rsidR="00412401" w:rsidRPr="00412401" w:rsidTr="00F00A68">
        <w:trPr>
          <w:trHeight w:val="519"/>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b/>
                <w:sz w:val="24"/>
                <w:szCs w:val="24"/>
                <w:lang w:val="ro-MD"/>
              </w:rPr>
            </w:pPr>
            <w:r w:rsidRPr="00412401">
              <w:rPr>
                <w:rFonts w:ascii="Times New Roman" w:eastAsia="Times New Roman" w:hAnsi="Times New Roman"/>
                <w:sz w:val="24"/>
                <w:szCs w:val="20"/>
                <w:lang w:val="ro-MD"/>
              </w:rPr>
              <w:lastRenderedPageBreak/>
              <w:t xml:space="preserve">    Proiectul urmează a fi supus expertizei anticorupție, ale cărui propuneri/recomandări vor fi incluse la definitivarea acestuia.</w:t>
            </w:r>
          </w:p>
        </w:tc>
      </w:tr>
      <w:tr w:rsidR="00412401" w:rsidRPr="00412401" w:rsidTr="00F00A68">
        <w:trPr>
          <w:trHeight w:val="297"/>
        </w:trPr>
        <w:tc>
          <w:tcPr>
            <w:tcW w:w="10349" w:type="dxa"/>
          </w:tcPr>
          <w:p w:rsidR="00412401" w:rsidRPr="00412401" w:rsidRDefault="00412401" w:rsidP="00412401">
            <w:pPr>
              <w:widowControl w:val="0"/>
              <w:autoSpaceDE w:val="0"/>
              <w:autoSpaceDN w:val="0"/>
              <w:spacing w:line="268" w:lineRule="exact"/>
              <w:ind w:left="47" w:firstLine="709"/>
              <w:jc w:val="both"/>
              <w:rPr>
                <w:rFonts w:ascii="Times New Roman" w:eastAsia="Times New Roman" w:hAnsi="Times New Roman"/>
                <w:b/>
                <w:sz w:val="24"/>
                <w:szCs w:val="24"/>
                <w:lang w:val="ro-MD"/>
              </w:rPr>
            </w:pPr>
            <w:r w:rsidRPr="00412401">
              <w:rPr>
                <w:rFonts w:ascii="Times New Roman" w:eastAsia="Times New Roman" w:hAnsi="Times New Roman"/>
                <w:b/>
                <w:sz w:val="24"/>
                <w:szCs w:val="24"/>
                <w:lang w:val="ro-MD"/>
              </w:rPr>
              <w:t>9. Constatările expertizei de compatibilitate</w:t>
            </w:r>
          </w:p>
        </w:tc>
      </w:tr>
      <w:tr w:rsidR="00412401" w:rsidRPr="00412401" w:rsidTr="00F00A68">
        <w:trPr>
          <w:trHeight w:val="273"/>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b/>
                <w:sz w:val="24"/>
                <w:szCs w:val="24"/>
                <w:lang w:val="ro-MD"/>
              </w:rPr>
            </w:pPr>
            <w:r w:rsidRPr="00412401">
              <w:rPr>
                <w:rFonts w:ascii="Times New Roman" w:eastAsia="Times New Roman" w:hAnsi="Times New Roman"/>
                <w:sz w:val="24"/>
                <w:szCs w:val="20"/>
                <w:lang w:val="ro-MD"/>
              </w:rPr>
              <w:t xml:space="preserve">    Nu se impune descrierea.</w:t>
            </w:r>
          </w:p>
        </w:tc>
      </w:tr>
      <w:tr w:rsidR="00412401" w:rsidRPr="00412401" w:rsidTr="00F00A68">
        <w:trPr>
          <w:trHeight w:val="277"/>
        </w:trPr>
        <w:tc>
          <w:tcPr>
            <w:tcW w:w="10349" w:type="dxa"/>
          </w:tcPr>
          <w:p w:rsidR="00412401" w:rsidRPr="00412401" w:rsidRDefault="00412401" w:rsidP="00412401">
            <w:pPr>
              <w:widowControl w:val="0"/>
              <w:autoSpaceDE w:val="0"/>
              <w:autoSpaceDN w:val="0"/>
              <w:spacing w:line="268" w:lineRule="exact"/>
              <w:ind w:firstLine="709"/>
              <w:jc w:val="both"/>
              <w:rPr>
                <w:rFonts w:ascii="Times New Roman" w:eastAsia="Times New Roman" w:hAnsi="Times New Roman"/>
                <w:sz w:val="24"/>
                <w:szCs w:val="24"/>
                <w:lang w:val="ro-MD"/>
              </w:rPr>
            </w:pPr>
            <w:r w:rsidRPr="00412401">
              <w:rPr>
                <w:rFonts w:ascii="Times New Roman" w:eastAsia="Times New Roman" w:hAnsi="Times New Roman"/>
                <w:b/>
                <w:sz w:val="24"/>
                <w:szCs w:val="24"/>
                <w:lang w:val="ro-MD"/>
              </w:rPr>
              <w:t>10. Constatările expertizei juridice</w:t>
            </w:r>
          </w:p>
        </w:tc>
      </w:tr>
      <w:tr w:rsidR="00412401" w:rsidRPr="00412401" w:rsidTr="00F00A68">
        <w:trPr>
          <w:trHeight w:val="519"/>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b/>
                <w:sz w:val="24"/>
                <w:szCs w:val="24"/>
                <w:lang w:val="ro-MD"/>
              </w:rPr>
            </w:pPr>
            <w:r w:rsidRPr="00412401">
              <w:rPr>
                <w:rFonts w:ascii="Times New Roman" w:eastAsia="Times New Roman" w:hAnsi="Times New Roman"/>
                <w:sz w:val="24"/>
                <w:szCs w:val="24"/>
                <w:lang w:val="ro-MD"/>
              </w:rPr>
              <w:t xml:space="preserve">    </w:t>
            </w:r>
            <w:r w:rsidRPr="00412401">
              <w:rPr>
                <w:rFonts w:ascii="Times New Roman" w:eastAsia="Times New Roman" w:hAnsi="Times New Roman"/>
                <w:sz w:val="24"/>
                <w:szCs w:val="20"/>
                <w:lang w:val="ro-MD"/>
              </w:rPr>
              <w:t>Proiectul urmează a fi supus expertizei juridice de către Ministerul Justiției ale cărui   propuneri/recomandări vor fi incluse la definitivarea acestuia.</w:t>
            </w:r>
          </w:p>
        </w:tc>
      </w:tr>
      <w:tr w:rsidR="00412401" w:rsidRPr="00412401" w:rsidTr="00F00A68">
        <w:trPr>
          <w:trHeight w:val="289"/>
        </w:trPr>
        <w:tc>
          <w:tcPr>
            <w:tcW w:w="10349" w:type="dxa"/>
          </w:tcPr>
          <w:p w:rsidR="00412401" w:rsidRPr="00412401" w:rsidRDefault="00412401" w:rsidP="00412401">
            <w:pPr>
              <w:widowControl w:val="0"/>
              <w:autoSpaceDE w:val="0"/>
              <w:autoSpaceDN w:val="0"/>
              <w:spacing w:line="268" w:lineRule="exact"/>
              <w:ind w:firstLine="709"/>
              <w:jc w:val="both"/>
              <w:rPr>
                <w:rFonts w:ascii="Times New Roman" w:eastAsia="Times New Roman" w:hAnsi="Times New Roman"/>
                <w:sz w:val="24"/>
                <w:szCs w:val="24"/>
                <w:lang w:val="ro-MD"/>
              </w:rPr>
            </w:pPr>
            <w:r w:rsidRPr="00412401">
              <w:rPr>
                <w:rFonts w:ascii="Times New Roman" w:eastAsia="Times New Roman" w:hAnsi="Times New Roman"/>
                <w:b/>
                <w:sz w:val="24"/>
                <w:szCs w:val="24"/>
                <w:lang w:val="ro-MD"/>
              </w:rPr>
              <w:t>11. Constatările altor expertize</w:t>
            </w:r>
          </w:p>
        </w:tc>
      </w:tr>
      <w:tr w:rsidR="00412401" w:rsidRPr="00412401" w:rsidTr="00F00A68">
        <w:trPr>
          <w:trHeight w:val="279"/>
        </w:trPr>
        <w:tc>
          <w:tcPr>
            <w:tcW w:w="10349" w:type="dxa"/>
          </w:tcPr>
          <w:p w:rsidR="00412401" w:rsidRPr="00412401" w:rsidRDefault="00412401" w:rsidP="00412401">
            <w:pPr>
              <w:shd w:val="clear" w:color="auto" w:fill="FFFFFF"/>
              <w:ind w:firstLine="709"/>
              <w:contextualSpacing/>
              <w:jc w:val="both"/>
              <w:rPr>
                <w:rFonts w:ascii="Times New Roman" w:eastAsia="Times New Roman" w:hAnsi="Times New Roman"/>
                <w:b/>
                <w:sz w:val="24"/>
                <w:szCs w:val="24"/>
                <w:lang w:val="ro-MD"/>
              </w:rPr>
            </w:pPr>
            <w:r w:rsidRPr="00412401">
              <w:rPr>
                <w:rFonts w:ascii="Times New Roman" w:eastAsia="Times New Roman" w:hAnsi="Times New Roman"/>
                <w:sz w:val="24"/>
                <w:szCs w:val="20"/>
                <w:lang w:val="ro-MD"/>
              </w:rPr>
              <w:t xml:space="preserve">    Nu este necesară efectuarea altor expertize.</w:t>
            </w:r>
          </w:p>
        </w:tc>
      </w:tr>
    </w:tbl>
    <w:p w:rsidR="00412401" w:rsidRPr="00412401" w:rsidRDefault="00412401" w:rsidP="00412401">
      <w:pPr>
        <w:spacing w:after="0" w:line="240" w:lineRule="auto"/>
        <w:ind w:hanging="284"/>
        <w:jc w:val="center"/>
        <w:rPr>
          <w:rFonts w:ascii="Times New Roman" w:eastAsia="Times New Roman" w:hAnsi="Times New Roman" w:cs="Times New Roman"/>
          <w:b/>
          <w:sz w:val="24"/>
          <w:szCs w:val="24"/>
          <w:lang w:val="ro-MD"/>
        </w:rPr>
      </w:pPr>
    </w:p>
    <w:tbl>
      <w:tblPr>
        <w:tblpPr w:leftFromText="180" w:rightFromText="180" w:vertAnchor="text" w:horzAnchor="margin" w:tblpX="-567" w:tblpY="-1592"/>
        <w:tblW w:w="5503" w:type="pct"/>
        <w:tblLayout w:type="fixed"/>
        <w:tblLook w:val="04A0" w:firstRow="1" w:lastRow="0" w:firstColumn="1" w:lastColumn="0" w:noHBand="0" w:noVBand="1"/>
      </w:tblPr>
      <w:tblGrid>
        <w:gridCol w:w="9985"/>
      </w:tblGrid>
      <w:tr w:rsidR="00412401" w:rsidRPr="00412401" w:rsidTr="00412401">
        <w:tc>
          <w:tcPr>
            <w:tcW w:w="5000" w:type="pct"/>
            <w:tcMar>
              <w:top w:w="15" w:type="dxa"/>
              <w:left w:w="45" w:type="dxa"/>
              <w:bottom w:w="15" w:type="dxa"/>
              <w:right w:w="45" w:type="dxa"/>
            </w:tcMar>
          </w:tcPr>
          <w:p w:rsidR="00412401" w:rsidRPr="00412401" w:rsidRDefault="00412401" w:rsidP="00412401">
            <w:pPr>
              <w:spacing w:after="0" w:line="240" w:lineRule="auto"/>
              <w:rPr>
                <w:rFonts w:ascii="Times New Roman" w:eastAsia="Times New Roman" w:hAnsi="Times New Roman" w:cs="Times New Roman"/>
                <w:sz w:val="24"/>
                <w:szCs w:val="24"/>
                <w:lang w:val="ro-MD" w:eastAsia="ru-RU"/>
              </w:rPr>
            </w:pPr>
          </w:p>
        </w:tc>
      </w:tr>
    </w:tbl>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en-US"/>
        </w:rPr>
      </w:pPr>
    </w:p>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ro-MD"/>
        </w:rPr>
      </w:pPr>
    </w:p>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ro-MD"/>
        </w:rPr>
      </w:pPr>
    </w:p>
    <w:p w:rsidR="00412401" w:rsidRPr="00412401" w:rsidRDefault="00412401" w:rsidP="00412401">
      <w:pPr>
        <w:spacing w:after="0" w:line="240" w:lineRule="auto"/>
        <w:ind w:left="-426" w:firstLine="709"/>
        <w:contextualSpacing/>
        <w:jc w:val="both"/>
        <w:rPr>
          <w:rFonts w:ascii="Times New Roman" w:eastAsia="Times New Roman" w:hAnsi="Times New Roman" w:cs="Times New Roman"/>
          <w:b/>
          <w:sz w:val="28"/>
          <w:szCs w:val="28"/>
        </w:rPr>
      </w:pPr>
      <w:r w:rsidRPr="00412401">
        <w:rPr>
          <w:rFonts w:ascii="Times New Roman" w:eastAsia="Times New Roman" w:hAnsi="Times New Roman" w:cs="Times New Roman"/>
          <w:b/>
          <w:sz w:val="28"/>
          <w:szCs w:val="28"/>
        </w:rPr>
        <w:t>Director general                                                    Alexandru MUSTEAȚĂ</w:t>
      </w:r>
    </w:p>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ro-MD"/>
        </w:rPr>
      </w:pPr>
    </w:p>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ro-MD"/>
        </w:rPr>
      </w:pPr>
    </w:p>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ro-MD"/>
        </w:rPr>
      </w:pPr>
    </w:p>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ro-MD"/>
        </w:rPr>
      </w:pPr>
    </w:p>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ro-MD"/>
        </w:rPr>
      </w:pPr>
    </w:p>
    <w:p w:rsidR="00412401" w:rsidRPr="00412401" w:rsidRDefault="00412401" w:rsidP="00412401">
      <w:pPr>
        <w:spacing w:after="0" w:line="240" w:lineRule="auto"/>
        <w:ind w:firstLine="709"/>
        <w:jc w:val="center"/>
        <w:rPr>
          <w:rFonts w:ascii="Times New Roman" w:eastAsia="Times New Roman" w:hAnsi="Times New Roman" w:cs="Times New Roman"/>
          <w:sz w:val="20"/>
          <w:szCs w:val="20"/>
          <w:lang w:val="ro-MD"/>
        </w:rPr>
      </w:pPr>
    </w:p>
    <w:p w:rsidR="00412401" w:rsidRPr="00412401" w:rsidRDefault="00412401" w:rsidP="00412401">
      <w:pPr>
        <w:spacing w:after="0" w:line="240" w:lineRule="auto"/>
        <w:ind w:firstLine="709"/>
        <w:jc w:val="both"/>
        <w:rPr>
          <w:rFonts w:ascii="Times New Roman" w:eastAsia="Times New Roman" w:hAnsi="Times New Roman" w:cs="Times New Roman"/>
          <w:sz w:val="20"/>
          <w:szCs w:val="20"/>
          <w:lang w:val="ro-MD"/>
        </w:rPr>
      </w:pPr>
    </w:p>
    <w:p w:rsidR="009359A1" w:rsidRDefault="009359A1"/>
    <w:sectPr w:rsidR="00935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3248"/>
    <w:multiLevelType w:val="hybridMultilevel"/>
    <w:tmpl w:val="61849DA4"/>
    <w:lvl w:ilvl="0" w:tplc="11B0E848">
      <w:numFmt w:val="bullet"/>
      <w:lvlText w:val="-"/>
      <w:lvlJc w:val="left"/>
      <w:pPr>
        <w:ind w:left="1000" w:hanging="140"/>
      </w:pPr>
      <w:rPr>
        <w:rFonts w:ascii="Times New Roman" w:eastAsia="Times New Roman" w:hAnsi="Times New Roman" w:cs="Times New Roman" w:hint="default"/>
        <w:w w:val="99"/>
        <w:sz w:val="24"/>
        <w:szCs w:val="24"/>
        <w:lang w:val="ro-RO" w:eastAsia="en-US" w:bidi="ar-SA"/>
      </w:rPr>
    </w:lvl>
    <w:lvl w:ilvl="1" w:tplc="B192A170">
      <w:numFmt w:val="bullet"/>
      <w:lvlText w:val="•"/>
      <w:lvlJc w:val="left"/>
      <w:pPr>
        <w:ind w:left="1909" w:hanging="140"/>
      </w:pPr>
      <w:rPr>
        <w:rFonts w:hint="default"/>
        <w:lang w:val="ro-RO" w:eastAsia="en-US" w:bidi="ar-SA"/>
      </w:rPr>
    </w:lvl>
    <w:lvl w:ilvl="2" w:tplc="E0D84F1E">
      <w:numFmt w:val="bullet"/>
      <w:lvlText w:val="•"/>
      <w:lvlJc w:val="left"/>
      <w:pPr>
        <w:ind w:left="2825" w:hanging="140"/>
      </w:pPr>
      <w:rPr>
        <w:rFonts w:hint="default"/>
        <w:lang w:val="ro-RO" w:eastAsia="en-US" w:bidi="ar-SA"/>
      </w:rPr>
    </w:lvl>
    <w:lvl w:ilvl="3" w:tplc="8AA2028E">
      <w:numFmt w:val="bullet"/>
      <w:lvlText w:val="•"/>
      <w:lvlJc w:val="left"/>
      <w:pPr>
        <w:ind w:left="3741" w:hanging="140"/>
      </w:pPr>
      <w:rPr>
        <w:rFonts w:hint="default"/>
        <w:lang w:val="ro-RO" w:eastAsia="en-US" w:bidi="ar-SA"/>
      </w:rPr>
    </w:lvl>
    <w:lvl w:ilvl="4" w:tplc="4D8C8C4A">
      <w:numFmt w:val="bullet"/>
      <w:lvlText w:val="•"/>
      <w:lvlJc w:val="left"/>
      <w:pPr>
        <w:ind w:left="4658" w:hanging="140"/>
      </w:pPr>
      <w:rPr>
        <w:rFonts w:hint="default"/>
        <w:lang w:val="ro-RO" w:eastAsia="en-US" w:bidi="ar-SA"/>
      </w:rPr>
    </w:lvl>
    <w:lvl w:ilvl="5" w:tplc="7AC2EC5C">
      <w:numFmt w:val="bullet"/>
      <w:lvlText w:val="•"/>
      <w:lvlJc w:val="left"/>
      <w:pPr>
        <w:ind w:left="5574" w:hanging="140"/>
      </w:pPr>
      <w:rPr>
        <w:rFonts w:hint="default"/>
        <w:lang w:val="ro-RO" w:eastAsia="en-US" w:bidi="ar-SA"/>
      </w:rPr>
    </w:lvl>
    <w:lvl w:ilvl="6" w:tplc="48E4B618">
      <w:numFmt w:val="bullet"/>
      <w:lvlText w:val="•"/>
      <w:lvlJc w:val="left"/>
      <w:pPr>
        <w:ind w:left="6490" w:hanging="140"/>
      </w:pPr>
      <w:rPr>
        <w:rFonts w:hint="default"/>
        <w:lang w:val="ro-RO" w:eastAsia="en-US" w:bidi="ar-SA"/>
      </w:rPr>
    </w:lvl>
    <w:lvl w:ilvl="7" w:tplc="236EAE84">
      <w:numFmt w:val="bullet"/>
      <w:lvlText w:val="•"/>
      <w:lvlJc w:val="left"/>
      <w:pPr>
        <w:ind w:left="7407" w:hanging="140"/>
      </w:pPr>
      <w:rPr>
        <w:rFonts w:hint="default"/>
        <w:lang w:val="ro-RO" w:eastAsia="en-US" w:bidi="ar-SA"/>
      </w:rPr>
    </w:lvl>
    <w:lvl w:ilvl="8" w:tplc="A4AE3BBE">
      <w:numFmt w:val="bullet"/>
      <w:lvlText w:val="•"/>
      <w:lvlJc w:val="left"/>
      <w:pPr>
        <w:ind w:left="8323" w:hanging="140"/>
      </w:pPr>
      <w:rPr>
        <w:rFonts w:hint="default"/>
        <w:lang w:val="ro-RO" w:eastAsia="en-US" w:bidi="ar-SA"/>
      </w:rPr>
    </w:lvl>
  </w:abstractNum>
  <w:abstractNum w:abstractNumId="1" w15:restartNumberingAfterBreak="0">
    <w:nsid w:val="1E00246C"/>
    <w:multiLevelType w:val="hybridMultilevel"/>
    <w:tmpl w:val="B3DE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91A11"/>
    <w:multiLevelType w:val="hybridMultilevel"/>
    <w:tmpl w:val="73FC0F22"/>
    <w:lvl w:ilvl="0" w:tplc="D0AE4FF0">
      <w:start w:val="1"/>
      <w:numFmt w:val="decimal"/>
      <w:lvlText w:val="%1."/>
      <w:lvlJc w:val="left"/>
      <w:pPr>
        <w:ind w:left="263" w:hanging="365"/>
      </w:pPr>
      <w:rPr>
        <w:rFonts w:ascii="Times New Roman" w:eastAsia="Times New Roman" w:hAnsi="Times New Roman" w:cs="Times New Roman" w:hint="default"/>
        <w:b/>
        <w:bCs/>
        <w:spacing w:val="0"/>
        <w:w w:val="100"/>
        <w:sz w:val="28"/>
        <w:szCs w:val="28"/>
        <w:lang w:val="ro-RO" w:eastAsia="en-US" w:bidi="ar-SA"/>
      </w:rPr>
    </w:lvl>
    <w:lvl w:ilvl="1" w:tplc="184095EC">
      <w:numFmt w:val="bullet"/>
      <w:lvlText w:val="•"/>
      <w:lvlJc w:val="left"/>
      <w:pPr>
        <w:ind w:left="1192" w:hanging="365"/>
      </w:pPr>
      <w:rPr>
        <w:rFonts w:hint="default"/>
        <w:lang w:val="ro-RO" w:eastAsia="en-US" w:bidi="ar-SA"/>
      </w:rPr>
    </w:lvl>
    <w:lvl w:ilvl="2" w:tplc="22F8DABC">
      <w:numFmt w:val="bullet"/>
      <w:lvlText w:val="•"/>
      <w:lvlJc w:val="left"/>
      <w:pPr>
        <w:ind w:left="2125" w:hanging="365"/>
      </w:pPr>
      <w:rPr>
        <w:rFonts w:hint="default"/>
        <w:lang w:val="ro-RO" w:eastAsia="en-US" w:bidi="ar-SA"/>
      </w:rPr>
    </w:lvl>
    <w:lvl w:ilvl="3" w:tplc="1C8EDBE2">
      <w:numFmt w:val="bullet"/>
      <w:lvlText w:val="•"/>
      <w:lvlJc w:val="left"/>
      <w:pPr>
        <w:ind w:left="3057" w:hanging="365"/>
      </w:pPr>
      <w:rPr>
        <w:rFonts w:hint="default"/>
        <w:lang w:val="ro-RO" w:eastAsia="en-US" w:bidi="ar-SA"/>
      </w:rPr>
    </w:lvl>
    <w:lvl w:ilvl="4" w:tplc="302C5E70">
      <w:numFmt w:val="bullet"/>
      <w:lvlText w:val="•"/>
      <w:lvlJc w:val="left"/>
      <w:pPr>
        <w:ind w:left="3990" w:hanging="365"/>
      </w:pPr>
      <w:rPr>
        <w:rFonts w:hint="default"/>
        <w:lang w:val="ro-RO" w:eastAsia="en-US" w:bidi="ar-SA"/>
      </w:rPr>
    </w:lvl>
    <w:lvl w:ilvl="5" w:tplc="7D1899FE">
      <w:numFmt w:val="bullet"/>
      <w:lvlText w:val="•"/>
      <w:lvlJc w:val="left"/>
      <w:pPr>
        <w:ind w:left="4923" w:hanging="365"/>
      </w:pPr>
      <w:rPr>
        <w:rFonts w:hint="default"/>
        <w:lang w:val="ro-RO" w:eastAsia="en-US" w:bidi="ar-SA"/>
      </w:rPr>
    </w:lvl>
    <w:lvl w:ilvl="6" w:tplc="30186CD6">
      <w:numFmt w:val="bullet"/>
      <w:lvlText w:val="•"/>
      <w:lvlJc w:val="left"/>
      <w:pPr>
        <w:ind w:left="5855" w:hanging="365"/>
      </w:pPr>
      <w:rPr>
        <w:rFonts w:hint="default"/>
        <w:lang w:val="ro-RO" w:eastAsia="en-US" w:bidi="ar-SA"/>
      </w:rPr>
    </w:lvl>
    <w:lvl w:ilvl="7" w:tplc="E474F866">
      <w:numFmt w:val="bullet"/>
      <w:lvlText w:val="•"/>
      <w:lvlJc w:val="left"/>
      <w:pPr>
        <w:ind w:left="6788" w:hanging="365"/>
      </w:pPr>
      <w:rPr>
        <w:rFonts w:hint="default"/>
        <w:lang w:val="ro-RO" w:eastAsia="en-US" w:bidi="ar-SA"/>
      </w:rPr>
    </w:lvl>
    <w:lvl w:ilvl="8" w:tplc="2AFAFCDE">
      <w:numFmt w:val="bullet"/>
      <w:lvlText w:val="•"/>
      <w:lvlJc w:val="left"/>
      <w:pPr>
        <w:ind w:left="7721" w:hanging="365"/>
      </w:pPr>
      <w:rPr>
        <w:rFonts w:hint="default"/>
        <w:lang w:val="ro-RO" w:eastAsia="en-US" w:bidi="ar-SA"/>
      </w:rPr>
    </w:lvl>
  </w:abstractNum>
  <w:abstractNum w:abstractNumId="3" w15:restartNumberingAfterBreak="0">
    <w:nsid w:val="36115BD5"/>
    <w:multiLevelType w:val="hybridMultilevel"/>
    <w:tmpl w:val="6DDACAE6"/>
    <w:lvl w:ilvl="0" w:tplc="FFFFFFFF">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EC169B52">
      <w:numFmt w:val="bullet"/>
      <w:lvlText w:val="-"/>
      <w:lvlJc w:val="left"/>
      <w:pPr>
        <w:ind w:left="1440" w:hanging="360"/>
      </w:pPr>
      <w:rPr>
        <w:rFonts w:ascii="Times New Roman" w:eastAsia="Times New Roman" w:hAnsi="Times New Roman" w:cs="Times New Roman" w:hint="default"/>
        <w:w w:val="99"/>
        <w:sz w:val="24"/>
        <w:szCs w:val="24"/>
        <w:lang w:val="ro-RO"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325174"/>
    <w:multiLevelType w:val="hybridMultilevel"/>
    <w:tmpl w:val="39C0EFE8"/>
    <w:lvl w:ilvl="0" w:tplc="1C684A80">
      <w:start w:val="1"/>
      <w:numFmt w:val="decimal"/>
      <w:lvlText w:val="%1)"/>
      <w:lvlJc w:val="left"/>
      <w:pPr>
        <w:ind w:left="263" w:hanging="314"/>
      </w:pPr>
      <w:rPr>
        <w:rFonts w:ascii="Times New Roman" w:eastAsia="Times New Roman" w:hAnsi="Times New Roman" w:cs="Times New Roman" w:hint="default"/>
        <w:w w:val="100"/>
        <w:sz w:val="28"/>
        <w:szCs w:val="28"/>
        <w:lang w:val="ro-RO" w:eastAsia="en-US" w:bidi="ar-SA"/>
      </w:rPr>
    </w:lvl>
    <w:lvl w:ilvl="1" w:tplc="7B48D7B4">
      <w:numFmt w:val="bullet"/>
      <w:lvlText w:val="•"/>
      <w:lvlJc w:val="left"/>
      <w:pPr>
        <w:ind w:left="1192" w:hanging="314"/>
      </w:pPr>
      <w:rPr>
        <w:rFonts w:hint="default"/>
        <w:lang w:val="ro-RO" w:eastAsia="en-US" w:bidi="ar-SA"/>
      </w:rPr>
    </w:lvl>
    <w:lvl w:ilvl="2" w:tplc="B914AF34">
      <w:numFmt w:val="bullet"/>
      <w:lvlText w:val="•"/>
      <w:lvlJc w:val="left"/>
      <w:pPr>
        <w:ind w:left="2125" w:hanging="314"/>
      </w:pPr>
      <w:rPr>
        <w:rFonts w:hint="default"/>
        <w:lang w:val="ro-RO" w:eastAsia="en-US" w:bidi="ar-SA"/>
      </w:rPr>
    </w:lvl>
    <w:lvl w:ilvl="3" w:tplc="05329DEE">
      <w:numFmt w:val="bullet"/>
      <w:lvlText w:val="•"/>
      <w:lvlJc w:val="left"/>
      <w:pPr>
        <w:ind w:left="3057" w:hanging="314"/>
      </w:pPr>
      <w:rPr>
        <w:rFonts w:hint="default"/>
        <w:lang w:val="ro-RO" w:eastAsia="en-US" w:bidi="ar-SA"/>
      </w:rPr>
    </w:lvl>
    <w:lvl w:ilvl="4" w:tplc="371C953A">
      <w:numFmt w:val="bullet"/>
      <w:lvlText w:val="•"/>
      <w:lvlJc w:val="left"/>
      <w:pPr>
        <w:ind w:left="3990" w:hanging="314"/>
      </w:pPr>
      <w:rPr>
        <w:rFonts w:hint="default"/>
        <w:lang w:val="ro-RO" w:eastAsia="en-US" w:bidi="ar-SA"/>
      </w:rPr>
    </w:lvl>
    <w:lvl w:ilvl="5" w:tplc="3FC0032E">
      <w:numFmt w:val="bullet"/>
      <w:lvlText w:val="•"/>
      <w:lvlJc w:val="left"/>
      <w:pPr>
        <w:ind w:left="4923" w:hanging="314"/>
      </w:pPr>
      <w:rPr>
        <w:rFonts w:hint="default"/>
        <w:lang w:val="ro-RO" w:eastAsia="en-US" w:bidi="ar-SA"/>
      </w:rPr>
    </w:lvl>
    <w:lvl w:ilvl="6" w:tplc="49F836FC">
      <w:numFmt w:val="bullet"/>
      <w:lvlText w:val="•"/>
      <w:lvlJc w:val="left"/>
      <w:pPr>
        <w:ind w:left="5855" w:hanging="314"/>
      </w:pPr>
      <w:rPr>
        <w:rFonts w:hint="default"/>
        <w:lang w:val="ro-RO" w:eastAsia="en-US" w:bidi="ar-SA"/>
      </w:rPr>
    </w:lvl>
    <w:lvl w:ilvl="7" w:tplc="E402ACC0">
      <w:numFmt w:val="bullet"/>
      <w:lvlText w:val="•"/>
      <w:lvlJc w:val="left"/>
      <w:pPr>
        <w:ind w:left="6788" w:hanging="314"/>
      </w:pPr>
      <w:rPr>
        <w:rFonts w:hint="default"/>
        <w:lang w:val="ro-RO" w:eastAsia="en-US" w:bidi="ar-SA"/>
      </w:rPr>
    </w:lvl>
    <w:lvl w:ilvl="8" w:tplc="BA26CB6A">
      <w:numFmt w:val="bullet"/>
      <w:lvlText w:val="•"/>
      <w:lvlJc w:val="left"/>
      <w:pPr>
        <w:ind w:left="7721" w:hanging="314"/>
      </w:pPr>
      <w:rPr>
        <w:rFonts w:hint="default"/>
        <w:lang w:val="ro-RO" w:eastAsia="en-US" w:bidi="ar-SA"/>
      </w:rPr>
    </w:lvl>
  </w:abstractNum>
  <w:abstractNum w:abstractNumId="5" w15:restartNumberingAfterBreak="0">
    <w:nsid w:val="4A0C6DA0"/>
    <w:multiLevelType w:val="hybridMultilevel"/>
    <w:tmpl w:val="9EE2C9F4"/>
    <w:lvl w:ilvl="0" w:tplc="A6D237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1A126D"/>
    <w:multiLevelType w:val="hybridMultilevel"/>
    <w:tmpl w:val="15245CE2"/>
    <w:lvl w:ilvl="0" w:tplc="D438FAFE">
      <w:numFmt w:val="bullet"/>
      <w:lvlText w:val="-"/>
      <w:lvlJc w:val="left"/>
      <w:pPr>
        <w:ind w:left="47" w:hanging="140"/>
      </w:pPr>
      <w:rPr>
        <w:rFonts w:ascii="Times New Roman" w:eastAsia="Times New Roman" w:hAnsi="Times New Roman" w:cs="Times New Roman" w:hint="default"/>
        <w:w w:val="99"/>
        <w:sz w:val="24"/>
        <w:szCs w:val="24"/>
        <w:lang w:val="ro-RO" w:eastAsia="en-US" w:bidi="ar-SA"/>
      </w:rPr>
    </w:lvl>
    <w:lvl w:ilvl="1" w:tplc="7C4630B0">
      <w:numFmt w:val="bullet"/>
      <w:lvlText w:val="•"/>
      <w:lvlJc w:val="left"/>
      <w:pPr>
        <w:ind w:left="956" w:hanging="140"/>
      </w:pPr>
      <w:rPr>
        <w:rFonts w:hint="default"/>
        <w:lang w:val="ro-RO" w:eastAsia="en-US" w:bidi="ar-SA"/>
      </w:rPr>
    </w:lvl>
    <w:lvl w:ilvl="2" w:tplc="37263E58">
      <w:numFmt w:val="bullet"/>
      <w:lvlText w:val="•"/>
      <w:lvlJc w:val="left"/>
      <w:pPr>
        <w:ind w:left="1872" w:hanging="140"/>
      </w:pPr>
      <w:rPr>
        <w:rFonts w:hint="default"/>
        <w:lang w:val="ro-RO" w:eastAsia="en-US" w:bidi="ar-SA"/>
      </w:rPr>
    </w:lvl>
    <w:lvl w:ilvl="3" w:tplc="18221F30">
      <w:numFmt w:val="bullet"/>
      <w:lvlText w:val="•"/>
      <w:lvlJc w:val="left"/>
      <w:pPr>
        <w:ind w:left="2788" w:hanging="140"/>
      </w:pPr>
      <w:rPr>
        <w:rFonts w:hint="default"/>
        <w:lang w:val="ro-RO" w:eastAsia="en-US" w:bidi="ar-SA"/>
      </w:rPr>
    </w:lvl>
    <w:lvl w:ilvl="4" w:tplc="E946B49E">
      <w:numFmt w:val="bullet"/>
      <w:lvlText w:val="•"/>
      <w:lvlJc w:val="left"/>
      <w:pPr>
        <w:ind w:left="3705" w:hanging="140"/>
      </w:pPr>
      <w:rPr>
        <w:rFonts w:hint="default"/>
        <w:lang w:val="ro-RO" w:eastAsia="en-US" w:bidi="ar-SA"/>
      </w:rPr>
    </w:lvl>
    <w:lvl w:ilvl="5" w:tplc="8E6078C6">
      <w:numFmt w:val="bullet"/>
      <w:lvlText w:val="•"/>
      <w:lvlJc w:val="left"/>
      <w:pPr>
        <w:ind w:left="4621" w:hanging="140"/>
      </w:pPr>
      <w:rPr>
        <w:rFonts w:hint="default"/>
        <w:lang w:val="ro-RO" w:eastAsia="en-US" w:bidi="ar-SA"/>
      </w:rPr>
    </w:lvl>
    <w:lvl w:ilvl="6" w:tplc="9E549F84">
      <w:numFmt w:val="bullet"/>
      <w:lvlText w:val="•"/>
      <w:lvlJc w:val="left"/>
      <w:pPr>
        <w:ind w:left="5537" w:hanging="140"/>
      </w:pPr>
      <w:rPr>
        <w:rFonts w:hint="default"/>
        <w:lang w:val="ro-RO" w:eastAsia="en-US" w:bidi="ar-SA"/>
      </w:rPr>
    </w:lvl>
    <w:lvl w:ilvl="7" w:tplc="F5E4F3B8">
      <w:numFmt w:val="bullet"/>
      <w:lvlText w:val="•"/>
      <w:lvlJc w:val="left"/>
      <w:pPr>
        <w:ind w:left="6454" w:hanging="140"/>
      </w:pPr>
      <w:rPr>
        <w:rFonts w:hint="default"/>
        <w:lang w:val="ro-RO" w:eastAsia="en-US" w:bidi="ar-SA"/>
      </w:rPr>
    </w:lvl>
    <w:lvl w:ilvl="8" w:tplc="90963D9C">
      <w:numFmt w:val="bullet"/>
      <w:lvlText w:val="•"/>
      <w:lvlJc w:val="left"/>
      <w:pPr>
        <w:ind w:left="7370" w:hanging="140"/>
      </w:pPr>
      <w:rPr>
        <w:rFonts w:hint="default"/>
        <w:lang w:val="ro-RO" w:eastAsia="en-US" w:bidi="ar-SA"/>
      </w:rPr>
    </w:lvl>
  </w:abstractNum>
  <w:abstractNum w:abstractNumId="7" w15:restartNumberingAfterBreak="0">
    <w:nsid w:val="556010C4"/>
    <w:multiLevelType w:val="hybridMultilevel"/>
    <w:tmpl w:val="A74A6874"/>
    <w:lvl w:ilvl="0" w:tplc="9342D098">
      <w:numFmt w:val="bullet"/>
      <w:lvlText w:val="-"/>
      <w:lvlJc w:val="left"/>
      <w:pPr>
        <w:ind w:left="47" w:hanging="140"/>
      </w:pPr>
      <w:rPr>
        <w:rFonts w:ascii="Times New Roman" w:eastAsia="Times New Roman" w:hAnsi="Times New Roman" w:cs="Times New Roman" w:hint="default"/>
        <w:w w:val="99"/>
        <w:sz w:val="24"/>
        <w:szCs w:val="24"/>
        <w:lang w:val="ro-RO" w:eastAsia="en-US" w:bidi="ar-SA"/>
      </w:rPr>
    </w:lvl>
    <w:lvl w:ilvl="1" w:tplc="0FB60258">
      <w:numFmt w:val="bullet"/>
      <w:lvlText w:val="•"/>
      <w:lvlJc w:val="left"/>
      <w:pPr>
        <w:ind w:left="956" w:hanging="140"/>
      </w:pPr>
      <w:rPr>
        <w:rFonts w:hint="default"/>
        <w:lang w:val="ro-RO" w:eastAsia="en-US" w:bidi="ar-SA"/>
      </w:rPr>
    </w:lvl>
    <w:lvl w:ilvl="2" w:tplc="55726058">
      <w:numFmt w:val="bullet"/>
      <w:lvlText w:val="•"/>
      <w:lvlJc w:val="left"/>
      <w:pPr>
        <w:ind w:left="1872" w:hanging="140"/>
      </w:pPr>
      <w:rPr>
        <w:rFonts w:hint="default"/>
        <w:lang w:val="ro-RO" w:eastAsia="en-US" w:bidi="ar-SA"/>
      </w:rPr>
    </w:lvl>
    <w:lvl w:ilvl="3" w:tplc="71F2BA3E">
      <w:numFmt w:val="bullet"/>
      <w:lvlText w:val="•"/>
      <w:lvlJc w:val="left"/>
      <w:pPr>
        <w:ind w:left="2789" w:hanging="140"/>
      </w:pPr>
      <w:rPr>
        <w:rFonts w:hint="default"/>
        <w:lang w:val="ro-RO" w:eastAsia="en-US" w:bidi="ar-SA"/>
      </w:rPr>
    </w:lvl>
    <w:lvl w:ilvl="4" w:tplc="827E8FD6">
      <w:numFmt w:val="bullet"/>
      <w:lvlText w:val="•"/>
      <w:lvlJc w:val="left"/>
      <w:pPr>
        <w:ind w:left="3705" w:hanging="140"/>
      </w:pPr>
      <w:rPr>
        <w:rFonts w:hint="default"/>
        <w:lang w:val="ro-RO" w:eastAsia="en-US" w:bidi="ar-SA"/>
      </w:rPr>
    </w:lvl>
    <w:lvl w:ilvl="5" w:tplc="6658AEC8">
      <w:numFmt w:val="bullet"/>
      <w:lvlText w:val="•"/>
      <w:lvlJc w:val="left"/>
      <w:pPr>
        <w:ind w:left="4622" w:hanging="140"/>
      </w:pPr>
      <w:rPr>
        <w:rFonts w:hint="default"/>
        <w:lang w:val="ro-RO" w:eastAsia="en-US" w:bidi="ar-SA"/>
      </w:rPr>
    </w:lvl>
    <w:lvl w:ilvl="6" w:tplc="DD9682E8">
      <w:numFmt w:val="bullet"/>
      <w:lvlText w:val="•"/>
      <w:lvlJc w:val="left"/>
      <w:pPr>
        <w:ind w:left="5538" w:hanging="140"/>
      </w:pPr>
      <w:rPr>
        <w:rFonts w:hint="default"/>
        <w:lang w:val="ro-RO" w:eastAsia="en-US" w:bidi="ar-SA"/>
      </w:rPr>
    </w:lvl>
    <w:lvl w:ilvl="7" w:tplc="66A8B54A">
      <w:numFmt w:val="bullet"/>
      <w:lvlText w:val="•"/>
      <w:lvlJc w:val="left"/>
      <w:pPr>
        <w:ind w:left="6454" w:hanging="140"/>
      </w:pPr>
      <w:rPr>
        <w:rFonts w:hint="default"/>
        <w:lang w:val="ro-RO" w:eastAsia="en-US" w:bidi="ar-SA"/>
      </w:rPr>
    </w:lvl>
    <w:lvl w:ilvl="8" w:tplc="71B00F58">
      <w:numFmt w:val="bullet"/>
      <w:lvlText w:val="•"/>
      <w:lvlJc w:val="left"/>
      <w:pPr>
        <w:ind w:left="7371" w:hanging="140"/>
      </w:pPr>
      <w:rPr>
        <w:rFonts w:hint="default"/>
        <w:lang w:val="ro-RO" w:eastAsia="en-US" w:bidi="ar-SA"/>
      </w:rPr>
    </w:lvl>
  </w:abstractNum>
  <w:abstractNum w:abstractNumId="8" w15:restartNumberingAfterBreak="0">
    <w:nsid w:val="5DB06BC3"/>
    <w:multiLevelType w:val="hybridMultilevel"/>
    <w:tmpl w:val="DC1250BA"/>
    <w:lvl w:ilvl="0" w:tplc="6AD25C6C">
      <w:numFmt w:val="bullet"/>
      <w:lvlText w:val="□"/>
      <w:lvlJc w:val="left"/>
      <w:pPr>
        <w:ind w:left="294" w:hanging="248"/>
      </w:pPr>
      <w:rPr>
        <w:rFonts w:ascii="Times New Roman" w:eastAsia="Times New Roman" w:hAnsi="Times New Roman" w:cs="Times New Roman" w:hint="default"/>
        <w:w w:val="128"/>
        <w:sz w:val="24"/>
        <w:szCs w:val="24"/>
        <w:lang w:val="ro-RO" w:eastAsia="en-US" w:bidi="ar-SA"/>
      </w:rPr>
    </w:lvl>
    <w:lvl w:ilvl="1" w:tplc="119CCA16">
      <w:numFmt w:val="bullet"/>
      <w:lvlText w:val="•"/>
      <w:lvlJc w:val="left"/>
      <w:pPr>
        <w:ind w:left="1190" w:hanging="248"/>
      </w:pPr>
      <w:rPr>
        <w:rFonts w:hint="default"/>
        <w:lang w:val="ro-RO" w:eastAsia="en-US" w:bidi="ar-SA"/>
      </w:rPr>
    </w:lvl>
    <w:lvl w:ilvl="2" w:tplc="53E4CA90">
      <w:numFmt w:val="bullet"/>
      <w:lvlText w:val="•"/>
      <w:lvlJc w:val="left"/>
      <w:pPr>
        <w:ind w:left="2080" w:hanging="248"/>
      </w:pPr>
      <w:rPr>
        <w:rFonts w:hint="default"/>
        <w:lang w:val="ro-RO" w:eastAsia="en-US" w:bidi="ar-SA"/>
      </w:rPr>
    </w:lvl>
    <w:lvl w:ilvl="3" w:tplc="A8C297A8">
      <w:numFmt w:val="bullet"/>
      <w:lvlText w:val="•"/>
      <w:lvlJc w:val="left"/>
      <w:pPr>
        <w:ind w:left="2971" w:hanging="248"/>
      </w:pPr>
      <w:rPr>
        <w:rFonts w:hint="default"/>
        <w:lang w:val="ro-RO" w:eastAsia="en-US" w:bidi="ar-SA"/>
      </w:rPr>
    </w:lvl>
    <w:lvl w:ilvl="4" w:tplc="A394EF46">
      <w:numFmt w:val="bullet"/>
      <w:lvlText w:val="•"/>
      <w:lvlJc w:val="left"/>
      <w:pPr>
        <w:ind w:left="3861" w:hanging="248"/>
      </w:pPr>
      <w:rPr>
        <w:rFonts w:hint="default"/>
        <w:lang w:val="ro-RO" w:eastAsia="en-US" w:bidi="ar-SA"/>
      </w:rPr>
    </w:lvl>
    <w:lvl w:ilvl="5" w:tplc="064031EC">
      <w:numFmt w:val="bullet"/>
      <w:lvlText w:val="•"/>
      <w:lvlJc w:val="left"/>
      <w:pPr>
        <w:ind w:left="4752" w:hanging="248"/>
      </w:pPr>
      <w:rPr>
        <w:rFonts w:hint="default"/>
        <w:lang w:val="ro-RO" w:eastAsia="en-US" w:bidi="ar-SA"/>
      </w:rPr>
    </w:lvl>
    <w:lvl w:ilvl="6" w:tplc="8C1C8292">
      <w:numFmt w:val="bullet"/>
      <w:lvlText w:val="•"/>
      <w:lvlJc w:val="left"/>
      <w:pPr>
        <w:ind w:left="5642" w:hanging="248"/>
      </w:pPr>
      <w:rPr>
        <w:rFonts w:hint="default"/>
        <w:lang w:val="ro-RO" w:eastAsia="en-US" w:bidi="ar-SA"/>
      </w:rPr>
    </w:lvl>
    <w:lvl w:ilvl="7" w:tplc="954850B0">
      <w:numFmt w:val="bullet"/>
      <w:lvlText w:val="•"/>
      <w:lvlJc w:val="left"/>
      <w:pPr>
        <w:ind w:left="6532" w:hanging="248"/>
      </w:pPr>
      <w:rPr>
        <w:rFonts w:hint="default"/>
        <w:lang w:val="ro-RO" w:eastAsia="en-US" w:bidi="ar-SA"/>
      </w:rPr>
    </w:lvl>
    <w:lvl w:ilvl="8" w:tplc="FF62F8BC">
      <w:numFmt w:val="bullet"/>
      <w:lvlText w:val="•"/>
      <w:lvlJc w:val="left"/>
      <w:pPr>
        <w:ind w:left="7423" w:hanging="248"/>
      </w:pPr>
      <w:rPr>
        <w:rFonts w:hint="default"/>
        <w:lang w:val="ro-RO" w:eastAsia="en-US" w:bidi="ar-SA"/>
      </w:rPr>
    </w:lvl>
  </w:abstractNum>
  <w:abstractNum w:abstractNumId="9" w15:restartNumberingAfterBreak="0">
    <w:nsid w:val="6E0D4100"/>
    <w:multiLevelType w:val="hybridMultilevel"/>
    <w:tmpl w:val="A30C706C"/>
    <w:lvl w:ilvl="0" w:tplc="6E66B6EA">
      <w:start w:val="1"/>
      <w:numFmt w:val="decimal"/>
      <w:lvlText w:val="%1."/>
      <w:lvlJc w:val="left"/>
      <w:pPr>
        <w:ind w:left="47" w:hanging="183"/>
      </w:pPr>
      <w:rPr>
        <w:rFonts w:ascii="Times New Roman" w:eastAsia="Times New Roman" w:hAnsi="Times New Roman" w:cs="Times New Roman" w:hint="default"/>
        <w:w w:val="100"/>
        <w:sz w:val="22"/>
        <w:szCs w:val="22"/>
        <w:lang w:val="ro-RO" w:eastAsia="en-US" w:bidi="ar-SA"/>
      </w:rPr>
    </w:lvl>
    <w:lvl w:ilvl="1" w:tplc="DB028F1A">
      <w:numFmt w:val="bullet"/>
      <w:lvlText w:val="•"/>
      <w:lvlJc w:val="left"/>
      <w:pPr>
        <w:ind w:left="956" w:hanging="183"/>
      </w:pPr>
      <w:rPr>
        <w:rFonts w:hint="default"/>
        <w:lang w:val="ro-RO" w:eastAsia="en-US" w:bidi="ar-SA"/>
      </w:rPr>
    </w:lvl>
    <w:lvl w:ilvl="2" w:tplc="723AAA3E">
      <w:numFmt w:val="bullet"/>
      <w:lvlText w:val="•"/>
      <w:lvlJc w:val="left"/>
      <w:pPr>
        <w:ind w:left="1872" w:hanging="183"/>
      </w:pPr>
      <w:rPr>
        <w:rFonts w:hint="default"/>
        <w:lang w:val="ro-RO" w:eastAsia="en-US" w:bidi="ar-SA"/>
      </w:rPr>
    </w:lvl>
    <w:lvl w:ilvl="3" w:tplc="C00ADCD4">
      <w:numFmt w:val="bullet"/>
      <w:lvlText w:val="•"/>
      <w:lvlJc w:val="left"/>
      <w:pPr>
        <w:ind w:left="2788" w:hanging="183"/>
      </w:pPr>
      <w:rPr>
        <w:rFonts w:hint="default"/>
        <w:lang w:val="ro-RO" w:eastAsia="en-US" w:bidi="ar-SA"/>
      </w:rPr>
    </w:lvl>
    <w:lvl w:ilvl="4" w:tplc="64FEE11A">
      <w:numFmt w:val="bullet"/>
      <w:lvlText w:val="•"/>
      <w:lvlJc w:val="left"/>
      <w:pPr>
        <w:ind w:left="3705" w:hanging="183"/>
      </w:pPr>
      <w:rPr>
        <w:rFonts w:hint="default"/>
        <w:lang w:val="ro-RO" w:eastAsia="en-US" w:bidi="ar-SA"/>
      </w:rPr>
    </w:lvl>
    <w:lvl w:ilvl="5" w:tplc="3B2A39EA">
      <w:numFmt w:val="bullet"/>
      <w:lvlText w:val="•"/>
      <w:lvlJc w:val="left"/>
      <w:pPr>
        <w:ind w:left="4621" w:hanging="183"/>
      </w:pPr>
      <w:rPr>
        <w:rFonts w:hint="default"/>
        <w:lang w:val="ro-RO" w:eastAsia="en-US" w:bidi="ar-SA"/>
      </w:rPr>
    </w:lvl>
    <w:lvl w:ilvl="6" w:tplc="169229FC">
      <w:numFmt w:val="bullet"/>
      <w:lvlText w:val="•"/>
      <w:lvlJc w:val="left"/>
      <w:pPr>
        <w:ind w:left="5537" w:hanging="183"/>
      </w:pPr>
      <w:rPr>
        <w:rFonts w:hint="default"/>
        <w:lang w:val="ro-RO" w:eastAsia="en-US" w:bidi="ar-SA"/>
      </w:rPr>
    </w:lvl>
    <w:lvl w:ilvl="7" w:tplc="F768EE78">
      <w:numFmt w:val="bullet"/>
      <w:lvlText w:val="•"/>
      <w:lvlJc w:val="left"/>
      <w:pPr>
        <w:ind w:left="6454" w:hanging="183"/>
      </w:pPr>
      <w:rPr>
        <w:rFonts w:hint="default"/>
        <w:lang w:val="ro-RO" w:eastAsia="en-US" w:bidi="ar-SA"/>
      </w:rPr>
    </w:lvl>
    <w:lvl w:ilvl="8" w:tplc="191CD0E2">
      <w:numFmt w:val="bullet"/>
      <w:lvlText w:val="•"/>
      <w:lvlJc w:val="left"/>
      <w:pPr>
        <w:ind w:left="7370" w:hanging="183"/>
      </w:pPr>
      <w:rPr>
        <w:rFonts w:hint="default"/>
        <w:lang w:val="ro-RO" w:eastAsia="en-US" w:bidi="ar-SA"/>
      </w:rPr>
    </w:lvl>
  </w:abstractNum>
  <w:abstractNum w:abstractNumId="10" w15:restartNumberingAfterBreak="0">
    <w:nsid w:val="74453D6F"/>
    <w:multiLevelType w:val="hybridMultilevel"/>
    <w:tmpl w:val="F3525502"/>
    <w:lvl w:ilvl="0" w:tplc="EC169B52">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C96BFE"/>
    <w:multiLevelType w:val="hybridMultilevel"/>
    <w:tmpl w:val="89EE043E"/>
    <w:lvl w:ilvl="0" w:tplc="63DC56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2"/>
  </w:num>
  <w:num w:numId="5">
    <w:abstractNumId w:val="5"/>
  </w:num>
  <w:num w:numId="6">
    <w:abstractNumId w:val="9"/>
  </w:num>
  <w:num w:numId="7">
    <w:abstractNumId w:val="6"/>
  </w:num>
  <w:num w:numId="8">
    <w:abstractNumId w:val="0"/>
  </w:num>
  <w:num w:numId="9">
    <w:abstractNumId w:val="7"/>
  </w:num>
  <w:num w:numId="10">
    <w:abstractNumId w:va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01"/>
    <w:rsid w:val="00412401"/>
    <w:rsid w:val="009359A1"/>
    <w:rsid w:val="00F770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5D302-D044-4C35-8E0C-879D8E42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12401"/>
    <w:pPr>
      <w:keepNext/>
      <w:spacing w:before="240" w:after="60" w:line="240" w:lineRule="auto"/>
      <w:ind w:firstLine="709"/>
      <w:jc w:val="both"/>
      <w:outlineLvl w:val="0"/>
    </w:pPr>
    <w:rPr>
      <w:rFonts w:ascii="Arial" w:eastAsia="Times New Roman" w:hAnsi="Arial" w:cs="Times New Roman"/>
      <w:b/>
      <w:kern w:val="28"/>
      <w:sz w:val="28"/>
      <w:szCs w:val="20"/>
      <w:lang w:val="en-US"/>
    </w:rPr>
  </w:style>
  <w:style w:type="paragraph" w:styleId="2">
    <w:name w:val="heading 2"/>
    <w:basedOn w:val="a"/>
    <w:next w:val="a"/>
    <w:link w:val="20"/>
    <w:qFormat/>
    <w:rsid w:val="00412401"/>
    <w:pPr>
      <w:keepNext/>
      <w:spacing w:after="0" w:line="240" w:lineRule="auto"/>
      <w:ind w:firstLine="709"/>
      <w:jc w:val="center"/>
      <w:outlineLvl w:val="1"/>
    </w:pPr>
    <w:rPr>
      <w:rFonts w:ascii="$ Benguiat_Bold" w:eastAsia="Times New Roman" w:hAnsi="$ Benguiat_Bold" w:cs="Times New Roman"/>
      <w:b/>
      <w:sz w:val="132"/>
      <w:szCs w:val="20"/>
      <w:lang w:val="x-none"/>
    </w:rPr>
  </w:style>
  <w:style w:type="paragraph" w:styleId="3">
    <w:name w:val="heading 3"/>
    <w:basedOn w:val="a"/>
    <w:next w:val="a"/>
    <w:link w:val="30"/>
    <w:qFormat/>
    <w:rsid w:val="00412401"/>
    <w:pPr>
      <w:keepNext/>
      <w:spacing w:after="0" w:line="240" w:lineRule="auto"/>
      <w:ind w:firstLine="709"/>
      <w:jc w:val="center"/>
      <w:outlineLvl w:val="2"/>
    </w:pPr>
    <w:rPr>
      <w:rFonts w:ascii="$Caslon" w:eastAsia="Times New Roman" w:hAnsi="$Caslon" w:cs="Times New Roman"/>
      <w:b/>
      <w:sz w:val="20"/>
      <w:szCs w:val="20"/>
      <w:lang w:val="x-none"/>
    </w:rPr>
  </w:style>
  <w:style w:type="paragraph" w:styleId="4">
    <w:name w:val="heading 4"/>
    <w:basedOn w:val="a"/>
    <w:next w:val="a"/>
    <w:link w:val="40"/>
    <w:qFormat/>
    <w:rsid w:val="00412401"/>
    <w:pPr>
      <w:keepNext/>
      <w:spacing w:after="0" w:line="240" w:lineRule="auto"/>
      <w:ind w:firstLine="709"/>
      <w:jc w:val="center"/>
      <w:outlineLvl w:val="3"/>
    </w:pPr>
    <w:rPr>
      <w:rFonts w:ascii="$Caslon" w:eastAsia="Times New Roman" w:hAnsi="$Caslon" w:cs="Times New Roman"/>
      <w:b/>
      <w:sz w:val="26"/>
      <w:szCs w:val="20"/>
      <w:lang w:val="x-none"/>
    </w:rPr>
  </w:style>
  <w:style w:type="paragraph" w:styleId="5">
    <w:name w:val="heading 5"/>
    <w:basedOn w:val="a"/>
    <w:next w:val="a"/>
    <w:link w:val="50"/>
    <w:qFormat/>
    <w:rsid w:val="00412401"/>
    <w:pPr>
      <w:keepNext/>
      <w:spacing w:after="0" w:line="240" w:lineRule="auto"/>
      <w:ind w:firstLine="709"/>
      <w:jc w:val="center"/>
      <w:outlineLvl w:val="4"/>
    </w:pPr>
    <w:rPr>
      <w:rFonts w:ascii="$Caslon" w:eastAsia="Times New Roman" w:hAnsi="$Caslon" w:cs="Times New Roman"/>
      <w:sz w:val="24"/>
      <w:szCs w:val="20"/>
      <w:lang w:val="x-none"/>
    </w:rPr>
  </w:style>
  <w:style w:type="paragraph" w:styleId="6">
    <w:name w:val="heading 6"/>
    <w:basedOn w:val="a"/>
    <w:next w:val="a"/>
    <w:link w:val="60"/>
    <w:qFormat/>
    <w:rsid w:val="00412401"/>
    <w:pPr>
      <w:keepNext/>
      <w:spacing w:after="0" w:line="240" w:lineRule="auto"/>
      <w:ind w:firstLine="709"/>
      <w:jc w:val="center"/>
      <w:outlineLvl w:val="5"/>
    </w:pPr>
    <w:rPr>
      <w:rFonts w:ascii="$Caslon" w:eastAsia="Times New Roman" w:hAnsi="$Caslon" w:cs="Times New Roman"/>
      <w:b/>
      <w:szCs w:val="20"/>
      <w:lang w:val="x-none"/>
    </w:rPr>
  </w:style>
  <w:style w:type="paragraph" w:styleId="7">
    <w:name w:val="heading 7"/>
    <w:basedOn w:val="a"/>
    <w:next w:val="a"/>
    <w:link w:val="70"/>
    <w:qFormat/>
    <w:rsid w:val="00412401"/>
    <w:pPr>
      <w:keepNext/>
      <w:spacing w:after="0" w:line="240" w:lineRule="auto"/>
      <w:ind w:firstLine="709"/>
      <w:jc w:val="center"/>
      <w:outlineLvl w:val="6"/>
    </w:pPr>
    <w:rPr>
      <w:rFonts w:ascii="Garamond" w:eastAsia="Times New Roman" w:hAnsi="Garamond" w:cs="Times New Roman"/>
      <w:b/>
      <w:sz w:val="28"/>
      <w:szCs w:val="20"/>
      <w:lang w:val="en-US"/>
    </w:rPr>
  </w:style>
  <w:style w:type="paragraph" w:styleId="8">
    <w:name w:val="heading 8"/>
    <w:basedOn w:val="a"/>
    <w:next w:val="a"/>
    <w:link w:val="80"/>
    <w:qFormat/>
    <w:rsid w:val="00412401"/>
    <w:pPr>
      <w:keepNext/>
      <w:spacing w:after="0" w:line="240" w:lineRule="auto"/>
      <w:ind w:firstLine="709"/>
      <w:jc w:val="center"/>
      <w:outlineLvl w:val="7"/>
    </w:pPr>
    <w:rPr>
      <w:rFonts w:ascii="$Caslon" w:eastAsia="Times New Roman" w:hAnsi="$Caslo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2401"/>
    <w:rPr>
      <w:rFonts w:ascii="Arial" w:eastAsia="Times New Roman" w:hAnsi="Arial" w:cs="Times New Roman"/>
      <w:b/>
      <w:kern w:val="28"/>
      <w:sz w:val="28"/>
      <w:szCs w:val="20"/>
      <w:lang w:val="en-US"/>
    </w:rPr>
  </w:style>
  <w:style w:type="character" w:customStyle="1" w:styleId="20">
    <w:name w:val="Заголовок 2 Знак"/>
    <w:basedOn w:val="a0"/>
    <w:link w:val="2"/>
    <w:rsid w:val="00412401"/>
    <w:rPr>
      <w:rFonts w:ascii="$ Benguiat_Bold" w:eastAsia="Times New Roman" w:hAnsi="$ Benguiat_Bold" w:cs="Times New Roman"/>
      <w:b/>
      <w:sz w:val="132"/>
      <w:szCs w:val="20"/>
      <w:lang w:val="x-none"/>
    </w:rPr>
  </w:style>
  <w:style w:type="character" w:customStyle="1" w:styleId="30">
    <w:name w:val="Заголовок 3 Знак"/>
    <w:basedOn w:val="a0"/>
    <w:link w:val="3"/>
    <w:rsid w:val="00412401"/>
    <w:rPr>
      <w:rFonts w:ascii="$Caslon" w:eastAsia="Times New Roman" w:hAnsi="$Caslon" w:cs="Times New Roman"/>
      <w:b/>
      <w:sz w:val="20"/>
      <w:szCs w:val="20"/>
      <w:lang w:val="x-none"/>
    </w:rPr>
  </w:style>
  <w:style w:type="character" w:customStyle="1" w:styleId="40">
    <w:name w:val="Заголовок 4 Знак"/>
    <w:basedOn w:val="a0"/>
    <w:link w:val="4"/>
    <w:rsid w:val="00412401"/>
    <w:rPr>
      <w:rFonts w:ascii="$Caslon" w:eastAsia="Times New Roman" w:hAnsi="$Caslon" w:cs="Times New Roman"/>
      <w:b/>
      <w:sz w:val="26"/>
      <w:szCs w:val="20"/>
      <w:lang w:val="x-none"/>
    </w:rPr>
  </w:style>
  <w:style w:type="character" w:customStyle="1" w:styleId="50">
    <w:name w:val="Заголовок 5 Знак"/>
    <w:basedOn w:val="a0"/>
    <w:link w:val="5"/>
    <w:rsid w:val="00412401"/>
    <w:rPr>
      <w:rFonts w:ascii="$Caslon" w:eastAsia="Times New Roman" w:hAnsi="$Caslon" w:cs="Times New Roman"/>
      <w:sz w:val="24"/>
      <w:szCs w:val="20"/>
      <w:lang w:val="x-none"/>
    </w:rPr>
  </w:style>
  <w:style w:type="character" w:customStyle="1" w:styleId="60">
    <w:name w:val="Заголовок 6 Знак"/>
    <w:basedOn w:val="a0"/>
    <w:link w:val="6"/>
    <w:rsid w:val="00412401"/>
    <w:rPr>
      <w:rFonts w:ascii="$Caslon" w:eastAsia="Times New Roman" w:hAnsi="$Caslon" w:cs="Times New Roman"/>
      <w:b/>
      <w:szCs w:val="20"/>
      <w:lang w:val="x-none"/>
    </w:rPr>
  </w:style>
  <w:style w:type="character" w:customStyle="1" w:styleId="70">
    <w:name w:val="Заголовок 7 Знак"/>
    <w:basedOn w:val="a0"/>
    <w:link w:val="7"/>
    <w:rsid w:val="00412401"/>
    <w:rPr>
      <w:rFonts w:ascii="Garamond" w:eastAsia="Times New Roman" w:hAnsi="Garamond" w:cs="Times New Roman"/>
      <w:b/>
      <w:sz w:val="28"/>
      <w:szCs w:val="20"/>
      <w:lang w:val="en-US"/>
    </w:rPr>
  </w:style>
  <w:style w:type="character" w:customStyle="1" w:styleId="80">
    <w:name w:val="Заголовок 8 Знак"/>
    <w:basedOn w:val="a0"/>
    <w:link w:val="8"/>
    <w:rsid w:val="00412401"/>
    <w:rPr>
      <w:rFonts w:ascii="$Caslon" w:eastAsia="Times New Roman" w:hAnsi="$Caslon" w:cs="Times New Roman"/>
      <w:b/>
      <w:sz w:val="24"/>
      <w:szCs w:val="20"/>
      <w:lang w:val="en-US"/>
    </w:rPr>
  </w:style>
  <w:style w:type="numbering" w:customStyle="1" w:styleId="11">
    <w:name w:val="Нет списка1"/>
    <w:next w:val="a2"/>
    <w:uiPriority w:val="99"/>
    <w:semiHidden/>
    <w:unhideWhenUsed/>
    <w:rsid w:val="00412401"/>
  </w:style>
  <w:style w:type="table" w:styleId="a3">
    <w:name w:val="Table Grid"/>
    <w:basedOn w:val="a1"/>
    <w:uiPriority w:val="39"/>
    <w:rsid w:val="00412401"/>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1,Scriptoria bullet points,strikethrough,standaard met opsomming"/>
    <w:basedOn w:val="a"/>
    <w:link w:val="a5"/>
    <w:uiPriority w:val="34"/>
    <w:qFormat/>
    <w:rsid w:val="00412401"/>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styleId="a6">
    <w:name w:val="Hyperlink"/>
    <w:basedOn w:val="a0"/>
    <w:uiPriority w:val="99"/>
    <w:rsid w:val="00412401"/>
    <w:rPr>
      <w:color w:val="0000FF"/>
      <w:u w:val="single"/>
    </w:rPr>
  </w:style>
  <w:style w:type="character" w:customStyle="1" w:styleId="a5">
    <w:name w:val="Абзац списка Знак"/>
    <w:aliases w:val="List Paragraph 1 Знак,Scriptoria bullet points Знак,strikethrough Знак,standaard met opsomming Знак"/>
    <w:basedOn w:val="a0"/>
    <w:link w:val="a4"/>
    <w:uiPriority w:val="34"/>
    <w:locked/>
    <w:rsid w:val="00412401"/>
    <w:rPr>
      <w:rFonts w:ascii="Times New Roman" w:eastAsia="Times New Roman" w:hAnsi="Times New Roman" w:cs="Times New Roman"/>
      <w:sz w:val="20"/>
      <w:szCs w:val="20"/>
      <w:lang w:val="en-US"/>
    </w:rPr>
  </w:style>
  <w:style w:type="paragraph" w:styleId="a7">
    <w:name w:val="header"/>
    <w:basedOn w:val="a"/>
    <w:link w:val="a8"/>
    <w:unhideWhenUsed/>
    <w:rsid w:val="00412401"/>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8">
    <w:name w:val="Верхний колонтитул Знак"/>
    <w:basedOn w:val="a0"/>
    <w:link w:val="a7"/>
    <w:rsid w:val="00412401"/>
    <w:rPr>
      <w:rFonts w:ascii="Times New Roman" w:eastAsia="Times New Roman" w:hAnsi="Times New Roman" w:cs="Times New Roman"/>
      <w:sz w:val="20"/>
      <w:szCs w:val="20"/>
      <w:lang w:val="en-US"/>
    </w:rPr>
  </w:style>
  <w:style w:type="paragraph" w:styleId="a9">
    <w:name w:val="footer"/>
    <w:basedOn w:val="a"/>
    <w:link w:val="aa"/>
    <w:unhideWhenUsed/>
    <w:rsid w:val="00412401"/>
    <w:pPr>
      <w:tabs>
        <w:tab w:val="center" w:pos="4677"/>
        <w:tab w:val="right" w:pos="9355"/>
      </w:tabs>
      <w:spacing w:after="0" w:line="240" w:lineRule="auto"/>
      <w:ind w:firstLine="709"/>
      <w:jc w:val="both"/>
    </w:pPr>
    <w:rPr>
      <w:rFonts w:ascii="Times New Roman" w:eastAsia="Times New Roman" w:hAnsi="Times New Roman" w:cs="Times New Roman"/>
      <w:sz w:val="20"/>
      <w:szCs w:val="20"/>
      <w:lang w:val="en-US"/>
    </w:rPr>
  </w:style>
  <w:style w:type="character" w:customStyle="1" w:styleId="aa">
    <w:name w:val="Нижний колонтитул Знак"/>
    <w:basedOn w:val="a0"/>
    <w:link w:val="a9"/>
    <w:rsid w:val="00412401"/>
    <w:rPr>
      <w:rFonts w:ascii="Times New Roman" w:eastAsia="Times New Roman" w:hAnsi="Times New Roman" w:cs="Times New Roman"/>
      <w:sz w:val="20"/>
      <w:szCs w:val="20"/>
      <w:lang w:val="en-US"/>
    </w:rPr>
  </w:style>
  <w:style w:type="paragraph" w:styleId="ab">
    <w:name w:val="Balloon Text"/>
    <w:basedOn w:val="a"/>
    <w:link w:val="ac"/>
    <w:uiPriority w:val="99"/>
    <w:rsid w:val="00412401"/>
    <w:pPr>
      <w:spacing w:after="0" w:line="240" w:lineRule="auto"/>
      <w:ind w:firstLine="709"/>
      <w:jc w:val="both"/>
    </w:pPr>
    <w:rPr>
      <w:rFonts w:ascii="Tahoma" w:eastAsia="Times New Roman" w:hAnsi="Tahoma" w:cs="Times New Roman"/>
      <w:sz w:val="16"/>
      <w:szCs w:val="16"/>
      <w:lang w:val="en-US"/>
    </w:rPr>
  </w:style>
  <w:style w:type="character" w:customStyle="1" w:styleId="ac">
    <w:name w:val="Текст выноски Знак"/>
    <w:basedOn w:val="a0"/>
    <w:link w:val="ab"/>
    <w:uiPriority w:val="99"/>
    <w:rsid w:val="00412401"/>
    <w:rPr>
      <w:rFonts w:ascii="Tahoma" w:eastAsia="Times New Roman" w:hAnsi="Tahoma" w:cs="Times New Roman"/>
      <w:sz w:val="16"/>
      <w:szCs w:val="16"/>
      <w:lang w:val="en-US"/>
    </w:rPr>
  </w:style>
  <w:style w:type="paragraph" w:customStyle="1" w:styleId="CharChar">
    <w:name w:val="Знак Знак Char Char Знак"/>
    <w:basedOn w:val="a"/>
    <w:rsid w:val="00412401"/>
    <w:pPr>
      <w:spacing w:line="240" w:lineRule="exact"/>
    </w:pPr>
    <w:rPr>
      <w:rFonts w:ascii="Arial" w:eastAsia="Batang" w:hAnsi="Arial" w:cs="Arial"/>
      <w:sz w:val="20"/>
      <w:szCs w:val="20"/>
      <w:lang w:val="en-US"/>
    </w:rPr>
  </w:style>
  <w:style w:type="paragraph" w:styleId="ad">
    <w:name w:val="Normal (Web)"/>
    <w:basedOn w:val="a"/>
    <w:uiPriority w:val="99"/>
    <w:unhideWhenUsed/>
    <w:rsid w:val="00412401"/>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n">
    <w:name w:val="cn"/>
    <w:basedOn w:val="a"/>
    <w:rsid w:val="00412401"/>
    <w:pPr>
      <w:spacing w:after="0" w:line="240" w:lineRule="auto"/>
      <w:jc w:val="center"/>
    </w:pPr>
    <w:rPr>
      <w:rFonts w:ascii="Times New Roman" w:eastAsia="Times New Roman" w:hAnsi="Times New Roman" w:cs="Times New Roman"/>
      <w:sz w:val="24"/>
      <w:szCs w:val="24"/>
      <w:lang w:val="ru-RU" w:eastAsia="ru-RU"/>
    </w:rPr>
  </w:style>
  <w:style w:type="paragraph" w:customStyle="1" w:styleId="cb">
    <w:name w:val="cb"/>
    <w:basedOn w:val="a"/>
    <w:uiPriority w:val="99"/>
    <w:semiHidden/>
    <w:rsid w:val="0041240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news">
    <w:name w:val="news"/>
    <w:basedOn w:val="a"/>
    <w:rsid w:val="00412401"/>
    <w:pPr>
      <w:spacing w:after="0" w:line="240" w:lineRule="auto"/>
    </w:pPr>
    <w:rPr>
      <w:rFonts w:ascii="Arial" w:eastAsia="Times New Roman" w:hAnsi="Arial" w:cs="Arial"/>
      <w:sz w:val="20"/>
      <w:szCs w:val="20"/>
      <w:lang w:val="ru-RU" w:eastAsia="ru-RU"/>
    </w:rPr>
  </w:style>
  <w:style w:type="table" w:customStyle="1" w:styleId="GrilTabel1">
    <w:name w:val="Grilă Tabel1"/>
    <w:basedOn w:val="a1"/>
    <w:next w:val="a3"/>
    <w:uiPriority w:val="59"/>
    <w:rsid w:val="00412401"/>
    <w:pPr>
      <w:spacing w:after="0" w:line="24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a2"/>
    <w:semiHidden/>
    <w:rsid w:val="00412401"/>
  </w:style>
  <w:style w:type="character" w:styleId="ae">
    <w:name w:val="page number"/>
    <w:basedOn w:val="a0"/>
    <w:rsid w:val="00412401"/>
  </w:style>
  <w:style w:type="paragraph" w:customStyle="1" w:styleId="tt">
    <w:name w:val="tt"/>
    <w:basedOn w:val="a"/>
    <w:rsid w:val="0041240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harChar0">
    <w:name w:val="Char Char Знак Знак"/>
    <w:basedOn w:val="a"/>
    <w:rsid w:val="00412401"/>
    <w:pPr>
      <w:spacing w:line="240" w:lineRule="exact"/>
    </w:pPr>
    <w:rPr>
      <w:rFonts w:ascii="Arial" w:eastAsia="Batang" w:hAnsi="Arial" w:cs="Arial"/>
      <w:sz w:val="20"/>
      <w:szCs w:val="20"/>
      <w:lang w:val="en-US"/>
    </w:rPr>
  </w:style>
  <w:style w:type="character" w:customStyle="1" w:styleId="docheader1">
    <w:name w:val="doc_header1"/>
    <w:rsid w:val="00412401"/>
    <w:rPr>
      <w:rFonts w:ascii="Times New Roman" w:hAnsi="Times New Roman" w:cs="Times New Roman" w:hint="default"/>
      <w:b/>
      <w:bCs/>
      <w:color w:val="000000"/>
      <w:sz w:val="24"/>
      <w:szCs w:val="24"/>
    </w:rPr>
  </w:style>
  <w:style w:type="character" w:styleId="af">
    <w:name w:val="Strong"/>
    <w:uiPriority w:val="22"/>
    <w:qFormat/>
    <w:rsid w:val="00412401"/>
    <w:rPr>
      <w:b/>
      <w:bCs/>
    </w:rPr>
  </w:style>
  <w:style w:type="character" w:customStyle="1" w:styleId="docsign11">
    <w:name w:val="doc_sign11"/>
    <w:rsid w:val="00412401"/>
    <w:rPr>
      <w:rFonts w:ascii="Times New Roman" w:hAnsi="Times New Roman" w:cs="Times New Roman" w:hint="default"/>
      <w:b/>
      <w:bCs/>
      <w:color w:val="000000"/>
      <w:sz w:val="22"/>
      <w:szCs w:val="22"/>
    </w:rPr>
  </w:style>
  <w:style w:type="character" w:customStyle="1" w:styleId="sttart">
    <w:name w:val="st_tart"/>
    <w:basedOn w:val="a0"/>
    <w:rsid w:val="00412401"/>
  </w:style>
  <w:style w:type="character" w:customStyle="1" w:styleId="tal1">
    <w:name w:val="tal1"/>
    <w:rsid w:val="00412401"/>
  </w:style>
  <w:style w:type="table" w:customStyle="1" w:styleId="GrilTabel2">
    <w:name w:val="Grilă Tabel2"/>
    <w:basedOn w:val="a1"/>
    <w:next w:val="a3"/>
    <w:rsid w:val="00412401"/>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412401"/>
    <w:pPr>
      <w:spacing w:before="100" w:beforeAutospacing="1" w:after="100" w:afterAutospacing="1" w:line="240" w:lineRule="auto"/>
      <w:ind w:firstLine="200"/>
      <w:jc w:val="both"/>
    </w:pPr>
    <w:rPr>
      <w:rFonts w:ascii="Verdana" w:eastAsia="Times New Roman" w:hAnsi="Verdana" w:cs="Times New Roman"/>
      <w:color w:val="033778"/>
      <w:sz w:val="21"/>
      <w:szCs w:val="21"/>
      <w:lang w:val="en-US" w:eastAsia="zh-CN"/>
    </w:rPr>
  </w:style>
  <w:style w:type="character" w:customStyle="1" w:styleId="def">
    <w:name w:val="def"/>
    <w:rsid w:val="00412401"/>
  </w:style>
  <w:style w:type="paragraph" w:customStyle="1" w:styleId="cnam1">
    <w:name w:val="cnam1"/>
    <w:basedOn w:val="a"/>
    <w:rsid w:val="00412401"/>
    <w:pPr>
      <w:spacing w:before="100" w:beforeAutospacing="1" w:after="100" w:afterAutospacing="1" w:line="240" w:lineRule="auto"/>
    </w:pPr>
    <w:rPr>
      <w:rFonts w:ascii="Times New Roman" w:eastAsia="Times New Roman" w:hAnsi="Times New Roman" w:cs="Times New Roman"/>
      <w:color w:val="2D2D2D"/>
      <w:sz w:val="29"/>
      <w:szCs w:val="29"/>
      <w:lang w:val="en-US" w:eastAsia="zh-CN"/>
    </w:rPr>
  </w:style>
  <w:style w:type="character" w:styleId="af0">
    <w:name w:val="annotation reference"/>
    <w:uiPriority w:val="99"/>
    <w:rsid w:val="00412401"/>
    <w:rPr>
      <w:sz w:val="16"/>
      <w:szCs w:val="16"/>
    </w:rPr>
  </w:style>
  <w:style w:type="paragraph" w:styleId="af1">
    <w:name w:val="annotation text"/>
    <w:basedOn w:val="a"/>
    <w:link w:val="af2"/>
    <w:uiPriority w:val="99"/>
    <w:rsid w:val="0041240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rsid w:val="00412401"/>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412401"/>
    <w:rPr>
      <w:b/>
      <w:bCs/>
    </w:rPr>
  </w:style>
  <w:style w:type="character" w:customStyle="1" w:styleId="af4">
    <w:name w:val="Тема примечания Знак"/>
    <w:basedOn w:val="af2"/>
    <w:link w:val="af3"/>
    <w:uiPriority w:val="99"/>
    <w:rsid w:val="00412401"/>
    <w:rPr>
      <w:rFonts w:ascii="Times New Roman" w:eastAsia="Times New Roman" w:hAnsi="Times New Roman" w:cs="Times New Roman"/>
      <w:b/>
      <w:bCs/>
      <w:sz w:val="20"/>
      <w:szCs w:val="20"/>
      <w:lang w:eastAsia="ru-RU"/>
    </w:rPr>
  </w:style>
  <w:style w:type="character" w:customStyle="1" w:styleId="apple-converted-space">
    <w:name w:val="apple-converted-space"/>
    <w:rsid w:val="00412401"/>
  </w:style>
  <w:style w:type="character" w:customStyle="1" w:styleId="docheader">
    <w:name w:val="doc_header"/>
    <w:rsid w:val="00412401"/>
  </w:style>
  <w:style w:type="paragraph" w:customStyle="1" w:styleId="Style2">
    <w:name w:val="Style2"/>
    <w:basedOn w:val="a"/>
    <w:uiPriority w:val="99"/>
    <w:rsid w:val="00412401"/>
    <w:pPr>
      <w:widowControl w:val="0"/>
      <w:autoSpaceDE w:val="0"/>
      <w:autoSpaceDN w:val="0"/>
      <w:adjustRightInd w:val="0"/>
      <w:spacing w:after="0" w:line="373" w:lineRule="exact"/>
      <w:ind w:firstLine="696"/>
      <w:jc w:val="both"/>
    </w:pPr>
    <w:rPr>
      <w:rFonts w:ascii="Times New Roman" w:eastAsiaTheme="minorEastAsia" w:hAnsi="Times New Roman" w:cs="Times New Roman"/>
      <w:sz w:val="24"/>
      <w:szCs w:val="24"/>
      <w:lang w:val="ru-RU" w:eastAsia="ru-RU"/>
    </w:rPr>
  </w:style>
  <w:style w:type="paragraph" w:customStyle="1" w:styleId="Style8">
    <w:name w:val="Style8"/>
    <w:basedOn w:val="a"/>
    <w:uiPriority w:val="99"/>
    <w:rsid w:val="00412401"/>
    <w:pPr>
      <w:widowControl w:val="0"/>
      <w:autoSpaceDE w:val="0"/>
      <w:autoSpaceDN w:val="0"/>
      <w:adjustRightInd w:val="0"/>
      <w:spacing w:after="0" w:line="317" w:lineRule="exact"/>
    </w:pPr>
    <w:rPr>
      <w:rFonts w:ascii="Times New Roman" w:eastAsiaTheme="minorEastAsia" w:hAnsi="Times New Roman" w:cs="Times New Roman"/>
      <w:sz w:val="24"/>
      <w:szCs w:val="24"/>
      <w:lang w:val="ru-RU" w:eastAsia="ru-RU"/>
    </w:rPr>
  </w:style>
  <w:style w:type="paragraph" w:customStyle="1" w:styleId="Style9">
    <w:name w:val="Style9"/>
    <w:basedOn w:val="a"/>
    <w:uiPriority w:val="99"/>
    <w:rsid w:val="00412401"/>
    <w:pPr>
      <w:widowControl w:val="0"/>
      <w:autoSpaceDE w:val="0"/>
      <w:autoSpaceDN w:val="0"/>
      <w:adjustRightInd w:val="0"/>
      <w:spacing w:after="0" w:line="326" w:lineRule="exact"/>
      <w:ind w:firstLine="398"/>
    </w:pPr>
    <w:rPr>
      <w:rFonts w:ascii="Times New Roman" w:eastAsiaTheme="minorEastAsia" w:hAnsi="Times New Roman" w:cs="Times New Roman"/>
      <w:sz w:val="24"/>
      <w:szCs w:val="24"/>
      <w:lang w:val="ru-RU" w:eastAsia="ru-RU"/>
    </w:rPr>
  </w:style>
  <w:style w:type="character" w:customStyle="1" w:styleId="FontStyle12">
    <w:name w:val="Font Style12"/>
    <w:basedOn w:val="a0"/>
    <w:uiPriority w:val="99"/>
    <w:rsid w:val="00412401"/>
    <w:rPr>
      <w:rFonts w:ascii="Times New Roman" w:hAnsi="Times New Roman" w:cs="Times New Roman"/>
      <w:sz w:val="24"/>
      <w:szCs w:val="24"/>
    </w:rPr>
  </w:style>
  <w:style w:type="paragraph" w:customStyle="1" w:styleId="cp">
    <w:name w:val="cp"/>
    <w:basedOn w:val="a"/>
    <w:rsid w:val="004124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object">
    <w:name w:val="object"/>
    <w:basedOn w:val="a0"/>
    <w:rsid w:val="00412401"/>
  </w:style>
  <w:style w:type="paragraph" w:styleId="HTML">
    <w:name w:val="HTML Preformatted"/>
    <w:basedOn w:val="a"/>
    <w:link w:val="HTML0"/>
    <w:uiPriority w:val="99"/>
    <w:unhideWhenUsed/>
    <w:rsid w:val="00412401"/>
    <w:pPr>
      <w:spacing w:after="0" w:line="240" w:lineRule="auto"/>
    </w:pPr>
    <w:rPr>
      <w:rFonts w:ascii="Consolas" w:eastAsia="Times New Roman" w:hAnsi="Consolas" w:cs="Times New Roman"/>
      <w:sz w:val="20"/>
      <w:szCs w:val="20"/>
      <w:lang w:val="en-US"/>
    </w:rPr>
  </w:style>
  <w:style w:type="character" w:customStyle="1" w:styleId="HTML0">
    <w:name w:val="Стандартный HTML Знак"/>
    <w:basedOn w:val="a0"/>
    <w:link w:val="HTML"/>
    <w:uiPriority w:val="99"/>
    <w:rsid w:val="00412401"/>
    <w:rPr>
      <w:rFonts w:ascii="Consolas" w:eastAsia="Times New Roman" w:hAnsi="Consolas" w:cs="Times New Roman"/>
      <w:sz w:val="20"/>
      <w:szCs w:val="20"/>
      <w:lang w:val="en-US"/>
    </w:rPr>
  </w:style>
  <w:style w:type="paragraph" w:customStyle="1" w:styleId="rg">
    <w:name w:val="rg"/>
    <w:basedOn w:val="a"/>
    <w:uiPriority w:val="99"/>
    <w:semiHidden/>
    <w:rsid w:val="00412401"/>
    <w:pPr>
      <w:spacing w:after="0" w:line="240" w:lineRule="auto"/>
      <w:jc w:val="right"/>
    </w:pPr>
    <w:rPr>
      <w:rFonts w:ascii="Times New Roman" w:eastAsiaTheme="minorEastAsia" w:hAnsi="Times New Roman" w:cs="Times New Roman"/>
      <w:sz w:val="24"/>
      <w:szCs w:val="24"/>
      <w:lang w:val="en-GB" w:eastAsia="en-GB"/>
    </w:rPr>
  </w:style>
  <w:style w:type="paragraph" w:customStyle="1" w:styleId="lf">
    <w:name w:val="lf"/>
    <w:basedOn w:val="a"/>
    <w:uiPriority w:val="99"/>
    <w:semiHidden/>
    <w:rsid w:val="00412401"/>
    <w:pPr>
      <w:spacing w:after="0" w:line="240" w:lineRule="auto"/>
    </w:pPr>
    <w:rPr>
      <w:rFonts w:ascii="Times New Roman" w:eastAsiaTheme="minorEastAsia" w:hAnsi="Times New Roman" w:cs="Times New Roman"/>
      <w:sz w:val="24"/>
      <w:szCs w:val="24"/>
      <w:lang w:val="en-GB" w:eastAsia="en-GB"/>
    </w:rPr>
  </w:style>
  <w:style w:type="paragraph" w:styleId="af5">
    <w:name w:val="No Spacing"/>
    <w:uiPriority w:val="1"/>
    <w:qFormat/>
    <w:rsid w:val="00412401"/>
    <w:pPr>
      <w:spacing w:after="0" w:line="240" w:lineRule="auto"/>
    </w:pPr>
    <w:rPr>
      <w:lang w:val="en-US"/>
    </w:rPr>
  </w:style>
  <w:style w:type="paragraph" w:styleId="af6">
    <w:name w:val="Body Text"/>
    <w:basedOn w:val="a"/>
    <w:link w:val="af7"/>
    <w:uiPriority w:val="1"/>
    <w:qFormat/>
    <w:rsid w:val="00412401"/>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f7">
    <w:name w:val="Основной текст Знак"/>
    <w:basedOn w:val="a0"/>
    <w:link w:val="af6"/>
    <w:uiPriority w:val="1"/>
    <w:rsid w:val="00412401"/>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12401"/>
    <w:pPr>
      <w:widowControl w:val="0"/>
      <w:autoSpaceDE w:val="0"/>
      <w:autoSpaceDN w:val="0"/>
      <w:spacing w:after="0" w:line="240" w:lineRule="auto"/>
      <w:ind w:left="47"/>
    </w:pPr>
    <w:rPr>
      <w:rFonts w:ascii="Times New Roman" w:eastAsia="Times New Roman" w:hAnsi="Times New Roman" w:cs="Times New Roman"/>
    </w:rPr>
  </w:style>
  <w:style w:type="paragraph" w:styleId="af8">
    <w:name w:val="Revision"/>
    <w:hidden/>
    <w:uiPriority w:val="99"/>
    <w:semiHidden/>
    <w:rsid w:val="00412401"/>
    <w:pPr>
      <w:spacing w:after="0" w:line="240" w:lineRule="auto"/>
    </w:pPr>
    <w:rPr>
      <w:rFonts w:ascii="Times New Roman" w:eastAsia="Times New Roman" w:hAnsi="Times New Roman" w:cs="Times New Roman"/>
      <w:sz w:val="20"/>
      <w:szCs w:val="20"/>
      <w:lang w:val="en-US"/>
    </w:rPr>
  </w:style>
  <w:style w:type="character" w:customStyle="1" w:styleId="UnresolvedMention">
    <w:name w:val="Unresolved Mention"/>
    <w:basedOn w:val="a0"/>
    <w:uiPriority w:val="99"/>
    <w:semiHidden/>
    <w:unhideWhenUsed/>
    <w:rsid w:val="00412401"/>
    <w:rPr>
      <w:color w:val="605E5C"/>
      <w:shd w:val="clear" w:color="auto" w:fill="E1DFDD"/>
    </w:rPr>
  </w:style>
  <w:style w:type="table" w:customStyle="1" w:styleId="12">
    <w:name w:val="Сетка таблицы1"/>
    <w:basedOn w:val="a1"/>
    <w:next w:val="a3"/>
    <w:uiPriority w:val="39"/>
    <w:rsid w:val="0041240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1307</Words>
  <Characters>7452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Staver</dc:creator>
  <cp:keywords/>
  <dc:description/>
  <cp:lastModifiedBy>Anatolie Coguteac</cp:lastModifiedBy>
  <cp:revision>2</cp:revision>
  <dcterms:created xsi:type="dcterms:W3CDTF">2023-07-04T06:14:00Z</dcterms:created>
  <dcterms:modified xsi:type="dcterms:W3CDTF">2023-07-04T06:14:00Z</dcterms:modified>
</cp:coreProperties>
</file>