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787ED" w14:textId="4EBA6035" w:rsidR="0049463A" w:rsidRPr="00567376" w:rsidRDefault="00DD31AC" w:rsidP="0049463A">
      <w:pPr>
        <w:contextualSpacing/>
        <w:jc w:val="center"/>
        <w:rPr>
          <w:rFonts w:ascii="Times New Roman" w:hAnsi="Times New Roman" w:cs="Times New Roman"/>
          <w:b/>
          <w:sz w:val="28"/>
          <w:szCs w:val="28"/>
          <w:lang w:val="ro-RO"/>
        </w:rPr>
      </w:pPr>
      <w:r w:rsidRPr="00567376">
        <w:rPr>
          <w:rFonts w:ascii="Times New Roman" w:hAnsi="Times New Roman" w:cs="Times New Roman"/>
          <w:b/>
          <w:sz w:val="28"/>
          <w:szCs w:val="28"/>
          <w:lang w:val="ro-RO"/>
        </w:rPr>
        <w:t xml:space="preserve">NOTA INFORMATIVĂ </w:t>
      </w:r>
    </w:p>
    <w:p w14:paraId="1493BCFA" w14:textId="5EAD9823" w:rsidR="005A6834" w:rsidRPr="00567376" w:rsidRDefault="005A6834" w:rsidP="00CE5EB4">
      <w:pPr>
        <w:pStyle w:val="NoSpacing"/>
        <w:jc w:val="center"/>
        <w:rPr>
          <w:b/>
          <w:sz w:val="28"/>
          <w:szCs w:val="28"/>
          <w:lang w:val="ro-RO"/>
        </w:rPr>
      </w:pPr>
      <w:r w:rsidRPr="00567376">
        <w:rPr>
          <w:rFonts w:ascii="Times New Roman" w:hAnsi="Times New Roman" w:cs="Times New Roman"/>
          <w:b/>
          <w:sz w:val="28"/>
          <w:szCs w:val="28"/>
          <w:lang w:val="ro-RO"/>
        </w:rPr>
        <w:t>la</w:t>
      </w:r>
      <w:r w:rsidRPr="00567376">
        <w:rPr>
          <w:b/>
          <w:lang w:val="ro-RO"/>
        </w:rPr>
        <w:t xml:space="preserve"> </w:t>
      </w:r>
      <w:r w:rsidRPr="00567376">
        <w:rPr>
          <w:rFonts w:ascii="Times New Roman" w:hAnsi="Times New Roman" w:cs="Times New Roman"/>
          <w:b/>
          <w:sz w:val="28"/>
          <w:szCs w:val="28"/>
          <w:lang w:val="ro-RO"/>
        </w:rPr>
        <w:t xml:space="preserve">proiectul hotărârii Guvernului </w:t>
      </w:r>
      <w:r w:rsidR="00CE5EB4" w:rsidRPr="002075A8">
        <w:rPr>
          <w:rFonts w:ascii="Times New Roman" w:hAnsi="Times New Roman" w:cs="Times New Roman"/>
          <w:b/>
          <w:i/>
          <w:color w:val="000000" w:themeColor="text1"/>
          <w:sz w:val="28"/>
          <w:szCs w:val="28"/>
          <w:lang w:val="ro-RO"/>
        </w:rPr>
        <w:t>pentru aprobarea Regulamentului cu privire la stabilirea mediului aferent  ghișeului unic în domeniul maritim</w:t>
      </w:r>
    </w:p>
    <w:tbl>
      <w:tblPr>
        <w:tblStyle w:val="TableGrid"/>
        <w:tblW w:w="0" w:type="auto"/>
        <w:jc w:val="center"/>
        <w:tblLook w:val="04A0" w:firstRow="1" w:lastRow="0" w:firstColumn="1" w:lastColumn="0" w:noHBand="0" w:noVBand="1"/>
      </w:tblPr>
      <w:tblGrid>
        <w:gridCol w:w="9345"/>
      </w:tblGrid>
      <w:tr w:rsidR="008C00C2" w:rsidRPr="00567376" w14:paraId="190BD4DC" w14:textId="77777777" w:rsidTr="00600181">
        <w:trPr>
          <w:jc w:val="center"/>
        </w:trPr>
        <w:tc>
          <w:tcPr>
            <w:tcW w:w="9345" w:type="dxa"/>
            <w:tcBorders>
              <w:top w:val="single" w:sz="4" w:space="0" w:color="auto"/>
              <w:left w:val="single" w:sz="4" w:space="0" w:color="auto"/>
              <w:bottom w:val="single" w:sz="4" w:space="0" w:color="auto"/>
              <w:right w:val="single" w:sz="4" w:space="0" w:color="auto"/>
            </w:tcBorders>
            <w:hideMark/>
          </w:tcPr>
          <w:p w14:paraId="7F3B17C5" w14:textId="77777777" w:rsidR="008C00C2" w:rsidRPr="00567376" w:rsidRDefault="008C00C2" w:rsidP="00600181">
            <w:pPr>
              <w:contextualSpacing/>
              <w:jc w:val="both"/>
              <w:rPr>
                <w:rFonts w:ascii="Times New Roman" w:hAnsi="Times New Roman" w:cs="Times New Roman"/>
                <w:b/>
                <w:sz w:val="28"/>
                <w:szCs w:val="28"/>
                <w:lang w:val="ro-RO"/>
              </w:rPr>
            </w:pPr>
            <w:r w:rsidRPr="00567376">
              <w:rPr>
                <w:rFonts w:ascii="Times New Roman" w:hAnsi="Times New Roman" w:cs="Times New Roman"/>
                <w:b/>
                <w:sz w:val="28"/>
                <w:szCs w:val="28"/>
                <w:lang w:val="ro-RO"/>
              </w:rPr>
              <w:t>1. Denumirea autorului și, după caz, a participanților la elaborarea proiectului</w:t>
            </w:r>
          </w:p>
        </w:tc>
      </w:tr>
      <w:tr w:rsidR="008C00C2" w:rsidRPr="00567376" w14:paraId="5358B3EF" w14:textId="77777777" w:rsidTr="00600181">
        <w:trPr>
          <w:jc w:val="center"/>
        </w:trPr>
        <w:tc>
          <w:tcPr>
            <w:tcW w:w="9345" w:type="dxa"/>
            <w:tcBorders>
              <w:top w:val="single" w:sz="4" w:space="0" w:color="auto"/>
              <w:left w:val="single" w:sz="4" w:space="0" w:color="auto"/>
              <w:bottom w:val="single" w:sz="4" w:space="0" w:color="auto"/>
              <w:right w:val="single" w:sz="4" w:space="0" w:color="auto"/>
            </w:tcBorders>
            <w:vAlign w:val="center"/>
            <w:hideMark/>
          </w:tcPr>
          <w:p w14:paraId="75F1ABCC" w14:textId="6365FB6A" w:rsidR="008C00C2" w:rsidRPr="00567376" w:rsidRDefault="006231B8" w:rsidP="006231B8">
            <w:pPr>
              <w:contextualSpacing/>
              <w:jc w:val="both"/>
              <w:rPr>
                <w:rFonts w:ascii="Times New Roman" w:hAnsi="Times New Roman" w:cs="Times New Roman"/>
                <w:sz w:val="28"/>
                <w:szCs w:val="28"/>
                <w:lang w:val="ro-RO"/>
              </w:rPr>
            </w:pPr>
            <w:r>
              <w:rPr>
                <w:rFonts w:ascii="Times New Roman" w:hAnsi="Times New Roman" w:cs="Times New Roman"/>
                <w:sz w:val="28"/>
                <w:szCs w:val="28"/>
                <w:lang w:val="ro-RO" w:eastAsia="ru-RU"/>
              </w:rPr>
              <w:t xml:space="preserve">     </w:t>
            </w:r>
            <w:r w:rsidR="00140AB6" w:rsidRPr="00567376">
              <w:rPr>
                <w:rFonts w:ascii="Times New Roman" w:hAnsi="Times New Roman" w:cs="Times New Roman"/>
                <w:sz w:val="28"/>
                <w:szCs w:val="28"/>
                <w:lang w:val="ro-RO" w:eastAsia="ru-RU"/>
              </w:rPr>
              <w:t>Proiectul hotărârii Guvernului a fost elaborat de către Ministerul Infrastructurii și Dezvoltării Regionale în comun cu Agenția Navală a Republicii Moldova.</w:t>
            </w:r>
          </w:p>
        </w:tc>
      </w:tr>
      <w:tr w:rsidR="008C00C2" w:rsidRPr="00567376" w14:paraId="2FB60E9A" w14:textId="77777777" w:rsidTr="00600181">
        <w:trPr>
          <w:jc w:val="center"/>
        </w:trPr>
        <w:tc>
          <w:tcPr>
            <w:tcW w:w="9345" w:type="dxa"/>
            <w:tcBorders>
              <w:top w:val="single" w:sz="4" w:space="0" w:color="auto"/>
              <w:left w:val="single" w:sz="4" w:space="0" w:color="auto"/>
              <w:bottom w:val="single" w:sz="4" w:space="0" w:color="auto"/>
              <w:right w:val="single" w:sz="4" w:space="0" w:color="auto"/>
            </w:tcBorders>
            <w:hideMark/>
          </w:tcPr>
          <w:p w14:paraId="0CFBB75C" w14:textId="77777777" w:rsidR="008C00C2" w:rsidRPr="00567376" w:rsidRDefault="008C00C2" w:rsidP="00600181">
            <w:pPr>
              <w:contextualSpacing/>
              <w:jc w:val="both"/>
              <w:rPr>
                <w:rFonts w:ascii="Times New Roman" w:hAnsi="Times New Roman" w:cs="Times New Roman"/>
                <w:b/>
                <w:sz w:val="28"/>
                <w:szCs w:val="28"/>
                <w:lang w:val="ro-RO"/>
              </w:rPr>
            </w:pPr>
            <w:r w:rsidRPr="00567376">
              <w:rPr>
                <w:rFonts w:ascii="Times New Roman" w:hAnsi="Times New Roman" w:cs="Times New Roman"/>
                <w:b/>
                <w:sz w:val="28"/>
                <w:szCs w:val="28"/>
                <w:lang w:val="ro-RO"/>
              </w:rPr>
              <w:t>2. Condițiile ce au impus elaborarea proiectului de act normativ și finalitățile urmărite</w:t>
            </w:r>
          </w:p>
        </w:tc>
      </w:tr>
      <w:tr w:rsidR="008C00C2" w:rsidRPr="00567376" w14:paraId="4211B815" w14:textId="77777777" w:rsidTr="00600181">
        <w:trPr>
          <w:trHeight w:val="510"/>
          <w:jc w:val="center"/>
        </w:trPr>
        <w:tc>
          <w:tcPr>
            <w:tcW w:w="9345" w:type="dxa"/>
            <w:tcBorders>
              <w:top w:val="single" w:sz="4" w:space="0" w:color="auto"/>
              <w:left w:val="single" w:sz="4" w:space="0" w:color="auto"/>
              <w:bottom w:val="single" w:sz="4" w:space="0" w:color="auto"/>
              <w:right w:val="single" w:sz="4" w:space="0" w:color="auto"/>
            </w:tcBorders>
            <w:hideMark/>
          </w:tcPr>
          <w:p w14:paraId="7F38FDB4" w14:textId="77777777" w:rsidR="00E97524" w:rsidRDefault="00622393" w:rsidP="00622393">
            <w:pPr>
              <w:pStyle w:val="NoSpacing"/>
              <w:jc w:val="both"/>
              <w:rPr>
                <w:rFonts w:ascii="Times New Roman" w:hAnsi="Times New Roman" w:cs="Times New Roman"/>
                <w:sz w:val="28"/>
                <w:szCs w:val="28"/>
                <w:lang w:val="ro-RO"/>
              </w:rPr>
            </w:pPr>
            <w:r w:rsidRPr="00567376">
              <w:rPr>
                <w:sz w:val="24"/>
                <w:szCs w:val="24"/>
                <w:lang w:val="ro-RO"/>
              </w:rPr>
              <w:t xml:space="preserve">      </w:t>
            </w:r>
            <w:r w:rsidR="00520014" w:rsidRPr="00933BCE">
              <w:rPr>
                <w:rFonts w:ascii="Times New Roman" w:hAnsi="Times New Roman" w:cs="Times New Roman"/>
                <w:color w:val="000000" w:themeColor="text1"/>
                <w:sz w:val="28"/>
                <w:lang w:val="ro-RO"/>
              </w:rPr>
              <w:t xml:space="preserve">Elaborarea proiectului derivă din obligația statului de a implementa </w:t>
            </w:r>
            <w:r w:rsidR="00520014">
              <w:rPr>
                <w:rFonts w:ascii="Times New Roman" w:hAnsi="Times New Roman" w:cs="Times New Roman"/>
                <w:color w:val="000000" w:themeColor="text1"/>
                <w:sz w:val="28"/>
                <w:lang w:val="ro-RO"/>
              </w:rPr>
              <w:t>prin</w:t>
            </w:r>
            <w:r w:rsidR="00520014" w:rsidRPr="00933BCE">
              <w:rPr>
                <w:rFonts w:ascii="Times New Roman" w:hAnsi="Times New Roman" w:cs="Times New Roman"/>
                <w:color w:val="000000" w:themeColor="text1"/>
                <w:sz w:val="28"/>
                <w:lang w:val="ro-RO"/>
              </w:rPr>
              <w:t xml:space="preserve"> acte normative naționale prevederile Convenției privind facilitarea traficului maritim internațional (Convenția FAL) devenite obligatorii, urmare a aderării Republicii Moldova prin Legea nr.13/2023</w:t>
            </w:r>
            <w:r w:rsidR="00520014">
              <w:rPr>
                <w:rFonts w:ascii="Times New Roman" w:hAnsi="Times New Roman" w:cs="Times New Roman"/>
                <w:color w:val="000000" w:themeColor="text1"/>
                <w:sz w:val="28"/>
                <w:lang w:val="ro-RO"/>
              </w:rPr>
              <w:t xml:space="preserve">, </w:t>
            </w:r>
            <w:r w:rsidR="00055B85">
              <w:rPr>
                <w:rFonts w:ascii="Times New Roman" w:hAnsi="Times New Roman" w:cs="Times New Roman"/>
                <w:color w:val="000000" w:themeColor="text1"/>
                <w:sz w:val="28"/>
                <w:lang w:val="ro-RO"/>
              </w:rPr>
              <w:t>cu</w:t>
            </w:r>
            <w:r w:rsidR="00520014">
              <w:rPr>
                <w:rFonts w:ascii="Times New Roman" w:hAnsi="Times New Roman" w:cs="Times New Roman"/>
                <w:color w:val="000000" w:themeColor="text1"/>
                <w:sz w:val="28"/>
                <w:lang w:val="ro-RO"/>
              </w:rPr>
              <w:t xml:space="preserve"> scopul de a </w:t>
            </w:r>
            <w:r w:rsidR="00DD0B27">
              <w:rPr>
                <w:rFonts w:ascii="Times New Roman" w:hAnsi="Times New Roman" w:cs="Times New Roman"/>
                <w:sz w:val="28"/>
                <w:szCs w:val="28"/>
                <w:lang w:val="ro-RO"/>
              </w:rPr>
              <w:t>spori competitivitatea și eficiența sectorului de transport maritim</w:t>
            </w:r>
            <w:r w:rsidR="00520014">
              <w:rPr>
                <w:rFonts w:ascii="Times New Roman" w:hAnsi="Times New Roman" w:cs="Times New Roman"/>
                <w:sz w:val="28"/>
                <w:szCs w:val="28"/>
                <w:lang w:val="ro-RO"/>
              </w:rPr>
              <w:t xml:space="preserve">. </w:t>
            </w:r>
          </w:p>
          <w:p w14:paraId="045B0E27" w14:textId="57D2F9AC" w:rsidR="00055B85" w:rsidRDefault="001D49B0" w:rsidP="00622393">
            <w:pPr>
              <w:pStyle w:val="No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E97524" w:rsidRPr="005D017E">
              <w:rPr>
                <w:rFonts w:ascii="Times New Roman" w:hAnsi="Times New Roman" w:cs="Times New Roman"/>
                <w:sz w:val="28"/>
                <w:szCs w:val="28"/>
                <w:lang w:val="ro-RO"/>
              </w:rPr>
              <w:t>Actualmente, operatorii de transport maritim se confruntă cu o serie de exigențe legale de raportare de fiecare dată când o navă ajunge într-un port sau părăsește un port (o escală în port).</w:t>
            </w:r>
            <w:r w:rsidR="00E97524" w:rsidRPr="00567376">
              <w:rPr>
                <w:rFonts w:ascii="Times New Roman" w:hAnsi="Times New Roman" w:cs="Times New Roman"/>
                <w:sz w:val="28"/>
                <w:szCs w:val="28"/>
                <w:lang w:val="ro-RO"/>
              </w:rPr>
              <w:t xml:space="preserve"> </w:t>
            </w:r>
            <w:r w:rsidR="005A416D">
              <w:rPr>
                <w:rFonts w:ascii="Times New Roman" w:hAnsi="Times New Roman" w:cs="Times New Roman"/>
                <w:sz w:val="28"/>
                <w:szCs w:val="28"/>
                <w:lang w:val="ro-RO"/>
              </w:rPr>
              <w:t>Astfel, l</w:t>
            </w:r>
            <w:r w:rsidR="00E97524" w:rsidRPr="00567376">
              <w:rPr>
                <w:rFonts w:ascii="Times New Roman" w:hAnsi="Times New Roman" w:cs="Times New Roman"/>
                <w:sz w:val="28"/>
                <w:szCs w:val="28"/>
                <w:lang w:val="ro-RO"/>
              </w:rPr>
              <w:t>a nivelul UE, prin Regulamentul UE 2019/1239, a fost instituit un sistem unic digital</w:t>
            </w:r>
            <w:r>
              <w:rPr>
                <w:rFonts w:ascii="Times New Roman" w:hAnsi="Times New Roman" w:cs="Times New Roman"/>
                <w:sz w:val="28"/>
                <w:szCs w:val="28"/>
                <w:lang w:val="ro-RO"/>
              </w:rPr>
              <w:t xml:space="preserve"> interoperabil între state,</w:t>
            </w:r>
            <w:r w:rsidR="00E97524" w:rsidRPr="00567376">
              <w:rPr>
                <w:rFonts w:ascii="Times New Roman" w:hAnsi="Times New Roman" w:cs="Times New Roman"/>
                <w:sz w:val="28"/>
                <w:szCs w:val="28"/>
                <w:lang w:val="ro-RO"/>
              </w:rPr>
              <w:t xml:space="preserve"> pentru a armoniza formalitățile de raportate</w:t>
            </w:r>
            <w:r w:rsidR="00E97524">
              <w:rPr>
                <w:rFonts w:ascii="Times New Roman" w:hAnsi="Times New Roman" w:cs="Times New Roman"/>
                <w:sz w:val="28"/>
                <w:szCs w:val="28"/>
                <w:lang w:val="ro-RO"/>
              </w:rPr>
              <w:t>.</w:t>
            </w:r>
            <w:r w:rsidR="00967284">
              <w:rPr>
                <w:rFonts w:ascii="Times New Roman" w:hAnsi="Times New Roman" w:cs="Times New Roman"/>
                <w:sz w:val="28"/>
                <w:szCs w:val="28"/>
                <w:lang w:val="ro-RO"/>
              </w:rPr>
              <w:t xml:space="preserve"> </w:t>
            </w:r>
          </w:p>
          <w:p w14:paraId="1F268DDB" w14:textId="719C7B61" w:rsidR="008C00C2" w:rsidRDefault="00E97524" w:rsidP="00E97524">
            <w:pPr>
              <w:pStyle w:val="No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D49B0">
              <w:rPr>
                <w:rFonts w:ascii="Times New Roman" w:hAnsi="Times New Roman" w:cs="Times New Roman"/>
                <w:sz w:val="28"/>
                <w:szCs w:val="28"/>
                <w:lang w:val="ro-RO"/>
              </w:rPr>
              <w:t xml:space="preserve"> </w:t>
            </w:r>
            <w:r w:rsidR="005D44B4">
              <w:rPr>
                <w:rFonts w:ascii="Times New Roman" w:hAnsi="Times New Roman" w:cs="Times New Roman"/>
                <w:sz w:val="28"/>
                <w:szCs w:val="28"/>
                <w:lang w:val="ro-RO"/>
              </w:rPr>
              <w:t>Proiectul</w:t>
            </w:r>
            <w:r w:rsidR="00622393" w:rsidRPr="00567376">
              <w:rPr>
                <w:rFonts w:ascii="Times New Roman" w:hAnsi="Times New Roman" w:cs="Times New Roman"/>
                <w:sz w:val="28"/>
                <w:szCs w:val="28"/>
                <w:lang w:val="ro-RO"/>
              </w:rPr>
              <w:t xml:space="preserve"> completează și sprijină obiectivele generale ale politicii </w:t>
            </w:r>
            <w:r w:rsidR="00162489">
              <w:rPr>
                <w:rFonts w:ascii="Times New Roman" w:hAnsi="Times New Roman" w:cs="Times New Roman"/>
                <w:sz w:val="28"/>
                <w:szCs w:val="28"/>
                <w:lang w:val="ro-RO"/>
              </w:rPr>
              <w:t xml:space="preserve">Republicii Moldova în scopul stabilirii </w:t>
            </w:r>
            <w:r w:rsidR="001D49B0">
              <w:rPr>
                <w:rFonts w:ascii="Times New Roman" w:hAnsi="Times New Roman" w:cs="Times New Roman"/>
                <w:sz w:val="28"/>
                <w:szCs w:val="28"/>
                <w:lang w:val="ro-RO"/>
              </w:rPr>
              <w:t>relațiilor</w:t>
            </w:r>
            <w:r w:rsidR="00162489">
              <w:rPr>
                <w:rFonts w:ascii="Times New Roman" w:hAnsi="Times New Roman" w:cs="Times New Roman"/>
                <w:sz w:val="28"/>
                <w:szCs w:val="28"/>
                <w:lang w:val="ro-RO"/>
              </w:rPr>
              <w:t xml:space="preserve"> economice rigide cu membrii UE</w:t>
            </w:r>
            <w:r w:rsidR="00622393" w:rsidRPr="00567376">
              <w:rPr>
                <w:rFonts w:ascii="Times New Roman" w:hAnsi="Times New Roman" w:cs="Times New Roman"/>
                <w:sz w:val="28"/>
                <w:szCs w:val="28"/>
                <w:lang w:val="ro-RO"/>
              </w:rPr>
              <w:t>. Aceasta oferă o contribuție semnificativă la inițiativa creării unui spațiu european de transport maritim fără bariere și sprijină atât politica UE privind reducerea emisiilor din sectorul transporturilor, cât și agenda socială a UE în domeniul transporturilor.</w:t>
            </w:r>
          </w:p>
          <w:p w14:paraId="03DCA0CE" w14:textId="0BA2229A" w:rsidR="00E97524" w:rsidRPr="00567376" w:rsidRDefault="00E97524" w:rsidP="001D49B0">
            <w:pPr>
              <w:pStyle w:val="NoSpacing"/>
              <w:jc w:val="both"/>
              <w:rPr>
                <w:lang w:val="ro-RO"/>
              </w:rPr>
            </w:pPr>
            <w:r>
              <w:rPr>
                <w:rFonts w:ascii="Times New Roman" w:hAnsi="Times New Roman" w:cs="Times New Roman"/>
                <w:sz w:val="28"/>
                <w:szCs w:val="28"/>
                <w:lang w:val="ro-RO"/>
              </w:rPr>
              <w:t xml:space="preserve">    F</w:t>
            </w:r>
            <w:r w:rsidRPr="00567376">
              <w:rPr>
                <w:rFonts w:ascii="Times New Roman" w:hAnsi="Times New Roman" w:cs="Times New Roman"/>
                <w:sz w:val="28"/>
                <w:szCs w:val="28"/>
                <w:lang w:val="ro-RO"/>
              </w:rPr>
              <w:t xml:space="preserve">inalitatea urmărită a </w:t>
            </w:r>
            <w:r>
              <w:rPr>
                <w:rFonts w:ascii="Times New Roman" w:hAnsi="Times New Roman" w:cs="Times New Roman"/>
                <w:sz w:val="28"/>
                <w:szCs w:val="28"/>
                <w:lang w:val="ro-RO"/>
              </w:rPr>
              <w:t xml:space="preserve">proiectului </w:t>
            </w:r>
            <w:r w:rsidRPr="00567376">
              <w:rPr>
                <w:rFonts w:ascii="Times New Roman" w:hAnsi="Times New Roman" w:cs="Times New Roman"/>
                <w:sz w:val="28"/>
                <w:szCs w:val="28"/>
                <w:lang w:val="ro-RO"/>
              </w:rPr>
              <w:t xml:space="preserve">este </w:t>
            </w:r>
            <w:r w:rsidR="005A416D">
              <w:rPr>
                <w:rFonts w:ascii="Times New Roman" w:hAnsi="Times New Roman" w:cs="Times New Roman"/>
                <w:sz w:val="28"/>
                <w:szCs w:val="28"/>
                <w:lang w:val="ro-RO"/>
              </w:rPr>
              <w:t xml:space="preserve">pentru stabilirea cadrului normativ pentru transmiterea electronică a informațiilor legate de raportare prin intermediului Ghișeului Unic, sistem interoperabil cu alte sisteme de raportare  străine </w:t>
            </w:r>
            <w:r w:rsidRPr="00567376">
              <w:rPr>
                <w:rFonts w:ascii="Times New Roman" w:hAnsi="Times New Roman" w:cs="Times New Roman"/>
                <w:sz w:val="28"/>
                <w:szCs w:val="28"/>
                <w:lang w:val="ro-RO"/>
              </w:rPr>
              <w:t>reducerea sarcinii administrative a transportului maritim, prin prevederea procedurilor de raportare simplificate, digitalizate și armonizate pentru nave. În acest fel, operațiunile de tra</w:t>
            </w:r>
            <w:r w:rsidR="001D49B0">
              <w:rPr>
                <w:rFonts w:ascii="Times New Roman" w:hAnsi="Times New Roman" w:cs="Times New Roman"/>
                <w:sz w:val="28"/>
                <w:szCs w:val="28"/>
                <w:lang w:val="ro-RO"/>
              </w:rPr>
              <w:t>nsport naval/maritim vor deveni</w:t>
            </w:r>
            <w:r w:rsidRPr="00567376">
              <w:rPr>
                <w:rFonts w:ascii="Times New Roman" w:hAnsi="Times New Roman" w:cs="Times New Roman"/>
                <w:sz w:val="28"/>
                <w:szCs w:val="28"/>
                <w:lang w:val="ro-RO"/>
              </w:rPr>
              <w:t xml:space="preserve"> eficiente și mai sigure.</w:t>
            </w:r>
          </w:p>
        </w:tc>
      </w:tr>
      <w:tr w:rsidR="008C00C2" w:rsidRPr="00567376" w14:paraId="0B3C7745" w14:textId="77777777" w:rsidTr="00600181">
        <w:trPr>
          <w:jc w:val="center"/>
        </w:trPr>
        <w:tc>
          <w:tcPr>
            <w:tcW w:w="9345" w:type="dxa"/>
            <w:tcBorders>
              <w:top w:val="single" w:sz="4" w:space="0" w:color="auto"/>
              <w:left w:val="single" w:sz="4" w:space="0" w:color="auto"/>
              <w:bottom w:val="single" w:sz="4" w:space="0" w:color="auto"/>
              <w:right w:val="single" w:sz="4" w:space="0" w:color="auto"/>
            </w:tcBorders>
            <w:hideMark/>
          </w:tcPr>
          <w:p w14:paraId="3CCFCEC7" w14:textId="77777777" w:rsidR="008C00C2" w:rsidRPr="00567376" w:rsidRDefault="008C00C2" w:rsidP="00600181">
            <w:pPr>
              <w:contextualSpacing/>
              <w:jc w:val="both"/>
              <w:rPr>
                <w:rFonts w:ascii="Times New Roman" w:hAnsi="Times New Roman" w:cs="Times New Roman"/>
                <w:b/>
                <w:sz w:val="28"/>
                <w:szCs w:val="28"/>
                <w:lang w:val="ro-RO"/>
              </w:rPr>
            </w:pPr>
            <w:r w:rsidRPr="00567376">
              <w:rPr>
                <w:rFonts w:ascii="Times New Roman" w:hAnsi="Times New Roman" w:cs="Times New Roman"/>
                <w:b/>
                <w:sz w:val="28"/>
                <w:szCs w:val="28"/>
                <w:lang w:val="ro-RO"/>
              </w:rPr>
              <w:t>3. Descrierea gradului de compatibilitate pentru proiectele care au ca scop armonizarea legislației naționale cu legislația Uniunii Europene</w:t>
            </w:r>
          </w:p>
        </w:tc>
      </w:tr>
      <w:tr w:rsidR="008C00C2" w:rsidRPr="00567376" w14:paraId="4FD2E8DD" w14:textId="77777777" w:rsidTr="00600181">
        <w:trPr>
          <w:jc w:val="center"/>
        </w:trPr>
        <w:tc>
          <w:tcPr>
            <w:tcW w:w="9345" w:type="dxa"/>
            <w:tcBorders>
              <w:top w:val="single" w:sz="4" w:space="0" w:color="auto"/>
              <w:left w:val="single" w:sz="4" w:space="0" w:color="auto"/>
              <w:bottom w:val="single" w:sz="4" w:space="0" w:color="auto"/>
              <w:right w:val="single" w:sz="4" w:space="0" w:color="auto"/>
            </w:tcBorders>
            <w:hideMark/>
          </w:tcPr>
          <w:p w14:paraId="57C8F31C" w14:textId="265BD738" w:rsidR="00622393" w:rsidRPr="00567376" w:rsidRDefault="00622393" w:rsidP="00DD0B27">
            <w:pPr>
              <w:pStyle w:val="NoSpacing"/>
              <w:jc w:val="both"/>
              <w:rPr>
                <w:rFonts w:ascii="Times New Roman" w:hAnsi="Times New Roman" w:cs="Times New Roman"/>
                <w:sz w:val="28"/>
                <w:lang w:val="ro-RO"/>
              </w:rPr>
            </w:pPr>
            <w:r w:rsidRPr="00567376">
              <w:rPr>
                <w:rFonts w:ascii="Times New Roman" w:hAnsi="Times New Roman" w:cs="Times New Roman"/>
                <w:sz w:val="28"/>
                <w:lang w:val="ro-RO"/>
              </w:rPr>
              <w:t xml:space="preserve">     </w:t>
            </w:r>
            <w:r w:rsidR="002075A8">
              <w:rPr>
                <w:rFonts w:ascii="Times New Roman" w:hAnsi="Times New Roman" w:cs="Times New Roman"/>
                <w:sz w:val="28"/>
                <w:lang w:val="ro-RO"/>
              </w:rPr>
              <w:t>P</w:t>
            </w:r>
            <w:r w:rsidRPr="00567376">
              <w:rPr>
                <w:rFonts w:ascii="Times New Roman" w:hAnsi="Times New Roman" w:cs="Times New Roman"/>
                <w:sz w:val="28"/>
                <w:lang w:val="ro-RO"/>
              </w:rPr>
              <w:t>roiect</w:t>
            </w:r>
            <w:r w:rsidR="005B11A6">
              <w:rPr>
                <w:rFonts w:ascii="Times New Roman" w:hAnsi="Times New Roman" w:cs="Times New Roman"/>
                <w:sz w:val="28"/>
                <w:lang w:val="ro-RO"/>
              </w:rPr>
              <w:t>ul</w:t>
            </w:r>
            <w:r w:rsidRPr="00567376">
              <w:rPr>
                <w:rFonts w:ascii="Times New Roman" w:hAnsi="Times New Roman" w:cs="Times New Roman"/>
                <w:sz w:val="28"/>
                <w:lang w:val="ro-RO"/>
              </w:rPr>
              <w:t xml:space="preserve"> transpune </w:t>
            </w:r>
            <w:r w:rsidR="005B11A6">
              <w:rPr>
                <w:rFonts w:ascii="Times New Roman" w:hAnsi="Times New Roman" w:cs="Times New Roman"/>
                <w:sz w:val="28"/>
                <w:lang w:val="ro-RO"/>
              </w:rPr>
              <w:t xml:space="preserve">parțial </w:t>
            </w:r>
            <w:r w:rsidR="00F743AA" w:rsidRPr="00F743AA">
              <w:rPr>
                <w:rFonts w:ascii="Times New Roman" w:hAnsi="Times New Roman" w:cs="Times New Roman"/>
                <w:color w:val="000000" w:themeColor="text1"/>
                <w:sz w:val="28"/>
                <w:szCs w:val="24"/>
                <w:lang w:val="ro-RO"/>
              </w:rPr>
              <w:t>Regulamentul (UE) 2019/1239 a Parlamentului European și a Consiliului din 20 iunie 2019 de stabilire a unui mediu aferent ghișeului unic european în domeniul maritim și de abrogare a Directivei 2010/65/UE, publicat în Jurnalul Oficial al Uniunii Europene L 198/64 din 25 iulie 2019</w:t>
            </w:r>
            <w:r w:rsidR="001C14BC">
              <w:rPr>
                <w:rFonts w:ascii="Times New Roman" w:hAnsi="Times New Roman" w:cs="Times New Roman"/>
                <w:color w:val="000000" w:themeColor="text1"/>
                <w:sz w:val="28"/>
                <w:szCs w:val="24"/>
                <w:lang w:val="ro-RO"/>
              </w:rPr>
              <w:t>,</w:t>
            </w:r>
            <w:r w:rsidR="001C14BC">
              <w:rPr>
                <w:rFonts w:ascii="Times New Roman" w:hAnsi="Times New Roman" w:cs="Times New Roman"/>
                <w:sz w:val="28"/>
                <w:lang w:val="ro-RO"/>
              </w:rPr>
              <w:t xml:space="preserve"> p</w:t>
            </w:r>
            <w:r w:rsidRPr="00567376">
              <w:rPr>
                <w:rFonts w:ascii="Times New Roman" w:hAnsi="Times New Roman" w:cs="Times New Roman"/>
                <w:sz w:val="28"/>
                <w:lang w:val="ro-RO"/>
              </w:rPr>
              <w:t>revederile nepreluate din Regulamentul UE, nu sunt aplicabile pentru RM.</w:t>
            </w:r>
          </w:p>
          <w:p w14:paraId="1FE5D96D" w14:textId="76C7D900" w:rsidR="008C00C2" w:rsidRPr="00567376" w:rsidRDefault="00622393" w:rsidP="00F00FE1">
            <w:pPr>
              <w:pStyle w:val="NoSpacing"/>
              <w:jc w:val="both"/>
              <w:rPr>
                <w:lang w:val="ro-RO"/>
              </w:rPr>
            </w:pPr>
            <w:r w:rsidRPr="00567376">
              <w:rPr>
                <w:rFonts w:ascii="Times New Roman" w:hAnsi="Times New Roman" w:cs="Times New Roman"/>
                <w:sz w:val="28"/>
                <w:lang w:val="ro-RO"/>
              </w:rPr>
              <w:t xml:space="preserve">     </w:t>
            </w:r>
            <w:r w:rsidR="00140AB6" w:rsidRPr="00567376">
              <w:rPr>
                <w:rFonts w:ascii="Times New Roman" w:hAnsi="Times New Roman" w:cs="Times New Roman"/>
                <w:sz w:val="28"/>
                <w:lang w:val="ro-RO"/>
              </w:rPr>
              <w:t>În conformitate cu prevederile Hotărârii Guvernului nr. 1171/2018 pentru aprobarea Regulamentului privind armonizarea legislației Republicii Moldova cu</w:t>
            </w:r>
            <w:r w:rsidR="005B11A6">
              <w:rPr>
                <w:rFonts w:ascii="Times New Roman" w:hAnsi="Times New Roman" w:cs="Times New Roman"/>
                <w:sz w:val="28"/>
                <w:lang w:val="ro-RO"/>
              </w:rPr>
              <w:t xml:space="preserve"> legislația Uniunii Europene, a fost elaborat</w:t>
            </w:r>
            <w:r w:rsidR="0083091F">
              <w:rPr>
                <w:rFonts w:ascii="Times New Roman" w:hAnsi="Times New Roman" w:cs="Times New Roman"/>
                <w:sz w:val="28"/>
                <w:lang w:val="ro-RO"/>
              </w:rPr>
              <w:t xml:space="preserve"> tabelul</w:t>
            </w:r>
            <w:r w:rsidR="00140AB6" w:rsidRPr="00567376">
              <w:rPr>
                <w:rFonts w:ascii="Times New Roman" w:hAnsi="Times New Roman" w:cs="Times New Roman"/>
                <w:sz w:val="28"/>
                <w:lang w:val="ro-RO"/>
              </w:rPr>
              <w:t xml:space="preserve"> de concordanță pentru act</w:t>
            </w:r>
            <w:r w:rsidR="005B11A6">
              <w:rPr>
                <w:rFonts w:ascii="Times New Roman" w:hAnsi="Times New Roman" w:cs="Times New Roman"/>
                <w:sz w:val="28"/>
                <w:lang w:val="ro-RO"/>
              </w:rPr>
              <w:t xml:space="preserve">ul </w:t>
            </w:r>
            <w:r w:rsidR="00140AB6" w:rsidRPr="00567376">
              <w:rPr>
                <w:rFonts w:ascii="Times New Roman" w:hAnsi="Times New Roman" w:cs="Times New Roman"/>
                <w:sz w:val="28"/>
                <w:lang w:val="ro-RO"/>
              </w:rPr>
              <w:t xml:space="preserve"> Uniunii Europene transpus.</w:t>
            </w:r>
          </w:p>
        </w:tc>
      </w:tr>
      <w:tr w:rsidR="008C00C2" w:rsidRPr="00567376" w14:paraId="4721810C" w14:textId="77777777" w:rsidTr="00600181">
        <w:trPr>
          <w:jc w:val="center"/>
        </w:trPr>
        <w:tc>
          <w:tcPr>
            <w:tcW w:w="9345" w:type="dxa"/>
            <w:tcBorders>
              <w:top w:val="single" w:sz="4" w:space="0" w:color="auto"/>
              <w:left w:val="single" w:sz="4" w:space="0" w:color="auto"/>
              <w:bottom w:val="single" w:sz="4" w:space="0" w:color="auto"/>
              <w:right w:val="single" w:sz="4" w:space="0" w:color="auto"/>
            </w:tcBorders>
            <w:hideMark/>
          </w:tcPr>
          <w:p w14:paraId="693C3DF3" w14:textId="77777777" w:rsidR="008C00C2" w:rsidRPr="00567376" w:rsidRDefault="008C00C2" w:rsidP="00600181">
            <w:pPr>
              <w:contextualSpacing/>
              <w:jc w:val="both"/>
              <w:rPr>
                <w:rFonts w:ascii="Times New Roman" w:hAnsi="Times New Roman" w:cs="Times New Roman"/>
                <w:b/>
                <w:sz w:val="28"/>
                <w:szCs w:val="28"/>
                <w:lang w:val="ro-RO"/>
              </w:rPr>
            </w:pPr>
            <w:r w:rsidRPr="00567376">
              <w:rPr>
                <w:rFonts w:ascii="Times New Roman" w:hAnsi="Times New Roman" w:cs="Times New Roman"/>
                <w:b/>
                <w:sz w:val="28"/>
                <w:szCs w:val="28"/>
                <w:lang w:val="ro-RO"/>
              </w:rPr>
              <w:t>4. Principalele prevederi ale proiectului şi evidențierea elementelor noi</w:t>
            </w:r>
          </w:p>
        </w:tc>
      </w:tr>
      <w:tr w:rsidR="008C00C2" w:rsidRPr="00567376" w14:paraId="3B8CA5CF" w14:textId="77777777" w:rsidTr="00600181">
        <w:trPr>
          <w:jc w:val="center"/>
        </w:trPr>
        <w:tc>
          <w:tcPr>
            <w:tcW w:w="9345" w:type="dxa"/>
            <w:tcBorders>
              <w:top w:val="single" w:sz="4" w:space="0" w:color="auto"/>
              <w:left w:val="single" w:sz="4" w:space="0" w:color="auto"/>
              <w:bottom w:val="single" w:sz="4" w:space="0" w:color="auto"/>
              <w:right w:val="single" w:sz="4" w:space="0" w:color="auto"/>
            </w:tcBorders>
            <w:hideMark/>
          </w:tcPr>
          <w:p w14:paraId="6BA56287" w14:textId="1A31652C" w:rsidR="00622393" w:rsidRPr="00567376" w:rsidRDefault="00622393" w:rsidP="00622393">
            <w:pPr>
              <w:pStyle w:val="NoSpacing"/>
              <w:jc w:val="both"/>
              <w:rPr>
                <w:rFonts w:ascii="Times New Roman" w:hAnsi="Times New Roman" w:cs="Times New Roman"/>
                <w:sz w:val="28"/>
                <w:lang w:val="ro-RO"/>
              </w:rPr>
            </w:pPr>
            <w:r w:rsidRPr="00567376">
              <w:rPr>
                <w:rFonts w:ascii="Times New Roman" w:hAnsi="Times New Roman" w:cs="Times New Roman"/>
                <w:sz w:val="28"/>
                <w:lang w:val="ro-RO"/>
              </w:rPr>
              <w:lastRenderedPageBreak/>
              <w:t xml:space="preserve">     Obiectivul proiectului este stabilirea cadrului juridic și tehnic pentru mediul aferent ghișeului unic național în domeniul maritim, interoperabil cu ghișeul unic european în domeniul maritim (European Maritime Single Windows Environment EMSWe). Acesta va reuni toate informațiile de raportare asociate unei escale, pentru a facilita transmiterea electronică a informațiilor în ceea privește obligațiile de raportare pentru navele care sosesc, staționează și care pleacă dintr-un port al Republicii Moldova (Complexul Portuar Giurgiulești</w:t>
            </w:r>
            <w:r w:rsidR="006D2003">
              <w:rPr>
                <w:rFonts w:ascii="Times New Roman" w:hAnsi="Times New Roman" w:cs="Times New Roman"/>
                <w:sz w:val="28"/>
                <w:lang w:val="ro-RO"/>
              </w:rPr>
              <w:t xml:space="preserve">). Astfel, </w:t>
            </w:r>
            <w:r w:rsidR="00152B99" w:rsidRPr="00650E63">
              <w:rPr>
                <w:rFonts w:ascii="Times New Roman" w:hAnsi="Times New Roman" w:cs="Times New Roman"/>
                <w:color w:val="000000" w:themeColor="text1"/>
                <w:sz w:val="28"/>
                <w:szCs w:val="28"/>
                <w:lang w:val="ro-RO"/>
              </w:rPr>
              <w:t>Agenția Navală</w:t>
            </w:r>
            <w:r w:rsidR="00246BB0">
              <w:rPr>
                <w:rFonts w:ascii="Times New Roman" w:hAnsi="Times New Roman" w:cs="Times New Roman"/>
                <w:sz w:val="28"/>
                <w:lang w:val="ro-RO"/>
              </w:rPr>
              <w:t xml:space="preserve"> </w:t>
            </w:r>
            <w:r w:rsidRPr="00567376">
              <w:rPr>
                <w:rFonts w:ascii="Times New Roman" w:hAnsi="Times New Roman" w:cs="Times New Roman"/>
                <w:sz w:val="28"/>
                <w:lang w:val="ro-RO"/>
              </w:rPr>
              <w:t xml:space="preserve"> va institui un ghișeu unic național în domeniul maritim prin </w:t>
            </w:r>
            <w:r w:rsidR="006D2003">
              <w:rPr>
                <w:rFonts w:ascii="Times New Roman" w:hAnsi="Times New Roman" w:cs="Times New Roman"/>
                <w:sz w:val="28"/>
                <w:lang w:val="ro-RO"/>
              </w:rPr>
              <w:t>intermediul căruia</w:t>
            </w:r>
            <w:r w:rsidRPr="00567376">
              <w:rPr>
                <w:rFonts w:ascii="Times New Roman" w:hAnsi="Times New Roman" w:cs="Times New Roman"/>
                <w:sz w:val="28"/>
                <w:lang w:val="ro-RO"/>
              </w:rPr>
              <w:t xml:space="preserve">, toate informațiile necesare pentru îndeplinirea obligațiilor de raportare, </w:t>
            </w:r>
            <w:r w:rsidR="006D2003">
              <w:rPr>
                <w:rFonts w:ascii="Times New Roman" w:hAnsi="Times New Roman" w:cs="Times New Roman"/>
                <w:sz w:val="28"/>
                <w:lang w:val="ro-RO"/>
              </w:rPr>
              <w:t>vor fi</w:t>
            </w:r>
            <w:r w:rsidRPr="00567376">
              <w:rPr>
                <w:rFonts w:ascii="Times New Roman" w:hAnsi="Times New Roman" w:cs="Times New Roman"/>
                <w:sz w:val="28"/>
                <w:lang w:val="ro-RO"/>
              </w:rPr>
              <w:t xml:space="preserve"> furnizate o singură dată, prin intermediul setului de date EMSW (mediu aferent ghișeului uni</w:t>
            </w:r>
            <w:r w:rsidR="006D2003">
              <w:rPr>
                <w:rFonts w:ascii="Times New Roman" w:hAnsi="Times New Roman" w:cs="Times New Roman"/>
                <w:sz w:val="28"/>
                <w:lang w:val="ro-RO"/>
              </w:rPr>
              <w:t>c european în domeniul maritim)</w:t>
            </w:r>
            <w:r w:rsidRPr="00567376">
              <w:rPr>
                <w:rFonts w:ascii="Times New Roman" w:hAnsi="Times New Roman" w:cs="Times New Roman"/>
                <w:sz w:val="28"/>
                <w:lang w:val="ro-RO"/>
              </w:rPr>
              <w:t xml:space="preserve"> </w:t>
            </w:r>
            <w:r w:rsidR="006D2003">
              <w:rPr>
                <w:rFonts w:ascii="Times New Roman" w:hAnsi="Times New Roman" w:cs="Times New Roman"/>
                <w:sz w:val="28"/>
                <w:lang w:val="ro-RO"/>
              </w:rPr>
              <w:t>și</w:t>
            </w:r>
            <w:r w:rsidRPr="00567376">
              <w:rPr>
                <w:rFonts w:ascii="Times New Roman" w:hAnsi="Times New Roman" w:cs="Times New Roman"/>
                <w:sz w:val="28"/>
                <w:lang w:val="ro-RO"/>
              </w:rPr>
              <w:t xml:space="preserve"> utilizarea unei interfețe interoperabile de raportare armonizată. Informațiile furnizate, vor fi puse la dispoziția autorităților competente ale altor state. </w:t>
            </w:r>
          </w:p>
          <w:p w14:paraId="42C1C549" w14:textId="14D49D57" w:rsidR="00622393" w:rsidRPr="00567376" w:rsidRDefault="00622393" w:rsidP="00622393">
            <w:pPr>
              <w:pStyle w:val="NoSpacing"/>
              <w:jc w:val="both"/>
              <w:rPr>
                <w:rFonts w:ascii="Times New Roman" w:hAnsi="Times New Roman" w:cs="Times New Roman"/>
                <w:sz w:val="28"/>
                <w:lang w:val="ro-RO"/>
              </w:rPr>
            </w:pPr>
            <w:r w:rsidRPr="00567376">
              <w:rPr>
                <w:rFonts w:ascii="Times New Roman" w:hAnsi="Times New Roman" w:cs="Times New Roman"/>
                <w:sz w:val="28"/>
                <w:lang w:val="ro-RO"/>
              </w:rPr>
              <w:t xml:space="preserve">     În acest fel, urmează a fi redusă povara administrativă a sectorului maritim și va fi îmbunătățită competitivitatea acestuia în comparație cu alte moduri de transport. De asemenea, instituirea sistemului reprezintă o modalitate de a încuraja digitalizarea și aplicarea principiului ”o singură dată”, încât toate informațiile raportate o dată, să poată fi refolosite pentru apelurile ulterioare către/din alte porturi. Proiectul conține următoarele elemente noi, după cum urmează: </w:t>
            </w:r>
          </w:p>
          <w:p w14:paraId="1EBA5F42" w14:textId="77777777" w:rsidR="00622393" w:rsidRPr="00567376" w:rsidRDefault="00622393" w:rsidP="00622393">
            <w:pPr>
              <w:pStyle w:val="NoSpacing"/>
              <w:jc w:val="both"/>
              <w:rPr>
                <w:rFonts w:ascii="Times New Roman" w:hAnsi="Times New Roman" w:cs="Times New Roman"/>
                <w:sz w:val="28"/>
                <w:lang w:val="ro-RO"/>
              </w:rPr>
            </w:pPr>
            <w:r w:rsidRPr="00567376">
              <w:rPr>
                <w:rFonts w:ascii="Times New Roman" w:hAnsi="Times New Roman" w:cs="Times New Roman"/>
                <w:sz w:val="28"/>
                <w:lang w:val="ro-RO"/>
              </w:rPr>
              <w:t xml:space="preserve">       • Potrivit pct. 3: </w:t>
            </w:r>
          </w:p>
          <w:p w14:paraId="6EE5235E" w14:textId="10C9124D" w:rsidR="00622393" w:rsidRPr="00567376" w:rsidRDefault="00622393" w:rsidP="00F20A76">
            <w:pPr>
              <w:pStyle w:val="NoSpacing"/>
              <w:jc w:val="both"/>
              <w:rPr>
                <w:rFonts w:ascii="Times New Roman" w:hAnsi="Times New Roman" w:cs="Times New Roman"/>
                <w:sz w:val="28"/>
                <w:lang w:val="ro-RO"/>
              </w:rPr>
            </w:pPr>
            <w:r w:rsidRPr="00567376">
              <w:rPr>
                <w:rFonts w:ascii="Times New Roman" w:hAnsi="Times New Roman" w:cs="Times New Roman"/>
                <w:sz w:val="28"/>
                <w:lang w:val="ro-RO"/>
              </w:rPr>
              <w:t xml:space="preserve">-  </w:t>
            </w:r>
            <w:r w:rsidR="007E07A2" w:rsidRPr="00650E63">
              <w:rPr>
                <w:rFonts w:ascii="Times New Roman" w:hAnsi="Times New Roman" w:cs="Times New Roman"/>
                <w:color w:val="000000" w:themeColor="text1"/>
                <w:sz w:val="28"/>
                <w:szCs w:val="28"/>
                <w:lang w:val="ro-RO"/>
              </w:rPr>
              <w:t>Agenția Navală</w:t>
            </w:r>
            <w:r w:rsidRPr="00567376">
              <w:rPr>
                <w:rFonts w:ascii="Times New Roman" w:hAnsi="Times New Roman" w:cs="Times New Roman"/>
                <w:sz w:val="28"/>
                <w:lang w:val="ro-RO"/>
              </w:rPr>
              <w:t xml:space="preserve"> va institui ghișeul unic național în domeniul maritim;</w:t>
            </w:r>
          </w:p>
          <w:p w14:paraId="4F852F04" w14:textId="218094F4" w:rsidR="00622393" w:rsidRPr="00567376" w:rsidRDefault="00622393" w:rsidP="00031959">
            <w:pPr>
              <w:pStyle w:val="NoSpacing"/>
              <w:jc w:val="both"/>
              <w:rPr>
                <w:rFonts w:ascii="Times New Roman" w:hAnsi="Times New Roman" w:cs="Times New Roman"/>
                <w:sz w:val="28"/>
                <w:lang w:val="ro-RO"/>
              </w:rPr>
            </w:pPr>
            <w:r w:rsidRPr="00567376">
              <w:rPr>
                <w:rFonts w:ascii="Times New Roman" w:hAnsi="Times New Roman" w:cs="Times New Roman"/>
                <w:sz w:val="28"/>
                <w:lang w:val="ro-RO"/>
              </w:rPr>
              <w:t xml:space="preserve">Ghișeul unic național în domeniul maritim va oferi declaranților posibilitatea tehnică   de a pune la dispoziție, separat, furnizorilor de servicii portuare din portul de destinație, un subset de elemente de date predefinit la nivel național; </w:t>
            </w:r>
          </w:p>
          <w:p w14:paraId="436987DE" w14:textId="75A8E605" w:rsidR="00622393" w:rsidRPr="00567376" w:rsidRDefault="00622393" w:rsidP="00031959">
            <w:pPr>
              <w:pStyle w:val="NoSpacing"/>
              <w:jc w:val="both"/>
              <w:rPr>
                <w:rFonts w:ascii="Times New Roman" w:hAnsi="Times New Roman" w:cs="Times New Roman"/>
                <w:sz w:val="28"/>
                <w:lang w:val="ro-RO"/>
              </w:rPr>
            </w:pPr>
            <w:r w:rsidRPr="00567376">
              <w:rPr>
                <w:rFonts w:ascii="Times New Roman" w:hAnsi="Times New Roman" w:cs="Times New Roman"/>
                <w:sz w:val="28"/>
                <w:lang w:val="ro-RO"/>
              </w:rPr>
              <w:t xml:space="preserve">Informațiile transmise către ghișeul unic național în domeniul maritim vor fi stocate de către </w:t>
            </w:r>
            <w:r w:rsidR="006F5D3D">
              <w:rPr>
                <w:rFonts w:ascii="Times New Roman" w:hAnsi="Times New Roman" w:cs="Times New Roman"/>
                <w:sz w:val="28"/>
                <w:lang w:val="ro-RO"/>
              </w:rPr>
              <w:t>autorități</w:t>
            </w:r>
            <w:r w:rsidRPr="00567376">
              <w:rPr>
                <w:rFonts w:ascii="Times New Roman" w:hAnsi="Times New Roman" w:cs="Times New Roman"/>
                <w:sz w:val="28"/>
                <w:lang w:val="ro-RO"/>
              </w:rPr>
              <w:t xml:space="preserve">, </w:t>
            </w:r>
            <w:r w:rsidR="00DF2034">
              <w:rPr>
                <w:rFonts w:ascii="Times New Roman" w:hAnsi="Times New Roman" w:cs="Times New Roman"/>
                <w:sz w:val="28"/>
                <w:lang w:val="ro-RO"/>
              </w:rPr>
              <w:t>pe perioada necesară</w:t>
            </w:r>
            <w:r w:rsidRPr="00567376">
              <w:rPr>
                <w:rFonts w:ascii="Times New Roman" w:hAnsi="Times New Roman" w:cs="Times New Roman"/>
                <w:sz w:val="28"/>
                <w:lang w:val="ro-RO"/>
              </w:rPr>
              <w:t xml:space="preserve"> pentru a asigura îndeplinirea cerințelor stabilite în prezentul Regulament. </w:t>
            </w:r>
          </w:p>
          <w:p w14:paraId="428E1A34" w14:textId="2924F5DB" w:rsidR="00622393" w:rsidRPr="00567376" w:rsidRDefault="00622393" w:rsidP="00622393">
            <w:pPr>
              <w:pStyle w:val="NoSpacing"/>
              <w:jc w:val="both"/>
              <w:rPr>
                <w:rFonts w:ascii="Times New Roman" w:hAnsi="Times New Roman" w:cs="Times New Roman"/>
                <w:sz w:val="28"/>
                <w:lang w:val="ro-RO"/>
              </w:rPr>
            </w:pPr>
            <w:r w:rsidRPr="00567376">
              <w:rPr>
                <w:rFonts w:ascii="Times New Roman" w:hAnsi="Times New Roman" w:cs="Times New Roman"/>
                <w:sz w:val="28"/>
                <w:lang w:val="ro-RO"/>
              </w:rPr>
              <w:t xml:space="preserve">       </w:t>
            </w:r>
            <w:r w:rsidR="00392A27">
              <w:rPr>
                <w:rFonts w:ascii="Times New Roman" w:hAnsi="Times New Roman" w:cs="Times New Roman"/>
                <w:sz w:val="28"/>
                <w:lang w:val="ro-RO"/>
              </w:rPr>
              <w:t>• Potrivit pct. 14</w:t>
            </w:r>
            <w:r w:rsidRPr="00567376">
              <w:rPr>
                <w:rFonts w:ascii="Times New Roman" w:hAnsi="Times New Roman" w:cs="Times New Roman"/>
                <w:sz w:val="28"/>
                <w:lang w:val="ro-RO"/>
              </w:rPr>
              <w:t xml:space="preserve">: </w:t>
            </w:r>
          </w:p>
          <w:p w14:paraId="6C5D09DD" w14:textId="2D7C334E" w:rsidR="00F20A76" w:rsidRDefault="00622393" w:rsidP="00105981">
            <w:pPr>
              <w:pStyle w:val="NoSpacing"/>
              <w:jc w:val="both"/>
              <w:rPr>
                <w:rFonts w:ascii="Times New Roman" w:hAnsi="Times New Roman" w:cs="Times New Roman"/>
                <w:sz w:val="28"/>
                <w:lang w:val="ro-RO"/>
              </w:rPr>
            </w:pPr>
            <w:r w:rsidRPr="00567376">
              <w:rPr>
                <w:rFonts w:ascii="Times New Roman" w:hAnsi="Times New Roman" w:cs="Times New Roman"/>
                <w:sz w:val="28"/>
                <w:lang w:val="ro-RO"/>
              </w:rPr>
              <w:t xml:space="preserve">- </w:t>
            </w:r>
            <w:r w:rsidR="006F5D3D" w:rsidRPr="00650E63">
              <w:rPr>
                <w:rFonts w:ascii="Times New Roman" w:hAnsi="Times New Roman" w:cs="Times New Roman"/>
                <w:color w:val="000000" w:themeColor="text1"/>
                <w:sz w:val="28"/>
                <w:szCs w:val="28"/>
                <w:lang w:val="ro-RO"/>
              </w:rPr>
              <w:t>Agenția Navală</w:t>
            </w:r>
            <w:r w:rsidRPr="00567376">
              <w:rPr>
                <w:rFonts w:ascii="Times New Roman" w:hAnsi="Times New Roman" w:cs="Times New Roman"/>
                <w:sz w:val="28"/>
                <w:lang w:val="ro-RO"/>
              </w:rPr>
              <w:t xml:space="preserve"> se va asigura că declarantului i se solicită să furnizeze informațiile în temeiul Regulamentului doar o singură dată pentru fiecare escală în port și că elementele de date</w:t>
            </w:r>
            <w:r w:rsidR="009F3588">
              <w:rPr>
                <w:rFonts w:ascii="Times New Roman" w:hAnsi="Times New Roman" w:cs="Times New Roman"/>
                <w:sz w:val="28"/>
                <w:lang w:val="ro-RO"/>
              </w:rPr>
              <w:t xml:space="preserve"> sunt</w:t>
            </w:r>
            <w:r w:rsidRPr="00567376">
              <w:rPr>
                <w:rFonts w:ascii="Times New Roman" w:hAnsi="Times New Roman" w:cs="Times New Roman"/>
                <w:sz w:val="28"/>
                <w:lang w:val="ro-RO"/>
              </w:rPr>
              <w:t xml:space="preserve"> relevante din setul de date EMSWe; </w:t>
            </w:r>
          </w:p>
          <w:p w14:paraId="113B0754" w14:textId="48505ACC" w:rsidR="00622393" w:rsidRDefault="007E07A2" w:rsidP="00105981">
            <w:pPr>
              <w:pStyle w:val="NoSpacing"/>
              <w:jc w:val="both"/>
              <w:rPr>
                <w:rFonts w:ascii="Times New Roman" w:hAnsi="Times New Roman" w:cs="Times New Roman"/>
                <w:sz w:val="28"/>
                <w:lang w:val="ro-RO"/>
              </w:rPr>
            </w:pPr>
            <w:r w:rsidRPr="00650E63">
              <w:rPr>
                <w:rFonts w:ascii="Times New Roman" w:hAnsi="Times New Roman" w:cs="Times New Roman"/>
                <w:color w:val="000000" w:themeColor="text1"/>
                <w:sz w:val="28"/>
                <w:szCs w:val="28"/>
                <w:lang w:val="ro-RO"/>
              </w:rPr>
              <w:t>Agenția Navală</w:t>
            </w:r>
            <w:r w:rsidR="00622393" w:rsidRPr="00567376">
              <w:rPr>
                <w:rFonts w:ascii="Times New Roman" w:hAnsi="Times New Roman" w:cs="Times New Roman"/>
                <w:sz w:val="28"/>
                <w:lang w:val="ro-RO"/>
              </w:rPr>
              <w:t xml:space="preserve"> se va asigura că elementele de date din setul de date EMSWe furnizate la plecarea din portul aflat pe teritoriul R</w:t>
            </w:r>
            <w:r w:rsidR="00CB3779">
              <w:rPr>
                <w:rFonts w:ascii="Times New Roman" w:hAnsi="Times New Roman" w:cs="Times New Roman"/>
                <w:sz w:val="28"/>
                <w:lang w:val="ro-RO"/>
              </w:rPr>
              <w:t xml:space="preserve">epublicii </w:t>
            </w:r>
            <w:r w:rsidR="00622393" w:rsidRPr="00567376">
              <w:rPr>
                <w:rFonts w:ascii="Times New Roman" w:hAnsi="Times New Roman" w:cs="Times New Roman"/>
                <w:sz w:val="28"/>
                <w:lang w:val="ro-RO"/>
              </w:rPr>
              <w:t>M</w:t>
            </w:r>
            <w:r w:rsidR="00CB3779">
              <w:rPr>
                <w:rFonts w:ascii="Times New Roman" w:hAnsi="Times New Roman" w:cs="Times New Roman"/>
                <w:sz w:val="28"/>
                <w:lang w:val="ro-RO"/>
              </w:rPr>
              <w:t>oldova</w:t>
            </w:r>
            <w:r w:rsidR="00622393" w:rsidRPr="00567376">
              <w:rPr>
                <w:rFonts w:ascii="Times New Roman" w:hAnsi="Times New Roman" w:cs="Times New Roman"/>
                <w:sz w:val="28"/>
                <w:lang w:val="ro-RO"/>
              </w:rPr>
              <w:t xml:space="preserve"> sunt puse la dispoziția declarantului în scopul îndeplinirii obligațiilor de raportare la sosirea în următorul port din cadrul UE, cu condiția ca nava să nu fi făcut o escală într-un port din afara Uniunii Europene în cursul călătoriei respective. </w:t>
            </w:r>
          </w:p>
          <w:p w14:paraId="4DB81329" w14:textId="77777777" w:rsidR="00F20A76" w:rsidRDefault="009D1270" w:rsidP="009D1270">
            <w:pPr>
              <w:pStyle w:val="NoSpacing"/>
              <w:numPr>
                <w:ilvl w:val="0"/>
                <w:numId w:val="23"/>
              </w:numPr>
              <w:jc w:val="both"/>
              <w:rPr>
                <w:rFonts w:ascii="Times New Roman" w:hAnsi="Times New Roman" w:cs="Times New Roman"/>
                <w:sz w:val="28"/>
                <w:szCs w:val="28"/>
                <w:lang w:val="ro-RO"/>
              </w:rPr>
            </w:pPr>
            <w:r w:rsidRPr="009D1270">
              <w:rPr>
                <w:rFonts w:ascii="Times New Roman" w:hAnsi="Times New Roman" w:cs="Times New Roman"/>
                <w:sz w:val="28"/>
                <w:szCs w:val="28"/>
                <w:lang w:val="ro-RO"/>
              </w:rPr>
              <w:t xml:space="preserve">Potrivit pct. 17: </w:t>
            </w:r>
          </w:p>
          <w:p w14:paraId="132298B5" w14:textId="5931E769" w:rsidR="009D1270" w:rsidRPr="009D1270" w:rsidRDefault="00F20A76" w:rsidP="00F20A76">
            <w:pPr>
              <w:pStyle w:val="No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D1270" w:rsidRPr="009D1270">
              <w:rPr>
                <w:rFonts w:ascii="Times New Roman" w:hAnsi="Times New Roman" w:cs="Times New Roman"/>
                <w:color w:val="000000" w:themeColor="text1"/>
                <w:sz w:val="28"/>
                <w:szCs w:val="28"/>
                <w:lang w:val="ro-RO"/>
              </w:rPr>
              <w:t>Toate elementele de date relevante din setul de date EMSWe primite în conformitate cu prezentul Regulament sunt puse la dispoziția altor ghișee unice în domeniul maritim ale altor state prin intermediul sistemului SafeSeaNet.</w:t>
            </w:r>
          </w:p>
          <w:p w14:paraId="0BEB6F88" w14:textId="77777777" w:rsidR="00F548A4" w:rsidRDefault="00622393" w:rsidP="00F548A4">
            <w:pPr>
              <w:pStyle w:val="NoSpacing"/>
              <w:jc w:val="both"/>
              <w:rPr>
                <w:rFonts w:ascii="Times New Roman" w:hAnsi="Times New Roman" w:cs="Times New Roman"/>
                <w:sz w:val="28"/>
                <w:lang w:val="ro-RO"/>
              </w:rPr>
            </w:pPr>
            <w:r w:rsidRPr="00567376">
              <w:rPr>
                <w:rFonts w:ascii="Times New Roman" w:hAnsi="Times New Roman" w:cs="Times New Roman"/>
                <w:sz w:val="28"/>
                <w:lang w:val="ro-RO"/>
              </w:rPr>
              <w:t xml:space="preserve">       • Potrivit pct. </w:t>
            </w:r>
            <w:r w:rsidR="00650E63">
              <w:rPr>
                <w:rFonts w:ascii="Times New Roman" w:hAnsi="Times New Roman" w:cs="Times New Roman"/>
                <w:sz w:val="28"/>
                <w:lang w:val="ro-RO"/>
              </w:rPr>
              <w:t>23</w:t>
            </w:r>
            <w:r w:rsidRPr="00567376">
              <w:rPr>
                <w:rFonts w:ascii="Times New Roman" w:hAnsi="Times New Roman" w:cs="Times New Roman"/>
                <w:sz w:val="28"/>
                <w:lang w:val="ro-RO"/>
              </w:rPr>
              <w:t xml:space="preserve">: </w:t>
            </w:r>
          </w:p>
          <w:p w14:paraId="0709D97A" w14:textId="6222731F" w:rsidR="00622393" w:rsidRPr="00567376" w:rsidRDefault="00622393" w:rsidP="00F548A4">
            <w:pPr>
              <w:pStyle w:val="NoSpacing"/>
              <w:jc w:val="both"/>
              <w:rPr>
                <w:rFonts w:ascii="Times New Roman" w:hAnsi="Times New Roman" w:cs="Times New Roman"/>
                <w:sz w:val="28"/>
                <w:lang w:val="ro-RO"/>
              </w:rPr>
            </w:pPr>
            <w:r w:rsidRPr="00567376">
              <w:rPr>
                <w:rFonts w:ascii="Times New Roman" w:hAnsi="Times New Roman" w:cs="Times New Roman"/>
                <w:sz w:val="28"/>
                <w:lang w:val="ro-RO"/>
              </w:rPr>
              <w:t xml:space="preserve">- </w:t>
            </w:r>
            <w:r w:rsidR="00650E63" w:rsidRPr="00650E63">
              <w:rPr>
                <w:rFonts w:ascii="Times New Roman" w:hAnsi="Times New Roman" w:cs="Times New Roman"/>
                <w:color w:val="000000" w:themeColor="text1"/>
                <w:sz w:val="28"/>
                <w:szCs w:val="28"/>
                <w:lang w:val="ro-RO"/>
              </w:rPr>
              <w:t>Agenția Navală este autoritatea responsabilă de identificarea și înregistrarea noilor utilizatori, precum și modificarea, închiderea conturilor existente prin intermediul sistemului</w:t>
            </w:r>
            <w:r w:rsidRPr="00650E63">
              <w:rPr>
                <w:rFonts w:ascii="Times New Roman" w:hAnsi="Times New Roman" w:cs="Times New Roman"/>
                <w:sz w:val="28"/>
                <w:szCs w:val="28"/>
                <w:lang w:val="ro-RO"/>
              </w:rPr>
              <w:t>.</w:t>
            </w:r>
            <w:r w:rsidRPr="00567376">
              <w:rPr>
                <w:rFonts w:ascii="Times New Roman" w:hAnsi="Times New Roman" w:cs="Times New Roman"/>
                <w:sz w:val="28"/>
                <w:lang w:val="ro-RO"/>
              </w:rPr>
              <w:t xml:space="preserve"> </w:t>
            </w:r>
          </w:p>
          <w:p w14:paraId="3E22DDBA" w14:textId="3D69970F" w:rsidR="00622393" w:rsidRPr="00567376" w:rsidRDefault="00622393" w:rsidP="00622393">
            <w:pPr>
              <w:pStyle w:val="NoSpacing"/>
              <w:jc w:val="both"/>
              <w:rPr>
                <w:rFonts w:ascii="Times New Roman" w:hAnsi="Times New Roman" w:cs="Times New Roman"/>
                <w:sz w:val="28"/>
                <w:lang w:val="ro-RO"/>
              </w:rPr>
            </w:pPr>
            <w:r w:rsidRPr="00567376">
              <w:rPr>
                <w:rFonts w:ascii="Times New Roman" w:hAnsi="Times New Roman" w:cs="Times New Roman"/>
                <w:sz w:val="28"/>
                <w:lang w:val="ro-RO"/>
              </w:rPr>
              <w:t xml:space="preserve">       • Potrivit pct. </w:t>
            </w:r>
            <w:r w:rsidR="00EC33B0">
              <w:rPr>
                <w:rFonts w:ascii="Times New Roman" w:hAnsi="Times New Roman" w:cs="Times New Roman"/>
                <w:sz w:val="28"/>
                <w:lang w:val="ro-RO"/>
              </w:rPr>
              <w:t>24</w:t>
            </w:r>
            <w:r w:rsidRPr="00567376">
              <w:rPr>
                <w:rFonts w:ascii="Times New Roman" w:hAnsi="Times New Roman" w:cs="Times New Roman"/>
                <w:sz w:val="28"/>
                <w:lang w:val="ro-RO"/>
              </w:rPr>
              <w:t xml:space="preserve">: </w:t>
            </w:r>
          </w:p>
          <w:p w14:paraId="5AA108DA" w14:textId="45497586" w:rsidR="00622393" w:rsidRPr="00567376" w:rsidRDefault="00622393" w:rsidP="009E0502">
            <w:pPr>
              <w:pStyle w:val="NoSpacing"/>
              <w:jc w:val="both"/>
              <w:rPr>
                <w:rFonts w:ascii="Times New Roman" w:hAnsi="Times New Roman" w:cs="Times New Roman"/>
                <w:sz w:val="28"/>
                <w:lang w:val="ro-RO"/>
              </w:rPr>
            </w:pPr>
            <w:r w:rsidRPr="00567376">
              <w:rPr>
                <w:rFonts w:ascii="Times New Roman" w:hAnsi="Times New Roman" w:cs="Times New Roman"/>
                <w:sz w:val="28"/>
                <w:lang w:val="ro-RO"/>
              </w:rPr>
              <w:lastRenderedPageBreak/>
              <w:t xml:space="preserve">-  </w:t>
            </w:r>
            <w:r w:rsidR="00EC33B0" w:rsidRPr="00EC33B0">
              <w:rPr>
                <w:rFonts w:ascii="Times New Roman" w:hAnsi="Times New Roman" w:cs="Times New Roman"/>
                <w:color w:val="000000" w:themeColor="text1"/>
                <w:sz w:val="28"/>
                <w:szCs w:val="28"/>
                <w:lang w:val="ro-RO"/>
              </w:rPr>
              <w:t>Un declarant sau un furnizor de servicii de date care este înregistrat în sistemul EMSWe de gestionare a accesului și a registrului utilizatorilor este considerat a fi înregistrat în ghișeul unic național în domeniul maritim</w:t>
            </w:r>
            <w:r w:rsidRPr="00EC33B0">
              <w:rPr>
                <w:rFonts w:ascii="Times New Roman" w:hAnsi="Times New Roman" w:cs="Times New Roman"/>
                <w:sz w:val="28"/>
                <w:szCs w:val="28"/>
                <w:lang w:val="ro-RO"/>
              </w:rPr>
              <w:t>.</w:t>
            </w:r>
          </w:p>
          <w:p w14:paraId="6EDD7CB1" w14:textId="45F63BB1" w:rsidR="00622393" w:rsidRPr="00567376" w:rsidRDefault="00622393" w:rsidP="00622393">
            <w:pPr>
              <w:pStyle w:val="NoSpacing"/>
              <w:jc w:val="both"/>
              <w:rPr>
                <w:rFonts w:ascii="Times New Roman" w:hAnsi="Times New Roman" w:cs="Times New Roman"/>
                <w:sz w:val="28"/>
                <w:lang w:val="ro-RO"/>
              </w:rPr>
            </w:pPr>
            <w:r w:rsidRPr="00567376">
              <w:rPr>
                <w:rFonts w:ascii="Times New Roman" w:hAnsi="Times New Roman" w:cs="Times New Roman"/>
                <w:sz w:val="28"/>
                <w:lang w:val="ro-RO"/>
              </w:rPr>
              <w:t xml:space="preserve">       • Potrivit pct. </w:t>
            </w:r>
            <w:r w:rsidR="00361A66">
              <w:rPr>
                <w:rFonts w:ascii="Times New Roman" w:hAnsi="Times New Roman" w:cs="Times New Roman"/>
                <w:sz w:val="28"/>
                <w:lang w:val="ro-RO"/>
              </w:rPr>
              <w:t>29</w:t>
            </w:r>
            <w:r w:rsidRPr="00567376">
              <w:rPr>
                <w:rFonts w:ascii="Times New Roman" w:hAnsi="Times New Roman" w:cs="Times New Roman"/>
                <w:sz w:val="28"/>
                <w:lang w:val="ro-RO"/>
              </w:rPr>
              <w:t>:</w:t>
            </w:r>
          </w:p>
          <w:p w14:paraId="0F3D3E53" w14:textId="2BFC1A3E" w:rsidR="008C00C2" w:rsidRPr="00567376" w:rsidRDefault="00622393" w:rsidP="001D191F">
            <w:pPr>
              <w:pStyle w:val="NoSpacing"/>
              <w:jc w:val="both"/>
              <w:rPr>
                <w:i/>
                <w:sz w:val="28"/>
                <w:szCs w:val="28"/>
                <w:lang w:val="ro-RO"/>
              </w:rPr>
            </w:pPr>
            <w:r w:rsidRPr="00567376">
              <w:rPr>
                <w:rFonts w:ascii="Times New Roman" w:hAnsi="Times New Roman" w:cs="Times New Roman"/>
                <w:sz w:val="28"/>
                <w:lang w:val="ro-RO"/>
              </w:rPr>
              <w:t xml:space="preserve">-  </w:t>
            </w:r>
            <w:r w:rsidR="00361A66" w:rsidRPr="00650E63">
              <w:rPr>
                <w:rFonts w:ascii="Times New Roman" w:hAnsi="Times New Roman" w:cs="Times New Roman"/>
                <w:color w:val="000000" w:themeColor="text1"/>
                <w:sz w:val="28"/>
                <w:szCs w:val="28"/>
                <w:lang w:val="ro-RO"/>
              </w:rPr>
              <w:t>Agenția Navală</w:t>
            </w:r>
            <w:r w:rsidRPr="00567376">
              <w:rPr>
                <w:rFonts w:ascii="Times New Roman" w:hAnsi="Times New Roman" w:cs="Times New Roman"/>
                <w:sz w:val="28"/>
                <w:lang w:val="ro-RO"/>
              </w:rPr>
              <w:t>, în comun cu Serviciul Vamal, Inspectoratul General al Poliției de Frontieră și Agenția Națională pentru Siguranță a Alimentelor, vor adopta acte de punere în aplicare care stabilesc specificațiile tehnice.</w:t>
            </w:r>
          </w:p>
        </w:tc>
      </w:tr>
      <w:tr w:rsidR="008C00C2" w:rsidRPr="00567376" w14:paraId="2C9980DD" w14:textId="77777777" w:rsidTr="00600181">
        <w:trPr>
          <w:jc w:val="center"/>
        </w:trPr>
        <w:tc>
          <w:tcPr>
            <w:tcW w:w="9345" w:type="dxa"/>
            <w:tcBorders>
              <w:top w:val="single" w:sz="4" w:space="0" w:color="auto"/>
              <w:left w:val="single" w:sz="4" w:space="0" w:color="auto"/>
              <w:bottom w:val="single" w:sz="4" w:space="0" w:color="auto"/>
              <w:right w:val="single" w:sz="4" w:space="0" w:color="auto"/>
            </w:tcBorders>
            <w:hideMark/>
          </w:tcPr>
          <w:p w14:paraId="1DC1BDC2" w14:textId="77777777" w:rsidR="008C00C2" w:rsidRPr="00567376" w:rsidRDefault="008C00C2" w:rsidP="00600181">
            <w:pPr>
              <w:contextualSpacing/>
              <w:jc w:val="both"/>
              <w:rPr>
                <w:rFonts w:ascii="Times New Roman" w:hAnsi="Times New Roman" w:cs="Times New Roman"/>
                <w:b/>
                <w:sz w:val="28"/>
                <w:szCs w:val="28"/>
                <w:lang w:val="ro-RO"/>
              </w:rPr>
            </w:pPr>
            <w:r w:rsidRPr="00567376">
              <w:rPr>
                <w:rFonts w:ascii="Times New Roman" w:hAnsi="Times New Roman" w:cs="Times New Roman"/>
                <w:b/>
                <w:sz w:val="28"/>
                <w:szCs w:val="28"/>
                <w:lang w:val="ro-RO"/>
              </w:rPr>
              <w:lastRenderedPageBreak/>
              <w:t>5. Fundamentarea economico-financiară</w:t>
            </w:r>
          </w:p>
        </w:tc>
      </w:tr>
      <w:tr w:rsidR="008C00C2" w:rsidRPr="00567376" w14:paraId="20FFAA53" w14:textId="77777777" w:rsidTr="00600181">
        <w:trPr>
          <w:jc w:val="center"/>
        </w:trPr>
        <w:tc>
          <w:tcPr>
            <w:tcW w:w="9345" w:type="dxa"/>
            <w:tcBorders>
              <w:top w:val="single" w:sz="4" w:space="0" w:color="auto"/>
              <w:left w:val="single" w:sz="4" w:space="0" w:color="auto"/>
              <w:bottom w:val="single" w:sz="4" w:space="0" w:color="auto"/>
              <w:right w:val="single" w:sz="4" w:space="0" w:color="auto"/>
            </w:tcBorders>
            <w:hideMark/>
          </w:tcPr>
          <w:p w14:paraId="17F15968" w14:textId="364EC016" w:rsidR="008C00C2" w:rsidRPr="00567376" w:rsidRDefault="008C00C2" w:rsidP="00AB220B">
            <w:pPr>
              <w:pStyle w:val="NoSpacing"/>
              <w:jc w:val="both"/>
              <w:rPr>
                <w:rFonts w:ascii="Times New Roman" w:hAnsi="Times New Roman" w:cs="Times New Roman"/>
                <w:lang w:val="ro-RO"/>
              </w:rPr>
            </w:pPr>
            <w:r w:rsidRPr="00567376">
              <w:rPr>
                <w:lang w:val="ro-RO"/>
              </w:rPr>
              <w:t xml:space="preserve">       </w:t>
            </w:r>
            <w:r w:rsidR="00622393" w:rsidRPr="00567376">
              <w:rPr>
                <w:rFonts w:ascii="Times New Roman" w:hAnsi="Times New Roman" w:cs="Times New Roman"/>
                <w:sz w:val="28"/>
                <w:lang w:val="ro-RO"/>
              </w:rPr>
              <w:t>Principalele c</w:t>
            </w:r>
            <w:r w:rsidR="00567376" w:rsidRPr="00567376">
              <w:rPr>
                <w:rFonts w:ascii="Times New Roman" w:hAnsi="Times New Roman" w:cs="Times New Roman"/>
                <w:sz w:val="28"/>
                <w:lang w:val="ro-RO"/>
              </w:rPr>
              <w:t xml:space="preserve">heltuieli </w:t>
            </w:r>
            <w:r w:rsidR="00622393" w:rsidRPr="00567376">
              <w:rPr>
                <w:rFonts w:ascii="Times New Roman" w:hAnsi="Times New Roman" w:cs="Times New Roman"/>
                <w:sz w:val="28"/>
                <w:lang w:val="ro-RO"/>
              </w:rPr>
              <w:t>pentru implementarea ghișeului unic sunt legate de procurarea și menținerea de către ANRM, a soft-ului interoperabil cu cel european.</w:t>
            </w:r>
            <w:r w:rsidR="00AB220B">
              <w:rPr>
                <w:rFonts w:ascii="Times New Roman" w:hAnsi="Times New Roman" w:cs="Times New Roman"/>
                <w:sz w:val="28"/>
                <w:lang w:val="ro-RO"/>
              </w:rPr>
              <w:t xml:space="preserve"> Totodată cuantificarea necesarului de surse financiare aferente creării softului respectiv, se va efectua la etapa de elaborare și promovare a hotărârii de Guvern privind </w:t>
            </w:r>
            <w:r w:rsidR="009C127D" w:rsidRPr="00CC7D7C">
              <w:rPr>
                <w:rFonts w:ascii="Times New Roman" w:hAnsi="Times New Roman" w:cs="Times New Roman"/>
                <w:color w:val="000000" w:themeColor="text1"/>
                <w:sz w:val="28"/>
                <w:szCs w:val="24"/>
                <w:shd w:val="clear" w:color="auto" w:fill="FFFFFF"/>
                <w:lang w:val="ro-RO"/>
              </w:rPr>
              <w:t>specificațiile tehnice și funcționale ale modulului de interfață de raportare armonizată</w:t>
            </w:r>
            <w:r w:rsidR="009C127D" w:rsidRPr="00CC7D7C">
              <w:rPr>
                <w:rFonts w:ascii="Arial" w:hAnsi="Arial" w:cs="Arial"/>
                <w:color w:val="000000" w:themeColor="text1"/>
                <w:sz w:val="28"/>
                <w:szCs w:val="27"/>
                <w:shd w:val="clear" w:color="auto" w:fill="FFFFFF"/>
                <w:lang w:val="ro-RO"/>
              </w:rPr>
              <w:t> </w:t>
            </w:r>
            <w:r w:rsidR="00CC7D7C" w:rsidRPr="00CC7D7C">
              <w:rPr>
                <w:rFonts w:ascii="Times New Roman" w:hAnsi="Times New Roman" w:cs="Times New Roman"/>
                <w:sz w:val="28"/>
                <w:lang w:val="ro-RO"/>
              </w:rPr>
              <w:t>pentru ghișeul unic</w:t>
            </w:r>
            <w:r w:rsidR="00AB220B" w:rsidRPr="00CC7D7C">
              <w:rPr>
                <w:rFonts w:ascii="Times New Roman" w:hAnsi="Times New Roman" w:cs="Times New Roman"/>
                <w:sz w:val="28"/>
                <w:lang w:val="ro-RO"/>
              </w:rPr>
              <w:t>.</w:t>
            </w:r>
            <w:r w:rsidR="00AB220B">
              <w:rPr>
                <w:rFonts w:ascii="Times New Roman" w:hAnsi="Times New Roman" w:cs="Times New Roman"/>
                <w:sz w:val="28"/>
                <w:lang w:val="ro-RO"/>
              </w:rPr>
              <w:t xml:space="preserve"> </w:t>
            </w:r>
          </w:p>
        </w:tc>
      </w:tr>
      <w:tr w:rsidR="008C00C2" w:rsidRPr="00567376" w14:paraId="2DE52118" w14:textId="77777777" w:rsidTr="00600181">
        <w:trPr>
          <w:jc w:val="center"/>
        </w:trPr>
        <w:tc>
          <w:tcPr>
            <w:tcW w:w="9345" w:type="dxa"/>
            <w:tcBorders>
              <w:top w:val="single" w:sz="4" w:space="0" w:color="auto"/>
              <w:left w:val="single" w:sz="4" w:space="0" w:color="auto"/>
              <w:bottom w:val="single" w:sz="4" w:space="0" w:color="auto"/>
              <w:right w:val="single" w:sz="4" w:space="0" w:color="auto"/>
            </w:tcBorders>
            <w:hideMark/>
          </w:tcPr>
          <w:p w14:paraId="0B35E6D5" w14:textId="77777777" w:rsidR="008C00C2" w:rsidRPr="00567376" w:rsidRDefault="008C00C2" w:rsidP="00600181">
            <w:pPr>
              <w:tabs>
                <w:tab w:val="left" w:pos="884"/>
                <w:tab w:val="left" w:pos="1196"/>
              </w:tabs>
              <w:contextualSpacing/>
              <w:jc w:val="both"/>
              <w:rPr>
                <w:rFonts w:ascii="Times New Roman" w:hAnsi="Times New Roman" w:cs="Times New Roman"/>
                <w:sz w:val="28"/>
                <w:szCs w:val="28"/>
                <w:lang w:val="ro-RO"/>
              </w:rPr>
            </w:pPr>
            <w:r w:rsidRPr="00567376">
              <w:rPr>
                <w:rFonts w:ascii="Times New Roman" w:hAnsi="Times New Roman" w:cs="Times New Roman"/>
                <w:b/>
                <w:sz w:val="28"/>
                <w:szCs w:val="28"/>
                <w:lang w:val="ro-RO"/>
              </w:rPr>
              <w:t>6. Modul de încorporare a actului în cadrul normativ în vigoare</w:t>
            </w:r>
          </w:p>
        </w:tc>
      </w:tr>
      <w:tr w:rsidR="008C00C2" w:rsidRPr="00567376" w14:paraId="7D66040A" w14:textId="77777777" w:rsidTr="00600181">
        <w:trPr>
          <w:jc w:val="center"/>
        </w:trPr>
        <w:tc>
          <w:tcPr>
            <w:tcW w:w="9345" w:type="dxa"/>
            <w:tcBorders>
              <w:top w:val="single" w:sz="4" w:space="0" w:color="auto"/>
              <w:left w:val="single" w:sz="4" w:space="0" w:color="auto"/>
              <w:bottom w:val="single" w:sz="4" w:space="0" w:color="auto"/>
              <w:right w:val="single" w:sz="4" w:space="0" w:color="auto"/>
            </w:tcBorders>
            <w:hideMark/>
          </w:tcPr>
          <w:p w14:paraId="2E1882FE" w14:textId="42E6B898" w:rsidR="00711AFE" w:rsidRPr="00567376" w:rsidRDefault="008C00C2" w:rsidP="005A416D">
            <w:pPr>
              <w:pStyle w:val="NoSpacing"/>
              <w:jc w:val="both"/>
              <w:rPr>
                <w:rFonts w:ascii="Times New Roman" w:hAnsi="Times New Roman" w:cs="Times New Roman"/>
                <w:lang w:val="ro-RO"/>
              </w:rPr>
            </w:pPr>
            <w:r w:rsidRPr="00567376">
              <w:rPr>
                <w:lang w:val="ro-RO"/>
              </w:rPr>
              <w:t xml:space="preserve">      </w:t>
            </w:r>
            <w:r w:rsidR="00845E4D" w:rsidRPr="00567376">
              <w:rPr>
                <w:lang w:val="ro-RO"/>
              </w:rPr>
              <w:t xml:space="preserve"> </w:t>
            </w:r>
            <w:r w:rsidR="00622393" w:rsidRPr="00567376">
              <w:rPr>
                <w:rFonts w:ascii="Times New Roman" w:hAnsi="Times New Roman" w:cs="Times New Roman"/>
                <w:sz w:val="28"/>
                <w:lang w:val="ro-RO"/>
              </w:rPr>
              <w:t xml:space="preserve">Proiectul nu contravine legislației naționale în vigoare. Actul </w:t>
            </w:r>
            <w:r w:rsidR="005A416D">
              <w:rPr>
                <w:rFonts w:ascii="Times New Roman" w:hAnsi="Times New Roman" w:cs="Times New Roman"/>
                <w:sz w:val="28"/>
                <w:lang w:val="ro-RO"/>
              </w:rPr>
              <w:t>propus</w:t>
            </w:r>
            <w:r w:rsidR="00622393" w:rsidRPr="00567376">
              <w:rPr>
                <w:rFonts w:ascii="Times New Roman" w:hAnsi="Times New Roman" w:cs="Times New Roman"/>
                <w:sz w:val="28"/>
                <w:lang w:val="ro-RO"/>
              </w:rPr>
              <w:t xml:space="preserve"> transpune </w:t>
            </w:r>
            <w:r w:rsidR="005A416D">
              <w:rPr>
                <w:rFonts w:ascii="Times New Roman" w:hAnsi="Times New Roman" w:cs="Times New Roman"/>
                <w:sz w:val="28"/>
                <w:lang w:val="ro-RO"/>
              </w:rPr>
              <w:t>parț</w:t>
            </w:r>
            <w:r w:rsidR="002B51C3">
              <w:rPr>
                <w:rFonts w:ascii="Times New Roman" w:hAnsi="Times New Roman" w:cs="Times New Roman"/>
                <w:sz w:val="28"/>
                <w:lang w:val="ro-RO"/>
              </w:rPr>
              <w:t xml:space="preserve">ial </w:t>
            </w:r>
            <w:r w:rsidR="00622393" w:rsidRPr="00567376">
              <w:rPr>
                <w:rFonts w:ascii="Times New Roman" w:hAnsi="Times New Roman" w:cs="Times New Roman"/>
                <w:sz w:val="28"/>
                <w:lang w:val="ro-RO"/>
              </w:rPr>
              <w:t>Regulamentul UE 2019/1239 și dispozițiile Convenției FAL.</w:t>
            </w:r>
          </w:p>
        </w:tc>
      </w:tr>
      <w:tr w:rsidR="008C00C2" w:rsidRPr="00567376" w14:paraId="589A4797" w14:textId="77777777" w:rsidTr="00600181">
        <w:trPr>
          <w:jc w:val="center"/>
        </w:trPr>
        <w:tc>
          <w:tcPr>
            <w:tcW w:w="9345" w:type="dxa"/>
            <w:tcBorders>
              <w:top w:val="single" w:sz="4" w:space="0" w:color="auto"/>
              <w:left w:val="single" w:sz="4" w:space="0" w:color="auto"/>
              <w:bottom w:val="single" w:sz="4" w:space="0" w:color="auto"/>
              <w:right w:val="single" w:sz="4" w:space="0" w:color="auto"/>
            </w:tcBorders>
            <w:hideMark/>
          </w:tcPr>
          <w:p w14:paraId="4DB5F58F" w14:textId="77777777" w:rsidR="008C00C2" w:rsidRPr="00567376" w:rsidRDefault="008C00C2" w:rsidP="00600181">
            <w:pPr>
              <w:tabs>
                <w:tab w:val="left" w:pos="884"/>
                <w:tab w:val="left" w:pos="1196"/>
              </w:tabs>
              <w:contextualSpacing/>
              <w:jc w:val="both"/>
              <w:rPr>
                <w:rFonts w:ascii="Times New Roman" w:hAnsi="Times New Roman" w:cs="Times New Roman"/>
                <w:b/>
                <w:sz w:val="28"/>
                <w:szCs w:val="28"/>
                <w:lang w:val="ro-RO"/>
              </w:rPr>
            </w:pPr>
            <w:r w:rsidRPr="00567376">
              <w:rPr>
                <w:rFonts w:ascii="Times New Roman" w:hAnsi="Times New Roman" w:cs="Times New Roman"/>
                <w:b/>
                <w:sz w:val="28"/>
                <w:szCs w:val="28"/>
                <w:lang w:val="ro-RO"/>
              </w:rPr>
              <w:t>7. Avizarea şi consultarea publică a proiectului</w:t>
            </w:r>
          </w:p>
        </w:tc>
      </w:tr>
      <w:tr w:rsidR="008C00C2" w:rsidRPr="00567376" w14:paraId="5509A3CB" w14:textId="77777777" w:rsidTr="00600181">
        <w:trPr>
          <w:jc w:val="center"/>
        </w:trPr>
        <w:tc>
          <w:tcPr>
            <w:tcW w:w="9345" w:type="dxa"/>
            <w:tcBorders>
              <w:top w:val="single" w:sz="4" w:space="0" w:color="auto"/>
              <w:left w:val="single" w:sz="4" w:space="0" w:color="auto"/>
              <w:bottom w:val="single" w:sz="4" w:space="0" w:color="auto"/>
              <w:right w:val="single" w:sz="4" w:space="0" w:color="auto"/>
            </w:tcBorders>
            <w:hideMark/>
          </w:tcPr>
          <w:p w14:paraId="31B94120" w14:textId="14DDD2E8" w:rsidR="00140AB6" w:rsidRPr="00567376" w:rsidRDefault="00793E5F" w:rsidP="00793E5F">
            <w:pPr>
              <w:jc w:val="both"/>
              <w:rPr>
                <w:rFonts w:ascii="Times New Roman" w:hAnsi="Times New Roman" w:cs="Times New Roman"/>
                <w:sz w:val="28"/>
                <w:lang w:val="ro-RO"/>
              </w:rPr>
            </w:pPr>
            <w:r>
              <w:rPr>
                <w:lang w:val="ro-RO"/>
              </w:rPr>
              <w:t xml:space="preserve">       </w:t>
            </w:r>
            <w:r w:rsidR="00140AB6" w:rsidRPr="00567376">
              <w:rPr>
                <w:rFonts w:ascii="Times New Roman" w:hAnsi="Times New Roman" w:cs="Times New Roman"/>
                <w:sz w:val="28"/>
                <w:lang w:val="ro-RO"/>
              </w:rPr>
              <w:t xml:space="preserve">Proiectul de hotărâre a Guvernului </w:t>
            </w:r>
            <w:r w:rsidRPr="00793E5F">
              <w:rPr>
                <w:rFonts w:ascii="Times New Roman" w:hAnsi="Times New Roman" w:cs="Times New Roman"/>
                <w:color w:val="000000" w:themeColor="text1"/>
                <w:sz w:val="28"/>
                <w:szCs w:val="28"/>
                <w:lang w:val="ro-RO"/>
              </w:rPr>
              <w:t>pentru aprobarea Regulamentului cu privire la stabilirea mediului aferent  ghișeului unic în domeniul maritim</w:t>
            </w:r>
            <w:r w:rsidRPr="007F600B">
              <w:rPr>
                <w:rFonts w:ascii="Times New Roman" w:hAnsi="Times New Roman" w:cs="Times New Roman"/>
                <w:b/>
                <w:color w:val="000000" w:themeColor="text1"/>
                <w:sz w:val="28"/>
                <w:szCs w:val="28"/>
                <w:lang w:val="ro-RO"/>
              </w:rPr>
              <w:t xml:space="preserve"> </w:t>
            </w:r>
            <w:r w:rsidR="00E20145" w:rsidRPr="00567376">
              <w:rPr>
                <w:rFonts w:ascii="Times New Roman" w:hAnsi="Times New Roman" w:cs="Times New Roman"/>
                <w:sz w:val="28"/>
                <w:lang w:val="ro-RO"/>
              </w:rPr>
              <w:t xml:space="preserve">va fi </w:t>
            </w:r>
            <w:r w:rsidR="00140AB6" w:rsidRPr="00567376">
              <w:rPr>
                <w:rFonts w:ascii="Times New Roman" w:hAnsi="Times New Roman" w:cs="Times New Roman"/>
                <w:sz w:val="28"/>
                <w:lang w:val="ro-RO"/>
              </w:rPr>
              <w:t xml:space="preserve">supus consultărilor publice și avizării de către instituțiile publice de resort, în conformitate cu prevederile Legii nr.100/2017 cu privire la actele normative. În cadrul procesului de avizare s-a propus implicarea autorităților publice și instituțiilor interesate:         </w:t>
            </w:r>
          </w:p>
          <w:p w14:paraId="2B04373A" w14:textId="77777777" w:rsidR="00140AB6" w:rsidRPr="00567376" w:rsidRDefault="00140AB6" w:rsidP="00140AB6">
            <w:pPr>
              <w:pStyle w:val="NoSpacing"/>
              <w:rPr>
                <w:rFonts w:ascii="Times New Roman" w:hAnsi="Times New Roman" w:cs="Times New Roman"/>
                <w:sz w:val="28"/>
                <w:szCs w:val="28"/>
                <w:lang w:val="ro-RO"/>
              </w:rPr>
            </w:pPr>
            <w:r w:rsidRPr="00567376">
              <w:rPr>
                <w:rFonts w:ascii="Times New Roman" w:hAnsi="Times New Roman" w:cs="Times New Roman"/>
                <w:sz w:val="28"/>
                <w:szCs w:val="28"/>
                <w:lang w:val="ro-RO"/>
              </w:rPr>
              <w:t xml:space="preserve">        - Ministerul Afacerilor Externe și Integrării Europene;</w:t>
            </w:r>
          </w:p>
          <w:p w14:paraId="5BC7744D" w14:textId="61AA90BB" w:rsidR="00140AB6" w:rsidRPr="00567376" w:rsidRDefault="00140AB6" w:rsidP="00140AB6">
            <w:pPr>
              <w:pStyle w:val="NoSpacing"/>
              <w:rPr>
                <w:rFonts w:ascii="Times New Roman" w:hAnsi="Times New Roman" w:cs="Times New Roman"/>
                <w:sz w:val="28"/>
                <w:szCs w:val="28"/>
                <w:lang w:val="ro-RO"/>
              </w:rPr>
            </w:pPr>
            <w:r w:rsidRPr="00567376">
              <w:rPr>
                <w:rFonts w:ascii="Times New Roman" w:hAnsi="Times New Roman" w:cs="Times New Roman"/>
                <w:sz w:val="28"/>
                <w:szCs w:val="28"/>
                <w:lang w:val="ro-RO"/>
              </w:rPr>
              <w:t xml:space="preserve">        - Ministerul </w:t>
            </w:r>
            <w:r w:rsidR="00567376" w:rsidRPr="00567376">
              <w:rPr>
                <w:rFonts w:ascii="Times New Roman" w:hAnsi="Times New Roman" w:cs="Times New Roman"/>
                <w:sz w:val="28"/>
                <w:szCs w:val="28"/>
                <w:lang w:val="ro-RO"/>
              </w:rPr>
              <w:t>Afacerilor Interne</w:t>
            </w:r>
            <w:r w:rsidRPr="00567376">
              <w:rPr>
                <w:rFonts w:ascii="Times New Roman" w:hAnsi="Times New Roman" w:cs="Times New Roman"/>
                <w:sz w:val="28"/>
                <w:szCs w:val="28"/>
                <w:lang w:val="ro-RO"/>
              </w:rPr>
              <w:t xml:space="preserve">; </w:t>
            </w:r>
          </w:p>
          <w:p w14:paraId="1FE6AE45" w14:textId="303471C7" w:rsidR="00A44774" w:rsidRDefault="00140AB6" w:rsidP="00140AB6">
            <w:pPr>
              <w:pStyle w:val="NoSpacing"/>
              <w:rPr>
                <w:rFonts w:ascii="Times New Roman" w:hAnsi="Times New Roman" w:cs="Times New Roman"/>
                <w:sz w:val="28"/>
                <w:szCs w:val="28"/>
                <w:lang w:val="ro-RO"/>
              </w:rPr>
            </w:pPr>
            <w:r w:rsidRPr="00567376">
              <w:rPr>
                <w:rFonts w:ascii="Times New Roman" w:hAnsi="Times New Roman" w:cs="Times New Roman"/>
                <w:sz w:val="28"/>
                <w:szCs w:val="28"/>
                <w:lang w:val="ro-RO"/>
              </w:rPr>
              <w:t xml:space="preserve">        - Ministerul Finanțelor;</w:t>
            </w:r>
          </w:p>
          <w:p w14:paraId="6E8D8182" w14:textId="3C3C341A" w:rsidR="00140AB6" w:rsidRDefault="00A44774" w:rsidP="00140AB6">
            <w:pPr>
              <w:pStyle w:val="NoSpacing"/>
              <w:rPr>
                <w:rFonts w:ascii="Times New Roman" w:hAnsi="Times New Roman" w:cs="Times New Roman"/>
                <w:sz w:val="28"/>
                <w:szCs w:val="28"/>
                <w:lang w:val="ro-RO"/>
              </w:rPr>
            </w:pPr>
            <w:r>
              <w:rPr>
                <w:rFonts w:ascii="Times New Roman" w:hAnsi="Times New Roman" w:cs="Times New Roman"/>
                <w:sz w:val="28"/>
                <w:szCs w:val="28"/>
                <w:lang w:val="ro-RO" w:eastAsia="ru-RU"/>
              </w:rPr>
              <w:t xml:space="preserve">        - Ministerul Sănătății</w:t>
            </w:r>
            <w:r>
              <w:rPr>
                <w:rFonts w:ascii="Times New Roman" w:hAnsi="Times New Roman" w:cs="Times New Roman"/>
                <w:sz w:val="28"/>
                <w:szCs w:val="28"/>
                <w:lang w:val="ro-RO"/>
              </w:rPr>
              <w:t>;</w:t>
            </w:r>
          </w:p>
          <w:p w14:paraId="66FD9F6E" w14:textId="558AF3B7" w:rsidR="00654305" w:rsidRDefault="00654305" w:rsidP="00654305">
            <w:pPr>
              <w:pStyle w:val="NoSpacing"/>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567376">
              <w:rPr>
                <w:rFonts w:ascii="Times New Roman" w:hAnsi="Times New Roman" w:cs="Times New Roman"/>
                <w:sz w:val="28"/>
                <w:szCs w:val="28"/>
                <w:lang w:val="ro-RO"/>
              </w:rPr>
              <w:t xml:space="preserve">- Ministerul Justiției; </w:t>
            </w:r>
            <w:r w:rsidR="00372307">
              <w:rPr>
                <w:rFonts w:ascii="Times New Roman" w:hAnsi="Times New Roman" w:cs="Times New Roman"/>
                <w:sz w:val="28"/>
                <w:szCs w:val="28"/>
                <w:lang w:val="ro-RO"/>
              </w:rPr>
              <w:t xml:space="preserve">        </w:t>
            </w:r>
          </w:p>
          <w:p w14:paraId="21B4F1D7" w14:textId="4EB491E4" w:rsidR="00372307" w:rsidRPr="00567376" w:rsidRDefault="00654305" w:rsidP="00654305">
            <w:pPr>
              <w:pStyle w:val="NoSpacing"/>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372307">
              <w:rPr>
                <w:rFonts w:ascii="Times New Roman" w:hAnsi="Times New Roman" w:cs="Times New Roman"/>
                <w:sz w:val="28"/>
                <w:szCs w:val="28"/>
                <w:lang w:val="ro-RO"/>
              </w:rPr>
              <w:t>- Ministerul Mediului;</w:t>
            </w:r>
          </w:p>
          <w:p w14:paraId="45AE4180" w14:textId="36068163" w:rsidR="00140AB6" w:rsidRPr="00567376" w:rsidRDefault="00140AB6" w:rsidP="00140AB6">
            <w:pPr>
              <w:pStyle w:val="NoSpacing"/>
              <w:rPr>
                <w:rFonts w:ascii="Times New Roman" w:hAnsi="Times New Roman" w:cs="Times New Roman"/>
                <w:sz w:val="28"/>
                <w:szCs w:val="28"/>
                <w:lang w:val="ro-RO"/>
              </w:rPr>
            </w:pPr>
            <w:r w:rsidRPr="00567376">
              <w:rPr>
                <w:rFonts w:ascii="Times New Roman" w:hAnsi="Times New Roman" w:cs="Times New Roman"/>
                <w:sz w:val="28"/>
                <w:szCs w:val="28"/>
                <w:lang w:val="ro-RO"/>
              </w:rPr>
              <w:t xml:space="preserve">        - Ministerul Dezvoltării Economice și Digitalizării</w:t>
            </w:r>
            <w:r w:rsidR="00567376" w:rsidRPr="00567376">
              <w:rPr>
                <w:rFonts w:ascii="Times New Roman" w:hAnsi="Times New Roman" w:cs="Times New Roman"/>
                <w:sz w:val="28"/>
                <w:szCs w:val="28"/>
                <w:lang w:val="ro-RO"/>
              </w:rPr>
              <w:t>;</w:t>
            </w:r>
          </w:p>
          <w:p w14:paraId="58E48C4A" w14:textId="7A8637ED" w:rsidR="00D84B9C" w:rsidRDefault="00567376" w:rsidP="00567376">
            <w:pPr>
              <w:pStyle w:val="NoSpacing"/>
              <w:rPr>
                <w:rFonts w:ascii="Times New Roman" w:hAnsi="Times New Roman" w:cs="Times New Roman"/>
                <w:sz w:val="28"/>
                <w:szCs w:val="24"/>
                <w:lang w:val="ro-RO"/>
              </w:rPr>
            </w:pPr>
            <w:r w:rsidRPr="00567376">
              <w:rPr>
                <w:rFonts w:ascii="Times New Roman" w:hAnsi="Times New Roman" w:cs="Times New Roman"/>
                <w:sz w:val="24"/>
                <w:szCs w:val="24"/>
                <w:lang w:val="ro-RO"/>
              </w:rPr>
              <w:t xml:space="preserve">         </w:t>
            </w:r>
            <w:r w:rsidRPr="00567376">
              <w:rPr>
                <w:rFonts w:ascii="Times New Roman" w:hAnsi="Times New Roman" w:cs="Times New Roman"/>
                <w:sz w:val="28"/>
                <w:szCs w:val="24"/>
                <w:lang w:val="ro-RO"/>
              </w:rPr>
              <w:t xml:space="preserve">- </w:t>
            </w:r>
            <w:r w:rsidR="00D84B9C" w:rsidRPr="00567376">
              <w:rPr>
                <w:rFonts w:ascii="Times New Roman" w:hAnsi="Times New Roman" w:cs="Times New Roman"/>
                <w:sz w:val="28"/>
                <w:szCs w:val="28"/>
                <w:lang w:val="ro-RO"/>
              </w:rPr>
              <w:t xml:space="preserve">Ministerul </w:t>
            </w:r>
            <w:r w:rsidR="00D84B9C">
              <w:rPr>
                <w:rFonts w:ascii="Times New Roman" w:hAnsi="Times New Roman" w:cs="Times New Roman"/>
                <w:sz w:val="28"/>
                <w:szCs w:val="28"/>
                <w:lang w:val="ro-RO"/>
              </w:rPr>
              <w:t>Agriculturii</w:t>
            </w:r>
            <w:r w:rsidR="00D84B9C" w:rsidRPr="00567376">
              <w:rPr>
                <w:rFonts w:ascii="Times New Roman" w:hAnsi="Times New Roman" w:cs="Times New Roman"/>
                <w:sz w:val="28"/>
                <w:szCs w:val="28"/>
                <w:lang w:val="ro-RO"/>
              </w:rPr>
              <w:t xml:space="preserve"> și </w:t>
            </w:r>
            <w:r w:rsidR="0051727A">
              <w:rPr>
                <w:rFonts w:ascii="Times New Roman" w:hAnsi="Times New Roman" w:cs="Times New Roman"/>
                <w:sz w:val="28"/>
                <w:szCs w:val="28"/>
                <w:lang w:val="ro-RO"/>
              </w:rPr>
              <w:t>Industriei Alimentare;</w:t>
            </w:r>
          </w:p>
          <w:p w14:paraId="65310C89" w14:textId="4B3E945C" w:rsidR="00567376" w:rsidRDefault="00D84B9C" w:rsidP="00567376">
            <w:pPr>
              <w:pStyle w:val="NoSpacing"/>
              <w:rPr>
                <w:rFonts w:ascii="Times New Roman" w:hAnsi="Times New Roman" w:cs="Times New Roman"/>
                <w:sz w:val="28"/>
                <w:szCs w:val="24"/>
                <w:lang w:val="ro-RO"/>
              </w:rPr>
            </w:pPr>
            <w:r>
              <w:rPr>
                <w:rFonts w:ascii="Times New Roman" w:hAnsi="Times New Roman" w:cs="Times New Roman"/>
                <w:sz w:val="28"/>
                <w:szCs w:val="24"/>
                <w:lang w:val="ro-RO"/>
              </w:rPr>
              <w:t xml:space="preserve">        - </w:t>
            </w:r>
            <w:r w:rsidR="00567376" w:rsidRPr="00567376">
              <w:rPr>
                <w:rFonts w:ascii="Times New Roman" w:hAnsi="Times New Roman" w:cs="Times New Roman"/>
                <w:sz w:val="28"/>
                <w:szCs w:val="24"/>
                <w:lang w:val="ro-RO"/>
              </w:rPr>
              <w:t>Agenția Națională pentru Siguranța Alimentelor;</w:t>
            </w:r>
          </w:p>
          <w:p w14:paraId="25DF0A07" w14:textId="24E9E59F" w:rsidR="00022525" w:rsidRPr="00567376" w:rsidRDefault="00340710" w:rsidP="00567376">
            <w:pPr>
              <w:pStyle w:val="NoSpacing"/>
              <w:rPr>
                <w:rFonts w:ascii="Times New Roman" w:hAnsi="Times New Roman" w:cs="Times New Roman"/>
                <w:sz w:val="32"/>
                <w:szCs w:val="28"/>
                <w:lang w:val="ro-RO"/>
              </w:rPr>
            </w:pPr>
            <w:r>
              <w:rPr>
                <w:rFonts w:ascii="Times New Roman" w:hAnsi="Times New Roman" w:cs="Times New Roman"/>
                <w:sz w:val="32"/>
                <w:szCs w:val="28"/>
                <w:lang w:val="ro-RO"/>
              </w:rPr>
              <w:t xml:space="preserve">       </w:t>
            </w:r>
            <w:r w:rsidR="00022525">
              <w:rPr>
                <w:rFonts w:ascii="Times New Roman" w:hAnsi="Times New Roman" w:cs="Times New Roman"/>
                <w:sz w:val="32"/>
                <w:szCs w:val="28"/>
                <w:lang w:val="ro-RO"/>
              </w:rPr>
              <w:t>-</w:t>
            </w:r>
            <w:r>
              <w:rPr>
                <w:rFonts w:ascii="Times New Roman" w:hAnsi="Times New Roman" w:cs="Times New Roman"/>
                <w:sz w:val="32"/>
                <w:szCs w:val="28"/>
                <w:lang w:val="ro-RO"/>
              </w:rPr>
              <w:t xml:space="preserve"> </w:t>
            </w:r>
            <w:r w:rsidRPr="00682767">
              <w:rPr>
                <w:rFonts w:ascii="Times New Roman" w:hAnsi="Times New Roman" w:cs="Times New Roman"/>
                <w:sz w:val="28"/>
                <w:szCs w:val="28"/>
                <w:lang w:val="ro-RO"/>
              </w:rPr>
              <w:t>Agenția de G</w:t>
            </w:r>
            <w:r w:rsidR="00682767" w:rsidRPr="00682767">
              <w:rPr>
                <w:rFonts w:ascii="Times New Roman" w:hAnsi="Times New Roman" w:cs="Times New Roman"/>
                <w:sz w:val="28"/>
                <w:szCs w:val="28"/>
                <w:lang w:val="ro-RO"/>
              </w:rPr>
              <w:t>uvernare E</w:t>
            </w:r>
            <w:r w:rsidRPr="00682767">
              <w:rPr>
                <w:rFonts w:ascii="Times New Roman" w:hAnsi="Times New Roman" w:cs="Times New Roman"/>
                <w:sz w:val="28"/>
                <w:szCs w:val="28"/>
                <w:lang w:val="ro-RO"/>
              </w:rPr>
              <w:t>lectronică;</w:t>
            </w:r>
          </w:p>
          <w:p w14:paraId="1F1D1E39" w14:textId="3B0F66B9" w:rsidR="00E20145" w:rsidRPr="00567376" w:rsidRDefault="00D84B9C" w:rsidP="00140AB6">
            <w:pPr>
              <w:pStyle w:val="NoSpacing"/>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4601F3" w:rsidRPr="00567376">
              <w:rPr>
                <w:rFonts w:ascii="Times New Roman" w:hAnsi="Times New Roman" w:cs="Times New Roman"/>
                <w:sz w:val="28"/>
                <w:szCs w:val="28"/>
                <w:lang w:val="ro-RO"/>
              </w:rPr>
              <w:t>-</w:t>
            </w:r>
            <w:r w:rsidR="00E20145" w:rsidRPr="00567376">
              <w:rPr>
                <w:rFonts w:ascii="Times New Roman" w:hAnsi="Times New Roman" w:cs="Times New Roman"/>
                <w:sz w:val="28"/>
                <w:szCs w:val="28"/>
                <w:lang w:val="ro-RO"/>
              </w:rPr>
              <w:t xml:space="preserve"> Centrul de Armonizare a Legislației;</w:t>
            </w:r>
          </w:p>
          <w:p w14:paraId="12EB7E92" w14:textId="36CCF926" w:rsidR="00140AB6" w:rsidRPr="00567376" w:rsidRDefault="00E20145" w:rsidP="00140AB6">
            <w:pPr>
              <w:pStyle w:val="NoSpacing"/>
              <w:rPr>
                <w:rFonts w:ascii="Times New Roman" w:hAnsi="Times New Roman" w:cs="Times New Roman"/>
                <w:sz w:val="28"/>
                <w:szCs w:val="28"/>
                <w:lang w:val="ro-RO"/>
              </w:rPr>
            </w:pPr>
            <w:r w:rsidRPr="00567376">
              <w:rPr>
                <w:rFonts w:ascii="Times New Roman" w:hAnsi="Times New Roman" w:cs="Times New Roman"/>
                <w:sz w:val="28"/>
                <w:szCs w:val="28"/>
                <w:lang w:val="ro-RO"/>
              </w:rPr>
              <w:t xml:space="preserve">      </w:t>
            </w:r>
            <w:r w:rsidR="00770B02" w:rsidRPr="00567376">
              <w:rPr>
                <w:rFonts w:ascii="Times New Roman" w:hAnsi="Times New Roman" w:cs="Times New Roman"/>
                <w:sz w:val="28"/>
                <w:szCs w:val="28"/>
                <w:lang w:val="ro-RO"/>
              </w:rPr>
              <w:t xml:space="preserve">  </w:t>
            </w:r>
            <w:r w:rsidRPr="00567376">
              <w:rPr>
                <w:rFonts w:ascii="Times New Roman" w:hAnsi="Times New Roman" w:cs="Times New Roman"/>
                <w:sz w:val="28"/>
                <w:szCs w:val="28"/>
                <w:lang w:val="ro-RO"/>
              </w:rPr>
              <w:t>- Centrul Național Anticorupție</w:t>
            </w:r>
            <w:r w:rsidR="00140AB6" w:rsidRPr="00567376">
              <w:rPr>
                <w:rFonts w:ascii="Times New Roman" w:hAnsi="Times New Roman" w:cs="Times New Roman"/>
                <w:sz w:val="28"/>
                <w:szCs w:val="28"/>
                <w:lang w:val="ro-RO"/>
              </w:rPr>
              <w:t xml:space="preserve">. </w:t>
            </w:r>
          </w:p>
          <w:p w14:paraId="6F637197" w14:textId="023AB955" w:rsidR="00E40FB8" w:rsidRPr="00567376" w:rsidRDefault="00140AB6" w:rsidP="00B05DBE">
            <w:pPr>
              <w:pStyle w:val="NoSpacing"/>
              <w:jc w:val="both"/>
              <w:rPr>
                <w:rFonts w:ascii="Times New Roman" w:eastAsia="Times New Roman" w:hAnsi="Times New Roman" w:cs="Times New Roman"/>
                <w:sz w:val="28"/>
                <w:szCs w:val="28"/>
                <w:lang w:val="ro-RO"/>
              </w:rPr>
            </w:pPr>
            <w:r w:rsidRPr="00567376">
              <w:rPr>
                <w:rFonts w:ascii="Times New Roman" w:hAnsi="Times New Roman" w:cs="Times New Roman"/>
                <w:sz w:val="28"/>
                <w:szCs w:val="28"/>
                <w:lang w:val="ro-RO"/>
              </w:rPr>
              <w:t>Totodată, în scopul respectării prevederilor Legii nr. 239/2008 privind transparența în procesul decizional, anunțul privind inițierea elaborării proiectului poate fi accesat pe pagina web oficială a Ministerului Infrastructurii și Dezvoltării Regionale și pe portalul guvernamental</w:t>
            </w:r>
            <w:r w:rsidR="00B05DBE">
              <w:rPr>
                <w:rFonts w:ascii="Times New Roman" w:hAnsi="Times New Roman" w:cs="Times New Roman"/>
                <w:sz w:val="28"/>
                <w:szCs w:val="28"/>
                <w:lang w:val="ro-RO"/>
              </w:rPr>
              <w:t xml:space="preserve">: </w:t>
            </w:r>
            <w:r w:rsidR="00B05DBE" w:rsidRPr="00B05DBE">
              <w:rPr>
                <w:rFonts w:ascii="Times New Roman" w:hAnsi="Times New Roman" w:cs="Times New Roman"/>
                <w:color w:val="000000" w:themeColor="text1"/>
                <w:sz w:val="28"/>
                <w:szCs w:val="28"/>
                <w:lang w:val="ro-RO"/>
              </w:rPr>
              <w:t>https://particip.gov.md/ro/document</w:t>
            </w:r>
            <w:r w:rsidR="00B05DBE">
              <w:rPr>
                <w:rFonts w:ascii="Times New Roman" w:hAnsi="Times New Roman" w:cs="Times New Roman"/>
                <w:color w:val="000000" w:themeColor="text1"/>
                <w:sz w:val="28"/>
                <w:szCs w:val="28"/>
                <w:lang w:val="ro-RO"/>
              </w:rPr>
              <w:t xml:space="preserve"> </w:t>
            </w:r>
            <w:r w:rsidR="00B05DBE" w:rsidRPr="00B05DBE">
              <w:rPr>
                <w:rFonts w:ascii="Times New Roman" w:hAnsi="Times New Roman" w:cs="Times New Roman"/>
                <w:color w:val="000000" w:themeColor="text1"/>
                <w:sz w:val="28"/>
                <w:szCs w:val="28"/>
                <w:lang w:val="ro-RO"/>
              </w:rPr>
              <w:t>/stages/zroiectului-hotararii-guvernului-pentru-aprobarea-regulamentului-cu-privire-la-stabilirea-mediului-aferent-ghiseului-unic-in-domeniul-maritim/10474</w:t>
            </w:r>
            <w:r w:rsidR="00100F91" w:rsidRPr="00567376">
              <w:rPr>
                <w:rFonts w:ascii="Times New Roman" w:hAnsi="Times New Roman" w:cs="Times New Roman"/>
                <w:color w:val="000000" w:themeColor="text1"/>
                <w:sz w:val="28"/>
                <w:szCs w:val="28"/>
                <w:lang w:val="ro-RO"/>
              </w:rPr>
              <w:t>.</w:t>
            </w:r>
          </w:p>
        </w:tc>
      </w:tr>
      <w:tr w:rsidR="008C00C2" w:rsidRPr="00567376" w14:paraId="64775E5F" w14:textId="77777777" w:rsidTr="00600181">
        <w:trPr>
          <w:jc w:val="center"/>
        </w:trPr>
        <w:tc>
          <w:tcPr>
            <w:tcW w:w="9345" w:type="dxa"/>
            <w:tcBorders>
              <w:top w:val="single" w:sz="4" w:space="0" w:color="auto"/>
              <w:left w:val="single" w:sz="4" w:space="0" w:color="auto"/>
              <w:bottom w:val="single" w:sz="4" w:space="0" w:color="auto"/>
              <w:right w:val="single" w:sz="4" w:space="0" w:color="auto"/>
            </w:tcBorders>
            <w:hideMark/>
          </w:tcPr>
          <w:p w14:paraId="6DDD78FC" w14:textId="77777777" w:rsidR="008C00C2" w:rsidRPr="00567376" w:rsidRDefault="008C00C2" w:rsidP="00600181">
            <w:pPr>
              <w:tabs>
                <w:tab w:val="left" w:pos="884"/>
                <w:tab w:val="left" w:pos="1196"/>
              </w:tabs>
              <w:contextualSpacing/>
              <w:jc w:val="both"/>
              <w:rPr>
                <w:rFonts w:ascii="Times New Roman" w:hAnsi="Times New Roman" w:cs="Times New Roman"/>
                <w:b/>
                <w:sz w:val="28"/>
                <w:szCs w:val="28"/>
                <w:lang w:val="ro-RO"/>
              </w:rPr>
            </w:pPr>
            <w:r w:rsidRPr="00567376">
              <w:rPr>
                <w:rFonts w:ascii="Times New Roman" w:hAnsi="Times New Roman" w:cs="Times New Roman"/>
                <w:b/>
                <w:bCs/>
                <w:sz w:val="28"/>
                <w:szCs w:val="28"/>
                <w:lang w:val="ro-RO"/>
              </w:rPr>
              <w:t>8.</w:t>
            </w:r>
            <w:r w:rsidRPr="00567376">
              <w:rPr>
                <w:rFonts w:ascii="Times New Roman" w:hAnsi="Times New Roman" w:cs="Times New Roman"/>
                <w:bCs/>
                <w:sz w:val="28"/>
                <w:szCs w:val="28"/>
                <w:lang w:val="ro-RO"/>
              </w:rPr>
              <w:t xml:space="preserve"> </w:t>
            </w:r>
            <w:r w:rsidRPr="00567376">
              <w:rPr>
                <w:rFonts w:ascii="Times New Roman" w:hAnsi="Times New Roman" w:cs="Times New Roman"/>
                <w:b/>
                <w:bCs/>
                <w:sz w:val="28"/>
                <w:szCs w:val="28"/>
                <w:lang w:val="ro-RO"/>
              </w:rPr>
              <w:t>C</w:t>
            </w:r>
            <w:r w:rsidRPr="00567376">
              <w:rPr>
                <w:rFonts w:ascii="Times New Roman" w:hAnsi="Times New Roman" w:cs="Times New Roman"/>
                <w:b/>
                <w:sz w:val="28"/>
                <w:szCs w:val="28"/>
                <w:lang w:val="ro-RO"/>
              </w:rPr>
              <w:t>onstatările expertizei anticorupție</w:t>
            </w:r>
          </w:p>
        </w:tc>
      </w:tr>
      <w:tr w:rsidR="008C00C2" w:rsidRPr="00567376" w14:paraId="1E2E908A" w14:textId="77777777" w:rsidTr="00600181">
        <w:trPr>
          <w:jc w:val="center"/>
        </w:trPr>
        <w:tc>
          <w:tcPr>
            <w:tcW w:w="9345" w:type="dxa"/>
            <w:tcBorders>
              <w:top w:val="single" w:sz="4" w:space="0" w:color="auto"/>
              <w:left w:val="single" w:sz="4" w:space="0" w:color="auto"/>
              <w:bottom w:val="single" w:sz="4" w:space="0" w:color="auto"/>
              <w:right w:val="single" w:sz="4" w:space="0" w:color="auto"/>
            </w:tcBorders>
            <w:hideMark/>
          </w:tcPr>
          <w:p w14:paraId="526C420B" w14:textId="040B5570" w:rsidR="008C00C2" w:rsidRPr="00567376" w:rsidRDefault="006231B8" w:rsidP="006231B8">
            <w:pPr>
              <w:tabs>
                <w:tab w:val="left" w:pos="884"/>
                <w:tab w:val="left" w:pos="1196"/>
              </w:tabs>
              <w:contextualSpacing/>
              <w:jc w:val="both"/>
              <w:rPr>
                <w:rFonts w:ascii="Times New Roman" w:hAnsi="Times New Roman" w:cs="Times New Roman"/>
                <w:sz w:val="28"/>
                <w:szCs w:val="28"/>
                <w:lang w:val="ro-RO"/>
              </w:rPr>
            </w:pPr>
            <w:r>
              <w:rPr>
                <w:sz w:val="28"/>
                <w:szCs w:val="28"/>
                <w:lang w:val="ro-RO"/>
              </w:rPr>
              <w:lastRenderedPageBreak/>
              <w:t xml:space="preserve">     </w:t>
            </w:r>
            <w:r w:rsidR="00140AB6" w:rsidRPr="00567376">
              <w:rPr>
                <w:rFonts w:ascii="Times New Roman" w:eastAsia="Times New Roman" w:hAnsi="Times New Roman" w:cs="Times New Roman"/>
                <w:sz w:val="28"/>
                <w:szCs w:val="28"/>
                <w:lang w:val="ro-RO" w:eastAsia="ru-RU" w:bidi="ro-RO"/>
              </w:rPr>
              <w:t>Proiectul de hotărâre va fi supus expertizei anticorupție</w:t>
            </w:r>
            <w:r w:rsidR="00100F91" w:rsidRPr="00567376">
              <w:rPr>
                <w:rFonts w:ascii="Times New Roman" w:eastAsia="Times New Roman" w:hAnsi="Times New Roman" w:cs="Times New Roman"/>
                <w:sz w:val="28"/>
                <w:szCs w:val="28"/>
                <w:lang w:val="ro-RO" w:eastAsia="ru-RU" w:bidi="ro-RO"/>
              </w:rPr>
              <w:t>,</w:t>
            </w:r>
            <w:r w:rsidR="00140AB6" w:rsidRPr="00567376">
              <w:rPr>
                <w:rFonts w:ascii="Times New Roman" w:eastAsia="Times New Roman" w:hAnsi="Times New Roman" w:cs="Times New Roman"/>
                <w:sz w:val="28"/>
                <w:szCs w:val="28"/>
                <w:lang w:val="ro-RO" w:eastAsia="ru-RU" w:bidi="ro-RO"/>
              </w:rPr>
              <w:t xml:space="preserve"> conform art. 35 din Legea nr. 100/2017 cu privire la actele normative.</w:t>
            </w:r>
          </w:p>
        </w:tc>
      </w:tr>
      <w:tr w:rsidR="008C00C2" w:rsidRPr="00567376" w14:paraId="724688C4" w14:textId="77777777" w:rsidTr="00600181">
        <w:trPr>
          <w:jc w:val="center"/>
        </w:trPr>
        <w:tc>
          <w:tcPr>
            <w:tcW w:w="9345" w:type="dxa"/>
            <w:tcBorders>
              <w:top w:val="single" w:sz="4" w:space="0" w:color="auto"/>
              <w:left w:val="single" w:sz="4" w:space="0" w:color="auto"/>
              <w:bottom w:val="single" w:sz="4" w:space="0" w:color="auto"/>
              <w:right w:val="single" w:sz="4" w:space="0" w:color="auto"/>
            </w:tcBorders>
            <w:hideMark/>
          </w:tcPr>
          <w:p w14:paraId="7B6BD13A" w14:textId="77777777" w:rsidR="008C00C2" w:rsidRPr="00567376" w:rsidRDefault="008C00C2" w:rsidP="00600181">
            <w:pPr>
              <w:tabs>
                <w:tab w:val="left" w:pos="884"/>
                <w:tab w:val="left" w:pos="1196"/>
              </w:tabs>
              <w:contextualSpacing/>
              <w:jc w:val="both"/>
              <w:rPr>
                <w:rFonts w:ascii="Times New Roman" w:hAnsi="Times New Roman" w:cs="Times New Roman"/>
                <w:b/>
                <w:sz w:val="28"/>
                <w:szCs w:val="28"/>
                <w:lang w:val="ro-RO"/>
              </w:rPr>
            </w:pPr>
            <w:r w:rsidRPr="00567376">
              <w:rPr>
                <w:rFonts w:ascii="Times New Roman" w:hAnsi="Times New Roman" w:cs="Times New Roman"/>
                <w:b/>
                <w:sz w:val="28"/>
                <w:szCs w:val="28"/>
                <w:lang w:val="ro-RO"/>
              </w:rPr>
              <w:t>9. Constatările expertizei de compatibilitate</w:t>
            </w:r>
          </w:p>
        </w:tc>
      </w:tr>
      <w:tr w:rsidR="008C00C2" w:rsidRPr="00567376" w14:paraId="0569C94B" w14:textId="77777777" w:rsidTr="00600181">
        <w:trPr>
          <w:jc w:val="center"/>
        </w:trPr>
        <w:tc>
          <w:tcPr>
            <w:tcW w:w="9345" w:type="dxa"/>
            <w:tcBorders>
              <w:top w:val="single" w:sz="4" w:space="0" w:color="auto"/>
              <w:left w:val="single" w:sz="4" w:space="0" w:color="auto"/>
              <w:bottom w:val="single" w:sz="4" w:space="0" w:color="auto"/>
              <w:right w:val="single" w:sz="4" w:space="0" w:color="auto"/>
            </w:tcBorders>
            <w:hideMark/>
          </w:tcPr>
          <w:p w14:paraId="16F9BA39" w14:textId="094E80DB" w:rsidR="008C00C2" w:rsidRPr="00567376" w:rsidRDefault="006231B8" w:rsidP="006231B8">
            <w:pPr>
              <w:contextualSpacing/>
              <w:jc w:val="both"/>
              <w:rPr>
                <w:rFonts w:ascii="Times New Roman" w:hAnsi="Times New Roman" w:cs="Times New Roman"/>
                <w:sz w:val="28"/>
                <w:szCs w:val="28"/>
                <w:lang w:val="ro-RO"/>
              </w:rPr>
            </w:pPr>
            <w:r>
              <w:rPr>
                <w:rFonts w:ascii="Times New Roman" w:hAnsi="Times New Roman" w:cs="Times New Roman"/>
                <w:sz w:val="28"/>
                <w:szCs w:val="28"/>
                <w:lang w:val="ro-RO" w:eastAsia="ru-RU"/>
              </w:rPr>
              <w:t xml:space="preserve">     </w:t>
            </w:r>
            <w:r w:rsidR="00140AB6" w:rsidRPr="00567376">
              <w:rPr>
                <w:rFonts w:ascii="Times New Roman" w:hAnsi="Times New Roman" w:cs="Times New Roman"/>
                <w:sz w:val="28"/>
                <w:szCs w:val="28"/>
                <w:lang w:val="ro-RO"/>
              </w:rPr>
              <w:t xml:space="preserve">Proiectul </w:t>
            </w:r>
            <w:r w:rsidR="00140AB6" w:rsidRPr="00567376">
              <w:rPr>
                <w:rFonts w:ascii="Times New Roman" w:eastAsia="Times New Roman" w:hAnsi="Times New Roman" w:cs="Times New Roman"/>
                <w:sz w:val="28"/>
                <w:szCs w:val="28"/>
                <w:lang w:val="ro-RO" w:eastAsia="ru-RU" w:bidi="ro-RO"/>
              </w:rPr>
              <w:t>de hotărâre</w:t>
            </w:r>
            <w:r w:rsidR="00140AB6" w:rsidRPr="00567376">
              <w:rPr>
                <w:rFonts w:ascii="Times New Roman" w:hAnsi="Times New Roman" w:cs="Times New Roman"/>
                <w:sz w:val="28"/>
                <w:szCs w:val="28"/>
                <w:lang w:val="ro-RO"/>
              </w:rPr>
              <w:t xml:space="preserve"> urmează a fi remis spre expertizare către Centrul de Armonizare a Legislație</w:t>
            </w:r>
            <w:r w:rsidR="00422B43" w:rsidRPr="00567376">
              <w:rPr>
                <w:rFonts w:ascii="Times New Roman" w:hAnsi="Times New Roman" w:cs="Times New Roman"/>
                <w:sz w:val="28"/>
                <w:szCs w:val="28"/>
                <w:lang w:val="ro-RO"/>
              </w:rPr>
              <w:t>i</w:t>
            </w:r>
            <w:r w:rsidR="003E5623" w:rsidRPr="00567376">
              <w:rPr>
                <w:rFonts w:ascii="Times New Roman" w:hAnsi="Times New Roman" w:cs="Times New Roman"/>
                <w:sz w:val="28"/>
                <w:szCs w:val="28"/>
                <w:lang w:val="ro-RO"/>
              </w:rPr>
              <w:t>, în conformitate cu art. 36 din Legea</w:t>
            </w:r>
            <w:r w:rsidR="00825B70">
              <w:rPr>
                <w:rFonts w:ascii="Times New Roman" w:hAnsi="Times New Roman" w:cs="Times New Roman"/>
                <w:sz w:val="28"/>
                <w:szCs w:val="28"/>
                <w:lang w:val="ro-RO"/>
              </w:rPr>
              <w:t xml:space="preserve"> nr. 100/2017</w:t>
            </w:r>
            <w:r w:rsidR="003E5623" w:rsidRPr="00567376">
              <w:rPr>
                <w:rFonts w:ascii="Times New Roman" w:hAnsi="Times New Roman" w:cs="Times New Roman"/>
                <w:sz w:val="28"/>
                <w:szCs w:val="28"/>
                <w:lang w:val="ro-RO"/>
              </w:rPr>
              <w:t xml:space="preserve"> cu privire la actele normative</w:t>
            </w:r>
            <w:r w:rsidR="00140AB6" w:rsidRPr="00567376">
              <w:rPr>
                <w:rFonts w:ascii="Times New Roman" w:hAnsi="Times New Roman" w:cs="Times New Roman"/>
                <w:sz w:val="28"/>
                <w:szCs w:val="28"/>
                <w:lang w:val="ro-RO"/>
              </w:rPr>
              <w:t>.</w:t>
            </w:r>
          </w:p>
        </w:tc>
      </w:tr>
      <w:tr w:rsidR="008C00C2" w:rsidRPr="00567376" w14:paraId="515EA6D6" w14:textId="77777777" w:rsidTr="00600181">
        <w:trPr>
          <w:jc w:val="center"/>
        </w:trPr>
        <w:tc>
          <w:tcPr>
            <w:tcW w:w="9345" w:type="dxa"/>
            <w:tcBorders>
              <w:top w:val="single" w:sz="4" w:space="0" w:color="auto"/>
              <w:left w:val="single" w:sz="4" w:space="0" w:color="auto"/>
              <w:bottom w:val="single" w:sz="4" w:space="0" w:color="auto"/>
              <w:right w:val="single" w:sz="4" w:space="0" w:color="auto"/>
            </w:tcBorders>
            <w:hideMark/>
          </w:tcPr>
          <w:p w14:paraId="465BF8A5" w14:textId="77777777" w:rsidR="008C00C2" w:rsidRPr="00567376" w:rsidRDefault="008C00C2" w:rsidP="00600181">
            <w:pPr>
              <w:tabs>
                <w:tab w:val="left" w:pos="884"/>
                <w:tab w:val="left" w:pos="1196"/>
              </w:tabs>
              <w:contextualSpacing/>
              <w:jc w:val="both"/>
              <w:rPr>
                <w:rFonts w:ascii="Times New Roman" w:hAnsi="Times New Roman" w:cs="Times New Roman"/>
                <w:b/>
                <w:sz w:val="28"/>
                <w:szCs w:val="28"/>
                <w:lang w:val="ro-RO"/>
              </w:rPr>
            </w:pPr>
            <w:r w:rsidRPr="00567376">
              <w:rPr>
                <w:rFonts w:ascii="Times New Roman" w:hAnsi="Times New Roman" w:cs="Times New Roman"/>
                <w:b/>
                <w:sz w:val="28"/>
                <w:szCs w:val="28"/>
                <w:lang w:val="ro-RO"/>
              </w:rPr>
              <w:t>10. Constatările expertizei juridice</w:t>
            </w:r>
          </w:p>
        </w:tc>
      </w:tr>
      <w:tr w:rsidR="008C00C2" w:rsidRPr="00567376" w14:paraId="420CC81F" w14:textId="77777777" w:rsidTr="00600181">
        <w:trPr>
          <w:jc w:val="center"/>
        </w:trPr>
        <w:tc>
          <w:tcPr>
            <w:tcW w:w="9345" w:type="dxa"/>
            <w:tcBorders>
              <w:top w:val="single" w:sz="4" w:space="0" w:color="auto"/>
              <w:left w:val="single" w:sz="4" w:space="0" w:color="auto"/>
              <w:bottom w:val="single" w:sz="4" w:space="0" w:color="auto"/>
              <w:right w:val="single" w:sz="4" w:space="0" w:color="auto"/>
            </w:tcBorders>
            <w:hideMark/>
          </w:tcPr>
          <w:p w14:paraId="373331DD" w14:textId="0FC78558" w:rsidR="008C00C2" w:rsidRPr="00567376" w:rsidRDefault="00140AB6" w:rsidP="006231B8">
            <w:pPr>
              <w:pStyle w:val="NoSpacing"/>
              <w:jc w:val="both"/>
              <w:rPr>
                <w:rFonts w:ascii="Times New Roman" w:hAnsi="Times New Roman" w:cs="Times New Roman"/>
                <w:sz w:val="28"/>
                <w:szCs w:val="28"/>
                <w:lang w:val="ro-RO"/>
              </w:rPr>
            </w:pPr>
            <w:r w:rsidRPr="00567376">
              <w:rPr>
                <w:rFonts w:ascii="Times New Roman" w:hAnsi="Times New Roman" w:cs="Times New Roman"/>
                <w:sz w:val="28"/>
                <w:szCs w:val="28"/>
                <w:lang w:val="ro-RO"/>
              </w:rPr>
              <w:t xml:space="preserve">      Proiectul </w:t>
            </w:r>
            <w:r w:rsidRPr="00567376">
              <w:rPr>
                <w:rFonts w:ascii="Times New Roman" w:eastAsia="Times New Roman" w:hAnsi="Times New Roman" w:cs="Times New Roman"/>
                <w:sz w:val="28"/>
                <w:szCs w:val="28"/>
                <w:lang w:val="ro-RO" w:eastAsia="ru-RU" w:bidi="ro-RO"/>
              </w:rPr>
              <w:t>de hotărâre</w:t>
            </w:r>
            <w:r w:rsidRPr="00567376">
              <w:rPr>
                <w:rFonts w:ascii="Times New Roman" w:hAnsi="Times New Roman" w:cs="Times New Roman"/>
                <w:sz w:val="28"/>
                <w:szCs w:val="28"/>
                <w:lang w:val="ro-RO"/>
              </w:rPr>
              <w:t xml:space="preserve"> urmează a fi supus expertizei juridice</w:t>
            </w:r>
            <w:r w:rsidR="00100F91" w:rsidRPr="00567376">
              <w:rPr>
                <w:rFonts w:ascii="Times New Roman" w:hAnsi="Times New Roman" w:cs="Times New Roman"/>
                <w:sz w:val="28"/>
                <w:szCs w:val="28"/>
                <w:lang w:val="ro-RO"/>
              </w:rPr>
              <w:t>,</w:t>
            </w:r>
            <w:r w:rsidRPr="00567376">
              <w:rPr>
                <w:rFonts w:ascii="Times New Roman" w:hAnsi="Times New Roman" w:cs="Times New Roman"/>
                <w:sz w:val="28"/>
                <w:szCs w:val="28"/>
                <w:lang w:val="ro-RO"/>
              </w:rPr>
              <w:t xml:space="preserve"> în conformitate cu art. 37 din Legea </w:t>
            </w:r>
            <w:r w:rsidR="00B1035D">
              <w:rPr>
                <w:rFonts w:ascii="Times New Roman" w:hAnsi="Times New Roman" w:cs="Times New Roman"/>
                <w:sz w:val="28"/>
                <w:szCs w:val="28"/>
                <w:lang w:val="ro-RO"/>
              </w:rPr>
              <w:t xml:space="preserve">nr. 100/2017 </w:t>
            </w:r>
            <w:bookmarkStart w:id="0" w:name="_GoBack"/>
            <w:bookmarkEnd w:id="0"/>
            <w:r w:rsidRPr="00567376">
              <w:rPr>
                <w:rFonts w:ascii="Times New Roman" w:hAnsi="Times New Roman" w:cs="Times New Roman"/>
                <w:sz w:val="28"/>
                <w:szCs w:val="28"/>
                <w:lang w:val="ro-RO"/>
              </w:rPr>
              <w:t>cu privire la actele normative</w:t>
            </w:r>
            <w:r w:rsidR="00422B43" w:rsidRPr="00567376">
              <w:rPr>
                <w:rFonts w:ascii="Times New Roman" w:hAnsi="Times New Roman" w:cs="Times New Roman"/>
                <w:sz w:val="28"/>
                <w:szCs w:val="28"/>
                <w:lang w:val="ro-RO"/>
              </w:rPr>
              <w:t>.</w:t>
            </w:r>
          </w:p>
        </w:tc>
      </w:tr>
      <w:tr w:rsidR="008C00C2" w:rsidRPr="00567376" w14:paraId="0D447EA1" w14:textId="77777777" w:rsidTr="00600181">
        <w:trPr>
          <w:jc w:val="center"/>
        </w:trPr>
        <w:tc>
          <w:tcPr>
            <w:tcW w:w="9345" w:type="dxa"/>
            <w:tcBorders>
              <w:top w:val="single" w:sz="4" w:space="0" w:color="auto"/>
              <w:left w:val="single" w:sz="4" w:space="0" w:color="auto"/>
              <w:bottom w:val="single" w:sz="4" w:space="0" w:color="auto"/>
              <w:right w:val="single" w:sz="4" w:space="0" w:color="auto"/>
            </w:tcBorders>
            <w:hideMark/>
          </w:tcPr>
          <w:p w14:paraId="7F66291F" w14:textId="77777777" w:rsidR="008C00C2" w:rsidRPr="00567376" w:rsidRDefault="008C00C2" w:rsidP="00600181">
            <w:pPr>
              <w:tabs>
                <w:tab w:val="left" w:pos="884"/>
                <w:tab w:val="left" w:pos="1196"/>
              </w:tabs>
              <w:contextualSpacing/>
              <w:jc w:val="both"/>
              <w:rPr>
                <w:rFonts w:ascii="Times New Roman" w:hAnsi="Times New Roman" w:cs="Times New Roman"/>
                <w:b/>
                <w:sz w:val="28"/>
                <w:szCs w:val="28"/>
                <w:lang w:val="ro-RO"/>
              </w:rPr>
            </w:pPr>
            <w:r w:rsidRPr="00567376">
              <w:rPr>
                <w:rFonts w:ascii="Times New Roman" w:hAnsi="Times New Roman" w:cs="Times New Roman"/>
                <w:b/>
                <w:sz w:val="28"/>
                <w:szCs w:val="28"/>
                <w:lang w:val="ro-RO"/>
              </w:rPr>
              <w:t>11. Constatările altor expertize</w:t>
            </w:r>
          </w:p>
        </w:tc>
      </w:tr>
      <w:tr w:rsidR="008C00C2" w:rsidRPr="00567376" w14:paraId="6D35A473" w14:textId="77777777" w:rsidTr="00600181">
        <w:trPr>
          <w:jc w:val="center"/>
        </w:trPr>
        <w:tc>
          <w:tcPr>
            <w:tcW w:w="9345" w:type="dxa"/>
            <w:tcBorders>
              <w:top w:val="single" w:sz="4" w:space="0" w:color="auto"/>
              <w:left w:val="single" w:sz="4" w:space="0" w:color="auto"/>
              <w:bottom w:val="single" w:sz="4" w:space="0" w:color="auto"/>
              <w:right w:val="single" w:sz="4" w:space="0" w:color="auto"/>
            </w:tcBorders>
            <w:hideMark/>
          </w:tcPr>
          <w:p w14:paraId="17BA9D6A" w14:textId="5A6D631A" w:rsidR="008C00C2" w:rsidRPr="00567376" w:rsidRDefault="006231B8" w:rsidP="00685B34">
            <w:pPr>
              <w:tabs>
                <w:tab w:val="left" w:pos="884"/>
                <w:tab w:val="left" w:pos="1196"/>
              </w:tabs>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825B70" w:rsidRPr="00B42672">
              <w:rPr>
                <w:rFonts w:ascii="Times New Roman" w:eastAsia="Calibri" w:hAnsi="Times New Roman" w:cs="Times New Roman"/>
                <w:sz w:val="28"/>
                <w:szCs w:val="24"/>
                <w:lang w:val="ro-MD"/>
              </w:rPr>
              <w:t>Proiectul nu conține</w:t>
            </w:r>
            <w:r w:rsidR="00825B70" w:rsidRPr="00B42672">
              <w:rPr>
                <w:rFonts w:ascii="Times New Roman" w:eastAsia="Calibri" w:hAnsi="Times New Roman" w:cs="Times New Roman"/>
                <w:sz w:val="28"/>
                <w:szCs w:val="28"/>
                <w:lang w:val="ro-MD"/>
              </w:rPr>
              <w:t xml:space="preserve"> prevederi de reglementare</w:t>
            </w:r>
            <w:r w:rsidR="00825B70" w:rsidRPr="00B42672">
              <w:rPr>
                <w:rFonts w:ascii="Times New Roman" w:eastAsia="Calibri" w:hAnsi="Times New Roman" w:cs="Times New Roman"/>
                <w:sz w:val="28"/>
                <w:szCs w:val="24"/>
                <w:lang w:val="ro-MD"/>
              </w:rPr>
              <w:t xml:space="preserve"> cu impact asupra bugetului de stat, sau a unor componente din cadrul acestuia, inclusiv prevederi privind reorganizări sau reforme structurale sau instituționale ale unor autorități ori ale instituțiilor publice, sau prevederi de reglementare </w:t>
            </w:r>
            <w:r w:rsidR="00825B70" w:rsidRPr="00B42672">
              <w:rPr>
                <w:rFonts w:ascii="Times New Roman" w:eastAsia="Calibri" w:hAnsi="Times New Roman" w:cs="Times New Roman"/>
                <w:sz w:val="28"/>
                <w:szCs w:val="28"/>
                <w:lang w:val="ro-MD"/>
              </w:rPr>
              <w:t>a activității de întreprinzător, astfel nefiind necesară elaborarea analizei impactului în acest sens.</w:t>
            </w:r>
          </w:p>
        </w:tc>
      </w:tr>
    </w:tbl>
    <w:p w14:paraId="27669ED4" w14:textId="77777777" w:rsidR="008C00C2" w:rsidRPr="00567376" w:rsidRDefault="008C00C2" w:rsidP="008C00C2">
      <w:pPr>
        <w:contextualSpacing/>
        <w:rPr>
          <w:rFonts w:ascii="Times New Roman" w:hAnsi="Times New Roman" w:cs="Times New Roman"/>
          <w:b/>
          <w:sz w:val="28"/>
          <w:szCs w:val="28"/>
          <w:lang w:val="ro-RO"/>
        </w:rPr>
      </w:pPr>
    </w:p>
    <w:p w14:paraId="26E7F532" w14:textId="1982AE75" w:rsidR="00E40FB8" w:rsidRPr="00567376" w:rsidRDefault="007A782B" w:rsidP="00743159">
      <w:pPr>
        <w:contextualSpacing/>
        <w:jc w:val="center"/>
        <w:rPr>
          <w:rFonts w:ascii="Times New Roman" w:hAnsi="Times New Roman" w:cs="Times New Roman"/>
          <w:b/>
          <w:sz w:val="28"/>
          <w:szCs w:val="28"/>
          <w:lang w:val="ro-RO"/>
        </w:rPr>
      </w:pPr>
      <w:r>
        <w:rPr>
          <w:rFonts w:ascii="Times New Roman" w:hAnsi="Times New Roman" w:cs="Times New Roman"/>
          <w:b/>
          <w:sz w:val="28"/>
          <w:szCs w:val="28"/>
          <w:lang w:val="ro-RO"/>
        </w:rPr>
        <w:t>Secretar General</w:t>
      </w:r>
      <w:r w:rsidR="000D4C69" w:rsidRPr="00567376">
        <w:rPr>
          <w:rFonts w:ascii="Times New Roman" w:hAnsi="Times New Roman" w:cs="Times New Roman"/>
          <w:b/>
          <w:sz w:val="28"/>
          <w:szCs w:val="28"/>
          <w:lang w:val="ro-RO"/>
        </w:rPr>
        <w:t xml:space="preserve">                                                             </w:t>
      </w:r>
      <w:r>
        <w:rPr>
          <w:rFonts w:ascii="Times New Roman" w:hAnsi="Times New Roman" w:cs="Times New Roman"/>
          <w:b/>
          <w:sz w:val="28"/>
          <w:szCs w:val="28"/>
          <w:lang w:val="ro-RO"/>
        </w:rPr>
        <w:t>Angela ȚURCANU</w:t>
      </w:r>
    </w:p>
    <w:sectPr w:rsidR="00E40FB8" w:rsidRPr="00567376" w:rsidSect="0011046A">
      <w:pgSz w:w="11907" w:h="16839" w:code="9"/>
      <w:pgMar w:top="1134" w:right="630" w:bottom="1134" w:left="1134" w:header="720" w:footer="46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0B7AE" w14:textId="77777777" w:rsidR="00BF2BA0" w:rsidRDefault="00BF2BA0" w:rsidP="00810416">
      <w:pPr>
        <w:spacing w:after="0" w:line="240" w:lineRule="auto"/>
      </w:pPr>
      <w:r>
        <w:separator/>
      </w:r>
    </w:p>
  </w:endnote>
  <w:endnote w:type="continuationSeparator" w:id="0">
    <w:p w14:paraId="4037C27F" w14:textId="77777777" w:rsidR="00BF2BA0" w:rsidRDefault="00BF2BA0" w:rsidP="00810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45D20" w14:textId="77777777" w:rsidR="00BF2BA0" w:rsidRDefault="00BF2BA0" w:rsidP="00810416">
      <w:pPr>
        <w:spacing w:after="0" w:line="240" w:lineRule="auto"/>
      </w:pPr>
      <w:r>
        <w:separator/>
      </w:r>
    </w:p>
  </w:footnote>
  <w:footnote w:type="continuationSeparator" w:id="0">
    <w:p w14:paraId="61B8DE23" w14:textId="77777777" w:rsidR="00BF2BA0" w:rsidRDefault="00BF2BA0" w:rsidP="008104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7120A"/>
    <w:multiLevelType w:val="hybridMultilevel"/>
    <w:tmpl w:val="7A22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66C40"/>
    <w:multiLevelType w:val="hybridMultilevel"/>
    <w:tmpl w:val="D3E44A1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2E3C5A"/>
    <w:multiLevelType w:val="hybridMultilevel"/>
    <w:tmpl w:val="19F679D0"/>
    <w:lvl w:ilvl="0" w:tplc="80F6E7B4">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8C3E58">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647760">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840E90">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425F8E">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2821A0">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78F4FA">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94065A">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C471DA">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731CA2"/>
    <w:multiLevelType w:val="hybridMultilevel"/>
    <w:tmpl w:val="7140027E"/>
    <w:lvl w:ilvl="0" w:tplc="8978251E">
      <w:start w:val="1"/>
      <w:numFmt w:val="bullet"/>
      <w:lvlText w:val="•"/>
      <w:lvlJc w:val="left"/>
      <w:pPr>
        <w:ind w:left="739" w:hanging="360"/>
      </w:pPr>
      <w:rPr>
        <w:rFonts w:ascii="Times New Roman" w:hAnsi="Times New Roman" w:cs="Times New Roman"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4" w15:restartNumberingAfterBreak="0">
    <w:nsid w:val="28300273"/>
    <w:multiLevelType w:val="hybridMultilevel"/>
    <w:tmpl w:val="610692EC"/>
    <w:lvl w:ilvl="0" w:tplc="0DCA6A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D94F52"/>
    <w:multiLevelType w:val="hybridMultilevel"/>
    <w:tmpl w:val="6116F654"/>
    <w:lvl w:ilvl="0" w:tplc="A2F8AFF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4A24F1"/>
    <w:multiLevelType w:val="hybridMultilevel"/>
    <w:tmpl w:val="F2A680D0"/>
    <w:lvl w:ilvl="0" w:tplc="8978251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E04F3C"/>
    <w:multiLevelType w:val="hybridMultilevel"/>
    <w:tmpl w:val="E24AD37A"/>
    <w:lvl w:ilvl="0" w:tplc="5E16EC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C6234"/>
    <w:multiLevelType w:val="hybridMultilevel"/>
    <w:tmpl w:val="5300AB12"/>
    <w:lvl w:ilvl="0" w:tplc="6A500864">
      <w:start w:val="1"/>
      <w:numFmt w:val="decimal"/>
      <w:lvlText w:val="%1."/>
      <w:lvlJc w:val="left"/>
      <w:pPr>
        <w:ind w:left="1080" w:hanging="720"/>
      </w:pPr>
      <w:rPr>
        <w:rFonts w:hint="default"/>
        <w:b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3A1C01"/>
    <w:multiLevelType w:val="hybridMultilevel"/>
    <w:tmpl w:val="26A85F22"/>
    <w:lvl w:ilvl="0" w:tplc="0DCA6A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1B157F"/>
    <w:multiLevelType w:val="hybridMultilevel"/>
    <w:tmpl w:val="A9827C1C"/>
    <w:lvl w:ilvl="0" w:tplc="0DCA6A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FB3628"/>
    <w:multiLevelType w:val="hybridMultilevel"/>
    <w:tmpl w:val="981CD92C"/>
    <w:lvl w:ilvl="0" w:tplc="0DCA6A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B80930"/>
    <w:multiLevelType w:val="hybridMultilevel"/>
    <w:tmpl w:val="6D78F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306AD3"/>
    <w:multiLevelType w:val="hybridMultilevel"/>
    <w:tmpl w:val="3050E440"/>
    <w:lvl w:ilvl="0" w:tplc="A978EA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4C3111"/>
    <w:multiLevelType w:val="hybridMultilevel"/>
    <w:tmpl w:val="205A715C"/>
    <w:lvl w:ilvl="0" w:tplc="A2F8AFF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CA2DD3"/>
    <w:multiLevelType w:val="hybridMultilevel"/>
    <w:tmpl w:val="5BB8319C"/>
    <w:lvl w:ilvl="0" w:tplc="A2F8AFFA">
      <w:start w:val="1"/>
      <w:numFmt w:val="bullet"/>
      <w:lvlText w:val="-"/>
      <w:lvlJc w:val="left"/>
      <w:pPr>
        <w:ind w:left="1004" w:hanging="360"/>
      </w:pPr>
      <w:rPr>
        <w:rFonts w:ascii="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5E2217BF"/>
    <w:multiLevelType w:val="hybridMultilevel"/>
    <w:tmpl w:val="74DEE404"/>
    <w:lvl w:ilvl="0" w:tplc="FC003AD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505D60">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2C566A">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C8264E">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8A7482">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0CB9E2">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8845A0">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6A0122">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004226">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34F22C6"/>
    <w:multiLevelType w:val="hybridMultilevel"/>
    <w:tmpl w:val="6406B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B17DF6"/>
    <w:multiLevelType w:val="hybridMultilevel"/>
    <w:tmpl w:val="7C8CA656"/>
    <w:lvl w:ilvl="0" w:tplc="C096AA8C">
      <w:start w:val="1"/>
      <w:numFmt w:val="decimal"/>
      <w:lvlText w:val="%1."/>
      <w:lvlJc w:val="left"/>
      <w:pPr>
        <w:ind w:left="1080" w:hanging="72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9C7BAE"/>
    <w:multiLevelType w:val="hybridMultilevel"/>
    <w:tmpl w:val="241A40A4"/>
    <w:lvl w:ilvl="0" w:tplc="A2F8AFF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D86C03"/>
    <w:multiLevelType w:val="hybridMultilevel"/>
    <w:tmpl w:val="17488372"/>
    <w:lvl w:ilvl="0" w:tplc="0DCA6A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C411B4"/>
    <w:multiLevelType w:val="hybridMultilevel"/>
    <w:tmpl w:val="BD806AB4"/>
    <w:lvl w:ilvl="0" w:tplc="0DCA6A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F76875"/>
    <w:multiLevelType w:val="hybridMultilevel"/>
    <w:tmpl w:val="2AC63942"/>
    <w:lvl w:ilvl="0" w:tplc="0DCA6A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22"/>
  </w:num>
  <w:num w:numId="4">
    <w:abstractNumId w:val="21"/>
  </w:num>
  <w:num w:numId="5">
    <w:abstractNumId w:val="4"/>
  </w:num>
  <w:num w:numId="6">
    <w:abstractNumId w:val="9"/>
  </w:num>
  <w:num w:numId="7">
    <w:abstractNumId w:val="10"/>
  </w:num>
  <w:num w:numId="8">
    <w:abstractNumId w:val="11"/>
  </w:num>
  <w:num w:numId="9">
    <w:abstractNumId w:val="14"/>
  </w:num>
  <w:num w:numId="10">
    <w:abstractNumId w:val="8"/>
  </w:num>
  <w:num w:numId="11">
    <w:abstractNumId w:val="1"/>
  </w:num>
  <w:num w:numId="12">
    <w:abstractNumId w:val="18"/>
  </w:num>
  <w:num w:numId="13">
    <w:abstractNumId w:val="15"/>
  </w:num>
  <w:num w:numId="14">
    <w:abstractNumId w:val="16"/>
  </w:num>
  <w:num w:numId="15">
    <w:abstractNumId w:val="2"/>
  </w:num>
  <w:num w:numId="16">
    <w:abstractNumId w:val="7"/>
  </w:num>
  <w:num w:numId="17">
    <w:abstractNumId w:val="19"/>
  </w:num>
  <w:num w:numId="18">
    <w:abstractNumId w:val="5"/>
  </w:num>
  <w:num w:numId="19">
    <w:abstractNumId w:val="6"/>
  </w:num>
  <w:num w:numId="20">
    <w:abstractNumId w:val="17"/>
  </w:num>
  <w:num w:numId="21">
    <w:abstractNumId w:val="3"/>
  </w:num>
  <w:num w:numId="22">
    <w:abstractNumId w:val="1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79F"/>
    <w:rsid w:val="00005175"/>
    <w:rsid w:val="0000726F"/>
    <w:rsid w:val="00011ACA"/>
    <w:rsid w:val="00011C75"/>
    <w:rsid w:val="00017498"/>
    <w:rsid w:val="00022525"/>
    <w:rsid w:val="00031959"/>
    <w:rsid w:val="00031E1C"/>
    <w:rsid w:val="00034148"/>
    <w:rsid w:val="00051F51"/>
    <w:rsid w:val="00055B85"/>
    <w:rsid w:val="00067685"/>
    <w:rsid w:val="00077137"/>
    <w:rsid w:val="000866A0"/>
    <w:rsid w:val="00096A49"/>
    <w:rsid w:val="000A00AB"/>
    <w:rsid w:val="000B056D"/>
    <w:rsid w:val="000B698B"/>
    <w:rsid w:val="000C3D23"/>
    <w:rsid w:val="000D3242"/>
    <w:rsid w:val="000D4C69"/>
    <w:rsid w:val="000D58A0"/>
    <w:rsid w:val="000D710B"/>
    <w:rsid w:val="000F6203"/>
    <w:rsid w:val="00100F91"/>
    <w:rsid w:val="0010542F"/>
    <w:rsid w:val="00105981"/>
    <w:rsid w:val="0011046A"/>
    <w:rsid w:val="00115175"/>
    <w:rsid w:val="00133510"/>
    <w:rsid w:val="00133B89"/>
    <w:rsid w:val="00140AB6"/>
    <w:rsid w:val="00147018"/>
    <w:rsid w:val="00150D68"/>
    <w:rsid w:val="00152B99"/>
    <w:rsid w:val="00162489"/>
    <w:rsid w:val="001716E1"/>
    <w:rsid w:val="0017575F"/>
    <w:rsid w:val="001905EB"/>
    <w:rsid w:val="00197343"/>
    <w:rsid w:val="001A45AA"/>
    <w:rsid w:val="001B53B1"/>
    <w:rsid w:val="001C14BC"/>
    <w:rsid w:val="001C39C5"/>
    <w:rsid w:val="001C5D3F"/>
    <w:rsid w:val="001D191F"/>
    <w:rsid w:val="001D48C7"/>
    <w:rsid w:val="001D49B0"/>
    <w:rsid w:val="001E0579"/>
    <w:rsid w:val="001E5939"/>
    <w:rsid w:val="001F2A72"/>
    <w:rsid w:val="002075A8"/>
    <w:rsid w:val="002139EB"/>
    <w:rsid w:val="002270A5"/>
    <w:rsid w:val="0022787C"/>
    <w:rsid w:val="00235FA3"/>
    <w:rsid w:val="0023610D"/>
    <w:rsid w:val="002451CA"/>
    <w:rsid w:val="00246BB0"/>
    <w:rsid w:val="00250B8F"/>
    <w:rsid w:val="00263B08"/>
    <w:rsid w:val="00266F0D"/>
    <w:rsid w:val="00277DFD"/>
    <w:rsid w:val="0029102D"/>
    <w:rsid w:val="002A5212"/>
    <w:rsid w:val="002B51C3"/>
    <w:rsid w:val="002C098C"/>
    <w:rsid w:val="002D64CC"/>
    <w:rsid w:val="002D7C49"/>
    <w:rsid w:val="002D7F85"/>
    <w:rsid w:val="002E16FE"/>
    <w:rsid w:val="003125FC"/>
    <w:rsid w:val="00340710"/>
    <w:rsid w:val="00357020"/>
    <w:rsid w:val="00361A66"/>
    <w:rsid w:val="00363E15"/>
    <w:rsid w:val="00372307"/>
    <w:rsid w:val="003862A8"/>
    <w:rsid w:val="00392A27"/>
    <w:rsid w:val="003A0C41"/>
    <w:rsid w:val="003A4FE8"/>
    <w:rsid w:val="003B7C14"/>
    <w:rsid w:val="003E5623"/>
    <w:rsid w:val="00422B43"/>
    <w:rsid w:val="00436E09"/>
    <w:rsid w:val="00444B33"/>
    <w:rsid w:val="00447D60"/>
    <w:rsid w:val="00451541"/>
    <w:rsid w:val="004572C8"/>
    <w:rsid w:val="004601F3"/>
    <w:rsid w:val="00481364"/>
    <w:rsid w:val="004840F5"/>
    <w:rsid w:val="0049463A"/>
    <w:rsid w:val="0049542E"/>
    <w:rsid w:val="004B1663"/>
    <w:rsid w:val="004B758C"/>
    <w:rsid w:val="004C7A8E"/>
    <w:rsid w:val="004E35FD"/>
    <w:rsid w:val="004F29D3"/>
    <w:rsid w:val="0051727A"/>
    <w:rsid w:val="00520014"/>
    <w:rsid w:val="0052058D"/>
    <w:rsid w:val="00567376"/>
    <w:rsid w:val="005A416D"/>
    <w:rsid w:val="005A6834"/>
    <w:rsid w:val="005B11A6"/>
    <w:rsid w:val="005D017E"/>
    <w:rsid w:val="005D44B4"/>
    <w:rsid w:val="005E48AD"/>
    <w:rsid w:val="00607D3B"/>
    <w:rsid w:val="00620D42"/>
    <w:rsid w:val="00622393"/>
    <w:rsid w:val="00622D63"/>
    <w:rsid w:val="006231B8"/>
    <w:rsid w:val="00635F26"/>
    <w:rsid w:val="0064180C"/>
    <w:rsid w:val="00650E63"/>
    <w:rsid w:val="00654305"/>
    <w:rsid w:val="0065777C"/>
    <w:rsid w:val="006727C4"/>
    <w:rsid w:val="006763A0"/>
    <w:rsid w:val="00680FC7"/>
    <w:rsid w:val="00682767"/>
    <w:rsid w:val="00684E76"/>
    <w:rsid w:val="00685B34"/>
    <w:rsid w:val="00690F78"/>
    <w:rsid w:val="00692C04"/>
    <w:rsid w:val="00695573"/>
    <w:rsid w:val="006B7F1B"/>
    <w:rsid w:val="006D2003"/>
    <w:rsid w:val="006D3C58"/>
    <w:rsid w:val="006E1A3E"/>
    <w:rsid w:val="006F5D3D"/>
    <w:rsid w:val="007113D6"/>
    <w:rsid w:val="00711AFE"/>
    <w:rsid w:val="007153B5"/>
    <w:rsid w:val="007255F5"/>
    <w:rsid w:val="00734EFE"/>
    <w:rsid w:val="00743159"/>
    <w:rsid w:val="007467ED"/>
    <w:rsid w:val="0075297E"/>
    <w:rsid w:val="00770B02"/>
    <w:rsid w:val="00784C47"/>
    <w:rsid w:val="00793E5F"/>
    <w:rsid w:val="00797E1F"/>
    <w:rsid w:val="007A782B"/>
    <w:rsid w:val="007B195E"/>
    <w:rsid w:val="007B4D91"/>
    <w:rsid w:val="007B5EFC"/>
    <w:rsid w:val="007D4888"/>
    <w:rsid w:val="007D64DF"/>
    <w:rsid w:val="007E07A2"/>
    <w:rsid w:val="007E0D67"/>
    <w:rsid w:val="007E190A"/>
    <w:rsid w:val="007F3DEE"/>
    <w:rsid w:val="007F3F67"/>
    <w:rsid w:val="00810416"/>
    <w:rsid w:val="00813D7C"/>
    <w:rsid w:val="00825B70"/>
    <w:rsid w:val="0083091F"/>
    <w:rsid w:val="00843FFE"/>
    <w:rsid w:val="00845E4D"/>
    <w:rsid w:val="00850675"/>
    <w:rsid w:val="00856FF4"/>
    <w:rsid w:val="008A7A67"/>
    <w:rsid w:val="008B5AA1"/>
    <w:rsid w:val="008C00C2"/>
    <w:rsid w:val="008E54C3"/>
    <w:rsid w:val="008E7C2B"/>
    <w:rsid w:val="00913073"/>
    <w:rsid w:val="00914106"/>
    <w:rsid w:val="00942C05"/>
    <w:rsid w:val="00944DC9"/>
    <w:rsid w:val="00954E53"/>
    <w:rsid w:val="00955E9F"/>
    <w:rsid w:val="0095772C"/>
    <w:rsid w:val="0096718A"/>
    <w:rsid w:val="00967284"/>
    <w:rsid w:val="009B3E41"/>
    <w:rsid w:val="009B4902"/>
    <w:rsid w:val="009B6048"/>
    <w:rsid w:val="009C127D"/>
    <w:rsid w:val="009C2386"/>
    <w:rsid w:val="009D1270"/>
    <w:rsid w:val="009E0502"/>
    <w:rsid w:val="009F3588"/>
    <w:rsid w:val="00A11B5C"/>
    <w:rsid w:val="00A15B7B"/>
    <w:rsid w:val="00A3028E"/>
    <w:rsid w:val="00A4297D"/>
    <w:rsid w:val="00A44774"/>
    <w:rsid w:val="00A46642"/>
    <w:rsid w:val="00A86A03"/>
    <w:rsid w:val="00AB220B"/>
    <w:rsid w:val="00AB34A6"/>
    <w:rsid w:val="00AB3C7E"/>
    <w:rsid w:val="00AC4E37"/>
    <w:rsid w:val="00AD75FB"/>
    <w:rsid w:val="00AE3AC6"/>
    <w:rsid w:val="00AE4442"/>
    <w:rsid w:val="00AF72B1"/>
    <w:rsid w:val="00B05DBE"/>
    <w:rsid w:val="00B1035D"/>
    <w:rsid w:val="00B318C5"/>
    <w:rsid w:val="00B33156"/>
    <w:rsid w:val="00B54CD6"/>
    <w:rsid w:val="00B6601C"/>
    <w:rsid w:val="00B743F1"/>
    <w:rsid w:val="00B77FC4"/>
    <w:rsid w:val="00B8327B"/>
    <w:rsid w:val="00B86152"/>
    <w:rsid w:val="00B874EE"/>
    <w:rsid w:val="00B93C0F"/>
    <w:rsid w:val="00B9431D"/>
    <w:rsid w:val="00BE5492"/>
    <w:rsid w:val="00BF036F"/>
    <w:rsid w:val="00BF2BA0"/>
    <w:rsid w:val="00C11CBE"/>
    <w:rsid w:val="00C42E4C"/>
    <w:rsid w:val="00C44A5B"/>
    <w:rsid w:val="00C46B8C"/>
    <w:rsid w:val="00C65F7C"/>
    <w:rsid w:val="00C70F15"/>
    <w:rsid w:val="00C73896"/>
    <w:rsid w:val="00C85851"/>
    <w:rsid w:val="00CA11F9"/>
    <w:rsid w:val="00CB3779"/>
    <w:rsid w:val="00CB5BA1"/>
    <w:rsid w:val="00CC7D7C"/>
    <w:rsid w:val="00CE5EB4"/>
    <w:rsid w:val="00CF17B4"/>
    <w:rsid w:val="00CF4EF0"/>
    <w:rsid w:val="00CF5B1A"/>
    <w:rsid w:val="00D0320E"/>
    <w:rsid w:val="00D4579F"/>
    <w:rsid w:val="00D562AF"/>
    <w:rsid w:val="00D84B9C"/>
    <w:rsid w:val="00D9298C"/>
    <w:rsid w:val="00DA0391"/>
    <w:rsid w:val="00DB6F43"/>
    <w:rsid w:val="00DD0B27"/>
    <w:rsid w:val="00DD31AC"/>
    <w:rsid w:val="00DD37E7"/>
    <w:rsid w:val="00DE4128"/>
    <w:rsid w:val="00DF2034"/>
    <w:rsid w:val="00E00094"/>
    <w:rsid w:val="00E00552"/>
    <w:rsid w:val="00E07983"/>
    <w:rsid w:val="00E20145"/>
    <w:rsid w:val="00E20E95"/>
    <w:rsid w:val="00E33FAA"/>
    <w:rsid w:val="00E40FB8"/>
    <w:rsid w:val="00E41E32"/>
    <w:rsid w:val="00E50AD0"/>
    <w:rsid w:val="00E5367B"/>
    <w:rsid w:val="00E55B35"/>
    <w:rsid w:val="00E56336"/>
    <w:rsid w:val="00E57438"/>
    <w:rsid w:val="00E662C9"/>
    <w:rsid w:val="00E8201C"/>
    <w:rsid w:val="00E8757F"/>
    <w:rsid w:val="00E97524"/>
    <w:rsid w:val="00EA01EC"/>
    <w:rsid w:val="00EA3FAA"/>
    <w:rsid w:val="00EA5C4F"/>
    <w:rsid w:val="00EB09F9"/>
    <w:rsid w:val="00EC33B0"/>
    <w:rsid w:val="00ED7497"/>
    <w:rsid w:val="00EE331F"/>
    <w:rsid w:val="00EE55B2"/>
    <w:rsid w:val="00EE7CEA"/>
    <w:rsid w:val="00EF2C39"/>
    <w:rsid w:val="00F00FE1"/>
    <w:rsid w:val="00F20A76"/>
    <w:rsid w:val="00F3479E"/>
    <w:rsid w:val="00F548A4"/>
    <w:rsid w:val="00F610AB"/>
    <w:rsid w:val="00F67D32"/>
    <w:rsid w:val="00F743AA"/>
    <w:rsid w:val="00F77B9B"/>
    <w:rsid w:val="00FB6497"/>
    <w:rsid w:val="00FD2419"/>
    <w:rsid w:val="00FF0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CBDAD"/>
  <w15:chartTrackingRefBased/>
  <w15:docId w15:val="{FDF610D8-3E4E-47D3-9B5C-15AED473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EFE"/>
    <w:rPr>
      <w:lang w:val="en-GB"/>
    </w:rPr>
  </w:style>
  <w:style w:type="paragraph" w:styleId="Heading1">
    <w:name w:val="heading 1"/>
    <w:basedOn w:val="Normal"/>
    <w:next w:val="Normal"/>
    <w:link w:val="Heading1Char"/>
    <w:uiPriority w:val="9"/>
    <w:qFormat/>
    <w:rsid w:val="00A302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223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140AB6"/>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4EFE"/>
    <w:rPr>
      <w:color w:val="0563C1" w:themeColor="hyperlink"/>
      <w:u w:val="single"/>
    </w:rPr>
  </w:style>
  <w:style w:type="table" w:styleId="TableGrid">
    <w:name w:val="Table Grid"/>
    <w:basedOn w:val="TableNormal"/>
    <w:uiPriority w:val="39"/>
    <w:rsid w:val="00734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34EFE"/>
    <w:pPr>
      <w:spacing w:after="0" w:line="240" w:lineRule="auto"/>
    </w:pPr>
  </w:style>
  <w:style w:type="paragraph" w:styleId="ListParagraph">
    <w:name w:val="List Paragraph"/>
    <w:aliases w:val="DWA List 1"/>
    <w:basedOn w:val="Normal"/>
    <w:link w:val="ListParagraphChar"/>
    <w:uiPriority w:val="34"/>
    <w:qFormat/>
    <w:rsid w:val="00734EFE"/>
    <w:pPr>
      <w:ind w:left="720"/>
      <w:contextualSpacing/>
    </w:pPr>
    <w:rPr>
      <w:lang w:val="en-US"/>
    </w:rPr>
  </w:style>
  <w:style w:type="character" w:customStyle="1" w:styleId="BalloonTextChar">
    <w:name w:val="Balloon Text Char"/>
    <w:basedOn w:val="DefaultParagraphFont"/>
    <w:link w:val="BalloonText"/>
    <w:uiPriority w:val="99"/>
    <w:semiHidden/>
    <w:rsid w:val="00734EFE"/>
    <w:rPr>
      <w:rFonts w:ascii="Segoe UI" w:hAnsi="Segoe UI" w:cs="Segoe UI"/>
      <w:sz w:val="18"/>
      <w:szCs w:val="18"/>
    </w:rPr>
  </w:style>
  <w:style w:type="paragraph" w:styleId="BalloonText">
    <w:name w:val="Balloon Text"/>
    <w:basedOn w:val="Normal"/>
    <w:link w:val="BalloonTextChar"/>
    <w:uiPriority w:val="99"/>
    <w:semiHidden/>
    <w:unhideWhenUsed/>
    <w:rsid w:val="00734EFE"/>
    <w:pPr>
      <w:spacing w:after="0" w:line="240" w:lineRule="auto"/>
    </w:pPr>
    <w:rPr>
      <w:rFonts w:ascii="Segoe UI" w:hAnsi="Segoe UI" w:cs="Segoe UI"/>
      <w:sz w:val="18"/>
      <w:szCs w:val="18"/>
      <w:lang w:val="en-US"/>
    </w:rPr>
  </w:style>
  <w:style w:type="character" w:customStyle="1" w:styleId="BalloonTextChar1">
    <w:name w:val="Balloon Text Char1"/>
    <w:basedOn w:val="DefaultParagraphFont"/>
    <w:uiPriority w:val="99"/>
    <w:semiHidden/>
    <w:rsid w:val="00734EFE"/>
    <w:rPr>
      <w:rFonts w:ascii="Segoe UI" w:hAnsi="Segoe UI" w:cs="Segoe UI"/>
      <w:sz w:val="18"/>
      <w:szCs w:val="18"/>
      <w:lang w:val="en-GB"/>
    </w:rPr>
  </w:style>
  <w:style w:type="paragraph" w:styleId="CommentText">
    <w:name w:val="annotation text"/>
    <w:basedOn w:val="Normal"/>
    <w:link w:val="CommentTextChar"/>
    <w:uiPriority w:val="99"/>
    <w:semiHidden/>
    <w:unhideWhenUsed/>
    <w:rsid w:val="00734EFE"/>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734EFE"/>
    <w:rPr>
      <w:sz w:val="20"/>
      <w:szCs w:val="20"/>
    </w:rPr>
  </w:style>
  <w:style w:type="character" w:customStyle="1" w:styleId="CommentSubjectChar">
    <w:name w:val="Comment Subject Char"/>
    <w:basedOn w:val="CommentTextChar"/>
    <w:link w:val="CommentSubject"/>
    <w:uiPriority w:val="99"/>
    <w:semiHidden/>
    <w:rsid w:val="00734EFE"/>
    <w:rPr>
      <w:b/>
      <w:bCs/>
      <w:sz w:val="20"/>
      <w:szCs w:val="20"/>
    </w:rPr>
  </w:style>
  <w:style w:type="paragraph" w:styleId="CommentSubject">
    <w:name w:val="annotation subject"/>
    <w:basedOn w:val="CommentText"/>
    <w:next w:val="CommentText"/>
    <w:link w:val="CommentSubjectChar"/>
    <w:uiPriority w:val="99"/>
    <w:semiHidden/>
    <w:unhideWhenUsed/>
    <w:rsid w:val="00734EFE"/>
    <w:rPr>
      <w:b/>
      <w:bCs/>
    </w:rPr>
  </w:style>
  <w:style w:type="character" w:customStyle="1" w:styleId="CommentSubjectChar1">
    <w:name w:val="Comment Subject Char1"/>
    <w:basedOn w:val="CommentTextChar"/>
    <w:uiPriority w:val="99"/>
    <w:semiHidden/>
    <w:rsid w:val="00734EFE"/>
    <w:rPr>
      <w:b/>
      <w:bCs/>
      <w:sz w:val="20"/>
      <w:szCs w:val="20"/>
    </w:rPr>
  </w:style>
  <w:style w:type="paragraph" w:styleId="Header">
    <w:name w:val="header"/>
    <w:basedOn w:val="Normal"/>
    <w:link w:val="HeaderChar"/>
    <w:uiPriority w:val="99"/>
    <w:unhideWhenUsed/>
    <w:rsid w:val="00734EFE"/>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734EFE"/>
  </w:style>
  <w:style w:type="paragraph" w:styleId="Footer">
    <w:name w:val="footer"/>
    <w:basedOn w:val="Normal"/>
    <w:link w:val="FooterChar"/>
    <w:uiPriority w:val="99"/>
    <w:unhideWhenUsed/>
    <w:rsid w:val="00734EFE"/>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734EFE"/>
  </w:style>
  <w:style w:type="paragraph" w:customStyle="1" w:styleId="Default">
    <w:name w:val="Default"/>
    <w:rsid w:val="00734EF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0C3D23"/>
    <w:pPr>
      <w:spacing w:after="0" w:line="240" w:lineRule="auto"/>
    </w:pPr>
    <w:rPr>
      <w:rFonts w:eastAsiaTheme="minorEastAsia"/>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3028E"/>
    <w:rPr>
      <w:rFonts w:asciiTheme="majorHAnsi" w:eastAsiaTheme="majorEastAsia" w:hAnsiTheme="majorHAnsi" w:cstheme="majorBidi"/>
      <w:color w:val="2E74B5" w:themeColor="accent1" w:themeShade="BF"/>
      <w:sz w:val="32"/>
      <w:szCs w:val="32"/>
      <w:lang w:val="en-GB"/>
    </w:rPr>
  </w:style>
  <w:style w:type="character" w:customStyle="1" w:styleId="ListParagraphChar">
    <w:name w:val="List Paragraph Char"/>
    <w:aliases w:val="DWA List 1 Char"/>
    <w:link w:val="ListParagraph"/>
    <w:uiPriority w:val="34"/>
    <w:rsid w:val="00D9298C"/>
  </w:style>
  <w:style w:type="character" w:customStyle="1" w:styleId="Heading4Char">
    <w:name w:val="Heading 4 Char"/>
    <w:basedOn w:val="DefaultParagraphFont"/>
    <w:link w:val="Heading4"/>
    <w:uiPriority w:val="9"/>
    <w:rsid w:val="00140AB6"/>
    <w:rPr>
      <w:rFonts w:ascii="Times New Roman" w:eastAsia="Times New Roman" w:hAnsi="Times New Roman" w:cs="Times New Roman"/>
      <w:b/>
      <w:bCs/>
      <w:sz w:val="24"/>
      <w:szCs w:val="24"/>
      <w:lang w:val="ru-RU" w:eastAsia="ru-RU"/>
    </w:rPr>
  </w:style>
  <w:style w:type="character" w:styleId="CommentReference">
    <w:name w:val="annotation reference"/>
    <w:basedOn w:val="DefaultParagraphFont"/>
    <w:uiPriority w:val="99"/>
    <w:semiHidden/>
    <w:unhideWhenUsed/>
    <w:rsid w:val="00422B43"/>
    <w:rPr>
      <w:sz w:val="16"/>
      <w:szCs w:val="16"/>
    </w:rPr>
  </w:style>
  <w:style w:type="character" w:customStyle="1" w:styleId="Heading3Char">
    <w:name w:val="Heading 3 Char"/>
    <w:basedOn w:val="DefaultParagraphFont"/>
    <w:link w:val="Heading3"/>
    <w:rsid w:val="00622393"/>
    <w:rPr>
      <w:rFonts w:asciiTheme="majorHAnsi" w:eastAsiaTheme="majorEastAsia" w:hAnsiTheme="majorHAnsi" w:cstheme="majorBidi"/>
      <w:color w:val="1F4D78"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11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B2B07-D3B7-4068-87B4-29393F1F1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4</Pages>
  <Words>1498</Words>
  <Characters>8539</Characters>
  <Application>Microsoft Office Word</Application>
  <DocSecurity>0</DocSecurity>
  <Lines>71</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Cazacu</dc:creator>
  <cp:keywords/>
  <dc:description/>
  <cp:lastModifiedBy>Eduard Munteanu</cp:lastModifiedBy>
  <cp:revision>54</cp:revision>
  <cp:lastPrinted>2022-09-21T14:18:00Z</cp:lastPrinted>
  <dcterms:created xsi:type="dcterms:W3CDTF">2023-06-14T11:05:00Z</dcterms:created>
  <dcterms:modified xsi:type="dcterms:W3CDTF">2023-06-21T13:32:00Z</dcterms:modified>
</cp:coreProperties>
</file>