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D50761" w:rsidRDefault="00730FEE" w:rsidP="00E25218">
      <w:pPr>
        <w:rPr>
          <w:sz w:val="28"/>
          <w:szCs w:val="28"/>
          <w:u w:val="single"/>
          <w:lang w:val="ro-RO"/>
        </w:rPr>
      </w:pPr>
    </w:p>
    <w:p w14:paraId="3D5D0F2C" w14:textId="75E5A2D1" w:rsidR="00D36E67" w:rsidRPr="00D50761" w:rsidRDefault="00C8385B" w:rsidP="006F24D3">
      <w:pPr>
        <w:ind w:firstLine="567"/>
        <w:jc w:val="center"/>
        <w:rPr>
          <w:b/>
          <w:sz w:val="28"/>
          <w:szCs w:val="28"/>
          <w:lang w:val="ro-RO" w:eastAsia="en-GB"/>
        </w:rPr>
      </w:pPr>
      <w:r w:rsidRPr="00D50761">
        <w:rPr>
          <w:b/>
          <w:sz w:val="28"/>
          <w:szCs w:val="28"/>
          <w:lang w:val="ro-RO" w:eastAsia="en-GB"/>
        </w:rPr>
        <w:t>cu privire la modificarea</w:t>
      </w:r>
      <w:r w:rsidR="005339FD">
        <w:rPr>
          <w:b/>
          <w:sz w:val="28"/>
          <w:szCs w:val="28"/>
          <w:lang w:val="ro-RO" w:eastAsia="en-GB"/>
        </w:rPr>
        <w:t xml:space="preserve"> </w:t>
      </w:r>
      <w:r w:rsidRPr="00D50761">
        <w:rPr>
          <w:b/>
          <w:bCs/>
          <w:sz w:val="28"/>
          <w:szCs w:val="28"/>
          <w:lang w:val="ro-RO" w:eastAsia="ru-RU"/>
        </w:rPr>
        <w:t>H</w:t>
      </w:r>
      <w:r w:rsidR="00D36E67" w:rsidRPr="00D50761">
        <w:rPr>
          <w:b/>
          <w:bCs/>
          <w:sz w:val="28"/>
          <w:szCs w:val="28"/>
          <w:lang w:val="ro-RO" w:eastAsia="ru-RU"/>
        </w:rPr>
        <w:t>otărâri</w:t>
      </w:r>
      <w:r w:rsidRPr="00D50761">
        <w:rPr>
          <w:b/>
          <w:bCs/>
          <w:sz w:val="28"/>
          <w:szCs w:val="28"/>
          <w:lang w:val="ro-RO" w:eastAsia="ru-RU"/>
        </w:rPr>
        <w:t>i</w:t>
      </w:r>
      <w:r w:rsidR="00D36E67" w:rsidRPr="00D50761">
        <w:rPr>
          <w:b/>
          <w:bCs/>
          <w:sz w:val="28"/>
          <w:szCs w:val="28"/>
          <w:lang w:val="ro-RO" w:eastAsia="ru-RU"/>
        </w:rPr>
        <w:t xml:space="preserve"> Guvernului </w:t>
      </w:r>
      <w:r w:rsidRPr="00D50761">
        <w:rPr>
          <w:b/>
          <w:bCs/>
          <w:sz w:val="28"/>
          <w:szCs w:val="28"/>
          <w:lang w:val="ro-RO" w:eastAsia="ru-RU"/>
        </w:rPr>
        <w:t>nr. 808/2015</w:t>
      </w:r>
    </w:p>
    <w:p w14:paraId="6FF570B1" w14:textId="77777777" w:rsidR="00C8385B" w:rsidRPr="00D50761" w:rsidRDefault="00C8385B" w:rsidP="00C8385B">
      <w:pPr>
        <w:ind w:firstLine="0"/>
        <w:jc w:val="center"/>
        <w:rPr>
          <w:b/>
          <w:bCs/>
          <w:sz w:val="28"/>
          <w:szCs w:val="28"/>
          <w:lang w:val="ro-RO" w:eastAsia="en-GB"/>
        </w:rPr>
      </w:pPr>
      <w:r w:rsidRPr="00D50761">
        <w:rPr>
          <w:b/>
          <w:bCs/>
          <w:sz w:val="28"/>
          <w:szCs w:val="28"/>
          <w:lang w:val="ro-RO" w:eastAsia="en-GB"/>
        </w:rPr>
        <w:t xml:space="preserve">pentru aprobarea Reglementării tehnice </w:t>
      </w:r>
    </w:p>
    <w:p w14:paraId="792B8DFC" w14:textId="34023D36" w:rsidR="00C8385B" w:rsidRPr="00D50761" w:rsidRDefault="00C8385B" w:rsidP="00C8385B">
      <w:pPr>
        <w:ind w:firstLine="0"/>
        <w:jc w:val="center"/>
        <w:rPr>
          <w:b/>
          <w:bCs/>
          <w:sz w:val="28"/>
          <w:szCs w:val="28"/>
          <w:lang w:val="ro-RO" w:eastAsia="en-GB"/>
        </w:rPr>
      </w:pPr>
      <w:r w:rsidRPr="00D50761">
        <w:rPr>
          <w:b/>
          <w:bCs/>
          <w:sz w:val="28"/>
          <w:szCs w:val="28"/>
          <w:lang w:val="ro-RO" w:eastAsia="en-GB"/>
        </w:rPr>
        <w:t xml:space="preserve">privind </w:t>
      </w:r>
      <w:proofErr w:type="spellStart"/>
      <w:r w:rsidRPr="00D50761">
        <w:rPr>
          <w:b/>
          <w:bCs/>
          <w:sz w:val="28"/>
          <w:szCs w:val="28"/>
          <w:lang w:val="ro-RO" w:eastAsia="en-GB"/>
        </w:rPr>
        <w:t>siguranţa</w:t>
      </w:r>
      <w:proofErr w:type="spellEnd"/>
      <w:r w:rsidRPr="00D50761">
        <w:rPr>
          <w:b/>
          <w:bCs/>
          <w:sz w:val="28"/>
          <w:szCs w:val="28"/>
          <w:lang w:val="ro-RO" w:eastAsia="en-GB"/>
        </w:rPr>
        <w:t xml:space="preserve"> jucăriilor</w:t>
      </w:r>
    </w:p>
    <w:p w14:paraId="7D46FA4B" w14:textId="77777777" w:rsidR="00730FEE" w:rsidRPr="00D50761" w:rsidRDefault="00730FEE" w:rsidP="00E25218">
      <w:pPr>
        <w:ind w:firstLine="0"/>
        <w:jc w:val="center"/>
        <w:rPr>
          <w:b/>
          <w:bCs/>
          <w:sz w:val="28"/>
          <w:szCs w:val="28"/>
          <w:lang w:val="ro-RO" w:eastAsia="ro-RO"/>
        </w:rPr>
      </w:pPr>
      <w:r w:rsidRPr="00D50761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AFE7D5B" w:rsidR="00730FEE" w:rsidRPr="00D50761" w:rsidRDefault="00D36E67" w:rsidP="00E25218">
      <w:pPr>
        <w:rPr>
          <w:sz w:val="28"/>
          <w:szCs w:val="28"/>
          <w:lang w:val="ro-RO" w:eastAsia="ro-RO"/>
        </w:rPr>
      </w:pPr>
      <w:r w:rsidRPr="00D50761">
        <w:rPr>
          <w:sz w:val="28"/>
          <w:szCs w:val="28"/>
          <w:lang w:val="ro-RO" w:eastAsia="ru-RU"/>
        </w:rPr>
        <w:t xml:space="preserve">În temeiul art. 18 alin. (1) și alin. (2) din </w:t>
      </w:r>
      <w:hyperlink r:id="rId8" w:history="1">
        <w:r w:rsidRPr="00D50761">
          <w:rPr>
            <w:sz w:val="28"/>
            <w:szCs w:val="28"/>
            <w:lang w:val="ro-RO" w:eastAsia="ru-RU"/>
          </w:rPr>
          <w:t>Legea nr. 235/2011</w:t>
        </w:r>
      </w:hyperlink>
      <w:r w:rsidRPr="00D50761">
        <w:rPr>
          <w:sz w:val="28"/>
          <w:szCs w:val="28"/>
          <w:lang w:val="ro-RO" w:eastAsia="ru-RU"/>
        </w:rPr>
        <w:t xml:space="preserve"> privind activitățile de acreditare și de evaluare a conformității (Monitorul Oficial al Republicii Moldova, 2012, nr. 46-47, art. 136), cu modificările ulterioare,</w:t>
      </w:r>
    </w:p>
    <w:p w14:paraId="56D32EAD" w14:textId="77777777" w:rsidR="00730FEE" w:rsidRPr="00F7030E" w:rsidRDefault="00730FEE" w:rsidP="00E25218">
      <w:pPr>
        <w:rPr>
          <w:b/>
          <w:sz w:val="28"/>
          <w:szCs w:val="28"/>
          <w:lang w:val="ro-RO"/>
        </w:rPr>
      </w:pPr>
      <w:r w:rsidRPr="00F7030E">
        <w:rPr>
          <w:b/>
          <w:sz w:val="28"/>
          <w:szCs w:val="28"/>
          <w:lang w:val="ro-RO"/>
        </w:rPr>
        <w:t>Guvernul HOTĂRĂȘTE:</w:t>
      </w:r>
    </w:p>
    <w:p w14:paraId="3356F760" w14:textId="67F5346C" w:rsidR="00D36E67" w:rsidRPr="00D50761" w:rsidRDefault="00D36E67" w:rsidP="00AF4D41">
      <w:pPr>
        <w:shd w:val="clear" w:color="auto" w:fill="FFFFFF"/>
        <w:ind w:firstLine="567"/>
        <w:outlineLvl w:val="4"/>
        <w:rPr>
          <w:rFonts w:eastAsia="Arial Unicode MS"/>
          <w:sz w:val="28"/>
          <w:szCs w:val="28"/>
          <w:lang w:val="ro-RO" w:eastAsia="en-GB"/>
        </w:rPr>
      </w:pPr>
      <w:r w:rsidRPr="00D50761">
        <w:rPr>
          <w:rFonts w:eastAsia="Calibri"/>
          <w:sz w:val="28"/>
          <w:szCs w:val="28"/>
          <w:lang w:val="ro-RO"/>
        </w:rPr>
        <w:t xml:space="preserve">Prezenta Hotărâre </w:t>
      </w:r>
      <w:r w:rsidRPr="00D50761">
        <w:rPr>
          <w:rFonts w:eastAsia="Calibri"/>
          <w:bCs/>
          <w:sz w:val="28"/>
          <w:szCs w:val="28"/>
          <w:lang w:val="ro-RO"/>
        </w:rPr>
        <w:t xml:space="preserve">transpune art. </w:t>
      </w:r>
      <w:r w:rsidR="00C8385B" w:rsidRPr="00D50761">
        <w:rPr>
          <w:rFonts w:eastAsia="Calibri"/>
          <w:bCs/>
          <w:sz w:val="28"/>
          <w:szCs w:val="28"/>
          <w:lang w:val="ro-RO"/>
        </w:rPr>
        <w:t>33</w:t>
      </w:r>
      <w:r w:rsidRPr="00D50761">
        <w:rPr>
          <w:rFonts w:eastAsia="Calibri"/>
          <w:bCs/>
          <w:sz w:val="28"/>
          <w:szCs w:val="28"/>
          <w:lang w:val="ro-RO"/>
        </w:rPr>
        <w:t xml:space="preserve">, art. </w:t>
      </w:r>
      <w:r w:rsidR="00C8385B" w:rsidRPr="00D50761">
        <w:rPr>
          <w:rFonts w:eastAsia="Calibri"/>
          <w:bCs/>
          <w:sz w:val="28"/>
          <w:szCs w:val="28"/>
          <w:lang w:val="ro-RO"/>
        </w:rPr>
        <w:t>34</w:t>
      </w:r>
      <w:r w:rsidRPr="00D50761">
        <w:rPr>
          <w:rFonts w:eastAsia="Calibri"/>
          <w:bCs/>
          <w:sz w:val="28"/>
          <w:szCs w:val="28"/>
          <w:lang w:val="ro-RO"/>
        </w:rPr>
        <w:t xml:space="preserve">, art. </w:t>
      </w:r>
      <w:r w:rsidR="00C8385B" w:rsidRPr="00D50761">
        <w:rPr>
          <w:rFonts w:eastAsia="Calibri"/>
          <w:bCs/>
          <w:sz w:val="28"/>
          <w:szCs w:val="28"/>
          <w:lang w:val="ro-RO"/>
        </w:rPr>
        <w:t>43</w:t>
      </w:r>
      <w:r w:rsidRPr="00D50761">
        <w:rPr>
          <w:rFonts w:eastAsia="Calibri"/>
          <w:bCs/>
          <w:sz w:val="28"/>
          <w:szCs w:val="28"/>
          <w:lang w:val="ro-RO"/>
        </w:rPr>
        <w:t>, precum și pct.</w:t>
      </w:r>
      <w:r w:rsidR="00AF4D41" w:rsidRPr="00D50761">
        <w:rPr>
          <w:rFonts w:eastAsia="Calibri"/>
          <w:bCs/>
          <w:sz w:val="28"/>
          <w:szCs w:val="28"/>
          <w:lang w:val="ro-RO"/>
        </w:rPr>
        <w:t>11, 13 și Apendic</w:t>
      </w:r>
      <w:r w:rsidR="00D44E62" w:rsidRPr="00D50761">
        <w:rPr>
          <w:rFonts w:eastAsia="Calibri"/>
          <w:bCs/>
          <w:sz w:val="28"/>
          <w:szCs w:val="28"/>
          <w:lang w:val="ro-RO"/>
        </w:rPr>
        <w:t>e</w:t>
      </w:r>
      <w:r w:rsidR="00AF4D41" w:rsidRPr="00D50761">
        <w:rPr>
          <w:rFonts w:eastAsia="Calibri"/>
          <w:bCs/>
          <w:sz w:val="28"/>
          <w:szCs w:val="28"/>
          <w:lang w:val="ro-RO"/>
        </w:rPr>
        <w:t xml:space="preserve">le C al </w:t>
      </w:r>
      <w:r w:rsidRPr="00D50761">
        <w:rPr>
          <w:rFonts w:eastAsia="Calibri"/>
          <w:bCs/>
          <w:sz w:val="28"/>
          <w:szCs w:val="28"/>
          <w:lang w:val="ro-RO"/>
        </w:rPr>
        <w:t>Anexei II din Directiva 20</w:t>
      </w:r>
      <w:r w:rsidR="00AF4D41" w:rsidRPr="00D50761">
        <w:rPr>
          <w:rFonts w:eastAsia="Calibri"/>
          <w:bCs/>
          <w:sz w:val="28"/>
          <w:szCs w:val="28"/>
          <w:lang w:val="ro-RO"/>
        </w:rPr>
        <w:t>09</w:t>
      </w:r>
      <w:r w:rsidRPr="00D50761">
        <w:rPr>
          <w:rFonts w:eastAsia="Calibri"/>
          <w:bCs/>
          <w:sz w:val="28"/>
          <w:szCs w:val="28"/>
          <w:lang w:val="ro-RO"/>
        </w:rPr>
        <w:t>/</w:t>
      </w:r>
      <w:r w:rsidR="00AF4D41" w:rsidRPr="00D50761">
        <w:rPr>
          <w:rFonts w:eastAsia="Calibri"/>
          <w:bCs/>
          <w:sz w:val="28"/>
          <w:szCs w:val="28"/>
          <w:lang w:val="ro-RO"/>
        </w:rPr>
        <w:t>48</w:t>
      </w:r>
      <w:r w:rsidRPr="00D50761">
        <w:rPr>
          <w:rFonts w:eastAsia="Calibri"/>
          <w:bCs/>
          <w:sz w:val="28"/>
          <w:szCs w:val="28"/>
          <w:lang w:val="ro-RO"/>
        </w:rPr>
        <w:t>/</w:t>
      </w:r>
      <w:r w:rsidR="00441A17">
        <w:rPr>
          <w:rFonts w:eastAsia="Calibri"/>
          <w:bCs/>
          <w:sz w:val="28"/>
          <w:szCs w:val="28"/>
          <w:lang w:val="ro-RO"/>
        </w:rPr>
        <w:t>C</w:t>
      </w:r>
      <w:r w:rsidRPr="00D50761">
        <w:rPr>
          <w:rFonts w:eastAsia="Calibri"/>
          <w:bCs/>
          <w:sz w:val="28"/>
          <w:szCs w:val="28"/>
          <w:lang w:val="ro-RO"/>
        </w:rPr>
        <w:t xml:space="preserve">E </w:t>
      </w:r>
      <w:r w:rsidRPr="00D50761">
        <w:rPr>
          <w:rFonts w:eastAsia="Calibri"/>
          <w:sz w:val="28"/>
          <w:szCs w:val="28"/>
          <w:lang w:val="ro-RO"/>
        </w:rPr>
        <w:t xml:space="preserve">a Parlamentului European și a Consiliului din </w:t>
      </w:r>
      <w:r w:rsidR="00AF4D41" w:rsidRPr="00D50761">
        <w:rPr>
          <w:rFonts w:eastAsia="Calibri"/>
          <w:sz w:val="28"/>
          <w:szCs w:val="28"/>
          <w:lang w:val="ro-RO"/>
        </w:rPr>
        <w:t>18 iunie</w:t>
      </w:r>
      <w:r w:rsidRPr="00D50761">
        <w:rPr>
          <w:rFonts w:eastAsia="Calibri"/>
          <w:sz w:val="28"/>
          <w:szCs w:val="28"/>
          <w:lang w:val="ro-RO"/>
        </w:rPr>
        <w:t xml:space="preserve"> 20</w:t>
      </w:r>
      <w:r w:rsidR="00AF4D41" w:rsidRPr="00D50761">
        <w:rPr>
          <w:rFonts w:eastAsia="Calibri"/>
          <w:sz w:val="28"/>
          <w:szCs w:val="28"/>
          <w:lang w:val="ro-RO"/>
        </w:rPr>
        <w:t>09</w:t>
      </w:r>
      <w:r w:rsidRPr="00D50761">
        <w:rPr>
          <w:rFonts w:eastAsia="Calibri"/>
          <w:sz w:val="28"/>
          <w:szCs w:val="28"/>
          <w:lang w:val="ro-RO"/>
        </w:rPr>
        <w:t xml:space="preserve"> privind </w:t>
      </w:r>
      <w:r w:rsidR="00AF4D41" w:rsidRPr="00D50761">
        <w:rPr>
          <w:rFonts w:eastAsia="Calibri"/>
          <w:sz w:val="28"/>
          <w:szCs w:val="28"/>
          <w:lang w:val="ro-RO"/>
        </w:rPr>
        <w:t>siguranța jucăriilor</w:t>
      </w:r>
      <w:r w:rsidRPr="00D50761">
        <w:rPr>
          <w:rFonts w:eastAsia="Calibri"/>
          <w:sz w:val="28"/>
          <w:szCs w:val="28"/>
          <w:lang w:val="ro-RO"/>
        </w:rPr>
        <w:t xml:space="preserve">, publicată în Jurnalul Oficial al Comunității Europene L </w:t>
      </w:r>
      <w:r w:rsidR="00AF4D41" w:rsidRPr="00D50761">
        <w:rPr>
          <w:rFonts w:eastAsia="Calibri"/>
          <w:sz w:val="28"/>
          <w:szCs w:val="28"/>
          <w:lang w:val="ro-RO"/>
        </w:rPr>
        <w:t>170</w:t>
      </w:r>
      <w:r w:rsidRPr="00D50761">
        <w:rPr>
          <w:rFonts w:eastAsia="Calibri"/>
          <w:sz w:val="28"/>
          <w:szCs w:val="28"/>
          <w:lang w:val="ro-RO"/>
        </w:rPr>
        <w:t xml:space="preserve"> din </w:t>
      </w:r>
      <w:r w:rsidR="00AF4D41" w:rsidRPr="00D50761">
        <w:rPr>
          <w:rFonts w:eastAsia="Calibri"/>
          <w:sz w:val="28"/>
          <w:szCs w:val="28"/>
          <w:lang w:val="ro-RO"/>
        </w:rPr>
        <w:t>30 iunie</w:t>
      </w:r>
      <w:r w:rsidRPr="00D50761">
        <w:rPr>
          <w:rFonts w:eastAsia="Calibri"/>
          <w:sz w:val="28"/>
          <w:szCs w:val="28"/>
          <w:lang w:val="ro-RO"/>
        </w:rPr>
        <w:t xml:space="preserve"> 20</w:t>
      </w:r>
      <w:r w:rsidR="00AF4D41" w:rsidRPr="00D50761">
        <w:rPr>
          <w:rFonts w:eastAsia="Calibri"/>
          <w:sz w:val="28"/>
          <w:szCs w:val="28"/>
          <w:lang w:val="ro-RO"/>
        </w:rPr>
        <w:t xml:space="preserve">09, </w:t>
      </w:r>
      <w:r w:rsidRPr="00D50761">
        <w:rPr>
          <w:rFonts w:eastAsia="Calibri"/>
          <w:sz w:val="28"/>
          <w:szCs w:val="28"/>
          <w:lang w:val="ro-RO"/>
        </w:rPr>
        <w:t xml:space="preserve">așa cum a fost modificată </w:t>
      </w:r>
      <w:r w:rsidR="00AF4D41" w:rsidRPr="00D50761">
        <w:rPr>
          <w:rFonts w:eastAsia="Calibri"/>
          <w:sz w:val="28"/>
          <w:szCs w:val="28"/>
          <w:lang w:val="ro-RO"/>
        </w:rPr>
        <w:t xml:space="preserve">ultima dată </w:t>
      </w:r>
      <w:r w:rsidRPr="00D50761">
        <w:rPr>
          <w:rFonts w:eastAsia="Calibri"/>
          <w:sz w:val="28"/>
          <w:szCs w:val="28"/>
          <w:lang w:val="ro-RO"/>
        </w:rPr>
        <w:t xml:space="preserve">prin </w:t>
      </w:r>
      <w:hyperlink r:id="rId9" w:tooltip="32021L0903" w:history="1">
        <w:r w:rsidR="00AF4D41" w:rsidRPr="00D50761">
          <w:rPr>
            <w:rFonts w:eastAsia="Arial Unicode MS"/>
            <w:sz w:val="28"/>
            <w:szCs w:val="28"/>
            <w:lang w:val="ro-RO" w:eastAsia="en-GB"/>
          </w:rPr>
          <w:t>Directiva (UE) 2021/903 a Comisiei din 3 iunie 2021</w:t>
        </w:r>
      </w:hyperlink>
      <w:r w:rsidR="00AF4D41" w:rsidRPr="00D50761">
        <w:rPr>
          <w:rFonts w:eastAsia="Arial Unicode MS"/>
          <w:sz w:val="28"/>
          <w:szCs w:val="28"/>
          <w:lang w:val="ro-RO" w:eastAsia="en-GB"/>
        </w:rPr>
        <w:t xml:space="preserve"> </w:t>
      </w:r>
      <w:r w:rsidR="00AF4D41" w:rsidRPr="00D50761">
        <w:rPr>
          <w:bCs/>
          <w:sz w:val="28"/>
          <w:szCs w:val="28"/>
          <w:shd w:val="clear" w:color="auto" w:fill="FFFFFF"/>
          <w:lang w:val="ro-RO"/>
        </w:rPr>
        <w:t>de modificare a Directivei 2009/48/CE a Parlamentului European și a Consiliului în ceea ce privește valorile-limită specifice pentru anilină în anumite jucării</w:t>
      </w:r>
      <w:r w:rsidRPr="00D50761">
        <w:rPr>
          <w:rFonts w:eastAsia="Calibri"/>
          <w:bCs/>
          <w:sz w:val="28"/>
          <w:szCs w:val="28"/>
          <w:shd w:val="clear" w:color="auto" w:fill="FFFFFF"/>
          <w:lang w:val="ro-RO"/>
        </w:rPr>
        <w:t>, publicat</w:t>
      </w:r>
      <w:r w:rsidR="00AF4D41" w:rsidRPr="00D50761">
        <w:rPr>
          <w:rFonts w:eastAsia="Calibri"/>
          <w:bCs/>
          <w:sz w:val="28"/>
          <w:szCs w:val="28"/>
          <w:shd w:val="clear" w:color="auto" w:fill="FFFFFF"/>
          <w:lang w:val="ro-RO"/>
        </w:rPr>
        <w:t>ă</w:t>
      </w:r>
      <w:r w:rsidRPr="00D50761">
        <w:rPr>
          <w:rFonts w:eastAsia="Calibri"/>
          <w:bCs/>
          <w:sz w:val="28"/>
          <w:szCs w:val="28"/>
          <w:shd w:val="clear" w:color="auto" w:fill="FFFFFF"/>
          <w:lang w:val="ro-RO"/>
        </w:rPr>
        <w:t xml:space="preserve"> </w:t>
      </w:r>
      <w:r w:rsidRPr="00D50761">
        <w:rPr>
          <w:sz w:val="28"/>
          <w:szCs w:val="28"/>
          <w:lang w:val="ro-RO" w:eastAsia="en-GB"/>
        </w:rPr>
        <w:t xml:space="preserve">în Jurnalul Oficial al Uniunii Europene L </w:t>
      </w:r>
      <w:r w:rsidR="00AF4D41" w:rsidRPr="00D50761">
        <w:rPr>
          <w:sz w:val="28"/>
          <w:szCs w:val="28"/>
          <w:lang w:val="ro-RO" w:eastAsia="en-GB"/>
        </w:rPr>
        <w:t>197</w:t>
      </w:r>
      <w:r w:rsidRPr="00D50761">
        <w:rPr>
          <w:sz w:val="28"/>
          <w:szCs w:val="28"/>
          <w:lang w:val="ro-RO" w:eastAsia="en-GB"/>
        </w:rPr>
        <w:t xml:space="preserve"> din </w:t>
      </w:r>
      <w:r w:rsidR="00AF4D41" w:rsidRPr="00D50761">
        <w:rPr>
          <w:sz w:val="28"/>
          <w:szCs w:val="28"/>
          <w:lang w:val="ro-RO" w:eastAsia="en-GB"/>
        </w:rPr>
        <w:t>4 iunie</w:t>
      </w:r>
      <w:r w:rsidRPr="00D50761">
        <w:rPr>
          <w:sz w:val="28"/>
          <w:szCs w:val="28"/>
          <w:lang w:val="ro-RO" w:eastAsia="en-GB"/>
        </w:rPr>
        <w:t xml:space="preserve"> 20</w:t>
      </w:r>
      <w:r w:rsidR="00AF4D41" w:rsidRPr="00D50761">
        <w:rPr>
          <w:sz w:val="28"/>
          <w:szCs w:val="28"/>
          <w:lang w:val="ro-RO" w:eastAsia="en-GB"/>
        </w:rPr>
        <w:t>2</w:t>
      </w:r>
      <w:r w:rsidRPr="00D50761">
        <w:rPr>
          <w:sz w:val="28"/>
          <w:szCs w:val="28"/>
          <w:lang w:val="ro-RO" w:eastAsia="en-GB"/>
        </w:rPr>
        <w:t>1</w:t>
      </w:r>
      <w:r w:rsidRPr="00D50761">
        <w:rPr>
          <w:rFonts w:eastAsia="Calibri"/>
          <w:sz w:val="28"/>
          <w:szCs w:val="28"/>
          <w:lang w:val="ro-RO"/>
        </w:rPr>
        <w:t>.</w:t>
      </w:r>
    </w:p>
    <w:p w14:paraId="2A5CE73B" w14:textId="77777777" w:rsidR="00D36E67" w:rsidRPr="00D50761" w:rsidRDefault="00D36E67" w:rsidP="00D36E67">
      <w:pPr>
        <w:shd w:val="clear" w:color="auto" w:fill="FFFFFF"/>
        <w:ind w:firstLine="567"/>
        <w:outlineLvl w:val="4"/>
        <w:rPr>
          <w:b/>
          <w:sz w:val="28"/>
          <w:szCs w:val="28"/>
          <w:lang w:val="ro-RO" w:eastAsia="ru-RU"/>
        </w:rPr>
      </w:pPr>
    </w:p>
    <w:p w14:paraId="491F959B" w14:textId="56706A62" w:rsidR="00D36E67" w:rsidRPr="00D50761" w:rsidRDefault="001B0A7F" w:rsidP="001B0A7F">
      <w:pPr>
        <w:tabs>
          <w:tab w:val="left" w:pos="284"/>
        </w:tabs>
        <w:spacing w:after="160" w:line="259" w:lineRule="auto"/>
        <w:ind w:firstLine="567"/>
        <w:rPr>
          <w:sz w:val="28"/>
          <w:szCs w:val="28"/>
          <w:lang w:val="ro-RO" w:eastAsia="en-GB"/>
        </w:rPr>
      </w:pPr>
      <w:r w:rsidRPr="00A27F14">
        <w:rPr>
          <w:b/>
          <w:sz w:val="28"/>
          <w:szCs w:val="28"/>
          <w:lang w:val="ro-RO" w:eastAsia="en-GB"/>
        </w:rPr>
        <w:t xml:space="preserve">1. </w:t>
      </w:r>
      <w:r w:rsidR="00D44E62" w:rsidRPr="00A27F14">
        <w:rPr>
          <w:sz w:val="28"/>
          <w:szCs w:val="28"/>
          <w:lang w:val="ro-RO" w:eastAsia="en-GB"/>
        </w:rPr>
        <w:t>Hotă</w:t>
      </w:r>
      <w:r w:rsidR="00D44E62" w:rsidRPr="00D50761">
        <w:rPr>
          <w:sz w:val="28"/>
          <w:szCs w:val="28"/>
          <w:lang w:val="ro-RO" w:eastAsia="en-GB"/>
        </w:rPr>
        <w:t>rârea Guvernului nr.808</w:t>
      </w:r>
      <w:r w:rsidR="00D36E67" w:rsidRPr="00D50761">
        <w:rPr>
          <w:sz w:val="28"/>
          <w:szCs w:val="28"/>
          <w:lang w:val="ro-RO" w:eastAsia="en-GB"/>
        </w:rPr>
        <w:t xml:space="preserve">/2015 pentru aprobarea Reglementării tehnice </w:t>
      </w:r>
      <w:r w:rsidR="00D44E62" w:rsidRPr="00D50761">
        <w:rPr>
          <w:sz w:val="28"/>
          <w:szCs w:val="28"/>
          <w:lang w:val="ro-RO" w:eastAsia="en-GB"/>
        </w:rPr>
        <w:t>privind siguranța jucăriilor</w:t>
      </w:r>
      <w:r w:rsidR="00D36E67" w:rsidRPr="00D50761">
        <w:rPr>
          <w:sz w:val="28"/>
          <w:szCs w:val="28"/>
          <w:lang w:val="ro-RO" w:eastAsia="en-GB"/>
        </w:rPr>
        <w:t xml:space="preserve"> (Monitorul Oficial al Republicii Moldova, 2015, nr. </w:t>
      </w:r>
      <w:r w:rsidR="00D44E62" w:rsidRPr="00D50761">
        <w:rPr>
          <w:sz w:val="28"/>
          <w:szCs w:val="28"/>
          <w:lang w:val="ro-RO" w:eastAsia="en-GB"/>
        </w:rPr>
        <w:t>306</w:t>
      </w:r>
      <w:r w:rsidR="00D36E67" w:rsidRPr="00D50761">
        <w:rPr>
          <w:sz w:val="28"/>
          <w:szCs w:val="28"/>
          <w:lang w:val="ro-RO" w:eastAsia="en-GB"/>
        </w:rPr>
        <w:t>-3</w:t>
      </w:r>
      <w:r w:rsidR="00D44E62" w:rsidRPr="00D50761">
        <w:rPr>
          <w:sz w:val="28"/>
          <w:szCs w:val="28"/>
          <w:lang w:val="ro-RO" w:eastAsia="en-GB"/>
        </w:rPr>
        <w:t>1</w:t>
      </w:r>
      <w:r w:rsidR="00D36E67" w:rsidRPr="00D50761">
        <w:rPr>
          <w:sz w:val="28"/>
          <w:szCs w:val="28"/>
          <w:lang w:val="ro-RO" w:eastAsia="en-GB"/>
        </w:rPr>
        <w:t xml:space="preserve">0, art. </w:t>
      </w:r>
      <w:r w:rsidR="00D44E62" w:rsidRPr="00D50761">
        <w:rPr>
          <w:sz w:val="28"/>
          <w:szCs w:val="28"/>
          <w:lang w:val="ro-RO" w:eastAsia="en-GB"/>
        </w:rPr>
        <w:t>902</w:t>
      </w:r>
      <w:r w:rsidR="00D36E67" w:rsidRPr="00D50761">
        <w:rPr>
          <w:sz w:val="28"/>
          <w:szCs w:val="28"/>
          <w:lang w:val="ro-RO" w:eastAsia="en-GB"/>
        </w:rPr>
        <w:t>), cu modificările ulterioare, se modifică după cum urmează:</w:t>
      </w:r>
    </w:p>
    <w:p w14:paraId="45E6950F" w14:textId="0CF73FA8" w:rsidR="001B0A7F" w:rsidRPr="004C3343" w:rsidRDefault="001B0A7F" w:rsidP="00603A9C">
      <w:pPr>
        <w:tabs>
          <w:tab w:val="left" w:pos="284"/>
        </w:tabs>
        <w:spacing w:after="160" w:line="259" w:lineRule="auto"/>
        <w:ind w:firstLine="567"/>
        <w:rPr>
          <w:sz w:val="28"/>
          <w:szCs w:val="28"/>
          <w:lang w:val="ro-RO" w:eastAsia="en-GB"/>
        </w:rPr>
      </w:pPr>
      <w:r w:rsidRPr="004C3343">
        <w:rPr>
          <w:sz w:val="28"/>
          <w:szCs w:val="28"/>
          <w:lang w:val="ro-RO" w:eastAsia="en-GB"/>
        </w:rPr>
        <w:t>1) în tot textul hotărârii și al anexelor cuvintele „Ministerul Economiei și Infrastructurii”, la orice formă gramaticală, se substituie cu cuvintele „Ministerului Dezvoltării Economice și Digitalizării” la forma gramaticală corespunzătoare;</w:t>
      </w:r>
    </w:p>
    <w:p w14:paraId="5BBB269C" w14:textId="3155CD97" w:rsidR="00D36E67" w:rsidRPr="004C3343" w:rsidRDefault="00603A9C" w:rsidP="00603A9C">
      <w:pPr>
        <w:tabs>
          <w:tab w:val="left" w:pos="284"/>
        </w:tabs>
        <w:spacing w:after="160" w:line="259" w:lineRule="auto"/>
        <w:ind w:left="567" w:firstLine="0"/>
        <w:contextualSpacing/>
        <w:jc w:val="left"/>
        <w:rPr>
          <w:sz w:val="28"/>
          <w:szCs w:val="28"/>
          <w:lang w:val="ro-RO" w:eastAsia="en-GB"/>
        </w:rPr>
      </w:pPr>
      <w:r w:rsidRPr="004C3343">
        <w:rPr>
          <w:sz w:val="28"/>
          <w:szCs w:val="28"/>
          <w:lang w:val="ro-RO" w:eastAsia="en-GB"/>
        </w:rPr>
        <w:t xml:space="preserve">2) </w:t>
      </w:r>
      <w:r w:rsidR="00D36E67" w:rsidRPr="004C3343">
        <w:rPr>
          <w:sz w:val="28"/>
          <w:szCs w:val="28"/>
          <w:lang w:val="ro-RO" w:eastAsia="en-GB"/>
        </w:rPr>
        <w:t>în hotărâre:</w:t>
      </w:r>
    </w:p>
    <w:p w14:paraId="501CDDBF" w14:textId="4C684620" w:rsidR="00603A9C" w:rsidRPr="004C3343" w:rsidRDefault="00603A9C" w:rsidP="00F04857">
      <w:pPr>
        <w:tabs>
          <w:tab w:val="left" w:pos="284"/>
        </w:tabs>
        <w:spacing w:after="160" w:line="259" w:lineRule="auto"/>
        <w:ind w:left="567" w:firstLine="0"/>
        <w:rPr>
          <w:sz w:val="28"/>
          <w:szCs w:val="28"/>
          <w:lang w:val="ro-RO" w:eastAsia="en-GB"/>
        </w:rPr>
      </w:pPr>
      <w:r w:rsidRPr="004C3343">
        <w:rPr>
          <w:sz w:val="28"/>
          <w:szCs w:val="28"/>
          <w:lang w:val="ro-RO" w:eastAsia="en-GB"/>
        </w:rPr>
        <w:lastRenderedPageBreak/>
        <w:t>a) în tot textul cuvintele „marca SM” se substituie cu cuvintele „marcajul de conformitate SM”;</w:t>
      </w:r>
    </w:p>
    <w:p w14:paraId="2AF2C953" w14:textId="721EBF71" w:rsidR="001B0A7F" w:rsidRPr="00D50761" w:rsidRDefault="00603A9C" w:rsidP="00F04857">
      <w:pPr>
        <w:tabs>
          <w:tab w:val="left" w:pos="284"/>
        </w:tabs>
        <w:spacing w:after="160" w:line="259" w:lineRule="auto"/>
        <w:ind w:left="567" w:firstLine="0"/>
        <w:rPr>
          <w:sz w:val="28"/>
          <w:szCs w:val="28"/>
          <w:lang w:val="ro-RO" w:eastAsia="en-GB"/>
        </w:rPr>
      </w:pPr>
      <w:r w:rsidRPr="004C3343">
        <w:rPr>
          <w:sz w:val="28"/>
          <w:szCs w:val="28"/>
          <w:lang w:val="ro-RO" w:eastAsia="en-GB"/>
        </w:rPr>
        <w:t xml:space="preserve">b) </w:t>
      </w:r>
      <w:r w:rsidR="003538D9" w:rsidRPr="004C3343">
        <w:rPr>
          <w:sz w:val="28"/>
          <w:szCs w:val="28"/>
          <w:lang w:val="ro-RO" w:eastAsia="en-GB"/>
        </w:rPr>
        <w:t>la punct</w:t>
      </w:r>
      <w:r w:rsidR="003538D9" w:rsidRPr="00D50761">
        <w:rPr>
          <w:sz w:val="28"/>
          <w:szCs w:val="28"/>
          <w:lang w:val="ro-RO" w:eastAsia="en-GB"/>
        </w:rPr>
        <w:t>ul 2</w:t>
      </w:r>
      <w:r w:rsidR="001850EC">
        <w:rPr>
          <w:sz w:val="28"/>
          <w:szCs w:val="28"/>
          <w:lang w:val="ro-RO" w:eastAsia="en-GB"/>
        </w:rPr>
        <w:t xml:space="preserve"> </w:t>
      </w:r>
      <w:r w:rsidR="00F7030E">
        <w:rPr>
          <w:sz w:val="28"/>
          <w:szCs w:val="28"/>
          <w:lang w:val="ro-RO" w:eastAsia="en-GB"/>
        </w:rPr>
        <w:t>textul</w:t>
      </w:r>
      <w:r w:rsidR="003538D9" w:rsidRPr="00D50761">
        <w:rPr>
          <w:sz w:val="28"/>
          <w:szCs w:val="28"/>
          <w:lang w:val="ro-RO" w:eastAsia="en-GB"/>
        </w:rPr>
        <w:t xml:space="preserve"> „</w:t>
      </w:r>
      <w:r w:rsidR="003538D9" w:rsidRPr="00D50761">
        <w:rPr>
          <w:sz w:val="28"/>
          <w:szCs w:val="28"/>
        </w:rPr>
        <w:t>140-141</w:t>
      </w:r>
      <w:r w:rsidR="003538D9" w:rsidRPr="00D50761">
        <w:rPr>
          <w:sz w:val="28"/>
          <w:szCs w:val="28"/>
          <w:lang w:val="ro-RO" w:eastAsia="en-GB"/>
        </w:rPr>
        <w:t xml:space="preserve">” se substituie cu </w:t>
      </w:r>
      <w:r w:rsidR="00546605" w:rsidRPr="00D50761">
        <w:rPr>
          <w:sz w:val="28"/>
          <w:szCs w:val="28"/>
          <w:lang w:val="ro-RO" w:eastAsia="en-GB"/>
        </w:rPr>
        <w:t>textul</w:t>
      </w:r>
      <w:r w:rsidR="003538D9" w:rsidRPr="00D50761">
        <w:rPr>
          <w:sz w:val="28"/>
          <w:szCs w:val="28"/>
          <w:lang w:val="ro-RO" w:eastAsia="en-GB"/>
        </w:rPr>
        <w:t xml:space="preserve"> </w:t>
      </w:r>
      <w:r w:rsidR="003538D9" w:rsidRPr="001850EC">
        <w:rPr>
          <w:sz w:val="28"/>
          <w:szCs w:val="28"/>
          <w:lang w:val="ro-RO" w:eastAsia="en-GB"/>
        </w:rPr>
        <w:t>„122</w:t>
      </w:r>
      <w:r w:rsidR="001850EC" w:rsidRPr="001850EC">
        <w:rPr>
          <w:sz w:val="28"/>
          <w:szCs w:val="28"/>
          <w:vertAlign w:val="superscript"/>
          <w:lang w:val="ro-RO" w:eastAsia="en-GB"/>
        </w:rPr>
        <w:t>9</w:t>
      </w:r>
      <w:r w:rsidR="003538D9" w:rsidRPr="001850EC">
        <w:rPr>
          <w:sz w:val="28"/>
          <w:szCs w:val="28"/>
          <w:lang w:val="ro-RO" w:eastAsia="en-GB"/>
        </w:rPr>
        <w:t>, 140-141</w:t>
      </w:r>
      <w:r w:rsidR="003538D9" w:rsidRPr="001850EC">
        <w:rPr>
          <w:sz w:val="28"/>
          <w:szCs w:val="28"/>
          <w:vertAlign w:val="superscript"/>
          <w:lang w:val="ro-RO" w:eastAsia="en-GB"/>
        </w:rPr>
        <w:t>4</w:t>
      </w:r>
      <w:r w:rsidR="003538D9" w:rsidRPr="00D50761">
        <w:rPr>
          <w:sz w:val="28"/>
          <w:szCs w:val="28"/>
          <w:lang w:val="ro-RO" w:eastAsia="en-GB"/>
        </w:rPr>
        <w:t>”;</w:t>
      </w:r>
    </w:p>
    <w:p w14:paraId="79990172" w14:textId="5335A784" w:rsidR="004F51E5" w:rsidRPr="00D50761" w:rsidRDefault="00603A9C" w:rsidP="00603A9C">
      <w:pPr>
        <w:ind w:left="567" w:firstLine="0"/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 xml:space="preserve">c) </w:t>
      </w:r>
      <w:r w:rsidR="003538D9" w:rsidRPr="00D50761">
        <w:rPr>
          <w:bCs/>
          <w:sz w:val="28"/>
          <w:szCs w:val="28"/>
          <w:lang w:val="ro-RO" w:eastAsia="en-GB"/>
        </w:rPr>
        <w:t xml:space="preserve">la </w:t>
      </w:r>
      <w:r w:rsidR="004F51E5" w:rsidRPr="00D50761">
        <w:rPr>
          <w:bCs/>
          <w:sz w:val="28"/>
          <w:szCs w:val="28"/>
          <w:lang w:val="ro-RO" w:eastAsia="en-GB"/>
        </w:rPr>
        <w:t>punctul 3:</w:t>
      </w:r>
    </w:p>
    <w:p w14:paraId="5C49A48B" w14:textId="24B2B1E4" w:rsidR="00E35C09" w:rsidRPr="00D50761" w:rsidRDefault="00E35C09" w:rsidP="00603A9C">
      <w:pPr>
        <w:ind w:left="567" w:firstLine="0"/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 xml:space="preserve">subpunctele 1) și 2) vor avea următorul cuprins: </w:t>
      </w:r>
    </w:p>
    <w:p w14:paraId="06D05EBA" w14:textId="014876D5" w:rsidR="00E35C09" w:rsidRPr="00D50761" w:rsidRDefault="00E35C09" w:rsidP="00FC0D21">
      <w:pPr>
        <w:ind w:firstLine="567"/>
        <w:rPr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„1)</w:t>
      </w:r>
      <w:r w:rsidRPr="00D50761">
        <w:rPr>
          <w:sz w:val="28"/>
          <w:szCs w:val="28"/>
          <w:lang w:val="ro-RO" w:eastAsia="en-GB"/>
        </w:rPr>
        <w:t xml:space="preserve"> se admite punerea la </w:t>
      </w:r>
      <w:proofErr w:type="spellStart"/>
      <w:r w:rsidRPr="00D50761">
        <w:rPr>
          <w:sz w:val="28"/>
          <w:szCs w:val="28"/>
          <w:lang w:val="ro-RO" w:eastAsia="en-GB"/>
        </w:rPr>
        <w:t>dispoziţie</w:t>
      </w:r>
      <w:proofErr w:type="spellEnd"/>
      <w:r w:rsidRPr="00D50761">
        <w:rPr>
          <w:sz w:val="28"/>
          <w:szCs w:val="28"/>
          <w:lang w:val="ro-RO" w:eastAsia="en-GB"/>
        </w:rPr>
        <w:t xml:space="preserve"> pe </w:t>
      </w:r>
      <w:proofErr w:type="spellStart"/>
      <w:r w:rsidRPr="00D50761">
        <w:rPr>
          <w:sz w:val="28"/>
          <w:szCs w:val="28"/>
          <w:lang w:val="ro-RO" w:eastAsia="en-GB"/>
        </w:rPr>
        <w:t>piaţă</w:t>
      </w:r>
      <w:proofErr w:type="spellEnd"/>
      <w:r w:rsidRPr="00D50761">
        <w:rPr>
          <w:sz w:val="28"/>
          <w:szCs w:val="28"/>
          <w:lang w:val="ro-RO" w:eastAsia="en-GB"/>
        </w:rPr>
        <w:t xml:space="preserve"> a jucăriilor cu marcajul de conformitate SM, aplicat în conformitate cu prevederile </w:t>
      </w:r>
      <w:hyperlink r:id="rId10" w:history="1">
        <w:r w:rsidRPr="00D50761">
          <w:rPr>
            <w:sz w:val="28"/>
            <w:szCs w:val="28"/>
            <w:lang w:val="ro-RO" w:eastAsia="en-GB"/>
          </w:rPr>
          <w:t>Legii nr.235 din 1 decembrie 2011</w:t>
        </w:r>
      </w:hyperlink>
      <w:r w:rsidRPr="00D50761">
        <w:rPr>
          <w:sz w:val="28"/>
          <w:szCs w:val="28"/>
          <w:lang w:val="ro-RO" w:eastAsia="en-GB"/>
        </w:rPr>
        <w:t xml:space="preserve"> privind </w:t>
      </w:r>
      <w:proofErr w:type="spellStart"/>
      <w:r w:rsidRPr="00D50761">
        <w:rPr>
          <w:sz w:val="28"/>
          <w:szCs w:val="28"/>
          <w:lang w:val="ro-RO" w:eastAsia="en-GB"/>
        </w:rPr>
        <w:t>activităţile</w:t>
      </w:r>
      <w:proofErr w:type="spellEnd"/>
      <w:r w:rsidRPr="00D50761">
        <w:rPr>
          <w:sz w:val="28"/>
          <w:szCs w:val="28"/>
          <w:lang w:val="ro-RO" w:eastAsia="en-GB"/>
        </w:rPr>
        <w:t xml:space="preserve"> de acreditare </w:t>
      </w:r>
      <w:proofErr w:type="spellStart"/>
      <w:r w:rsidRPr="00D50761">
        <w:rPr>
          <w:sz w:val="28"/>
          <w:szCs w:val="28"/>
          <w:lang w:val="ro-RO" w:eastAsia="en-GB"/>
        </w:rPr>
        <w:t>şi</w:t>
      </w:r>
      <w:proofErr w:type="spellEnd"/>
      <w:r w:rsidRPr="00D50761">
        <w:rPr>
          <w:sz w:val="28"/>
          <w:szCs w:val="28"/>
          <w:lang w:val="ro-RO" w:eastAsia="en-GB"/>
        </w:rPr>
        <w:t xml:space="preserve"> de evaluare a </w:t>
      </w:r>
      <w:proofErr w:type="spellStart"/>
      <w:r w:rsidRPr="00D50761">
        <w:rPr>
          <w:sz w:val="28"/>
          <w:szCs w:val="28"/>
          <w:lang w:val="ro-RO" w:eastAsia="en-GB"/>
        </w:rPr>
        <w:t>conformităţii</w:t>
      </w:r>
      <w:proofErr w:type="spellEnd"/>
      <w:r w:rsidRPr="00D50761">
        <w:rPr>
          <w:sz w:val="28"/>
          <w:szCs w:val="28"/>
          <w:lang w:val="ro-RO" w:eastAsia="en-GB"/>
        </w:rPr>
        <w:t>;</w:t>
      </w:r>
    </w:p>
    <w:p w14:paraId="2A93F1BD" w14:textId="0D6333C2" w:rsidR="00E35C09" w:rsidRPr="001850EC" w:rsidRDefault="001850EC" w:rsidP="001850EC">
      <w:pPr>
        <w:pStyle w:val="ab"/>
        <w:ind w:left="0" w:firstLine="567"/>
        <w:rPr>
          <w:bCs/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2) </w:t>
      </w:r>
      <w:r w:rsidR="00E35C09" w:rsidRPr="001850EC">
        <w:rPr>
          <w:sz w:val="28"/>
          <w:szCs w:val="28"/>
          <w:lang w:val="ro-RO" w:eastAsia="en-GB"/>
        </w:rPr>
        <w:t xml:space="preserve">producătorul sau reprezentantul autorizat al acestuia, persoană juridică cu sediul în Republica Moldova, aplică marcajul de conformitate SM și emite declarația de conformitate în </w:t>
      </w:r>
      <w:proofErr w:type="spellStart"/>
      <w:r w:rsidR="00E35C09" w:rsidRPr="001850EC">
        <w:rPr>
          <w:sz w:val="28"/>
          <w:szCs w:val="28"/>
          <w:lang w:val="ro-RO" w:eastAsia="en-GB"/>
        </w:rPr>
        <w:t>situaţia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în care evaluarea </w:t>
      </w:r>
      <w:proofErr w:type="spellStart"/>
      <w:r w:rsidR="00E35C09" w:rsidRPr="001850EC">
        <w:rPr>
          <w:sz w:val="28"/>
          <w:szCs w:val="28"/>
          <w:lang w:val="ro-RO" w:eastAsia="en-GB"/>
        </w:rPr>
        <w:t>conformităţii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jucăriilor destinate </w:t>
      </w:r>
      <w:proofErr w:type="spellStart"/>
      <w:r w:rsidR="00E35C09" w:rsidRPr="001850EC">
        <w:rPr>
          <w:sz w:val="28"/>
          <w:szCs w:val="28"/>
          <w:lang w:val="ro-RO" w:eastAsia="en-GB"/>
        </w:rPr>
        <w:t>pieţei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</w:t>
      </w:r>
      <w:proofErr w:type="spellStart"/>
      <w:r w:rsidR="00E35C09" w:rsidRPr="001850EC">
        <w:rPr>
          <w:sz w:val="28"/>
          <w:szCs w:val="28"/>
          <w:lang w:val="ro-RO" w:eastAsia="en-GB"/>
        </w:rPr>
        <w:t>naţionale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se realizează de către organismele de evaluare a </w:t>
      </w:r>
      <w:proofErr w:type="spellStart"/>
      <w:r w:rsidR="00E35C09" w:rsidRPr="001850EC">
        <w:rPr>
          <w:sz w:val="28"/>
          <w:szCs w:val="28"/>
          <w:lang w:val="ro-RO" w:eastAsia="en-GB"/>
        </w:rPr>
        <w:t>conformităţii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recunoscute de către Ministerul Dezvoltării Economice </w:t>
      </w:r>
      <w:proofErr w:type="spellStart"/>
      <w:r w:rsidR="00E35C09" w:rsidRPr="001850EC">
        <w:rPr>
          <w:sz w:val="28"/>
          <w:szCs w:val="28"/>
          <w:lang w:val="ro-RO" w:eastAsia="en-GB"/>
        </w:rPr>
        <w:t>şi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Digitalizării, prin utilizarea procedurilor prevăzute la capitolul XIV din Reglementarea tehnică privind </w:t>
      </w:r>
      <w:proofErr w:type="spellStart"/>
      <w:r w:rsidR="00E35C09" w:rsidRPr="001850EC">
        <w:rPr>
          <w:sz w:val="28"/>
          <w:szCs w:val="28"/>
          <w:lang w:val="ro-RO" w:eastAsia="en-GB"/>
        </w:rPr>
        <w:t>siguranţa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jucăriilor. </w:t>
      </w:r>
      <w:proofErr w:type="spellStart"/>
      <w:r w:rsidR="00E35C09" w:rsidRPr="001850EC">
        <w:rPr>
          <w:sz w:val="28"/>
          <w:szCs w:val="28"/>
          <w:lang w:val="ro-RO" w:eastAsia="en-GB"/>
        </w:rPr>
        <w:t>Prezenţa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marcajului CE pe jucărie exclude necesitatea aplicării pe </w:t>
      </w:r>
      <w:proofErr w:type="spellStart"/>
      <w:r w:rsidR="00E35C09" w:rsidRPr="001850EC">
        <w:rPr>
          <w:sz w:val="28"/>
          <w:szCs w:val="28"/>
          <w:lang w:val="ro-RO" w:eastAsia="en-GB"/>
        </w:rPr>
        <w:t>aceeaşi</w:t>
      </w:r>
      <w:proofErr w:type="spellEnd"/>
      <w:r w:rsidR="00E35C09" w:rsidRPr="001850EC">
        <w:rPr>
          <w:sz w:val="28"/>
          <w:szCs w:val="28"/>
          <w:lang w:val="ro-RO" w:eastAsia="en-GB"/>
        </w:rPr>
        <w:t xml:space="preserve"> jucărie a marcajului de conformitate SM;</w:t>
      </w:r>
      <w:r w:rsidR="00E35C09" w:rsidRPr="001850EC">
        <w:rPr>
          <w:bCs/>
          <w:sz w:val="28"/>
          <w:szCs w:val="28"/>
          <w:lang w:val="ro-RO" w:eastAsia="en-GB"/>
        </w:rPr>
        <w:t>”;</w:t>
      </w:r>
    </w:p>
    <w:p w14:paraId="4D021622" w14:textId="7DD9574A" w:rsidR="00E35C09" w:rsidRPr="00D50761" w:rsidRDefault="00E35C09" w:rsidP="00E35C09">
      <w:pPr>
        <w:pStyle w:val="ab"/>
        <w:ind w:left="0" w:firstLine="567"/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la subpunctul 3) după cuvântul „recunoaște” se completează cu cuvintele „în vederea notificării”;</w:t>
      </w:r>
    </w:p>
    <w:p w14:paraId="514A97AA" w14:textId="5FA3D83B" w:rsidR="00E35C09" w:rsidRPr="00D50761" w:rsidRDefault="00E35C09" w:rsidP="00E35C09">
      <w:pPr>
        <w:pStyle w:val="ab"/>
        <w:ind w:left="0" w:firstLine="567"/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la subpunctul 6) după cuvântul „recunoscute” se completează cu textul „ ,</w:t>
      </w:r>
      <w:r w:rsidRPr="00D50761">
        <w:rPr>
          <w:sz w:val="28"/>
          <w:szCs w:val="28"/>
          <w:lang w:val="ro-RO" w:eastAsia="en-GB"/>
        </w:rPr>
        <w:t xml:space="preserve"> cu sarcinile specifice pen</w:t>
      </w:r>
      <w:r w:rsidR="003267A0" w:rsidRPr="00D50761">
        <w:rPr>
          <w:sz w:val="28"/>
          <w:szCs w:val="28"/>
          <w:lang w:val="ro-RO" w:eastAsia="en-GB"/>
        </w:rPr>
        <w:t>t</w:t>
      </w:r>
      <w:r w:rsidRPr="00D50761">
        <w:rPr>
          <w:sz w:val="28"/>
          <w:szCs w:val="28"/>
          <w:lang w:val="ro-RO" w:eastAsia="en-GB"/>
        </w:rPr>
        <w:t>ru care acestea au fost recunoscute</w:t>
      </w:r>
      <w:r w:rsidRPr="00D50761">
        <w:rPr>
          <w:bCs/>
          <w:sz w:val="28"/>
          <w:szCs w:val="28"/>
          <w:lang w:val="ro-RO" w:eastAsia="en-GB"/>
        </w:rPr>
        <w:t>,”;</w:t>
      </w:r>
    </w:p>
    <w:p w14:paraId="4DC5E5E2" w14:textId="7F9F5696" w:rsidR="00E35C09" w:rsidRPr="00D50761" w:rsidRDefault="00E35C09" w:rsidP="00E35C09">
      <w:pPr>
        <w:ind w:left="567" w:firstLine="0"/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subpunctul</w:t>
      </w:r>
      <w:r w:rsidR="00603A9C" w:rsidRPr="00D50761">
        <w:rPr>
          <w:bCs/>
          <w:sz w:val="28"/>
          <w:szCs w:val="28"/>
          <w:lang w:val="ro-RO" w:eastAsia="en-GB"/>
        </w:rPr>
        <w:t xml:space="preserve"> 7</w:t>
      </w:r>
      <w:r w:rsidRPr="00D50761">
        <w:rPr>
          <w:bCs/>
          <w:sz w:val="28"/>
          <w:szCs w:val="28"/>
          <w:lang w:val="ro-RO" w:eastAsia="en-GB"/>
        </w:rPr>
        <w:t>) v</w:t>
      </w:r>
      <w:r w:rsidR="00603A9C" w:rsidRPr="00D50761">
        <w:rPr>
          <w:bCs/>
          <w:sz w:val="28"/>
          <w:szCs w:val="28"/>
          <w:lang w:val="ro-RO" w:eastAsia="en-GB"/>
        </w:rPr>
        <w:t>a</w:t>
      </w:r>
      <w:r w:rsidRPr="00D50761">
        <w:rPr>
          <w:bCs/>
          <w:sz w:val="28"/>
          <w:szCs w:val="28"/>
          <w:lang w:val="ro-RO" w:eastAsia="en-GB"/>
        </w:rPr>
        <w:t xml:space="preserve"> avea următorul cuprins: </w:t>
      </w:r>
    </w:p>
    <w:p w14:paraId="1627922A" w14:textId="14E51B16" w:rsidR="00603A9C" w:rsidRPr="004C3343" w:rsidRDefault="00603A9C" w:rsidP="00603A9C">
      <w:pPr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 xml:space="preserve">„7) </w:t>
      </w:r>
      <w:r w:rsidRPr="00D50761">
        <w:rPr>
          <w:sz w:val="28"/>
          <w:szCs w:val="28"/>
          <w:lang w:val="ro-RO" w:eastAsia="en-GB"/>
        </w:rPr>
        <w:t xml:space="preserve">prevederile prezentei hotărâri referitoare la marcajul CE, </w:t>
      </w:r>
      <w:r w:rsidRPr="00D50761">
        <w:rPr>
          <w:rFonts w:eastAsia="Arial Unicode MS"/>
          <w:color w:val="333333"/>
          <w:sz w:val="28"/>
          <w:szCs w:val="28"/>
          <w:lang w:val="ro-RO" w:eastAsia="en-GB"/>
        </w:rPr>
        <w:t>examinarea UE de tip</w:t>
      </w:r>
      <w:r w:rsidRPr="00D50761">
        <w:rPr>
          <w:sz w:val="28"/>
          <w:szCs w:val="28"/>
          <w:lang w:val="ro-RO" w:eastAsia="en-GB"/>
        </w:rPr>
        <w:t xml:space="preserve"> și declarația UE de conformitate se aplică în egală măsură și marcajului de conformi</w:t>
      </w:r>
      <w:r w:rsidRPr="004C3343">
        <w:rPr>
          <w:sz w:val="28"/>
          <w:szCs w:val="28"/>
          <w:lang w:val="ro-RO" w:eastAsia="en-GB"/>
        </w:rPr>
        <w:t>tate SM,</w:t>
      </w:r>
      <w:r w:rsidRPr="004C3343">
        <w:rPr>
          <w:rFonts w:eastAsia="Arial Unicode MS"/>
          <w:color w:val="333333"/>
          <w:sz w:val="28"/>
          <w:szCs w:val="28"/>
          <w:lang w:val="ro-RO" w:eastAsia="en-GB"/>
        </w:rPr>
        <w:t xml:space="preserve"> examinării de tip</w:t>
      </w:r>
      <w:r w:rsidRPr="004C3343">
        <w:rPr>
          <w:sz w:val="28"/>
          <w:szCs w:val="28"/>
          <w:lang w:val="ro-RO" w:eastAsia="en-GB"/>
        </w:rPr>
        <w:t xml:space="preserve"> </w:t>
      </w:r>
      <w:proofErr w:type="spellStart"/>
      <w:r w:rsidRPr="004C3343">
        <w:rPr>
          <w:sz w:val="28"/>
          <w:szCs w:val="28"/>
          <w:lang w:val="ro-RO" w:eastAsia="en-GB"/>
        </w:rPr>
        <w:t>şi</w:t>
      </w:r>
      <w:proofErr w:type="spellEnd"/>
      <w:r w:rsidRPr="004C3343">
        <w:rPr>
          <w:sz w:val="28"/>
          <w:szCs w:val="28"/>
          <w:lang w:val="ro-RO" w:eastAsia="en-GB"/>
        </w:rPr>
        <w:t xml:space="preserve"> </w:t>
      </w:r>
      <w:proofErr w:type="spellStart"/>
      <w:r w:rsidRPr="004C3343">
        <w:rPr>
          <w:sz w:val="28"/>
          <w:szCs w:val="28"/>
          <w:lang w:val="ro-RO" w:eastAsia="en-GB"/>
        </w:rPr>
        <w:t>declaraţiei</w:t>
      </w:r>
      <w:proofErr w:type="spellEnd"/>
      <w:r w:rsidRPr="004C3343">
        <w:rPr>
          <w:sz w:val="28"/>
          <w:szCs w:val="28"/>
          <w:lang w:val="ro-RO" w:eastAsia="en-GB"/>
        </w:rPr>
        <w:t xml:space="preserve"> de conformitate, corespunzător</w:t>
      </w:r>
      <w:r w:rsidRPr="004C3343">
        <w:rPr>
          <w:bCs/>
          <w:sz w:val="28"/>
          <w:szCs w:val="28"/>
          <w:lang w:val="ro-RO" w:eastAsia="en-GB"/>
        </w:rPr>
        <w:t>”;</w:t>
      </w:r>
    </w:p>
    <w:p w14:paraId="1EC9BAA5" w14:textId="75C7EE16" w:rsidR="00603A9C" w:rsidRPr="004C3343" w:rsidRDefault="00603A9C" w:rsidP="00E35C09">
      <w:pPr>
        <w:ind w:left="567" w:firstLine="0"/>
        <w:rPr>
          <w:bCs/>
          <w:sz w:val="28"/>
          <w:szCs w:val="28"/>
          <w:lang w:val="ro-RO" w:eastAsia="en-GB"/>
        </w:rPr>
      </w:pPr>
      <w:r w:rsidRPr="004C3343">
        <w:rPr>
          <w:bCs/>
          <w:sz w:val="28"/>
          <w:szCs w:val="28"/>
          <w:lang w:val="ro-RO" w:eastAsia="en-GB"/>
        </w:rPr>
        <w:t>3) în Reglementarea tehnică:</w:t>
      </w:r>
    </w:p>
    <w:p w14:paraId="0C62BFB4" w14:textId="77777777" w:rsidR="00603A9C" w:rsidRPr="00D50761" w:rsidRDefault="00603A9C" w:rsidP="00603A9C">
      <w:pPr>
        <w:rPr>
          <w:bCs/>
          <w:sz w:val="28"/>
          <w:szCs w:val="28"/>
          <w:lang w:val="ro-RO" w:eastAsia="en-GB"/>
        </w:rPr>
      </w:pPr>
      <w:r w:rsidRPr="004C3343">
        <w:rPr>
          <w:bCs/>
          <w:sz w:val="28"/>
          <w:szCs w:val="28"/>
          <w:lang w:val="ro-RO" w:eastAsia="en-GB"/>
        </w:rPr>
        <w:t>a) în tot textul:</w:t>
      </w:r>
    </w:p>
    <w:p w14:paraId="436111BD" w14:textId="77777777" w:rsidR="00603A9C" w:rsidRPr="00D50761" w:rsidRDefault="00603A9C" w:rsidP="00603A9C">
      <w:pPr>
        <w:rPr>
          <w:bCs/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cuvintele „declarația de conformitate”, „</w:t>
      </w:r>
      <w:r w:rsidRPr="00D50761">
        <w:rPr>
          <w:rFonts w:eastAsia="Arial Unicode MS"/>
          <w:color w:val="333333"/>
          <w:sz w:val="28"/>
          <w:szCs w:val="28"/>
          <w:lang w:val="ro-RO" w:eastAsia="en-GB"/>
        </w:rPr>
        <w:t>examinarea de tip</w:t>
      </w:r>
      <w:r w:rsidRPr="00D50761">
        <w:rPr>
          <w:bCs/>
          <w:sz w:val="28"/>
          <w:szCs w:val="28"/>
          <w:lang w:val="ro-RO" w:eastAsia="en-GB"/>
        </w:rPr>
        <w:t>”</w:t>
      </w:r>
      <w:r w:rsidRPr="00D50761">
        <w:rPr>
          <w:sz w:val="28"/>
          <w:szCs w:val="28"/>
          <w:lang w:val="ro-RO"/>
        </w:rPr>
        <w:t xml:space="preserve"> și „limba de stat”</w:t>
      </w:r>
      <w:r w:rsidRPr="00D50761">
        <w:rPr>
          <w:bCs/>
          <w:sz w:val="28"/>
          <w:szCs w:val="28"/>
          <w:lang w:val="ro-RO" w:eastAsia="en-GB"/>
        </w:rPr>
        <w:t xml:space="preserve"> la orice formă gramaticală, se substituie cu cuvintele „</w:t>
      </w:r>
      <w:r w:rsidRPr="00D50761">
        <w:rPr>
          <w:sz w:val="28"/>
          <w:szCs w:val="28"/>
          <w:lang w:val="ro-RO" w:eastAsia="en-GB"/>
        </w:rPr>
        <w:t>declarația UE de conformitate</w:t>
      </w:r>
      <w:r w:rsidRPr="00D50761">
        <w:rPr>
          <w:bCs/>
          <w:sz w:val="28"/>
          <w:szCs w:val="28"/>
          <w:lang w:val="ro-RO" w:eastAsia="en-GB"/>
        </w:rPr>
        <w:t>”, „</w:t>
      </w:r>
      <w:r w:rsidRPr="00D50761">
        <w:rPr>
          <w:rFonts w:eastAsia="Arial Unicode MS"/>
          <w:color w:val="333333"/>
          <w:sz w:val="28"/>
          <w:szCs w:val="28"/>
          <w:lang w:val="ro-RO" w:eastAsia="en-GB"/>
        </w:rPr>
        <w:t>examinarea de tip</w:t>
      </w:r>
      <w:r w:rsidRPr="00D50761">
        <w:rPr>
          <w:bCs/>
          <w:sz w:val="28"/>
          <w:szCs w:val="28"/>
          <w:lang w:val="ro-RO" w:eastAsia="en-GB"/>
        </w:rPr>
        <w:t>” și „limba română” la forma gramaticală corespunzătoare;</w:t>
      </w:r>
    </w:p>
    <w:p w14:paraId="6550E750" w14:textId="57433F72" w:rsidR="00E35C09" w:rsidRPr="00D50761" w:rsidRDefault="00603A9C" w:rsidP="00E35C09">
      <w:pPr>
        <w:tabs>
          <w:tab w:val="left" w:pos="284"/>
        </w:tabs>
        <w:spacing w:after="160" w:line="259" w:lineRule="auto"/>
        <w:ind w:firstLine="567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b</w:t>
      </w:r>
      <w:r w:rsidR="003538D9" w:rsidRPr="00D50761">
        <w:rPr>
          <w:sz w:val="28"/>
          <w:szCs w:val="28"/>
          <w:lang w:val="ro-RO" w:eastAsia="en-GB"/>
        </w:rPr>
        <w:t>) clauza de armonizare va avea următorul cuprins</w:t>
      </w:r>
      <w:r w:rsidR="004F51E5" w:rsidRPr="00D50761">
        <w:rPr>
          <w:sz w:val="28"/>
          <w:szCs w:val="28"/>
          <w:lang w:val="ro-RO" w:eastAsia="en-GB"/>
        </w:rPr>
        <w:t>:</w:t>
      </w:r>
    </w:p>
    <w:p w14:paraId="643393DD" w14:textId="099EFE1A" w:rsidR="003538D9" w:rsidRPr="00D50761" w:rsidRDefault="004F51E5" w:rsidP="003267A0">
      <w:pPr>
        <w:ind w:firstLine="567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„</w:t>
      </w:r>
      <w:r w:rsidR="00603A9C" w:rsidRPr="00D50761">
        <w:rPr>
          <w:sz w:val="28"/>
          <w:szCs w:val="28"/>
          <w:lang w:val="ro-RO" w:eastAsia="en-GB"/>
        </w:rPr>
        <w:t xml:space="preserve">Reglementarea tehnică privind </w:t>
      </w:r>
      <w:proofErr w:type="spellStart"/>
      <w:r w:rsidR="00603A9C" w:rsidRPr="00D50761">
        <w:rPr>
          <w:sz w:val="28"/>
          <w:szCs w:val="28"/>
          <w:lang w:val="ro-RO" w:eastAsia="en-GB"/>
        </w:rPr>
        <w:t>siguranţa</w:t>
      </w:r>
      <w:proofErr w:type="spellEnd"/>
      <w:r w:rsidR="00603A9C" w:rsidRPr="00D50761">
        <w:rPr>
          <w:sz w:val="28"/>
          <w:szCs w:val="28"/>
          <w:lang w:val="ro-RO" w:eastAsia="en-GB"/>
        </w:rPr>
        <w:t xml:space="preserve"> jucăriilor transpune Directiva 2009/48/CE a Parlamentului European </w:t>
      </w:r>
      <w:proofErr w:type="spellStart"/>
      <w:r w:rsidR="00603A9C" w:rsidRPr="00D50761">
        <w:rPr>
          <w:sz w:val="28"/>
          <w:szCs w:val="28"/>
          <w:lang w:val="ro-RO" w:eastAsia="en-GB"/>
        </w:rPr>
        <w:t>şi</w:t>
      </w:r>
      <w:proofErr w:type="spellEnd"/>
      <w:r w:rsidR="00603A9C" w:rsidRPr="00D50761">
        <w:rPr>
          <w:sz w:val="28"/>
          <w:szCs w:val="28"/>
          <w:lang w:val="ro-RO" w:eastAsia="en-GB"/>
        </w:rPr>
        <w:t xml:space="preserve"> a Consiliului din 18 iunie 2009 privind </w:t>
      </w:r>
      <w:proofErr w:type="spellStart"/>
      <w:r w:rsidR="00603A9C" w:rsidRPr="00D50761">
        <w:rPr>
          <w:sz w:val="28"/>
          <w:szCs w:val="28"/>
          <w:lang w:val="ro-RO" w:eastAsia="en-GB"/>
        </w:rPr>
        <w:t>siguranţa</w:t>
      </w:r>
      <w:proofErr w:type="spellEnd"/>
      <w:r w:rsidR="00603A9C" w:rsidRPr="00D50761">
        <w:rPr>
          <w:sz w:val="28"/>
          <w:szCs w:val="28"/>
          <w:lang w:val="ro-RO" w:eastAsia="en-GB"/>
        </w:rPr>
        <w:t xml:space="preserve"> jucăriilor, publicată în Jurnalul Oficial al Uniunii Europene L 170 din 30 iunie 2009 așa cum a fost modificată ultima dată prin Directiva (UE) 2021/903 a Comisiei din 3 iunie 2021</w:t>
      </w:r>
      <w:r w:rsidR="003267A0" w:rsidRPr="00D50761">
        <w:rPr>
          <w:bCs/>
          <w:sz w:val="28"/>
          <w:szCs w:val="28"/>
          <w:shd w:val="clear" w:color="auto" w:fill="FFFFFF"/>
          <w:lang w:val="ro-RO"/>
        </w:rPr>
        <w:t xml:space="preserve"> de modificare a Directivei 2009/48/CE a Parlamentului European și a Consiliului în ceea ce privește valorile-limită specifice pentru anilină în anumite jucării</w:t>
      </w:r>
      <w:r w:rsidR="003267A0" w:rsidRPr="00D50761">
        <w:rPr>
          <w:rFonts w:eastAsia="Calibri"/>
          <w:bCs/>
          <w:sz w:val="28"/>
          <w:szCs w:val="28"/>
          <w:shd w:val="clear" w:color="auto" w:fill="FFFFFF"/>
          <w:lang w:val="ro-RO"/>
        </w:rPr>
        <w:t xml:space="preserve">, publicată </w:t>
      </w:r>
      <w:r w:rsidR="003267A0" w:rsidRPr="00D50761">
        <w:rPr>
          <w:sz w:val="28"/>
          <w:szCs w:val="28"/>
          <w:lang w:val="ro-RO" w:eastAsia="en-GB"/>
        </w:rPr>
        <w:t>în Jurnalul Oficial al Uniunii Europene L 197 din 4 iunie 2021</w:t>
      </w:r>
      <w:r w:rsidR="00603A9C" w:rsidRPr="00D50761">
        <w:rPr>
          <w:sz w:val="28"/>
          <w:szCs w:val="28"/>
          <w:lang w:val="ro-RO" w:eastAsia="en-GB"/>
        </w:rPr>
        <w:t>.</w:t>
      </w:r>
      <w:r w:rsidRPr="00D50761">
        <w:rPr>
          <w:sz w:val="28"/>
          <w:szCs w:val="28"/>
          <w:lang w:val="ro-RO" w:eastAsia="en-GB"/>
        </w:rPr>
        <w:t>”</w:t>
      </w:r>
      <w:r w:rsidR="003538D9" w:rsidRPr="00D50761">
        <w:rPr>
          <w:sz w:val="28"/>
          <w:szCs w:val="28"/>
          <w:lang w:val="ro-RO" w:eastAsia="en-GB"/>
        </w:rPr>
        <w:t xml:space="preserve"> </w:t>
      </w:r>
    </w:p>
    <w:p w14:paraId="4D6F0598" w14:textId="5493EA3B" w:rsidR="003538D9" w:rsidRPr="00D50761" w:rsidRDefault="00BB5442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c) punctul 1 se completează cu cuvintele „</w:t>
      </w:r>
      <w:r w:rsidRPr="00D50761">
        <w:rPr>
          <w:rFonts w:eastAsia="Arial Unicode MS"/>
          <w:color w:val="333333"/>
          <w:sz w:val="28"/>
          <w:szCs w:val="28"/>
          <w:shd w:val="clear" w:color="auto" w:fill="FFFFFF"/>
          <w:lang w:val="ro-MD"/>
        </w:rPr>
        <w:t>și libera circulație a acestora pe piața Republicii Moldova</w:t>
      </w:r>
      <w:r w:rsidRPr="00D50761">
        <w:rPr>
          <w:sz w:val="28"/>
          <w:szCs w:val="28"/>
          <w:lang w:val="ro-RO" w:eastAsia="en-GB"/>
        </w:rPr>
        <w:t>”;</w:t>
      </w:r>
    </w:p>
    <w:p w14:paraId="779FDBFD" w14:textId="7938F35E" w:rsidR="0085607B" w:rsidRPr="00D50761" w:rsidRDefault="00BB5442" w:rsidP="0085607B">
      <w:pPr>
        <w:ind w:firstLine="567"/>
        <w:rPr>
          <w:bCs/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lastRenderedPageBreak/>
        <w:t xml:space="preserve">d) </w:t>
      </w:r>
      <w:r w:rsidR="007248FC" w:rsidRPr="00D50761">
        <w:rPr>
          <w:bCs/>
          <w:sz w:val="28"/>
          <w:szCs w:val="28"/>
          <w:lang w:val="ro-RO" w:eastAsia="en-GB"/>
        </w:rPr>
        <w:t>denumirea c</w:t>
      </w:r>
      <w:r w:rsidR="007C0E5B">
        <w:rPr>
          <w:bCs/>
          <w:sz w:val="28"/>
          <w:szCs w:val="28"/>
          <w:lang w:val="ro-RO" w:eastAsia="en-GB"/>
        </w:rPr>
        <w:t xml:space="preserve">apitolului </w:t>
      </w:r>
      <w:r w:rsidR="0085607B" w:rsidRPr="00D50761">
        <w:rPr>
          <w:bCs/>
          <w:sz w:val="28"/>
          <w:szCs w:val="28"/>
          <w:lang w:val="ro-RO" w:eastAsia="en-GB"/>
        </w:rPr>
        <w:t>V</w:t>
      </w:r>
      <w:r w:rsidR="007C0E5B">
        <w:rPr>
          <w:bCs/>
          <w:sz w:val="28"/>
          <w:szCs w:val="28"/>
          <w:lang w:val="ro-RO" w:eastAsia="en-GB"/>
        </w:rPr>
        <w:t>III</w:t>
      </w:r>
      <w:r w:rsidR="0085607B" w:rsidRPr="00D50761">
        <w:rPr>
          <w:bCs/>
          <w:sz w:val="28"/>
          <w:szCs w:val="28"/>
          <w:lang w:val="ro-RO" w:eastAsia="en-GB"/>
        </w:rPr>
        <w:t xml:space="preserve"> </w:t>
      </w:r>
      <w:r w:rsidR="007248FC" w:rsidRPr="00D50761">
        <w:rPr>
          <w:sz w:val="28"/>
          <w:szCs w:val="28"/>
          <w:lang w:val="ro-RO" w:eastAsia="en-GB"/>
        </w:rPr>
        <w:t>se completează cu cuvintele</w:t>
      </w:r>
      <w:r w:rsidR="0085607B" w:rsidRPr="00D50761">
        <w:rPr>
          <w:bCs/>
          <w:sz w:val="28"/>
          <w:szCs w:val="28"/>
          <w:lang w:val="ro-RO" w:eastAsia="en-GB"/>
        </w:rPr>
        <w:t xml:space="preserve"> „</w:t>
      </w:r>
      <w:r w:rsidR="0085607B" w:rsidRPr="00D50761">
        <w:rPr>
          <w:b/>
          <w:bCs/>
          <w:sz w:val="28"/>
          <w:szCs w:val="28"/>
          <w:lang w:val="ro-RO" w:eastAsia="en-GB"/>
        </w:rPr>
        <w:t>ȘI LIBERA CIRCULAȚIE</w:t>
      </w:r>
      <w:r w:rsidR="0085607B" w:rsidRPr="00D50761">
        <w:rPr>
          <w:bCs/>
          <w:sz w:val="28"/>
          <w:szCs w:val="28"/>
          <w:lang w:val="ro-RO" w:eastAsia="en-GB"/>
        </w:rPr>
        <w:t>”;</w:t>
      </w:r>
    </w:p>
    <w:p w14:paraId="0174D6CC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jc w:val="left"/>
        <w:rPr>
          <w:sz w:val="28"/>
          <w:szCs w:val="28"/>
          <w:lang w:val="ro-RO" w:eastAsia="en-GB"/>
        </w:rPr>
      </w:pPr>
    </w:p>
    <w:p w14:paraId="7A302B68" w14:textId="3A350198" w:rsidR="00BB5442" w:rsidRPr="00D50761" w:rsidRDefault="00BB5442" w:rsidP="00C02AEC">
      <w:pPr>
        <w:tabs>
          <w:tab w:val="left" w:pos="284"/>
        </w:tabs>
        <w:spacing w:after="160" w:line="259" w:lineRule="auto"/>
        <w:ind w:firstLine="567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e)</w:t>
      </w:r>
      <w:r w:rsidR="008D5E73" w:rsidRPr="00D50761">
        <w:rPr>
          <w:sz w:val="28"/>
          <w:szCs w:val="28"/>
          <w:lang w:val="ro-RO" w:eastAsia="en-GB"/>
        </w:rPr>
        <w:t xml:space="preserve"> la punctul 41 textul „45-46” se substituie cu textul „47, 48 și 49”;</w:t>
      </w:r>
    </w:p>
    <w:p w14:paraId="7A60FD83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6F4BF5F8" w14:textId="35692FD8" w:rsidR="00BB5442" w:rsidRPr="00D50761" w:rsidRDefault="00BB5442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 xml:space="preserve">f) </w:t>
      </w:r>
      <w:r w:rsidR="00535D27" w:rsidRPr="00D50761">
        <w:rPr>
          <w:sz w:val="28"/>
          <w:szCs w:val="28"/>
          <w:lang w:val="ro-RO" w:eastAsia="en-GB"/>
        </w:rPr>
        <w:t>la punctul</w:t>
      </w:r>
      <w:r w:rsidR="00535D27" w:rsidRPr="00D50761">
        <w:rPr>
          <w:sz w:val="28"/>
          <w:szCs w:val="28"/>
          <w:lang w:val="en-GB" w:eastAsia="en-GB"/>
        </w:rPr>
        <w:t xml:space="preserve"> 49 </w:t>
      </w:r>
      <w:r w:rsidR="00F7030E">
        <w:rPr>
          <w:sz w:val="28"/>
          <w:szCs w:val="28"/>
          <w:lang w:val="ro-RO" w:eastAsia="en-GB"/>
        </w:rPr>
        <w:t>cuvintele „</w:t>
      </w:r>
      <w:r w:rsidR="00535D27" w:rsidRPr="00D50761">
        <w:rPr>
          <w:sz w:val="28"/>
          <w:szCs w:val="28"/>
          <w:lang w:val="ro-RO" w:eastAsia="en-GB"/>
        </w:rPr>
        <w:t>prin mijloacele electronice” se substituie cu cuvintele „pe Internet”;</w:t>
      </w:r>
    </w:p>
    <w:p w14:paraId="75EA8DA3" w14:textId="77777777" w:rsidR="00C02AEC" w:rsidRDefault="00C02AEC" w:rsidP="00C02AEC">
      <w:pPr>
        <w:ind w:firstLine="567"/>
        <w:rPr>
          <w:sz w:val="28"/>
          <w:szCs w:val="28"/>
          <w:lang w:val="ro-RO" w:eastAsia="en-GB"/>
        </w:rPr>
      </w:pPr>
    </w:p>
    <w:p w14:paraId="0805C524" w14:textId="7E9A2520" w:rsidR="00535D27" w:rsidRPr="00D50761" w:rsidRDefault="00BB5442" w:rsidP="00C02AEC">
      <w:pPr>
        <w:ind w:firstLine="567"/>
        <w:rPr>
          <w:bCs/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g)</w:t>
      </w:r>
      <w:r w:rsidR="00535D27" w:rsidRPr="00D50761">
        <w:rPr>
          <w:sz w:val="28"/>
          <w:szCs w:val="28"/>
          <w:lang w:val="ro-RO" w:eastAsia="en-GB"/>
        </w:rPr>
        <w:t xml:space="preserve"> </w:t>
      </w:r>
      <w:r w:rsidR="00535D27" w:rsidRPr="00D50761">
        <w:rPr>
          <w:bCs/>
          <w:sz w:val="28"/>
          <w:szCs w:val="28"/>
          <w:lang w:val="ro-RO" w:eastAsia="en-GB"/>
        </w:rPr>
        <w:t>punctul 52 va avea următorul cuprins:</w:t>
      </w:r>
    </w:p>
    <w:p w14:paraId="6EEDB88F" w14:textId="06DF35FE" w:rsidR="00BB5442" w:rsidRPr="00D50761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bCs/>
          <w:sz w:val="28"/>
          <w:szCs w:val="28"/>
          <w:lang w:val="ro-RO" w:eastAsia="en-GB"/>
        </w:rPr>
        <w:t>„</w:t>
      </w:r>
      <w:r w:rsidRPr="00D50761">
        <w:rPr>
          <w:b/>
          <w:bCs/>
          <w:sz w:val="28"/>
          <w:szCs w:val="28"/>
          <w:lang w:val="ro-RO" w:eastAsia="en-GB"/>
        </w:rPr>
        <w:t>52.</w:t>
      </w:r>
      <w:r w:rsidRPr="00D50761">
        <w:rPr>
          <w:sz w:val="28"/>
          <w:szCs w:val="28"/>
          <w:lang w:val="ro-RO" w:eastAsia="en-GB"/>
        </w:rPr>
        <w:t xml:space="preserve"> Lista standardelor armonizate, adoptate în calitate de standarde moldovenești referitoare la jucări</w:t>
      </w:r>
      <w:r w:rsidR="000555C7">
        <w:rPr>
          <w:sz w:val="28"/>
          <w:szCs w:val="28"/>
          <w:lang w:val="ro-RO" w:eastAsia="en-GB"/>
        </w:rPr>
        <w:t>i se aprobă prin ordinul minist</w:t>
      </w:r>
      <w:r w:rsidRPr="00D50761">
        <w:rPr>
          <w:sz w:val="28"/>
          <w:szCs w:val="28"/>
          <w:lang w:val="ro-RO" w:eastAsia="en-GB"/>
        </w:rPr>
        <w:t xml:space="preserve">rului </w:t>
      </w:r>
      <w:r w:rsidR="000555C7">
        <w:rPr>
          <w:sz w:val="28"/>
          <w:szCs w:val="28"/>
          <w:lang w:val="ro-RO" w:eastAsia="en-GB"/>
        </w:rPr>
        <w:t>d</w:t>
      </w:r>
      <w:r w:rsidRPr="00D50761">
        <w:rPr>
          <w:sz w:val="28"/>
          <w:szCs w:val="28"/>
          <w:lang w:val="ro-RO" w:eastAsia="en-GB"/>
        </w:rPr>
        <w:t xml:space="preserve">ezvoltării </w:t>
      </w:r>
      <w:r w:rsidR="000555C7">
        <w:rPr>
          <w:sz w:val="28"/>
          <w:szCs w:val="28"/>
          <w:lang w:val="ro-RO" w:eastAsia="en-GB"/>
        </w:rPr>
        <w:t>e</w:t>
      </w:r>
      <w:r w:rsidRPr="00D50761">
        <w:rPr>
          <w:sz w:val="28"/>
          <w:szCs w:val="28"/>
          <w:lang w:val="ro-RO" w:eastAsia="en-GB"/>
        </w:rPr>
        <w:t xml:space="preserve">conomice </w:t>
      </w:r>
      <w:proofErr w:type="spellStart"/>
      <w:r w:rsidRPr="00D50761">
        <w:rPr>
          <w:sz w:val="28"/>
          <w:szCs w:val="28"/>
          <w:lang w:val="ro-RO" w:eastAsia="en-GB"/>
        </w:rPr>
        <w:t>şi</w:t>
      </w:r>
      <w:proofErr w:type="spellEnd"/>
      <w:r w:rsidRPr="00D50761">
        <w:rPr>
          <w:sz w:val="28"/>
          <w:szCs w:val="28"/>
          <w:lang w:val="ro-RO" w:eastAsia="en-GB"/>
        </w:rPr>
        <w:t xml:space="preserve"> </w:t>
      </w:r>
      <w:r w:rsidR="000555C7">
        <w:rPr>
          <w:sz w:val="28"/>
          <w:szCs w:val="28"/>
          <w:lang w:val="ro-RO" w:eastAsia="en-GB"/>
        </w:rPr>
        <w:t>d</w:t>
      </w:r>
      <w:bookmarkStart w:id="0" w:name="_GoBack"/>
      <w:bookmarkEnd w:id="0"/>
      <w:r w:rsidRPr="00D50761">
        <w:rPr>
          <w:sz w:val="28"/>
          <w:szCs w:val="28"/>
          <w:lang w:val="ro-RO" w:eastAsia="en-GB"/>
        </w:rPr>
        <w:t xml:space="preserve">igitalizării, se publică în Monitorul Oficial al Republicii Moldova </w:t>
      </w:r>
      <w:proofErr w:type="spellStart"/>
      <w:r w:rsidRPr="00D50761">
        <w:rPr>
          <w:sz w:val="28"/>
          <w:szCs w:val="28"/>
          <w:lang w:val="ro-RO" w:eastAsia="en-GB"/>
        </w:rPr>
        <w:t>şi</w:t>
      </w:r>
      <w:proofErr w:type="spellEnd"/>
      <w:r w:rsidRPr="00D50761">
        <w:rPr>
          <w:sz w:val="28"/>
          <w:szCs w:val="28"/>
          <w:lang w:val="ro-RO" w:eastAsia="en-GB"/>
        </w:rPr>
        <w:t xml:space="preserve"> se actualizează ori de c</w:t>
      </w:r>
      <w:r w:rsidR="00F04857" w:rsidRPr="00D50761">
        <w:rPr>
          <w:sz w:val="28"/>
          <w:szCs w:val="28"/>
          <w:lang w:val="ro-RO" w:eastAsia="en-GB"/>
        </w:rPr>
        <w:t>â</w:t>
      </w:r>
      <w:r w:rsidRPr="00D50761">
        <w:rPr>
          <w:sz w:val="28"/>
          <w:szCs w:val="28"/>
          <w:lang w:val="ro-RO" w:eastAsia="en-GB"/>
        </w:rPr>
        <w:t>te ori este necesar.”;</w:t>
      </w:r>
    </w:p>
    <w:p w14:paraId="4248A61E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4B74A2A8" w14:textId="5E71D973" w:rsidR="00535D27" w:rsidRPr="00D50761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h)</w:t>
      </w:r>
      <w:r w:rsidR="00F04857" w:rsidRPr="00D50761">
        <w:rPr>
          <w:sz w:val="28"/>
          <w:szCs w:val="28"/>
          <w:lang w:val="ro-RO" w:eastAsia="en-GB"/>
        </w:rPr>
        <w:t xml:space="preserve"> la punctul</w:t>
      </w:r>
      <w:r w:rsidR="00F04857" w:rsidRPr="00D50761">
        <w:rPr>
          <w:sz w:val="28"/>
          <w:szCs w:val="28"/>
          <w:lang w:val="en-GB" w:eastAsia="en-GB"/>
        </w:rPr>
        <w:t xml:space="preserve"> 67 </w:t>
      </w:r>
      <w:r w:rsidR="00F04857" w:rsidRPr="00D50761">
        <w:rPr>
          <w:sz w:val="28"/>
          <w:szCs w:val="28"/>
          <w:lang w:val="ro-RO" w:eastAsia="en-GB"/>
        </w:rPr>
        <w:t>cuvintele „</w:t>
      </w:r>
      <w:proofErr w:type="spellStart"/>
      <w:r w:rsidR="00F04857" w:rsidRPr="00D50761">
        <w:rPr>
          <w:sz w:val="28"/>
          <w:szCs w:val="28"/>
        </w:rPr>
        <w:t>şi</w:t>
      </w:r>
      <w:proofErr w:type="spellEnd"/>
      <w:r w:rsidR="00F04857" w:rsidRPr="00D50761">
        <w:rPr>
          <w:sz w:val="28"/>
          <w:szCs w:val="28"/>
        </w:rPr>
        <w:t xml:space="preserve"> de </w:t>
      </w:r>
      <w:proofErr w:type="spellStart"/>
      <w:r w:rsidR="00F04857" w:rsidRPr="00D50761">
        <w:rPr>
          <w:sz w:val="28"/>
          <w:szCs w:val="28"/>
        </w:rPr>
        <w:t>numărul</w:t>
      </w:r>
      <w:proofErr w:type="spellEnd"/>
      <w:r w:rsidR="00F04857" w:rsidRPr="00D50761">
        <w:rPr>
          <w:sz w:val="28"/>
          <w:szCs w:val="28"/>
        </w:rPr>
        <w:t xml:space="preserve"> de </w:t>
      </w:r>
      <w:proofErr w:type="spellStart"/>
      <w:r w:rsidR="00F04857" w:rsidRPr="00D50761">
        <w:rPr>
          <w:sz w:val="28"/>
          <w:szCs w:val="28"/>
        </w:rPr>
        <w:t>identificare</w:t>
      </w:r>
      <w:proofErr w:type="spellEnd"/>
      <w:r w:rsidR="00F04857" w:rsidRPr="00D50761">
        <w:rPr>
          <w:sz w:val="28"/>
          <w:szCs w:val="28"/>
        </w:rPr>
        <w:t xml:space="preserve"> al </w:t>
      </w:r>
      <w:proofErr w:type="spellStart"/>
      <w:r w:rsidR="00F04857" w:rsidRPr="00D50761">
        <w:rPr>
          <w:sz w:val="28"/>
          <w:szCs w:val="28"/>
        </w:rPr>
        <w:t>organismului</w:t>
      </w:r>
      <w:proofErr w:type="spellEnd"/>
      <w:r w:rsidR="00F04857" w:rsidRPr="00D50761">
        <w:rPr>
          <w:sz w:val="28"/>
          <w:szCs w:val="28"/>
        </w:rPr>
        <w:t xml:space="preserve"> </w:t>
      </w:r>
      <w:proofErr w:type="spellStart"/>
      <w:r w:rsidR="00F04857" w:rsidRPr="00D50761">
        <w:rPr>
          <w:sz w:val="28"/>
          <w:szCs w:val="28"/>
        </w:rPr>
        <w:t>notificat</w:t>
      </w:r>
      <w:proofErr w:type="spellEnd"/>
      <w:r w:rsidR="00F04857" w:rsidRPr="00D50761">
        <w:rPr>
          <w:sz w:val="28"/>
          <w:szCs w:val="28"/>
          <w:lang w:val="ro-RO" w:eastAsia="en-GB"/>
        </w:rPr>
        <w:t>” se exclud;</w:t>
      </w:r>
    </w:p>
    <w:p w14:paraId="7819A922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26051E6D" w14:textId="5CCEF0BB" w:rsidR="00535D27" w:rsidRPr="00D50761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i)</w:t>
      </w:r>
      <w:r w:rsidR="00F04857" w:rsidRPr="00D50761">
        <w:rPr>
          <w:sz w:val="28"/>
          <w:szCs w:val="28"/>
          <w:lang w:val="ro-RO" w:eastAsia="en-GB"/>
        </w:rPr>
        <w:t xml:space="preserve"> la punctul</w:t>
      </w:r>
      <w:r w:rsidR="00F04857" w:rsidRPr="00D50761">
        <w:rPr>
          <w:sz w:val="28"/>
          <w:szCs w:val="28"/>
          <w:lang w:val="en-GB" w:eastAsia="en-GB"/>
        </w:rPr>
        <w:t xml:space="preserve"> 70 </w:t>
      </w:r>
      <w:r w:rsidR="00F04857" w:rsidRPr="00D50761">
        <w:rPr>
          <w:sz w:val="28"/>
          <w:szCs w:val="28"/>
          <w:lang w:val="ro-RO" w:eastAsia="en-GB"/>
        </w:rPr>
        <w:t xml:space="preserve">cuvântul „moldovene” se substituie cu </w:t>
      </w:r>
      <w:r w:rsidR="00917A6B" w:rsidRPr="00D50761">
        <w:rPr>
          <w:sz w:val="28"/>
          <w:szCs w:val="28"/>
          <w:lang w:val="ro-RO" w:eastAsia="en-GB"/>
        </w:rPr>
        <w:t>cuvântul</w:t>
      </w:r>
      <w:r w:rsidR="00F04857" w:rsidRPr="00D50761">
        <w:rPr>
          <w:sz w:val="28"/>
          <w:szCs w:val="28"/>
          <w:lang w:val="ro-RO" w:eastAsia="en-GB"/>
        </w:rPr>
        <w:t xml:space="preserve"> „moldovenești”;</w:t>
      </w:r>
    </w:p>
    <w:p w14:paraId="0B7A6E32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2C17621C" w14:textId="0E68DC92" w:rsidR="00535D27" w:rsidRPr="00D50761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j)</w:t>
      </w:r>
      <w:r w:rsidR="00F04857" w:rsidRPr="00D50761">
        <w:rPr>
          <w:sz w:val="28"/>
          <w:szCs w:val="28"/>
          <w:lang w:val="ro-RO" w:eastAsia="en-GB"/>
        </w:rPr>
        <w:t xml:space="preserve"> punctul 86 se completează cu textul </w:t>
      </w:r>
      <w:r w:rsidR="00546605" w:rsidRPr="00D50761">
        <w:rPr>
          <w:sz w:val="28"/>
          <w:szCs w:val="28"/>
          <w:lang w:val="ro-RO" w:eastAsia="en-GB"/>
        </w:rPr>
        <w:t xml:space="preserve">cu următorul cuprins: </w:t>
      </w:r>
      <w:r w:rsidR="00F04857" w:rsidRPr="00D50761">
        <w:rPr>
          <w:sz w:val="28"/>
          <w:szCs w:val="28"/>
          <w:lang w:val="ro-RO" w:eastAsia="en-GB"/>
        </w:rPr>
        <w:t>„</w:t>
      </w:r>
      <w:r w:rsidR="00546605" w:rsidRPr="00D50761">
        <w:rPr>
          <w:sz w:val="28"/>
          <w:szCs w:val="28"/>
          <w:lang w:val="ro-RO" w:eastAsia="en-GB"/>
        </w:rPr>
        <w:t xml:space="preserve"> </w:t>
      </w:r>
      <w:r w:rsidR="00F04857" w:rsidRPr="00D50761">
        <w:rPr>
          <w:rFonts w:eastAsia="Calibri"/>
          <w:sz w:val="28"/>
          <w:szCs w:val="28"/>
          <w:lang w:val="ro-MD"/>
        </w:rPr>
        <w:t xml:space="preserve">, inclusiv în ceea ce </w:t>
      </w:r>
      <w:proofErr w:type="spellStart"/>
      <w:r w:rsidR="00F04857" w:rsidRPr="00D50761">
        <w:rPr>
          <w:rFonts w:eastAsia="Calibri"/>
          <w:sz w:val="28"/>
          <w:szCs w:val="28"/>
          <w:lang w:val="ro-MD"/>
        </w:rPr>
        <w:t>priveşte</w:t>
      </w:r>
      <w:proofErr w:type="spellEnd"/>
      <w:r w:rsidR="00F04857" w:rsidRPr="00D50761">
        <w:rPr>
          <w:rFonts w:eastAsia="Calibri"/>
          <w:sz w:val="28"/>
          <w:szCs w:val="28"/>
          <w:lang w:val="ro-MD"/>
        </w:rPr>
        <w:t xml:space="preserve"> respectarea prevederilor din punctele 109-112</w:t>
      </w:r>
      <w:r w:rsidR="00F04857" w:rsidRPr="00D50761">
        <w:rPr>
          <w:sz w:val="28"/>
          <w:szCs w:val="28"/>
          <w:lang w:val="ro-RO" w:eastAsia="en-GB"/>
        </w:rPr>
        <w:t xml:space="preserve">”; </w:t>
      </w:r>
    </w:p>
    <w:p w14:paraId="72E23CEB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1DA22B21" w14:textId="77777777" w:rsidR="00917A6B" w:rsidRPr="00D50761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k)</w:t>
      </w:r>
      <w:r w:rsidR="00F04857" w:rsidRPr="00D50761">
        <w:rPr>
          <w:sz w:val="28"/>
          <w:szCs w:val="28"/>
          <w:lang w:val="ro-RO" w:eastAsia="en-GB"/>
        </w:rPr>
        <w:t xml:space="preserve"> punctul 87 va avea următorul cuprins: </w:t>
      </w:r>
    </w:p>
    <w:p w14:paraId="18D390A9" w14:textId="256B34A0" w:rsidR="00535D27" w:rsidRPr="00D50761" w:rsidRDefault="00F04857" w:rsidP="008F7487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„</w:t>
      </w:r>
      <w:r w:rsidR="00917A6B" w:rsidRPr="00D50761">
        <w:rPr>
          <w:b/>
          <w:sz w:val="28"/>
          <w:szCs w:val="28"/>
          <w:lang w:val="ro-RO" w:eastAsia="en-GB"/>
        </w:rPr>
        <w:t>87</w:t>
      </w:r>
      <w:r w:rsidR="00917A6B" w:rsidRPr="00D50761">
        <w:rPr>
          <w:sz w:val="28"/>
          <w:szCs w:val="28"/>
          <w:lang w:val="ro-RO" w:eastAsia="en-GB"/>
        </w:rPr>
        <w:t xml:space="preserve">. </w:t>
      </w:r>
      <w:r w:rsidR="004009AA" w:rsidRPr="00D50761">
        <w:rPr>
          <w:sz w:val="28"/>
          <w:szCs w:val="28"/>
          <w:lang w:val="ro-RO" w:eastAsia="en-GB"/>
        </w:rPr>
        <w:t xml:space="preserve">Evaluarea </w:t>
      </w:r>
      <w:proofErr w:type="spellStart"/>
      <w:r w:rsidR="004009AA" w:rsidRPr="00D50761">
        <w:rPr>
          <w:sz w:val="28"/>
          <w:szCs w:val="28"/>
          <w:lang w:val="ro-RO" w:eastAsia="en-GB"/>
        </w:rPr>
        <w:t>şi</w:t>
      </w:r>
      <w:proofErr w:type="spellEnd"/>
      <w:r w:rsidR="004009AA" w:rsidRPr="00D50761">
        <w:rPr>
          <w:sz w:val="28"/>
          <w:szCs w:val="28"/>
          <w:lang w:val="ro-RO" w:eastAsia="en-GB"/>
        </w:rPr>
        <w:t xml:space="preserve"> monitorizarea </w:t>
      </w:r>
      <w:proofErr w:type="spellStart"/>
      <w:r w:rsidR="004009AA" w:rsidRPr="00D50761">
        <w:rPr>
          <w:sz w:val="28"/>
          <w:szCs w:val="28"/>
          <w:lang w:val="ro-RO" w:eastAsia="en-GB"/>
        </w:rPr>
        <w:t>menţionate</w:t>
      </w:r>
      <w:proofErr w:type="spellEnd"/>
      <w:r w:rsidR="004009AA" w:rsidRPr="00D50761">
        <w:rPr>
          <w:sz w:val="28"/>
          <w:szCs w:val="28"/>
          <w:lang w:val="ro-RO" w:eastAsia="en-GB"/>
        </w:rPr>
        <w:t xml:space="preserve"> la punctul 86 se realizează de către organismul </w:t>
      </w:r>
      <w:proofErr w:type="spellStart"/>
      <w:r w:rsidR="004009AA" w:rsidRPr="00D50761">
        <w:rPr>
          <w:sz w:val="28"/>
          <w:szCs w:val="28"/>
          <w:lang w:val="ro-RO" w:eastAsia="en-GB"/>
        </w:rPr>
        <w:t>naţional</w:t>
      </w:r>
      <w:proofErr w:type="spellEnd"/>
      <w:r w:rsidR="004009AA" w:rsidRPr="00D50761">
        <w:rPr>
          <w:sz w:val="28"/>
          <w:szCs w:val="28"/>
          <w:lang w:val="ro-RO" w:eastAsia="en-GB"/>
        </w:rPr>
        <w:t xml:space="preserve"> de acreditare,</w:t>
      </w:r>
      <w:r w:rsidR="004009AA" w:rsidRPr="00D50761">
        <w:rPr>
          <w:rFonts w:eastAsia="Calibri"/>
          <w:sz w:val="28"/>
          <w:szCs w:val="28"/>
          <w:lang w:val="ro-MD"/>
        </w:rPr>
        <w:t xml:space="preserve"> recunoscut conform art.7 din Legea nr. 235/2011 privind activitățile de acreditare și de evaluare a </w:t>
      </w:r>
      <w:proofErr w:type="spellStart"/>
      <w:r w:rsidR="004009AA" w:rsidRPr="00D50761">
        <w:rPr>
          <w:rFonts w:eastAsia="Calibri"/>
          <w:sz w:val="28"/>
          <w:szCs w:val="28"/>
          <w:lang w:val="ro-MD"/>
        </w:rPr>
        <w:t>conformităţii</w:t>
      </w:r>
      <w:proofErr w:type="spellEnd"/>
      <w:r w:rsidR="004009AA" w:rsidRPr="00D50761">
        <w:rPr>
          <w:sz w:val="28"/>
          <w:szCs w:val="28"/>
          <w:lang w:val="ro-RO" w:eastAsia="en-GB"/>
        </w:rPr>
        <w:t xml:space="preserve">. Ministerul Dezvoltării Economice </w:t>
      </w:r>
      <w:proofErr w:type="spellStart"/>
      <w:r w:rsidR="004009AA" w:rsidRPr="00D50761">
        <w:rPr>
          <w:sz w:val="28"/>
          <w:szCs w:val="28"/>
          <w:lang w:val="ro-RO" w:eastAsia="en-GB"/>
        </w:rPr>
        <w:t>şi</w:t>
      </w:r>
      <w:proofErr w:type="spellEnd"/>
      <w:r w:rsidR="004009AA" w:rsidRPr="00D50761">
        <w:rPr>
          <w:sz w:val="28"/>
          <w:szCs w:val="28"/>
          <w:lang w:val="ro-RO" w:eastAsia="en-GB"/>
        </w:rPr>
        <w:t xml:space="preserve"> Digitalizării </w:t>
      </w:r>
      <w:r w:rsidR="004009AA" w:rsidRPr="00D50761">
        <w:rPr>
          <w:rFonts w:eastAsia="Arial Unicode MS"/>
          <w:color w:val="333333"/>
          <w:sz w:val="28"/>
          <w:szCs w:val="28"/>
          <w:lang w:val="ro-RO" w:eastAsia="en-GB"/>
        </w:rPr>
        <w:t>își asumă întreaga răspundere pentru sarcinile îndeplinite de organismul național de acreditare.</w:t>
      </w:r>
      <w:r w:rsidRPr="00D50761">
        <w:rPr>
          <w:sz w:val="28"/>
          <w:szCs w:val="28"/>
          <w:lang w:val="ro-RO" w:eastAsia="en-GB"/>
        </w:rPr>
        <w:t>”;</w:t>
      </w:r>
    </w:p>
    <w:p w14:paraId="46684809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56352C24" w14:textId="77777777" w:rsidR="007C0E5B" w:rsidRDefault="00535D27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l)</w:t>
      </w:r>
      <w:r w:rsidR="004009AA" w:rsidRPr="00D50761">
        <w:rPr>
          <w:sz w:val="28"/>
          <w:szCs w:val="28"/>
          <w:lang w:val="ro-RO" w:eastAsia="en-GB"/>
        </w:rPr>
        <w:t xml:space="preserve"> </w:t>
      </w:r>
      <w:r w:rsidR="007C0E5B">
        <w:rPr>
          <w:sz w:val="28"/>
          <w:szCs w:val="28"/>
          <w:lang w:val="ro-RO" w:eastAsia="en-GB"/>
        </w:rPr>
        <w:t>la punctul 90 alineatul 1) se completează cu cuvinte</w:t>
      </w:r>
      <w:r w:rsidR="007C0E5B" w:rsidRPr="00B82055">
        <w:rPr>
          <w:sz w:val="28"/>
          <w:szCs w:val="28"/>
          <w:lang w:val="ro-RO" w:eastAsia="en-GB"/>
        </w:rPr>
        <w:t xml:space="preserve">le „și se asigură că </w:t>
      </w:r>
      <w:r w:rsidR="007C0E5B" w:rsidRPr="00B82055">
        <w:rPr>
          <w:rFonts w:eastAsia="Calibri"/>
          <w:sz w:val="28"/>
          <w:szCs w:val="28"/>
          <w:lang w:val="ro-RO" w:eastAsia="en-GB"/>
        </w:rPr>
        <w:t>nu apară conflicte de interese cu un organism de evaluare a conformității</w:t>
      </w:r>
      <w:r w:rsidR="007C0E5B" w:rsidRPr="00B82055">
        <w:rPr>
          <w:sz w:val="28"/>
          <w:szCs w:val="28"/>
          <w:lang w:val="ro-RO" w:eastAsia="en-GB"/>
        </w:rPr>
        <w:t>”</w:t>
      </w:r>
      <w:r w:rsidR="007C0E5B">
        <w:rPr>
          <w:sz w:val="28"/>
          <w:szCs w:val="28"/>
          <w:lang w:val="ro-RO" w:eastAsia="en-GB"/>
        </w:rPr>
        <w:t>;</w:t>
      </w:r>
    </w:p>
    <w:p w14:paraId="09DE3C34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169D41C7" w14:textId="134DEB5B" w:rsidR="007C0E5B" w:rsidRDefault="00B82055" w:rsidP="007C0E5B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m) </w:t>
      </w:r>
      <w:r w:rsidR="007C0E5B" w:rsidRPr="00D50761">
        <w:rPr>
          <w:sz w:val="28"/>
          <w:szCs w:val="28"/>
          <w:lang w:val="ro-RO" w:eastAsia="en-GB"/>
        </w:rPr>
        <w:t>denumirea capitolului XIX se completează cu cuvintele „</w:t>
      </w:r>
      <w:r w:rsidR="00F7030E" w:rsidRPr="00F7030E">
        <w:rPr>
          <w:b/>
          <w:sz w:val="28"/>
          <w:szCs w:val="28"/>
          <w:lang w:val="ro-RO" w:eastAsia="en-GB"/>
        </w:rPr>
        <w:t>ȘI PREZUMȚIA DE CONFORMITATE A ACESTORA</w:t>
      </w:r>
      <w:r w:rsidR="007C0E5B" w:rsidRPr="00D50761">
        <w:rPr>
          <w:sz w:val="28"/>
          <w:szCs w:val="28"/>
          <w:lang w:val="ro-RO" w:eastAsia="en-GB"/>
        </w:rPr>
        <w:t>”;</w:t>
      </w:r>
    </w:p>
    <w:p w14:paraId="741FB7C4" w14:textId="77777777" w:rsidR="00C02AEC" w:rsidRDefault="00C02AEC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</w:p>
    <w:p w14:paraId="4BB3B7E2" w14:textId="330C78B3" w:rsidR="00917A6B" w:rsidRPr="00D50761" w:rsidRDefault="00B82055" w:rsidP="00C02AEC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n</w:t>
      </w:r>
      <w:r w:rsidR="00535D27" w:rsidRPr="00D50761">
        <w:rPr>
          <w:sz w:val="28"/>
          <w:szCs w:val="28"/>
          <w:lang w:val="ro-RO" w:eastAsia="en-GB"/>
        </w:rPr>
        <w:t xml:space="preserve">) </w:t>
      </w:r>
      <w:r w:rsidR="00917A6B" w:rsidRPr="00D50761">
        <w:rPr>
          <w:sz w:val="28"/>
          <w:szCs w:val="28"/>
          <w:lang w:val="ro-RO" w:eastAsia="en-GB"/>
        </w:rPr>
        <w:t xml:space="preserve">punctul 105 va avea următorul cuprins: </w:t>
      </w:r>
    </w:p>
    <w:p w14:paraId="23A4F02A" w14:textId="24489B3D" w:rsidR="00535D27" w:rsidRPr="00D50761" w:rsidRDefault="00917A6B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„</w:t>
      </w:r>
      <w:r w:rsidRPr="00D50761">
        <w:rPr>
          <w:b/>
          <w:sz w:val="28"/>
          <w:szCs w:val="28"/>
          <w:lang w:val="ro-RO" w:eastAsia="en-GB"/>
        </w:rPr>
        <w:t>105</w:t>
      </w:r>
      <w:r w:rsidRPr="00D50761">
        <w:rPr>
          <w:sz w:val="28"/>
          <w:szCs w:val="28"/>
          <w:lang w:val="ro-RO" w:eastAsia="en-GB"/>
        </w:rPr>
        <w:t>.</w:t>
      </w:r>
      <w:r w:rsidRPr="00D50761">
        <w:rPr>
          <w:rFonts w:eastAsia="Calibri"/>
          <w:sz w:val="28"/>
          <w:szCs w:val="28"/>
          <w:lang w:val="ro-MD"/>
        </w:rPr>
        <w:t xml:space="preserve"> Organismele</w:t>
      </w:r>
      <w:r w:rsidRPr="00D50761">
        <w:rPr>
          <w:sz w:val="28"/>
          <w:szCs w:val="28"/>
          <w:lang w:val="ro-RO" w:eastAsia="en-GB"/>
        </w:rPr>
        <w:t xml:space="preserve"> de evaluare a </w:t>
      </w:r>
      <w:proofErr w:type="spellStart"/>
      <w:r w:rsidRPr="00D50761">
        <w:rPr>
          <w:sz w:val="28"/>
          <w:szCs w:val="28"/>
          <w:lang w:val="ro-RO" w:eastAsia="en-GB"/>
        </w:rPr>
        <w:t>conformităţii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trebuie să încheie o asigurare de răspundere civilă cu companiile de asigurare recunoscute legal pe teritoriul Republicii Moldova </w:t>
      </w:r>
      <w:proofErr w:type="spellStart"/>
      <w:r w:rsidRPr="00D50761">
        <w:rPr>
          <w:rFonts w:eastAsia="Calibri"/>
          <w:sz w:val="28"/>
          <w:szCs w:val="28"/>
          <w:lang w:val="ro-MD"/>
        </w:rPr>
        <w:t>şi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</w:t>
      </w:r>
      <w:proofErr w:type="spellStart"/>
      <w:r w:rsidRPr="00D50761">
        <w:rPr>
          <w:rFonts w:eastAsia="Calibri"/>
          <w:sz w:val="28"/>
          <w:szCs w:val="28"/>
          <w:lang w:val="ro-MD"/>
        </w:rPr>
        <w:t>deţin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</w:t>
      </w:r>
      <w:proofErr w:type="spellStart"/>
      <w:r w:rsidRPr="00D50761">
        <w:rPr>
          <w:rFonts w:eastAsia="Calibri"/>
          <w:sz w:val="28"/>
          <w:szCs w:val="28"/>
          <w:lang w:val="ro-MD"/>
        </w:rPr>
        <w:t>poliţe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de asigurare pentru a repara prejudiciul care poate </w:t>
      </w:r>
      <w:r w:rsidRPr="00D50761">
        <w:rPr>
          <w:rFonts w:eastAsia="Calibri"/>
          <w:sz w:val="28"/>
          <w:szCs w:val="28"/>
          <w:lang w:val="ro-MD"/>
        </w:rPr>
        <w:lastRenderedPageBreak/>
        <w:t xml:space="preserve">fi cauzat </w:t>
      </w:r>
      <w:proofErr w:type="spellStart"/>
      <w:r w:rsidRPr="00D50761">
        <w:rPr>
          <w:rFonts w:eastAsia="Calibri"/>
          <w:sz w:val="28"/>
          <w:szCs w:val="28"/>
          <w:lang w:val="ro-MD"/>
        </w:rPr>
        <w:t>terţelor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</w:t>
      </w:r>
      <w:proofErr w:type="spellStart"/>
      <w:r w:rsidRPr="00D50761">
        <w:rPr>
          <w:rFonts w:eastAsia="Calibri"/>
          <w:sz w:val="28"/>
          <w:szCs w:val="28"/>
          <w:lang w:val="ro-MD"/>
        </w:rPr>
        <w:t>părţi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prin activitatea sa </w:t>
      </w:r>
      <w:proofErr w:type="spellStart"/>
      <w:r w:rsidRPr="00D50761">
        <w:rPr>
          <w:rFonts w:eastAsia="Calibri"/>
          <w:sz w:val="28"/>
          <w:szCs w:val="28"/>
          <w:lang w:val="ro-MD"/>
        </w:rPr>
        <w:t>şi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</w:t>
      </w:r>
      <w:proofErr w:type="spellStart"/>
      <w:r w:rsidRPr="00D50761">
        <w:rPr>
          <w:rFonts w:eastAsia="Calibri"/>
          <w:sz w:val="28"/>
          <w:szCs w:val="28"/>
          <w:lang w:val="ro-MD"/>
        </w:rPr>
        <w:t>faţă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de care poartă răspundere în conformitate cu </w:t>
      </w:r>
      <w:proofErr w:type="spellStart"/>
      <w:r w:rsidRPr="00D50761">
        <w:rPr>
          <w:rFonts w:eastAsia="Calibri"/>
          <w:sz w:val="28"/>
          <w:szCs w:val="28"/>
          <w:lang w:val="ro-MD"/>
        </w:rPr>
        <w:t>legislaţia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în vigoare cu privire la asigurări.</w:t>
      </w:r>
      <w:r w:rsidRPr="00D50761">
        <w:rPr>
          <w:sz w:val="28"/>
          <w:szCs w:val="28"/>
          <w:lang w:val="ro-RO" w:eastAsia="en-GB"/>
        </w:rPr>
        <w:t>”;</w:t>
      </w:r>
    </w:p>
    <w:p w14:paraId="7FD9CBB7" w14:textId="77777777" w:rsidR="00C02AEC" w:rsidRDefault="00C02AEC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</w:p>
    <w:p w14:paraId="10784A4E" w14:textId="2E454187" w:rsidR="00917A6B" w:rsidRPr="00D50761" w:rsidRDefault="00B82055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o</w:t>
      </w:r>
      <w:r w:rsidR="00917A6B" w:rsidRPr="00D50761">
        <w:rPr>
          <w:sz w:val="28"/>
          <w:szCs w:val="28"/>
          <w:lang w:val="ro-RO" w:eastAsia="en-GB"/>
        </w:rPr>
        <w:t>) la punctul</w:t>
      </w:r>
      <w:r w:rsidR="00917A6B" w:rsidRPr="00D50761">
        <w:rPr>
          <w:sz w:val="28"/>
          <w:szCs w:val="28"/>
          <w:lang w:val="en-GB" w:eastAsia="en-GB"/>
        </w:rPr>
        <w:t xml:space="preserve"> 113 </w:t>
      </w:r>
      <w:r w:rsidR="00917A6B" w:rsidRPr="00D50761">
        <w:rPr>
          <w:sz w:val="28"/>
          <w:szCs w:val="28"/>
          <w:lang w:val="ro-RO" w:eastAsia="en-GB"/>
        </w:rPr>
        <w:t>cuvintele „domeniul reglementat” se substituie cu cuvintele „temeiul prezentei Reglementări tehnice”;</w:t>
      </w:r>
    </w:p>
    <w:p w14:paraId="616932E0" w14:textId="77777777" w:rsidR="00C02AEC" w:rsidRDefault="00C02AEC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</w:p>
    <w:p w14:paraId="50898AEC" w14:textId="51B65D3A" w:rsidR="00917A6B" w:rsidRPr="00D50761" w:rsidRDefault="00B82055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p</w:t>
      </w:r>
      <w:r w:rsidR="00917A6B" w:rsidRPr="00D50761">
        <w:rPr>
          <w:sz w:val="28"/>
          <w:szCs w:val="28"/>
          <w:lang w:val="ro-RO" w:eastAsia="en-GB"/>
        </w:rPr>
        <w:t xml:space="preserve">) punctul 116 va avea următorul cuprins: </w:t>
      </w:r>
    </w:p>
    <w:p w14:paraId="24F37561" w14:textId="30A9F40F" w:rsidR="00917A6B" w:rsidRPr="00D50761" w:rsidRDefault="00917A6B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„</w:t>
      </w:r>
      <w:r w:rsidRPr="00D50761">
        <w:rPr>
          <w:b/>
          <w:sz w:val="28"/>
          <w:szCs w:val="28"/>
          <w:lang w:val="ro-RO" w:eastAsia="en-GB"/>
        </w:rPr>
        <w:t>116</w:t>
      </w:r>
      <w:r w:rsidRPr="00D50761">
        <w:rPr>
          <w:sz w:val="28"/>
          <w:szCs w:val="28"/>
          <w:lang w:val="ro-RO" w:eastAsia="en-GB"/>
        </w:rPr>
        <w:t xml:space="preserve">. Ministerul Dezvoltării Economice </w:t>
      </w:r>
      <w:proofErr w:type="spellStart"/>
      <w:r w:rsidRPr="00D50761">
        <w:rPr>
          <w:sz w:val="28"/>
          <w:szCs w:val="28"/>
          <w:lang w:val="ro-RO" w:eastAsia="en-GB"/>
        </w:rPr>
        <w:t>şi</w:t>
      </w:r>
      <w:proofErr w:type="spellEnd"/>
      <w:r w:rsidRPr="00D50761">
        <w:rPr>
          <w:sz w:val="28"/>
          <w:szCs w:val="28"/>
          <w:lang w:val="ro-RO" w:eastAsia="en-GB"/>
        </w:rPr>
        <w:t xml:space="preserve"> Digitalizării examinează documentele prezentate pentru recunoașterea în vederea notificării conform </w:t>
      </w:r>
      <w:r w:rsidRPr="00D50761">
        <w:rPr>
          <w:rFonts w:eastAsia="Calibri"/>
          <w:sz w:val="28"/>
          <w:szCs w:val="28"/>
          <w:lang w:val="ro-MD"/>
        </w:rPr>
        <w:t>Capitolului IV</w:t>
      </w:r>
      <w:r w:rsidRPr="00D50761">
        <w:rPr>
          <w:rFonts w:eastAsia="Calibri"/>
          <w:sz w:val="28"/>
          <w:szCs w:val="28"/>
          <w:vertAlign w:val="superscript"/>
          <w:lang w:val="ro-MD"/>
        </w:rPr>
        <w:t>1</w:t>
      </w:r>
      <w:r w:rsidRPr="00D50761">
        <w:rPr>
          <w:rFonts w:eastAsia="Calibri"/>
          <w:sz w:val="28"/>
          <w:szCs w:val="28"/>
          <w:lang w:val="ro-MD"/>
        </w:rPr>
        <w:t xml:space="preserve"> din </w:t>
      </w:r>
      <w:hyperlink r:id="rId11" w:history="1">
        <w:r w:rsidRPr="00D50761">
          <w:rPr>
            <w:rFonts w:eastAsia="Calibri"/>
            <w:sz w:val="28"/>
            <w:szCs w:val="28"/>
            <w:lang w:val="ro-MD"/>
          </w:rPr>
          <w:t>Legea nr.235/2011</w:t>
        </w:r>
      </w:hyperlink>
      <w:r w:rsidRPr="00D50761">
        <w:rPr>
          <w:rFonts w:eastAsia="Calibri"/>
          <w:sz w:val="28"/>
          <w:szCs w:val="28"/>
          <w:lang w:val="ro-MD"/>
        </w:rPr>
        <w:t xml:space="preserve"> privind </w:t>
      </w:r>
      <w:proofErr w:type="spellStart"/>
      <w:r w:rsidRPr="00D50761">
        <w:rPr>
          <w:rFonts w:eastAsia="Calibri"/>
          <w:sz w:val="28"/>
          <w:szCs w:val="28"/>
          <w:lang w:val="ro-MD"/>
        </w:rPr>
        <w:t>activităţile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de acreditare </w:t>
      </w:r>
      <w:proofErr w:type="spellStart"/>
      <w:r w:rsidRPr="00D50761">
        <w:rPr>
          <w:rFonts w:eastAsia="Calibri"/>
          <w:sz w:val="28"/>
          <w:szCs w:val="28"/>
          <w:lang w:val="ro-MD"/>
        </w:rPr>
        <w:t>şi</w:t>
      </w:r>
      <w:proofErr w:type="spellEnd"/>
      <w:r w:rsidRPr="00D50761">
        <w:rPr>
          <w:rFonts w:eastAsia="Calibri"/>
          <w:sz w:val="28"/>
          <w:szCs w:val="28"/>
          <w:lang w:val="ro-MD"/>
        </w:rPr>
        <w:t xml:space="preserve"> de evaluare a </w:t>
      </w:r>
      <w:proofErr w:type="spellStart"/>
      <w:r w:rsidRPr="00D50761">
        <w:rPr>
          <w:rFonts w:eastAsia="Calibri"/>
          <w:sz w:val="28"/>
          <w:szCs w:val="28"/>
          <w:lang w:val="ro-MD"/>
        </w:rPr>
        <w:t>conformităţii</w:t>
      </w:r>
      <w:proofErr w:type="spellEnd"/>
      <w:r w:rsidRPr="00D50761">
        <w:rPr>
          <w:rFonts w:eastAsia="Calibri"/>
          <w:sz w:val="28"/>
          <w:szCs w:val="28"/>
          <w:lang w:val="ro-MD"/>
        </w:rPr>
        <w:t>”;</w:t>
      </w:r>
    </w:p>
    <w:p w14:paraId="1BD19DE9" w14:textId="77777777" w:rsidR="00C02AEC" w:rsidRDefault="00C02AEC" w:rsidP="00507C51">
      <w:pPr>
        <w:rPr>
          <w:sz w:val="28"/>
          <w:szCs w:val="28"/>
          <w:lang w:val="ro-RO" w:eastAsia="en-GB"/>
        </w:rPr>
      </w:pPr>
    </w:p>
    <w:p w14:paraId="7331192B" w14:textId="7455FC18" w:rsidR="0079366C" w:rsidRPr="000F6C89" w:rsidRDefault="00B82055" w:rsidP="00507C51">
      <w:pPr>
        <w:rPr>
          <w:bCs/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r</w:t>
      </w:r>
      <w:r w:rsidR="00917A6B" w:rsidRPr="00D50761">
        <w:rPr>
          <w:sz w:val="28"/>
          <w:szCs w:val="28"/>
          <w:lang w:val="ro-RO" w:eastAsia="en-GB"/>
        </w:rPr>
        <w:t>)</w:t>
      </w:r>
      <w:r w:rsidR="00C04B58" w:rsidRPr="00D50761">
        <w:rPr>
          <w:sz w:val="28"/>
          <w:szCs w:val="28"/>
          <w:lang w:val="ro-RO" w:eastAsia="en-GB"/>
        </w:rPr>
        <w:t xml:space="preserve"> după punctul 1</w:t>
      </w:r>
      <w:r w:rsidR="0079366C">
        <w:rPr>
          <w:sz w:val="28"/>
          <w:szCs w:val="28"/>
          <w:lang w:val="ro-RO" w:eastAsia="en-GB"/>
        </w:rPr>
        <w:t>18</w:t>
      </w:r>
      <w:r w:rsidR="00C04B58" w:rsidRPr="00D50761">
        <w:rPr>
          <w:sz w:val="28"/>
          <w:szCs w:val="28"/>
          <w:lang w:val="ro-RO" w:eastAsia="en-GB"/>
        </w:rPr>
        <w:t xml:space="preserve"> se </w:t>
      </w:r>
      <w:r w:rsidR="007248FC" w:rsidRPr="00D50761">
        <w:rPr>
          <w:sz w:val="28"/>
          <w:szCs w:val="28"/>
          <w:lang w:val="ro-RO" w:eastAsia="en-GB"/>
        </w:rPr>
        <w:t>i</w:t>
      </w:r>
      <w:r w:rsidR="007248FC" w:rsidRPr="00D50761">
        <w:rPr>
          <w:sz w:val="28"/>
          <w:szCs w:val="28"/>
          <w:lang w:val="ro-RO"/>
        </w:rPr>
        <w:t xml:space="preserve">ntroduce </w:t>
      </w:r>
      <w:r w:rsidR="0079366C">
        <w:rPr>
          <w:sz w:val="28"/>
          <w:szCs w:val="28"/>
          <w:lang w:val="ro-RO"/>
        </w:rPr>
        <w:t>denumirea secțiunii XXI</w:t>
      </w:r>
      <w:r w:rsidR="0079366C" w:rsidRPr="0079366C">
        <w:rPr>
          <w:sz w:val="28"/>
          <w:szCs w:val="28"/>
          <w:vertAlign w:val="superscript"/>
          <w:lang w:val="ro-RO"/>
        </w:rPr>
        <w:t>1</w:t>
      </w:r>
      <w:r w:rsidR="0079366C">
        <w:rPr>
          <w:sz w:val="28"/>
          <w:szCs w:val="28"/>
          <w:vertAlign w:val="superscript"/>
          <w:lang w:val="ro-RO"/>
        </w:rPr>
        <w:t xml:space="preserve"> </w:t>
      </w:r>
      <w:r w:rsidR="0079366C" w:rsidRPr="0079366C">
        <w:rPr>
          <w:sz w:val="28"/>
          <w:szCs w:val="28"/>
          <w:lang w:val="ro-RO"/>
        </w:rPr>
        <w:t>cu următorul cuprins</w:t>
      </w:r>
      <w:r w:rsidR="00C04B58" w:rsidRPr="0079366C">
        <w:rPr>
          <w:sz w:val="28"/>
          <w:szCs w:val="28"/>
          <w:lang w:val="ro-RO" w:eastAsia="en-GB"/>
        </w:rPr>
        <w:t>:</w:t>
      </w:r>
      <w:r w:rsidR="0079366C">
        <w:rPr>
          <w:sz w:val="28"/>
          <w:szCs w:val="28"/>
          <w:lang w:val="ro-RO" w:eastAsia="en-GB"/>
        </w:rPr>
        <w:t xml:space="preserve"> </w:t>
      </w:r>
      <w:r w:rsidR="00C04B58" w:rsidRPr="0079366C">
        <w:rPr>
          <w:sz w:val="28"/>
          <w:szCs w:val="28"/>
          <w:lang w:val="ro-RO" w:eastAsia="en-GB"/>
        </w:rPr>
        <w:t>„</w:t>
      </w:r>
      <w:r w:rsidR="00C04B58" w:rsidRPr="0079366C">
        <w:rPr>
          <w:b/>
          <w:bCs/>
          <w:sz w:val="28"/>
          <w:szCs w:val="28"/>
          <w:lang w:val="ro-RO" w:eastAsia="en-GB"/>
        </w:rPr>
        <w:t>X</w:t>
      </w:r>
      <w:r w:rsidR="00C04B58" w:rsidRPr="000F6C89">
        <w:rPr>
          <w:b/>
          <w:bCs/>
          <w:sz w:val="28"/>
          <w:szCs w:val="28"/>
          <w:lang w:val="ro-RO" w:eastAsia="en-GB"/>
        </w:rPr>
        <w:t>XI</w:t>
      </w:r>
      <w:r w:rsidR="00C04B58" w:rsidRPr="000F6C89">
        <w:rPr>
          <w:rFonts w:eastAsia="Calibri"/>
          <w:b/>
          <w:bCs/>
          <w:sz w:val="28"/>
          <w:szCs w:val="28"/>
          <w:vertAlign w:val="superscript"/>
          <w:lang w:val="ro-RO"/>
        </w:rPr>
        <w:t>1</w:t>
      </w:r>
      <w:r w:rsidR="00C04B58" w:rsidRPr="000F6C89">
        <w:rPr>
          <w:b/>
          <w:sz w:val="28"/>
          <w:szCs w:val="28"/>
          <w:vertAlign w:val="superscript"/>
          <w:lang w:val="ro-RO" w:eastAsia="en-GB"/>
        </w:rPr>
        <w:t xml:space="preserve"> </w:t>
      </w:r>
      <w:r w:rsidR="00C04B58" w:rsidRPr="000F6C89">
        <w:rPr>
          <w:rFonts w:eastAsia="Calibri"/>
          <w:b/>
          <w:sz w:val="28"/>
          <w:szCs w:val="28"/>
          <w:lang w:val="ro-RO"/>
        </w:rPr>
        <w:t>Modificările aduse notificărilor</w:t>
      </w:r>
      <w:r w:rsidR="00C04B58" w:rsidRPr="000F6C89">
        <w:rPr>
          <w:b/>
          <w:bCs/>
          <w:sz w:val="28"/>
          <w:szCs w:val="28"/>
          <w:lang w:val="ro-RO" w:eastAsia="en-GB"/>
        </w:rPr>
        <w:t xml:space="preserve"> </w:t>
      </w:r>
      <w:r w:rsidR="00507C51" w:rsidRPr="000F6C89">
        <w:rPr>
          <w:b/>
          <w:bCs/>
          <w:sz w:val="28"/>
          <w:szCs w:val="28"/>
          <w:lang w:val="ro-RO" w:eastAsia="en-GB"/>
        </w:rPr>
        <w:t xml:space="preserve">și contestarea </w:t>
      </w:r>
      <w:proofErr w:type="spellStart"/>
      <w:r w:rsidR="00507C51" w:rsidRPr="000F6C89">
        <w:rPr>
          <w:b/>
          <w:bCs/>
          <w:sz w:val="28"/>
          <w:szCs w:val="28"/>
          <w:lang w:val="ro-RO" w:eastAsia="en-GB"/>
        </w:rPr>
        <w:t>competenţei</w:t>
      </w:r>
      <w:proofErr w:type="spellEnd"/>
      <w:r w:rsidR="00507C51" w:rsidRPr="000F6C89">
        <w:rPr>
          <w:b/>
          <w:bCs/>
          <w:sz w:val="28"/>
          <w:szCs w:val="28"/>
          <w:lang w:val="ro-RO" w:eastAsia="en-GB"/>
        </w:rPr>
        <w:t xml:space="preserve"> organismelor notificate</w:t>
      </w:r>
      <w:r w:rsidR="0079366C" w:rsidRPr="000F6C89">
        <w:rPr>
          <w:bCs/>
          <w:sz w:val="28"/>
          <w:szCs w:val="28"/>
          <w:lang w:val="ro-RO" w:eastAsia="en-GB"/>
        </w:rPr>
        <w:t>”;</w:t>
      </w:r>
    </w:p>
    <w:p w14:paraId="79976125" w14:textId="77777777" w:rsidR="005469D3" w:rsidRDefault="005469D3" w:rsidP="00507C51">
      <w:pPr>
        <w:tabs>
          <w:tab w:val="left" w:pos="284"/>
        </w:tabs>
        <w:spacing w:after="160" w:line="259" w:lineRule="auto"/>
        <w:contextualSpacing/>
        <w:rPr>
          <w:bCs/>
          <w:sz w:val="28"/>
          <w:szCs w:val="28"/>
          <w:lang w:val="ro-RO" w:eastAsia="en-GB"/>
        </w:rPr>
      </w:pPr>
    </w:p>
    <w:p w14:paraId="66D18A92" w14:textId="0295CC7E" w:rsidR="00507C51" w:rsidRPr="000F6C89" w:rsidRDefault="00507C51" w:rsidP="00507C51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 w:rsidRPr="000F6C89">
        <w:rPr>
          <w:bCs/>
          <w:sz w:val="28"/>
          <w:szCs w:val="28"/>
          <w:lang w:val="ro-RO" w:eastAsia="en-GB"/>
        </w:rPr>
        <w:t xml:space="preserve">s) </w:t>
      </w:r>
      <w:r w:rsidRPr="000F6C89">
        <w:rPr>
          <w:sz w:val="28"/>
          <w:szCs w:val="28"/>
          <w:lang w:val="ro-RO" w:eastAsia="en-GB"/>
        </w:rPr>
        <w:t>punctul 121</w:t>
      </w:r>
      <w:r w:rsidRPr="000F6C89">
        <w:rPr>
          <w:sz w:val="28"/>
          <w:szCs w:val="28"/>
          <w:vertAlign w:val="superscript"/>
          <w:lang w:val="ro-RO" w:eastAsia="en-GB"/>
        </w:rPr>
        <w:t>1</w:t>
      </w:r>
      <w:r w:rsidRPr="000F6C89">
        <w:rPr>
          <w:sz w:val="28"/>
          <w:szCs w:val="28"/>
          <w:lang w:val="ro-RO" w:eastAsia="en-GB"/>
        </w:rPr>
        <w:t xml:space="preserve"> va avea următorul cuprins: </w:t>
      </w:r>
    </w:p>
    <w:p w14:paraId="433E9ECA" w14:textId="4023A0F7" w:rsidR="00C04B58" w:rsidRPr="000F6C89" w:rsidRDefault="00507C51" w:rsidP="00507C51">
      <w:pPr>
        <w:rPr>
          <w:sz w:val="28"/>
          <w:szCs w:val="28"/>
          <w:lang w:val="ro-RO" w:eastAsia="en-GB"/>
        </w:rPr>
      </w:pPr>
      <w:r w:rsidRPr="000F6C89">
        <w:rPr>
          <w:bCs/>
          <w:sz w:val="28"/>
          <w:szCs w:val="28"/>
          <w:lang w:val="ro-RO" w:eastAsia="en-GB"/>
        </w:rPr>
        <w:t>„</w:t>
      </w:r>
      <w:r w:rsidR="00C04B58" w:rsidRPr="000F6C89">
        <w:rPr>
          <w:b/>
          <w:bCs/>
          <w:sz w:val="28"/>
          <w:szCs w:val="28"/>
          <w:lang w:val="ro-RO" w:eastAsia="en-GB"/>
        </w:rPr>
        <w:t>12</w:t>
      </w:r>
      <w:r w:rsidRPr="000F6C89">
        <w:rPr>
          <w:b/>
          <w:bCs/>
          <w:sz w:val="28"/>
          <w:szCs w:val="28"/>
          <w:lang w:val="ro-RO" w:eastAsia="en-GB"/>
        </w:rPr>
        <w:t>1</w:t>
      </w:r>
      <w:r w:rsidRPr="000F6C89">
        <w:rPr>
          <w:b/>
          <w:bCs/>
          <w:sz w:val="28"/>
          <w:szCs w:val="28"/>
          <w:vertAlign w:val="superscript"/>
          <w:lang w:val="ro-RO" w:eastAsia="en-GB"/>
        </w:rPr>
        <w:t>1</w:t>
      </w:r>
      <w:r w:rsidR="00C04B58" w:rsidRPr="000F6C89">
        <w:rPr>
          <w:b/>
          <w:bCs/>
          <w:sz w:val="28"/>
          <w:szCs w:val="28"/>
          <w:lang w:val="ro-RO" w:eastAsia="en-GB"/>
        </w:rPr>
        <w:t>.</w:t>
      </w:r>
      <w:r w:rsidR="00C04B58" w:rsidRPr="000F6C89">
        <w:rPr>
          <w:sz w:val="28"/>
          <w:szCs w:val="28"/>
          <w:lang w:val="ro-RO" w:eastAsia="en-GB"/>
        </w:rPr>
        <w:t xml:space="preserve"> În cazurile în care Comisia Europeană investighează </w:t>
      </w:r>
      <w:proofErr w:type="spellStart"/>
      <w:r w:rsidR="00C04B58" w:rsidRPr="000F6C89">
        <w:rPr>
          <w:sz w:val="28"/>
          <w:szCs w:val="28"/>
          <w:lang w:val="ro-RO" w:eastAsia="en-GB"/>
        </w:rPr>
        <w:t>competenţa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unui organism notificat sau continuarea îndeplinirii de către un organism notificat a </w:t>
      </w:r>
      <w:proofErr w:type="spellStart"/>
      <w:r w:rsidR="00C04B58" w:rsidRPr="000F6C89">
        <w:rPr>
          <w:sz w:val="28"/>
          <w:szCs w:val="28"/>
          <w:lang w:val="ro-RO" w:eastAsia="en-GB"/>
        </w:rPr>
        <w:t>cerinţelor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</w:t>
      </w:r>
      <w:proofErr w:type="spellStart"/>
      <w:r w:rsidR="00C04B58" w:rsidRPr="000F6C89">
        <w:rPr>
          <w:sz w:val="28"/>
          <w:szCs w:val="28"/>
          <w:lang w:val="ro-RO" w:eastAsia="en-GB"/>
        </w:rPr>
        <w:t>şi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</w:t>
      </w:r>
      <w:proofErr w:type="spellStart"/>
      <w:r w:rsidR="00C04B58" w:rsidRPr="000F6C89">
        <w:rPr>
          <w:sz w:val="28"/>
          <w:szCs w:val="28"/>
          <w:lang w:val="ro-RO" w:eastAsia="en-GB"/>
        </w:rPr>
        <w:t>responsabilităţilor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care îi revin, Ministerul </w:t>
      </w:r>
      <w:r w:rsidR="00F7030E">
        <w:rPr>
          <w:sz w:val="28"/>
          <w:szCs w:val="28"/>
          <w:lang w:val="ro-RO" w:eastAsia="en-GB"/>
        </w:rPr>
        <w:t xml:space="preserve">Dezvoltării </w:t>
      </w:r>
      <w:r w:rsidR="00C04B58" w:rsidRPr="000F6C89">
        <w:rPr>
          <w:sz w:val="28"/>
          <w:szCs w:val="28"/>
          <w:lang w:val="ro-RO" w:eastAsia="en-GB"/>
        </w:rPr>
        <w:t>Economi</w:t>
      </w:r>
      <w:r w:rsidR="00F7030E">
        <w:rPr>
          <w:sz w:val="28"/>
          <w:szCs w:val="28"/>
          <w:lang w:val="ro-RO" w:eastAsia="en-GB"/>
        </w:rPr>
        <w:t>c</w:t>
      </w:r>
      <w:r w:rsidR="00C04B58" w:rsidRPr="000F6C89">
        <w:rPr>
          <w:sz w:val="28"/>
          <w:szCs w:val="28"/>
          <w:lang w:val="ro-RO" w:eastAsia="en-GB"/>
        </w:rPr>
        <w:t>e</w:t>
      </w:r>
      <w:r w:rsidR="00F7030E">
        <w:rPr>
          <w:sz w:val="28"/>
          <w:szCs w:val="28"/>
          <w:lang w:val="ro-RO" w:eastAsia="en-GB"/>
        </w:rPr>
        <w:t xml:space="preserve"> și Digitalizării</w:t>
      </w:r>
      <w:r w:rsidR="00C04B58" w:rsidRPr="000F6C89">
        <w:rPr>
          <w:sz w:val="28"/>
          <w:szCs w:val="28"/>
          <w:lang w:val="ro-RO" w:eastAsia="en-GB"/>
        </w:rPr>
        <w:t xml:space="preserve"> prezintă acesteia, la cerere, toate </w:t>
      </w:r>
      <w:proofErr w:type="spellStart"/>
      <w:r w:rsidR="00C04B58" w:rsidRPr="000F6C89">
        <w:rPr>
          <w:sz w:val="28"/>
          <w:szCs w:val="28"/>
          <w:lang w:val="ro-RO" w:eastAsia="en-GB"/>
        </w:rPr>
        <w:t>informaţiile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care au fundamentat notificarea sau </w:t>
      </w:r>
      <w:proofErr w:type="spellStart"/>
      <w:r w:rsidR="00C04B58" w:rsidRPr="000F6C89">
        <w:rPr>
          <w:sz w:val="28"/>
          <w:szCs w:val="28"/>
          <w:lang w:val="ro-RO" w:eastAsia="en-GB"/>
        </w:rPr>
        <w:t>menţinerea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</w:t>
      </w:r>
      <w:proofErr w:type="spellStart"/>
      <w:r w:rsidR="00C04B58" w:rsidRPr="000F6C89">
        <w:rPr>
          <w:sz w:val="28"/>
          <w:szCs w:val="28"/>
          <w:lang w:val="ro-RO" w:eastAsia="en-GB"/>
        </w:rPr>
        <w:t>competenţei</w:t>
      </w:r>
      <w:proofErr w:type="spellEnd"/>
      <w:r w:rsidR="00C04B58" w:rsidRPr="000F6C89">
        <w:rPr>
          <w:sz w:val="28"/>
          <w:szCs w:val="28"/>
          <w:lang w:val="ro-RO" w:eastAsia="en-GB"/>
        </w:rPr>
        <w:t xml:space="preserve"> organismului în cauză.</w:t>
      </w:r>
      <w:r w:rsidRPr="000F6C89">
        <w:rPr>
          <w:sz w:val="28"/>
          <w:szCs w:val="28"/>
          <w:lang w:val="ro-RO" w:eastAsia="en-GB"/>
        </w:rPr>
        <w:t>”;</w:t>
      </w:r>
    </w:p>
    <w:p w14:paraId="1AE90CA9" w14:textId="77777777" w:rsidR="005469D3" w:rsidRDefault="005469D3" w:rsidP="00C04B58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</w:p>
    <w:p w14:paraId="43BB47DC" w14:textId="43D9FD83" w:rsidR="00C04B58" w:rsidRPr="000F6C89" w:rsidRDefault="00507C51" w:rsidP="00C04B58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 w:rsidRPr="000F6C89">
        <w:rPr>
          <w:sz w:val="28"/>
          <w:szCs w:val="28"/>
          <w:lang w:val="ro-RO" w:eastAsia="en-GB"/>
        </w:rPr>
        <w:t>t</w:t>
      </w:r>
      <w:r w:rsidR="00917A6B" w:rsidRPr="000F6C89">
        <w:rPr>
          <w:sz w:val="28"/>
          <w:szCs w:val="28"/>
          <w:lang w:val="ro-RO" w:eastAsia="en-GB"/>
        </w:rPr>
        <w:t>)</w:t>
      </w:r>
      <w:r w:rsidR="00C04B58" w:rsidRPr="000F6C89">
        <w:rPr>
          <w:sz w:val="28"/>
          <w:szCs w:val="28"/>
          <w:lang w:val="ro-RO" w:eastAsia="en-GB"/>
        </w:rPr>
        <w:t xml:space="preserve"> punctul 129</w:t>
      </w:r>
      <w:r w:rsidR="00C04B58" w:rsidRPr="000F6C89">
        <w:rPr>
          <w:sz w:val="28"/>
          <w:szCs w:val="28"/>
          <w:vertAlign w:val="superscript"/>
          <w:lang w:val="ro-RO" w:eastAsia="en-GB"/>
        </w:rPr>
        <w:t>1</w:t>
      </w:r>
      <w:r w:rsidR="00C04B58" w:rsidRPr="000F6C89">
        <w:rPr>
          <w:sz w:val="28"/>
          <w:szCs w:val="28"/>
          <w:lang w:val="ro-RO" w:eastAsia="en-GB"/>
        </w:rPr>
        <w:t xml:space="preserve"> va avea următorul </w:t>
      </w:r>
      <w:r w:rsidR="00D50761" w:rsidRPr="000F6C89">
        <w:rPr>
          <w:sz w:val="28"/>
          <w:szCs w:val="28"/>
          <w:lang w:val="ro-RO" w:eastAsia="en-GB"/>
        </w:rPr>
        <w:t>cuprins</w:t>
      </w:r>
      <w:r w:rsidR="00C04B58" w:rsidRPr="000F6C89">
        <w:rPr>
          <w:sz w:val="28"/>
          <w:szCs w:val="28"/>
          <w:lang w:val="ro-RO" w:eastAsia="en-GB"/>
        </w:rPr>
        <w:t xml:space="preserve">: </w:t>
      </w:r>
    </w:p>
    <w:p w14:paraId="1A277C02" w14:textId="09F594E4" w:rsidR="00C04B58" w:rsidRPr="00A84537" w:rsidRDefault="00C04B58" w:rsidP="00C04B58">
      <w:pPr>
        <w:ind w:firstLine="567"/>
        <w:rPr>
          <w:sz w:val="28"/>
          <w:szCs w:val="28"/>
          <w:lang w:val="ro-RO" w:eastAsia="en-GB"/>
        </w:rPr>
      </w:pPr>
      <w:r w:rsidRPr="000F6C89">
        <w:rPr>
          <w:sz w:val="28"/>
          <w:szCs w:val="28"/>
          <w:lang w:val="ro-RO" w:eastAsia="en-GB"/>
        </w:rPr>
        <w:t>„</w:t>
      </w:r>
      <w:r w:rsidRPr="00A84537">
        <w:rPr>
          <w:b/>
          <w:sz w:val="28"/>
          <w:szCs w:val="28"/>
          <w:lang w:val="ro-RO" w:eastAsia="en-GB"/>
        </w:rPr>
        <w:t>129</w:t>
      </w:r>
      <w:r w:rsidRPr="00A84537">
        <w:rPr>
          <w:b/>
          <w:sz w:val="28"/>
          <w:szCs w:val="28"/>
          <w:vertAlign w:val="superscript"/>
          <w:lang w:val="ro-RO" w:eastAsia="en-GB"/>
        </w:rPr>
        <w:t>1</w:t>
      </w:r>
      <w:r w:rsidRPr="00A84537">
        <w:rPr>
          <w:sz w:val="28"/>
          <w:szCs w:val="28"/>
          <w:lang w:val="ro-RO" w:eastAsia="en-GB"/>
        </w:rPr>
        <w:t>.</w:t>
      </w:r>
      <w:r w:rsidRPr="00A84537">
        <w:rPr>
          <w:rFonts w:eastAsia="Calibri"/>
          <w:sz w:val="28"/>
          <w:szCs w:val="28"/>
          <w:lang w:val="ro-RO"/>
        </w:rPr>
        <w:t xml:space="preserve"> Organismele notificate </w:t>
      </w:r>
      <w:proofErr w:type="spellStart"/>
      <w:r w:rsidRPr="00A84537">
        <w:rPr>
          <w:rFonts w:eastAsia="Calibri"/>
          <w:sz w:val="28"/>
          <w:szCs w:val="28"/>
          <w:lang w:val="ro-RO"/>
        </w:rPr>
        <w:t>po</w:t>
      </w:r>
      <w:proofErr w:type="spellEnd"/>
      <w:r w:rsidRPr="00A84537">
        <w:rPr>
          <w:rFonts w:eastAsia="Calibri"/>
          <w:sz w:val="28"/>
          <w:szCs w:val="28"/>
          <w:lang w:val="ro-MD"/>
        </w:rPr>
        <w:t>t participa, în mod direct sau prin intermediul unui reprezentant desemnat, la grupul sectorial al organismelor notificate, coordonat de către Comisia Europeană.”;</w:t>
      </w:r>
    </w:p>
    <w:p w14:paraId="3262FF4D" w14:textId="77777777" w:rsidR="005469D3" w:rsidRDefault="005469D3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</w:p>
    <w:p w14:paraId="197DF7C3" w14:textId="4D2F275B" w:rsidR="00783B80" w:rsidRDefault="00507C51" w:rsidP="00250639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A84537">
        <w:rPr>
          <w:sz w:val="28"/>
          <w:szCs w:val="28"/>
          <w:lang w:val="ro-RO" w:eastAsia="en-GB"/>
        </w:rPr>
        <w:t>u</w:t>
      </w:r>
      <w:r w:rsidR="00917A6B" w:rsidRPr="00A84537">
        <w:rPr>
          <w:sz w:val="28"/>
          <w:szCs w:val="28"/>
          <w:lang w:val="ro-RO" w:eastAsia="en-GB"/>
        </w:rPr>
        <w:t>)</w:t>
      </w:r>
      <w:r w:rsidR="00C04B58" w:rsidRPr="00A84537">
        <w:rPr>
          <w:sz w:val="28"/>
          <w:szCs w:val="28"/>
          <w:lang w:val="ro-RO" w:eastAsia="en-GB"/>
        </w:rPr>
        <w:t xml:space="preserve"> punct</w:t>
      </w:r>
      <w:r w:rsidR="00250639">
        <w:rPr>
          <w:sz w:val="28"/>
          <w:szCs w:val="28"/>
          <w:lang w:val="ro-RO" w:eastAsia="en-GB"/>
        </w:rPr>
        <w:t>ele</w:t>
      </w:r>
      <w:r w:rsidR="00C04B58" w:rsidRPr="00A84537">
        <w:rPr>
          <w:sz w:val="28"/>
          <w:szCs w:val="28"/>
          <w:lang w:val="ro-RO" w:eastAsia="en-GB"/>
        </w:rPr>
        <w:t xml:space="preserve"> 130</w:t>
      </w:r>
      <w:r w:rsidR="00250639">
        <w:rPr>
          <w:sz w:val="28"/>
          <w:szCs w:val="28"/>
          <w:lang w:val="ro-RO" w:eastAsia="en-GB"/>
        </w:rPr>
        <w:t xml:space="preserve">, </w:t>
      </w:r>
      <w:r w:rsidR="00250639" w:rsidRPr="00A84537">
        <w:rPr>
          <w:sz w:val="28"/>
          <w:szCs w:val="28"/>
          <w:lang w:val="ro-RO" w:eastAsia="en-GB"/>
        </w:rPr>
        <w:t>130</w:t>
      </w:r>
      <w:r w:rsidR="00250639" w:rsidRPr="00A84537">
        <w:rPr>
          <w:sz w:val="28"/>
          <w:szCs w:val="28"/>
          <w:vertAlign w:val="superscript"/>
          <w:lang w:val="ro-RO" w:eastAsia="en-GB"/>
        </w:rPr>
        <w:t>1</w:t>
      </w:r>
      <w:r w:rsidR="00EE13DF">
        <w:rPr>
          <w:sz w:val="28"/>
          <w:szCs w:val="28"/>
          <w:vertAlign w:val="superscript"/>
          <w:lang w:val="ro-RO" w:eastAsia="en-GB"/>
        </w:rPr>
        <w:t xml:space="preserve"> </w:t>
      </w:r>
      <w:r w:rsidR="00EE13DF">
        <w:rPr>
          <w:sz w:val="28"/>
          <w:szCs w:val="28"/>
          <w:lang w:val="ro-RO" w:eastAsia="en-GB"/>
        </w:rPr>
        <w:t>și</w:t>
      </w:r>
      <w:r w:rsidR="00250639">
        <w:rPr>
          <w:sz w:val="28"/>
          <w:szCs w:val="28"/>
          <w:lang w:val="ro-RO" w:eastAsia="en-GB"/>
        </w:rPr>
        <w:t xml:space="preserve"> </w:t>
      </w:r>
      <w:r w:rsidR="00250639" w:rsidRPr="00A84537">
        <w:rPr>
          <w:sz w:val="28"/>
          <w:szCs w:val="28"/>
          <w:lang w:val="ro-RO" w:eastAsia="en-GB"/>
        </w:rPr>
        <w:t>133</w:t>
      </w:r>
      <w:r w:rsidR="00250639" w:rsidRPr="00A84537">
        <w:rPr>
          <w:sz w:val="28"/>
          <w:szCs w:val="28"/>
          <w:vertAlign w:val="superscript"/>
          <w:lang w:val="ro-RO" w:eastAsia="en-GB"/>
        </w:rPr>
        <w:t>1</w:t>
      </w:r>
      <w:r w:rsidR="00250639">
        <w:rPr>
          <w:sz w:val="28"/>
          <w:szCs w:val="28"/>
          <w:vertAlign w:val="superscript"/>
          <w:lang w:val="ro-RO" w:eastAsia="en-GB"/>
        </w:rPr>
        <w:t xml:space="preserve"> </w:t>
      </w:r>
      <w:r w:rsidR="00ED1EA8" w:rsidRPr="00A84537">
        <w:rPr>
          <w:sz w:val="28"/>
          <w:szCs w:val="28"/>
          <w:lang w:val="ro-RO" w:eastAsia="en-GB"/>
        </w:rPr>
        <w:t>v</w:t>
      </w:r>
      <w:r w:rsidR="00EE13DF">
        <w:rPr>
          <w:sz w:val="28"/>
          <w:szCs w:val="28"/>
          <w:lang w:val="ro-RO" w:eastAsia="en-GB"/>
        </w:rPr>
        <w:t>or</w:t>
      </w:r>
      <w:r w:rsidR="00ED1EA8" w:rsidRPr="00A84537">
        <w:rPr>
          <w:sz w:val="28"/>
          <w:szCs w:val="28"/>
          <w:lang w:val="ro-RO" w:eastAsia="en-GB"/>
        </w:rPr>
        <w:t xml:space="preserve"> avea următorul cuprins</w:t>
      </w:r>
      <w:r w:rsidR="00546605" w:rsidRPr="00A84537">
        <w:rPr>
          <w:sz w:val="28"/>
          <w:szCs w:val="28"/>
          <w:lang w:val="ro-RO" w:eastAsia="en-GB"/>
        </w:rPr>
        <w:t xml:space="preserve">: </w:t>
      </w:r>
    </w:p>
    <w:p w14:paraId="55C6A812" w14:textId="45A9046B" w:rsidR="00917A6B" w:rsidRPr="00A84537" w:rsidRDefault="00C04B58" w:rsidP="00250639">
      <w:pPr>
        <w:tabs>
          <w:tab w:val="left" w:pos="284"/>
        </w:tabs>
        <w:spacing w:after="160" w:line="259" w:lineRule="auto"/>
        <w:ind w:firstLine="567"/>
        <w:contextualSpacing/>
        <w:rPr>
          <w:sz w:val="28"/>
          <w:szCs w:val="28"/>
          <w:lang w:val="ro-RO" w:eastAsia="en-GB"/>
        </w:rPr>
      </w:pPr>
      <w:r w:rsidRPr="00A84537">
        <w:rPr>
          <w:sz w:val="28"/>
          <w:szCs w:val="28"/>
          <w:lang w:val="ro-RO" w:eastAsia="en-GB"/>
        </w:rPr>
        <w:t>„</w:t>
      </w:r>
      <w:r w:rsidR="00783B80" w:rsidRPr="00783B80">
        <w:rPr>
          <w:b/>
          <w:sz w:val="28"/>
          <w:szCs w:val="28"/>
          <w:lang w:val="ro-RO" w:eastAsia="en-GB"/>
        </w:rPr>
        <w:t>130.</w:t>
      </w:r>
      <w:r w:rsidR="00783B80">
        <w:rPr>
          <w:sz w:val="28"/>
          <w:szCs w:val="28"/>
          <w:lang w:val="ro-RO" w:eastAsia="en-GB"/>
        </w:rPr>
        <w:t xml:space="preserve"> </w:t>
      </w:r>
      <w:r w:rsidR="00ED1EA8" w:rsidRPr="00A84537">
        <w:rPr>
          <w:sz w:val="28"/>
          <w:szCs w:val="28"/>
          <w:lang w:val="ro-RO" w:eastAsia="en-GB"/>
        </w:rPr>
        <w:t xml:space="preserve">Supravegherea jucăriilor introduse pe </w:t>
      </w:r>
      <w:proofErr w:type="spellStart"/>
      <w:r w:rsidR="00ED1EA8" w:rsidRPr="00A84537">
        <w:rPr>
          <w:sz w:val="28"/>
          <w:szCs w:val="28"/>
          <w:lang w:val="ro-RO" w:eastAsia="en-GB"/>
        </w:rPr>
        <w:t>piaţă</w:t>
      </w:r>
      <w:proofErr w:type="spellEnd"/>
      <w:r w:rsidR="00ED1EA8" w:rsidRPr="00A84537">
        <w:rPr>
          <w:sz w:val="28"/>
          <w:szCs w:val="28"/>
          <w:lang w:val="ro-RO" w:eastAsia="en-GB"/>
        </w:rPr>
        <w:t xml:space="preserve"> se efectuează în conformitate cu Legea nr. 7/2016 privind supravegherea </w:t>
      </w:r>
      <w:proofErr w:type="spellStart"/>
      <w:r w:rsidR="00ED1EA8" w:rsidRPr="00A84537">
        <w:rPr>
          <w:sz w:val="28"/>
          <w:szCs w:val="28"/>
          <w:lang w:val="ro-RO" w:eastAsia="en-GB"/>
        </w:rPr>
        <w:t>pieţei</w:t>
      </w:r>
      <w:proofErr w:type="spellEnd"/>
      <w:r w:rsidR="00ED1EA8" w:rsidRPr="00A84537">
        <w:rPr>
          <w:sz w:val="28"/>
          <w:szCs w:val="28"/>
          <w:lang w:val="ro-RO" w:eastAsia="en-GB"/>
        </w:rPr>
        <w:t xml:space="preserve"> în ceea ce privește comercializarea produselor nealimentare.</w:t>
      </w:r>
      <w:r w:rsidRPr="00A84537">
        <w:rPr>
          <w:sz w:val="28"/>
          <w:szCs w:val="28"/>
          <w:lang w:val="ro-RO" w:eastAsia="en-GB"/>
        </w:rPr>
        <w:t>;</w:t>
      </w:r>
    </w:p>
    <w:p w14:paraId="117EBAD2" w14:textId="52967E69" w:rsidR="002D48BB" w:rsidRPr="002D48BB" w:rsidRDefault="002D48BB" w:rsidP="002D48BB">
      <w:pPr>
        <w:ind w:firstLine="567"/>
        <w:rPr>
          <w:rFonts w:eastAsia="Calibri"/>
          <w:sz w:val="28"/>
          <w:szCs w:val="28"/>
          <w:lang w:val="ro-RO" w:eastAsia="en-GB"/>
        </w:rPr>
      </w:pPr>
      <w:r w:rsidRPr="002D48BB">
        <w:rPr>
          <w:b/>
          <w:sz w:val="28"/>
          <w:szCs w:val="28"/>
          <w:lang w:val="ro-RO" w:eastAsia="en-GB"/>
        </w:rPr>
        <w:t>130</w:t>
      </w:r>
      <w:r w:rsidRPr="002D48BB">
        <w:rPr>
          <w:b/>
          <w:sz w:val="28"/>
          <w:szCs w:val="28"/>
          <w:vertAlign w:val="superscript"/>
          <w:lang w:val="ro-RO" w:eastAsia="en-GB"/>
        </w:rPr>
        <w:t>1</w:t>
      </w:r>
      <w:r w:rsidRPr="002D48BB">
        <w:rPr>
          <w:b/>
          <w:sz w:val="28"/>
          <w:szCs w:val="28"/>
          <w:lang w:val="ro-RO" w:eastAsia="en-GB"/>
        </w:rPr>
        <w:t>.</w:t>
      </w:r>
      <w:r w:rsidRPr="002D48BB">
        <w:rPr>
          <w:rFonts w:ascii="Calibri" w:eastAsia="Calibri" w:hAnsi="Calibri"/>
          <w:sz w:val="28"/>
          <w:szCs w:val="28"/>
          <w:lang w:val="ro-RO"/>
        </w:rPr>
        <w:t xml:space="preserve"> </w:t>
      </w:r>
      <w:r w:rsidRPr="002D48BB">
        <w:rPr>
          <w:rFonts w:eastAsia="Calibri"/>
          <w:sz w:val="28"/>
          <w:szCs w:val="28"/>
          <w:lang w:val="ro-RO" w:eastAsia="en-GB"/>
        </w:rPr>
        <w:t>Orice măsură adoptată în temeiul prezentei Reglementări tehnice în vederea interzicerii sau a restricționării introducerii pe piață a unei jucării sau a retragerii de pe piață sau rechemării acesteia precizează motivele exacte care stau la baza măsurii respective.</w:t>
      </w:r>
    </w:p>
    <w:p w14:paraId="45D1BF7D" w14:textId="46B5C08F" w:rsidR="002D48BB" w:rsidRPr="002D48BB" w:rsidRDefault="002D48BB" w:rsidP="002D48BB">
      <w:pPr>
        <w:ind w:firstLine="567"/>
        <w:rPr>
          <w:rFonts w:eastAsia="Calibri"/>
          <w:sz w:val="28"/>
          <w:szCs w:val="28"/>
          <w:lang w:val="ro-RO" w:eastAsia="en-GB"/>
        </w:rPr>
      </w:pPr>
      <w:r w:rsidRPr="002D48BB">
        <w:rPr>
          <w:rFonts w:eastAsia="Calibri"/>
          <w:sz w:val="28"/>
          <w:szCs w:val="28"/>
          <w:lang w:val="ro-RO" w:eastAsia="en-GB"/>
        </w:rPr>
        <w:t>Aceste măsuri sunt notificate fără întârziere părții vizate, cu informarea p</w:t>
      </w:r>
      <w:r w:rsidRPr="00A84537">
        <w:rPr>
          <w:rFonts w:eastAsia="Calibri"/>
          <w:sz w:val="28"/>
          <w:szCs w:val="28"/>
          <w:lang w:val="ro-RO" w:eastAsia="en-GB"/>
        </w:rPr>
        <w:t>r</w:t>
      </w:r>
      <w:r w:rsidRPr="002D48BB">
        <w:rPr>
          <w:rFonts w:eastAsia="Calibri"/>
          <w:sz w:val="28"/>
          <w:szCs w:val="28"/>
          <w:lang w:val="ro-RO" w:eastAsia="en-GB"/>
        </w:rPr>
        <w:t>ivind căile de atac în conformitate cu Codul contravențional nr.218/2008 și termenele aplicabile în cazul acestor căi de atac.</w:t>
      </w:r>
      <w:r w:rsidRPr="00A84537">
        <w:rPr>
          <w:rFonts w:eastAsia="Calibri"/>
          <w:sz w:val="28"/>
          <w:szCs w:val="28"/>
          <w:lang w:val="ro-RO" w:eastAsia="en-GB"/>
        </w:rPr>
        <w:t>;</w:t>
      </w:r>
    </w:p>
    <w:p w14:paraId="0DE24E2D" w14:textId="29E72EF3" w:rsidR="00ED1EA8" w:rsidRDefault="00ED1EA8" w:rsidP="00ED1EA8">
      <w:pPr>
        <w:ind w:firstLine="567"/>
        <w:rPr>
          <w:bCs/>
          <w:sz w:val="28"/>
          <w:szCs w:val="28"/>
          <w:lang w:val="ro-RO" w:eastAsia="en-GB"/>
        </w:rPr>
      </w:pPr>
      <w:r w:rsidRPr="00ED1EA8">
        <w:rPr>
          <w:b/>
          <w:bCs/>
          <w:sz w:val="28"/>
          <w:szCs w:val="28"/>
          <w:lang w:val="ro-RO" w:eastAsia="en-GB"/>
        </w:rPr>
        <w:t>133</w:t>
      </w:r>
      <w:r w:rsidRPr="00ED1EA8">
        <w:rPr>
          <w:b/>
          <w:bCs/>
          <w:sz w:val="28"/>
          <w:szCs w:val="28"/>
          <w:vertAlign w:val="superscript"/>
          <w:lang w:val="ro-RO" w:eastAsia="en-GB"/>
        </w:rPr>
        <w:t>1</w:t>
      </w:r>
      <w:r w:rsidRPr="00ED1EA8">
        <w:rPr>
          <w:b/>
          <w:bCs/>
          <w:sz w:val="28"/>
          <w:szCs w:val="28"/>
          <w:lang w:val="ro-RO" w:eastAsia="en-GB"/>
        </w:rPr>
        <w:t>.</w:t>
      </w:r>
      <w:r w:rsidRPr="00ED1EA8">
        <w:rPr>
          <w:bCs/>
          <w:sz w:val="28"/>
          <w:szCs w:val="28"/>
          <w:lang w:val="ro-RO" w:eastAsia="en-GB"/>
        </w:rPr>
        <w:t xml:space="preserve"> Legea nr.422/2006 privind securitatea generală a produselor se aplică jucăriilor în conformitate cu articolul 1 alineatul (2) din legea respectivă.</w:t>
      </w:r>
      <w:r w:rsidRPr="00A84537">
        <w:rPr>
          <w:bCs/>
          <w:sz w:val="28"/>
          <w:szCs w:val="28"/>
          <w:lang w:val="ro-RO" w:eastAsia="en-GB"/>
        </w:rPr>
        <w:t>”;</w:t>
      </w:r>
    </w:p>
    <w:p w14:paraId="30114710" w14:textId="0506304C" w:rsidR="00917A6B" w:rsidRPr="00A84537" w:rsidRDefault="00733658" w:rsidP="00917A6B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lastRenderedPageBreak/>
        <w:t>v</w:t>
      </w:r>
      <w:r w:rsidR="00917A6B" w:rsidRPr="00A84537">
        <w:rPr>
          <w:sz w:val="28"/>
          <w:szCs w:val="28"/>
          <w:lang w:val="ro-RO" w:eastAsia="en-GB"/>
        </w:rPr>
        <w:t xml:space="preserve">) </w:t>
      </w:r>
      <w:r w:rsidR="00C04B58" w:rsidRPr="00A84537">
        <w:rPr>
          <w:sz w:val="28"/>
          <w:szCs w:val="28"/>
          <w:lang w:val="ro-RO" w:eastAsia="en-GB"/>
        </w:rPr>
        <w:t xml:space="preserve">la punctul </w:t>
      </w:r>
      <w:r w:rsidR="00546605" w:rsidRPr="00A84537">
        <w:rPr>
          <w:sz w:val="28"/>
          <w:szCs w:val="28"/>
          <w:lang w:val="ro-RO" w:eastAsia="en-GB"/>
        </w:rPr>
        <w:t xml:space="preserve">141 subpunctul 2), după </w:t>
      </w:r>
      <w:r w:rsidR="00F7030E">
        <w:rPr>
          <w:sz w:val="28"/>
          <w:szCs w:val="28"/>
          <w:lang w:val="ro-RO" w:eastAsia="en-GB"/>
        </w:rPr>
        <w:t>textul</w:t>
      </w:r>
      <w:r w:rsidR="00546605" w:rsidRPr="00A84537">
        <w:rPr>
          <w:sz w:val="28"/>
          <w:szCs w:val="28"/>
          <w:lang w:val="ro-RO" w:eastAsia="en-GB"/>
        </w:rPr>
        <w:t xml:space="preserve"> </w:t>
      </w:r>
      <w:r w:rsidR="00F7030E">
        <w:rPr>
          <w:sz w:val="28"/>
          <w:szCs w:val="28"/>
          <w:lang w:val="ro-RO" w:eastAsia="en-GB"/>
        </w:rPr>
        <w:t>„</w:t>
      </w:r>
      <w:r w:rsidR="00546605" w:rsidRPr="00A84537">
        <w:rPr>
          <w:sz w:val="28"/>
          <w:szCs w:val="28"/>
          <w:lang w:val="ro-RO" w:eastAsia="en-GB"/>
        </w:rPr>
        <w:t>armonizate</w:t>
      </w:r>
      <w:r w:rsidR="00F7030E">
        <w:rPr>
          <w:sz w:val="28"/>
          <w:szCs w:val="28"/>
          <w:lang w:val="ro-RO" w:eastAsia="en-GB"/>
        </w:rPr>
        <w:t>,”</w:t>
      </w:r>
      <w:r w:rsidR="00546605" w:rsidRPr="00A84537">
        <w:rPr>
          <w:sz w:val="28"/>
          <w:szCs w:val="28"/>
          <w:lang w:val="ro-RO" w:eastAsia="en-GB"/>
        </w:rPr>
        <w:t xml:space="preserve"> se completează cu textul cu următorul cuprins: „menționate la punctul 51,”;</w:t>
      </w:r>
    </w:p>
    <w:p w14:paraId="3F76B9A9" w14:textId="77777777" w:rsidR="005469D3" w:rsidRDefault="005469D3" w:rsidP="007248FC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</w:p>
    <w:p w14:paraId="76A885FF" w14:textId="52D5B311" w:rsidR="00546605" w:rsidRPr="00A84537" w:rsidRDefault="00733658" w:rsidP="007248FC">
      <w:pPr>
        <w:tabs>
          <w:tab w:val="left" w:pos="284"/>
        </w:tabs>
        <w:spacing w:after="160" w:line="259" w:lineRule="auto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w</w:t>
      </w:r>
      <w:r w:rsidR="00546605" w:rsidRPr="00A84537">
        <w:rPr>
          <w:sz w:val="28"/>
          <w:szCs w:val="28"/>
          <w:lang w:val="ro-RO" w:eastAsia="en-GB"/>
        </w:rPr>
        <w:t xml:space="preserve">) după punctul 141 se </w:t>
      </w:r>
      <w:r w:rsidR="007248FC" w:rsidRPr="00A84537">
        <w:rPr>
          <w:sz w:val="28"/>
          <w:szCs w:val="28"/>
          <w:lang w:val="ro-RO" w:eastAsia="en-GB"/>
        </w:rPr>
        <w:t>i</w:t>
      </w:r>
      <w:r w:rsidR="00546605" w:rsidRPr="00A84537">
        <w:rPr>
          <w:sz w:val="28"/>
          <w:szCs w:val="28"/>
          <w:lang w:val="ro-RO"/>
        </w:rPr>
        <w:t xml:space="preserve">ntroduce </w:t>
      </w:r>
      <w:r w:rsidR="00D50761" w:rsidRPr="00A84537">
        <w:rPr>
          <w:sz w:val="28"/>
          <w:szCs w:val="28"/>
          <w:lang w:val="ro-RO"/>
        </w:rPr>
        <w:t>text</w:t>
      </w:r>
      <w:r w:rsidR="00546605" w:rsidRPr="00A84537">
        <w:rPr>
          <w:sz w:val="28"/>
          <w:szCs w:val="28"/>
          <w:lang w:val="ro-RO" w:eastAsia="en-GB"/>
        </w:rPr>
        <w:t>:</w:t>
      </w:r>
    </w:p>
    <w:p w14:paraId="6B7654C3" w14:textId="77777777" w:rsidR="00546605" w:rsidRPr="00A84537" w:rsidRDefault="00546605" w:rsidP="00546605">
      <w:pPr>
        <w:shd w:val="clear" w:color="auto" w:fill="FFFFFF"/>
        <w:spacing w:before="240" w:after="120" w:line="312" w:lineRule="atLeast"/>
        <w:rPr>
          <w:rFonts w:eastAsia="Arial Unicode MS"/>
          <w:b/>
          <w:bCs/>
          <w:color w:val="333333"/>
          <w:sz w:val="28"/>
          <w:szCs w:val="28"/>
          <w:lang w:val="ro-RO" w:eastAsia="en-GB"/>
        </w:rPr>
      </w:pPr>
      <w:r w:rsidRPr="00A84537">
        <w:rPr>
          <w:sz w:val="28"/>
          <w:szCs w:val="28"/>
          <w:lang w:val="ro-RO" w:eastAsia="en-GB"/>
        </w:rPr>
        <w:t>„</w:t>
      </w:r>
      <w:r w:rsidRPr="00A84537">
        <w:rPr>
          <w:rFonts w:eastAsia="Arial Unicode MS"/>
          <w:b/>
          <w:bCs/>
          <w:color w:val="333333"/>
          <w:sz w:val="28"/>
          <w:szCs w:val="28"/>
          <w:lang w:val="ro-RO" w:eastAsia="en-GB"/>
        </w:rPr>
        <w:t>Procedura de salvgardare</w:t>
      </w:r>
    </w:p>
    <w:p w14:paraId="359EBE3E" w14:textId="77777777" w:rsidR="00546605" w:rsidRPr="00A84537" w:rsidRDefault="00546605" w:rsidP="00546605">
      <w:pPr>
        <w:ind w:firstLine="567"/>
        <w:rPr>
          <w:sz w:val="28"/>
          <w:szCs w:val="28"/>
          <w:lang w:val="ro-RO" w:eastAsia="en-GB"/>
        </w:rPr>
      </w:pP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>141</w:t>
      </w:r>
      <w:r w:rsidRPr="00A84537">
        <w:rPr>
          <w:rFonts w:eastAsia="Arial Unicode MS"/>
          <w:b/>
          <w:color w:val="333333"/>
          <w:sz w:val="28"/>
          <w:szCs w:val="28"/>
          <w:vertAlign w:val="superscript"/>
          <w:lang w:val="ro-RO" w:eastAsia="en-GB"/>
        </w:rPr>
        <w:t>1</w:t>
      </w: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 xml:space="preserve">. </w:t>
      </w:r>
      <w:r w:rsidRPr="00A84537">
        <w:rPr>
          <w:sz w:val="28"/>
          <w:szCs w:val="28"/>
          <w:lang w:val="ro-RO" w:eastAsia="en-GB"/>
        </w:rPr>
        <w:t xml:space="preserve">În cazul în care, la finalizarea procedurii prevăzute la punctele 138 și 139, se ridică obiecții cu privire la măsuri luate sau în cazul în care Comisia Europeană consideră că o măsură națională contravine legislației Uniunii Europene, Ministerul Dezvoltării Economice și Digitalizării în comun cu Inspectoratul de Stat pentru Supravegherea Produselor Nealimentare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</w:t>
      </w:r>
      <w:proofErr w:type="spellStart"/>
      <w:r w:rsidRPr="00A84537">
        <w:rPr>
          <w:sz w:val="28"/>
          <w:szCs w:val="28"/>
          <w:lang w:val="ro-RO" w:eastAsia="en-GB"/>
        </w:rPr>
        <w:t>Protecţia</w:t>
      </w:r>
      <w:proofErr w:type="spellEnd"/>
      <w:r w:rsidRPr="00A84537">
        <w:rPr>
          <w:sz w:val="28"/>
          <w:szCs w:val="28"/>
          <w:lang w:val="ro-RO" w:eastAsia="en-GB"/>
        </w:rPr>
        <w:t xml:space="preserve"> Consumatorilor, la inițiativa Comisiei Europene, participă la consultări organizate de aceasta și evaluează măsura națională. Agenții economici </w:t>
      </w:r>
      <w:proofErr w:type="spellStart"/>
      <w:r w:rsidRPr="00A84537">
        <w:rPr>
          <w:sz w:val="28"/>
          <w:szCs w:val="28"/>
          <w:lang w:val="ro-RO" w:eastAsia="en-GB"/>
        </w:rPr>
        <w:t>relevanţi</w:t>
      </w:r>
      <w:proofErr w:type="spellEnd"/>
      <w:r w:rsidRPr="00A84537">
        <w:rPr>
          <w:sz w:val="28"/>
          <w:szCs w:val="28"/>
          <w:lang w:val="ro-RO" w:eastAsia="en-GB"/>
        </w:rPr>
        <w:t xml:space="preserve"> cooperează cu Inspectoratul de Stat pentru Supravegherea Produselor Nealimentare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</w:t>
      </w:r>
      <w:proofErr w:type="spellStart"/>
      <w:r w:rsidRPr="00A84537">
        <w:rPr>
          <w:sz w:val="28"/>
          <w:szCs w:val="28"/>
          <w:lang w:val="ro-RO" w:eastAsia="en-GB"/>
        </w:rPr>
        <w:t>Protecţia</w:t>
      </w:r>
      <w:proofErr w:type="spellEnd"/>
      <w:r w:rsidRPr="00A84537">
        <w:rPr>
          <w:sz w:val="28"/>
          <w:szCs w:val="28"/>
          <w:lang w:val="ro-RO" w:eastAsia="en-GB"/>
        </w:rPr>
        <w:t xml:space="preserve"> Consumatorilor în acest scop, dacă este necesar.</w:t>
      </w:r>
    </w:p>
    <w:p w14:paraId="25F51EAD" w14:textId="77777777" w:rsidR="00546605" w:rsidRPr="00A84537" w:rsidRDefault="00546605" w:rsidP="00546605">
      <w:pPr>
        <w:shd w:val="clear" w:color="auto" w:fill="FFFFFF"/>
        <w:ind w:firstLine="567"/>
        <w:rPr>
          <w:sz w:val="28"/>
          <w:szCs w:val="28"/>
          <w:lang w:val="ro-RO" w:eastAsia="en-GB"/>
        </w:rPr>
      </w:pP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>141</w:t>
      </w:r>
      <w:r w:rsidRPr="00A84537">
        <w:rPr>
          <w:rFonts w:eastAsia="Arial Unicode MS"/>
          <w:b/>
          <w:color w:val="333333"/>
          <w:sz w:val="28"/>
          <w:szCs w:val="28"/>
          <w:vertAlign w:val="superscript"/>
          <w:lang w:val="ro-RO" w:eastAsia="en-GB"/>
        </w:rPr>
        <w:t>2</w:t>
      </w: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 xml:space="preserve">. </w:t>
      </w:r>
      <w:r w:rsidRPr="00A84537">
        <w:rPr>
          <w:sz w:val="28"/>
          <w:szCs w:val="28"/>
          <w:lang w:val="ro-RO" w:eastAsia="en-GB"/>
        </w:rPr>
        <w:t xml:space="preserve">În cazul în care măsura este considerată justificată, Inspectoratul de Stat pentru Supravegherea Produselor Nealimentare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</w:t>
      </w:r>
      <w:proofErr w:type="spellStart"/>
      <w:r w:rsidRPr="00A84537">
        <w:rPr>
          <w:sz w:val="28"/>
          <w:szCs w:val="28"/>
          <w:lang w:val="ro-RO" w:eastAsia="en-GB"/>
        </w:rPr>
        <w:t>Protecţia</w:t>
      </w:r>
      <w:proofErr w:type="spellEnd"/>
      <w:r w:rsidRPr="00A84537">
        <w:rPr>
          <w:sz w:val="28"/>
          <w:szCs w:val="28"/>
          <w:lang w:val="ro-RO" w:eastAsia="en-GB"/>
        </w:rPr>
        <w:t xml:space="preserve"> Consumatorilor întreprinde măsurile necesare pentru a se asigura că jucăria neconformă este retrasă de pe </w:t>
      </w:r>
      <w:proofErr w:type="spellStart"/>
      <w:r w:rsidRPr="00A84537">
        <w:rPr>
          <w:sz w:val="28"/>
          <w:szCs w:val="28"/>
          <w:lang w:val="ro-RO" w:eastAsia="en-GB"/>
        </w:rPr>
        <w:t>piaţă</w:t>
      </w:r>
      <w:proofErr w:type="spellEnd"/>
      <w:r w:rsidRPr="00A84537">
        <w:rPr>
          <w:sz w:val="28"/>
          <w:szCs w:val="28"/>
          <w:lang w:val="ro-RO" w:eastAsia="en-GB"/>
        </w:rPr>
        <w:t xml:space="preserve">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informează Ministerul Dezvoltării Economice și Digitalizării în </w:t>
      </w:r>
      <w:proofErr w:type="spellStart"/>
      <w:r w:rsidRPr="00A84537">
        <w:rPr>
          <w:sz w:val="28"/>
          <w:szCs w:val="28"/>
          <w:lang w:val="ro-RO" w:eastAsia="en-GB"/>
        </w:rPr>
        <w:t>consecinţă</w:t>
      </w:r>
      <w:proofErr w:type="spellEnd"/>
      <w:r w:rsidRPr="00A84537">
        <w:rPr>
          <w:sz w:val="28"/>
          <w:szCs w:val="28"/>
          <w:lang w:val="ro-RO" w:eastAsia="en-GB"/>
        </w:rPr>
        <w:t>. Ministerul Dezvoltării Economice și Digitalizării informează Comisia Europeană privind măsurile luate.</w:t>
      </w:r>
    </w:p>
    <w:p w14:paraId="47A697A2" w14:textId="77777777" w:rsidR="00546605" w:rsidRPr="00A84537" w:rsidRDefault="00546605" w:rsidP="00546605">
      <w:pPr>
        <w:shd w:val="clear" w:color="auto" w:fill="FFFFFF"/>
        <w:ind w:firstLine="567"/>
        <w:rPr>
          <w:sz w:val="28"/>
          <w:szCs w:val="28"/>
          <w:lang w:val="ro-RO" w:eastAsia="en-GB"/>
        </w:rPr>
      </w:pP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>141</w:t>
      </w:r>
      <w:r w:rsidRPr="00A84537">
        <w:rPr>
          <w:rFonts w:eastAsia="Arial Unicode MS"/>
          <w:b/>
          <w:color w:val="333333"/>
          <w:sz w:val="28"/>
          <w:szCs w:val="28"/>
          <w:vertAlign w:val="superscript"/>
          <w:lang w:val="ro-RO" w:eastAsia="en-GB"/>
        </w:rPr>
        <w:t>3</w:t>
      </w:r>
      <w:r w:rsidRPr="00A84537">
        <w:rPr>
          <w:rFonts w:eastAsia="Arial Unicode MS"/>
          <w:b/>
          <w:color w:val="333333"/>
          <w:sz w:val="28"/>
          <w:szCs w:val="28"/>
          <w:lang w:val="ro-RO" w:eastAsia="en-GB"/>
        </w:rPr>
        <w:t>.</w:t>
      </w:r>
      <w:r w:rsidRPr="00A84537">
        <w:rPr>
          <w:rFonts w:eastAsia="Calibri"/>
          <w:sz w:val="28"/>
          <w:szCs w:val="28"/>
          <w:lang w:val="ro-MD"/>
        </w:rPr>
        <w:t xml:space="preserve"> În cazul în care măsura este considerată nejustificată, </w:t>
      </w:r>
      <w:r w:rsidRPr="00A84537">
        <w:rPr>
          <w:sz w:val="28"/>
          <w:szCs w:val="28"/>
          <w:lang w:val="ro-RO" w:eastAsia="en-GB"/>
        </w:rPr>
        <w:t xml:space="preserve">Inspectoratul de Stat pentru Supravegherea Produselor Nealimentare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</w:t>
      </w:r>
      <w:proofErr w:type="spellStart"/>
      <w:r w:rsidRPr="00A84537">
        <w:rPr>
          <w:sz w:val="28"/>
          <w:szCs w:val="28"/>
          <w:lang w:val="ro-RO" w:eastAsia="en-GB"/>
        </w:rPr>
        <w:t>Protecţia</w:t>
      </w:r>
      <w:proofErr w:type="spellEnd"/>
      <w:r w:rsidRPr="00A84537">
        <w:rPr>
          <w:sz w:val="28"/>
          <w:szCs w:val="28"/>
          <w:lang w:val="ro-RO" w:eastAsia="en-GB"/>
        </w:rPr>
        <w:t xml:space="preserve"> Consumatorilor</w:t>
      </w:r>
      <w:r w:rsidRPr="00A84537">
        <w:rPr>
          <w:rFonts w:eastAsia="Calibri"/>
          <w:sz w:val="28"/>
          <w:szCs w:val="28"/>
          <w:lang w:val="ro-MD"/>
        </w:rPr>
        <w:t xml:space="preserve"> retrage această măsură.</w:t>
      </w:r>
    </w:p>
    <w:p w14:paraId="3736774E" w14:textId="19B9E916" w:rsidR="003538D9" w:rsidRPr="00D50761" w:rsidRDefault="00546605" w:rsidP="007248FC">
      <w:pPr>
        <w:shd w:val="clear" w:color="auto" w:fill="FFFFFF"/>
        <w:ind w:firstLine="567"/>
        <w:rPr>
          <w:rFonts w:eastAsia="Calibri"/>
          <w:sz w:val="28"/>
          <w:szCs w:val="28"/>
          <w:lang w:val="ro-MD"/>
        </w:rPr>
      </w:pPr>
      <w:r w:rsidRPr="00A84537">
        <w:rPr>
          <w:rFonts w:eastAsia="Calibri"/>
          <w:b/>
          <w:sz w:val="28"/>
          <w:szCs w:val="28"/>
          <w:lang w:val="ro-MD"/>
        </w:rPr>
        <w:t>141</w:t>
      </w:r>
      <w:r w:rsidRPr="00A84537">
        <w:rPr>
          <w:rFonts w:eastAsia="Calibri"/>
          <w:b/>
          <w:sz w:val="28"/>
          <w:szCs w:val="28"/>
          <w:vertAlign w:val="superscript"/>
          <w:lang w:val="ro-MD"/>
        </w:rPr>
        <w:t>4</w:t>
      </w:r>
      <w:r w:rsidRPr="00A84537">
        <w:rPr>
          <w:rFonts w:eastAsia="Calibri"/>
          <w:b/>
          <w:sz w:val="28"/>
          <w:szCs w:val="28"/>
          <w:lang w:val="ro-MD"/>
        </w:rPr>
        <w:t xml:space="preserve">. </w:t>
      </w:r>
      <w:r w:rsidRPr="00A84537">
        <w:rPr>
          <w:sz w:val="28"/>
          <w:szCs w:val="28"/>
          <w:lang w:val="ro-RO" w:eastAsia="en-GB"/>
        </w:rPr>
        <w:t xml:space="preserve">În cazul în care măsura </w:t>
      </w:r>
      <w:proofErr w:type="spellStart"/>
      <w:r w:rsidRPr="00A84537">
        <w:rPr>
          <w:sz w:val="28"/>
          <w:szCs w:val="28"/>
          <w:lang w:val="ro-RO" w:eastAsia="en-GB"/>
        </w:rPr>
        <w:t>naţională</w:t>
      </w:r>
      <w:proofErr w:type="spellEnd"/>
      <w:r w:rsidRPr="00A84537">
        <w:rPr>
          <w:sz w:val="28"/>
          <w:szCs w:val="28"/>
          <w:lang w:val="ro-RO" w:eastAsia="en-GB"/>
        </w:rPr>
        <w:t xml:space="preserve"> este considerată justificată, iar neconformitatea jucăriei este atribuită unor </w:t>
      </w:r>
      <w:proofErr w:type="spellStart"/>
      <w:r w:rsidRPr="00A84537">
        <w:rPr>
          <w:sz w:val="28"/>
          <w:szCs w:val="28"/>
          <w:lang w:val="ro-RO" w:eastAsia="en-GB"/>
        </w:rPr>
        <w:t>deficienţe</w:t>
      </w:r>
      <w:proofErr w:type="spellEnd"/>
      <w:r w:rsidRPr="00A84537">
        <w:rPr>
          <w:sz w:val="28"/>
          <w:szCs w:val="28"/>
          <w:lang w:val="ro-RO" w:eastAsia="en-GB"/>
        </w:rPr>
        <w:t xml:space="preserve"> ale standardelor </w:t>
      </w:r>
      <w:proofErr w:type="spellStart"/>
      <w:r w:rsidRPr="00A84537">
        <w:rPr>
          <w:sz w:val="28"/>
          <w:szCs w:val="28"/>
          <w:lang w:val="ro-RO" w:eastAsia="en-GB"/>
        </w:rPr>
        <w:t>menţionate</w:t>
      </w:r>
      <w:proofErr w:type="spellEnd"/>
      <w:r w:rsidRPr="00A84537">
        <w:rPr>
          <w:sz w:val="28"/>
          <w:szCs w:val="28"/>
          <w:lang w:val="ro-RO" w:eastAsia="en-GB"/>
        </w:rPr>
        <w:t xml:space="preserve"> la punctul 141, Ministerul Dezvoltării Economice </w:t>
      </w:r>
      <w:proofErr w:type="spellStart"/>
      <w:r w:rsidRPr="00A84537">
        <w:rPr>
          <w:sz w:val="28"/>
          <w:szCs w:val="28"/>
          <w:lang w:val="ro-RO" w:eastAsia="en-GB"/>
        </w:rPr>
        <w:t>şi</w:t>
      </w:r>
      <w:proofErr w:type="spellEnd"/>
      <w:r w:rsidRPr="00A84537">
        <w:rPr>
          <w:sz w:val="28"/>
          <w:szCs w:val="28"/>
          <w:lang w:val="ro-RO" w:eastAsia="en-GB"/>
        </w:rPr>
        <w:t xml:space="preserve"> Digitalizării informează în acest sens Comisia Europeană.”;</w:t>
      </w:r>
    </w:p>
    <w:p w14:paraId="05013367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31A059C8" w14:textId="164C7206" w:rsidR="00482D56" w:rsidRPr="00D50761" w:rsidRDefault="00733658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x</w:t>
      </w:r>
      <w:r w:rsidR="00546605" w:rsidRPr="00D50761">
        <w:rPr>
          <w:sz w:val="28"/>
          <w:szCs w:val="28"/>
          <w:lang w:val="ro-RO" w:eastAsia="en-GB"/>
        </w:rPr>
        <w:t>)</w:t>
      </w:r>
      <w:r w:rsidR="00482D56" w:rsidRPr="00D50761">
        <w:rPr>
          <w:sz w:val="28"/>
          <w:szCs w:val="28"/>
          <w:lang w:val="ro-RO" w:eastAsia="en-GB"/>
        </w:rPr>
        <w:t xml:space="preserve"> la Anexa nr. 2</w:t>
      </w:r>
      <w:r w:rsidR="00DE2B68">
        <w:rPr>
          <w:sz w:val="28"/>
          <w:szCs w:val="28"/>
          <w:lang w:val="ro-RO" w:eastAsia="en-GB"/>
        </w:rPr>
        <w:t xml:space="preserve"> din Reglementarea tehnică</w:t>
      </w:r>
      <w:r w:rsidR="00D50761" w:rsidRPr="00D50761">
        <w:rPr>
          <w:sz w:val="28"/>
          <w:szCs w:val="28"/>
          <w:lang w:val="ro-RO" w:eastAsia="en-GB"/>
        </w:rPr>
        <w:t>:</w:t>
      </w:r>
    </w:p>
    <w:p w14:paraId="15F3688F" w14:textId="3FB34CD8" w:rsidR="009A0D22" w:rsidRPr="00D50761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T</w:t>
      </w:r>
      <w:r w:rsidR="007248FC" w:rsidRPr="00D50761">
        <w:rPr>
          <w:sz w:val="28"/>
          <w:szCs w:val="28"/>
          <w:lang w:val="ro-RO" w:eastAsia="en-GB"/>
        </w:rPr>
        <w:t xml:space="preserve">abelul 1 se completează cu pozițiile 56-58 cu următorul </w:t>
      </w:r>
      <w:r w:rsidR="00D50761" w:rsidRPr="00D50761">
        <w:rPr>
          <w:sz w:val="28"/>
          <w:szCs w:val="28"/>
          <w:lang w:val="ro-RO" w:eastAsia="en-GB"/>
        </w:rPr>
        <w:t>text</w:t>
      </w:r>
      <w:r w:rsidR="007248FC" w:rsidRPr="00D50761">
        <w:rPr>
          <w:sz w:val="28"/>
          <w:szCs w:val="28"/>
          <w:lang w:val="ro-RO" w:eastAsia="en-GB"/>
        </w:rPr>
        <w:t>:</w:t>
      </w:r>
    </w:p>
    <w:tbl>
      <w:tblPr>
        <w:tblpPr w:leftFromText="180" w:rightFromText="180" w:vertAnchor="text" w:tblpY="1"/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7341"/>
        <w:gridCol w:w="1558"/>
      </w:tblGrid>
      <w:tr w:rsidR="007248FC" w:rsidRPr="00D50761" w14:paraId="3D9934CB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F7326F" w14:textId="5F899AF4" w:rsidR="007248FC" w:rsidRPr="00D50761" w:rsidRDefault="007248FC" w:rsidP="007248FC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56</w:t>
            </w:r>
            <w:r w:rsidR="00FC531F">
              <w:rPr>
                <w:sz w:val="28"/>
                <w:szCs w:val="28"/>
                <w:lang w:val="ro-RO" w:eastAsia="en-GB"/>
              </w:rPr>
              <w:t>.</w:t>
            </w:r>
          </w:p>
        </w:tc>
        <w:tc>
          <w:tcPr>
            <w:tcW w:w="3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56B73F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D50761">
              <w:rPr>
                <w:sz w:val="28"/>
                <w:szCs w:val="28"/>
                <w:lang w:val="ro-RO" w:eastAsia="en-GB"/>
              </w:rPr>
              <w:t>Atranol</w:t>
            </w:r>
            <w:proofErr w:type="spellEnd"/>
            <w:r w:rsidRPr="00D50761">
              <w:rPr>
                <w:sz w:val="28"/>
                <w:szCs w:val="28"/>
                <w:lang w:val="ro-RO" w:eastAsia="en-GB"/>
              </w:rPr>
              <w:t xml:space="preserve"> (2,6-dihidroxi-4-metil-benzaldehidă)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C0CD84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526-37-4</w:t>
            </w:r>
          </w:p>
        </w:tc>
      </w:tr>
      <w:tr w:rsidR="007248FC" w:rsidRPr="00D50761" w14:paraId="46FEC878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8B228B" w14:textId="3D0A67DF" w:rsidR="007248FC" w:rsidRPr="00D50761" w:rsidRDefault="007248FC" w:rsidP="007248FC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57</w:t>
            </w:r>
            <w:r w:rsidR="00FC531F">
              <w:rPr>
                <w:sz w:val="28"/>
                <w:szCs w:val="28"/>
                <w:lang w:val="ro-RO" w:eastAsia="en-GB"/>
              </w:rPr>
              <w:t>.</w:t>
            </w:r>
          </w:p>
        </w:tc>
        <w:tc>
          <w:tcPr>
            <w:tcW w:w="3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B8FD53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D50761">
              <w:rPr>
                <w:sz w:val="28"/>
                <w:szCs w:val="28"/>
                <w:lang w:val="ro-RO" w:eastAsia="en-GB"/>
              </w:rPr>
              <w:t>Cloroatranol</w:t>
            </w:r>
            <w:proofErr w:type="spellEnd"/>
            <w:r w:rsidRPr="00D50761">
              <w:rPr>
                <w:sz w:val="28"/>
                <w:szCs w:val="28"/>
                <w:lang w:val="ro-RO" w:eastAsia="en-GB"/>
              </w:rPr>
              <w:t xml:space="preserve"> (3-cloro-2,6-dihidroxi-4-metil-benzaldehidă)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DB0FED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57074-21-2</w:t>
            </w:r>
          </w:p>
        </w:tc>
      </w:tr>
      <w:tr w:rsidR="007248FC" w:rsidRPr="00D50761" w14:paraId="456E61F0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5D8779" w14:textId="533F98B2" w:rsidR="007248FC" w:rsidRPr="00D50761" w:rsidRDefault="007248FC" w:rsidP="007248FC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58</w:t>
            </w:r>
            <w:r w:rsidR="00FC531F">
              <w:rPr>
                <w:sz w:val="28"/>
                <w:szCs w:val="28"/>
                <w:lang w:val="ro-RO" w:eastAsia="en-GB"/>
              </w:rPr>
              <w:t>.</w:t>
            </w:r>
          </w:p>
        </w:tc>
        <w:tc>
          <w:tcPr>
            <w:tcW w:w="3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230BAB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 xml:space="preserve">Metil </w:t>
            </w:r>
            <w:proofErr w:type="spellStart"/>
            <w:r w:rsidRPr="00D50761">
              <w:rPr>
                <w:sz w:val="28"/>
                <w:szCs w:val="28"/>
                <w:lang w:val="ro-RO" w:eastAsia="en-GB"/>
              </w:rPr>
              <w:t>heptin</w:t>
            </w:r>
            <w:proofErr w:type="spellEnd"/>
            <w:r w:rsidRPr="00D50761">
              <w:rPr>
                <w:sz w:val="28"/>
                <w:szCs w:val="28"/>
                <w:lang w:val="ro-RO" w:eastAsia="en-GB"/>
              </w:rPr>
              <w:t xml:space="preserve"> carbonat</w:t>
            </w:r>
          </w:p>
        </w:tc>
        <w:tc>
          <w:tcPr>
            <w:tcW w:w="8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836960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111-12-6</w:t>
            </w:r>
          </w:p>
        </w:tc>
      </w:tr>
    </w:tbl>
    <w:p w14:paraId="1A1DA3C1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672A4A33" w14:textId="3B52F378" w:rsidR="00912767" w:rsidRDefault="00912767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T</w:t>
      </w:r>
      <w:r w:rsidR="007248FC" w:rsidRPr="00D50761">
        <w:rPr>
          <w:sz w:val="28"/>
          <w:szCs w:val="28"/>
          <w:lang w:val="ro-RO" w:eastAsia="en-GB"/>
        </w:rPr>
        <w:t>abelul 2</w:t>
      </w:r>
      <w:r>
        <w:rPr>
          <w:sz w:val="28"/>
          <w:szCs w:val="28"/>
          <w:lang w:val="ro-RO" w:eastAsia="en-GB"/>
        </w:rPr>
        <w:t>:</w:t>
      </w:r>
      <w:r w:rsidRPr="00912767">
        <w:rPr>
          <w:sz w:val="28"/>
          <w:szCs w:val="28"/>
          <w:lang w:val="ro-RO" w:eastAsia="en-GB"/>
        </w:rPr>
        <w:t xml:space="preserve"> </w:t>
      </w:r>
    </w:p>
    <w:p w14:paraId="64137CE1" w14:textId="4E47D68C" w:rsidR="00912767" w:rsidRPr="00D50761" w:rsidRDefault="00912767" w:rsidP="00912767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 xml:space="preserve">poziția 4 </w:t>
      </w:r>
      <w:r w:rsidRPr="00D50761">
        <w:rPr>
          <w:sz w:val="28"/>
          <w:szCs w:val="28"/>
          <w:lang w:val="ro-RO" w:eastAsia="en-GB"/>
        </w:rPr>
        <w:t>v</w:t>
      </w:r>
      <w:r>
        <w:rPr>
          <w:sz w:val="28"/>
          <w:szCs w:val="28"/>
          <w:lang w:val="ro-RO" w:eastAsia="en-GB"/>
        </w:rPr>
        <w:t>a</w:t>
      </w:r>
      <w:r w:rsidRPr="00D50761">
        <w:rPr>
          <w:sz w:val="28"/>
          <w:szCs w:val="28"/>
          <w:lang w:val="ro-RO" w:eastAsia="en-GB"/>
        </w:rPr>
        <w:t xml:space="preserve"> avea următorul cuprins:</w:t>
      </w:r>
    </w:p>
    <w:tbl>
      <w:tblPr>
        <w:tblW w:w="4993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4807"/>
        <w:gridCol w:w="3815"/>
      </w:tblGrid>
      <w:tr w:rsidR="00912767" w:rsidRPr="00D50761" w14:paraId="6B257814" w14:textId="77777777" w:rsidTr="00912767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AAA8BE" w14:textId="2E464062" w:rsidR="00912767" w:rsidRPr="00912767" w:rsidRDefault="00912767" w:rsidP="00912767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912767">
              <w:rPr>
                <w:sz w:val="28"/>
                <w:szCs w:val="28"/>
                <w:lang w:val="ro-RO" w:eastAsia="en-GB"/>
              </w:rPr>
              <w:t>4.</w:t>
            </w:r>
          </w:p>
        </w:tc>
        <w:tc>
          <w:tcPr>
            <w:tcW w:w="2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8552B" w14:textId="7D8EFDB3" w:rsidR="00912767" w:rsidRPr="00912767" w:rsidRDefault="00912767" w:rsidP="00912767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912767">
              <w:rPr>
                <w:sz w:val="28"/>
                <w:szCs w:val="28"/>
                <w:lang w:val="ro-RO" w:eastAsia="en-GB"/>
              </w:rPr>
              <w:t>Citronellol</w:t>
            </w:r>
            <w:proofErr w:type="spellEnd"/>
          </w:p>
        </w:tc>
        <w:tc>
          <w:tcPr>
            <w:tcW w:w="2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22DA83" w14:textId="408531A4" w:rsidR="00912767" w:rsidRPr="00912767" w:rsidRDefault="00912767" w:rsidP="00912767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912767">
              <w:rPr>
                <w:sz w:val="28"/>
                <w:szCs w:val="28"/>
                <w:lang w:val="ro-RO" w:eastAsia="en-GB"/>
              </w:rPr>
              <w:t>106-22-9; 1117-61-9; 7540-51-4</w:t>
            </w:r>
          </w:p>
        </w:tc>
      </w:tr>
    </w:tbl>
    <w:p w14:paraId="20FA3001" w14:textId="77777777" w:rsidR="00912767" w:rsidRDefault="00FC531F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poziția 10 se exclude</w:t>
      </w:r>
      <w:r w:rsidR="00912767">
        <w:rPr>
          <w:sz w:val="28"/>
          <w:szCs w:val="28"/>
          <w:lang w:val="ro-RO" w:eastAsia="en-GB"/>
        </w:rPr>
        <w:t>;</w:t>
      </w:r>
    </w:p>
    <w:p w14:paraId="3AC9C486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311A015B" w14:textId="440D969A" w:rsidR="00546605" w:rsidRDefault="00FC531F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se com</w:t>
      </w:r>
      <w:r w:rsidR="00912767">
        <w:rPr>
          <w:sz w:val="28"/>
          <w:szCs w:val="28"/>
          <w:lang w:val="ro-RO" w:eastAsia="en-GB"/>
        </w:rPr>
        <w:t>p</w:t>
      </w:r>
      <w:r>
        <w:rPr>
          <w:sz w:val="28"/>
          <w:szCs w:val="28"/>
          <w:lang w:val="ro-RO" w:eastAsia="en-GB"/>
        </w:rPr>
        <w:t>letează cu pozițiile 11-72 cu u</w:t>
      </w:r>
      <w:r w:rsidR="007248FC" w:rsidRPr="00D50761">
        <w:rPr>
          <w:sz w:val="28"/>
          <w:szCs w:val="28"/>
          <w:lang w:val="ro-RO" w:eastAsia="en-GB"/>
        </w:rPr>
        <w:t xml:space="preserve">rmătorul </w:t>
      </w:r>
      <w:r>
        <w:rPr>
          <w:sz w:val="28"/>
          <w:szCs w:val="28"/>
          <w:lang w:val="ro-RO" w:eastAsia="en-GB"/>
        </w:rPr>
        <w:t>text</w:t>
      </w:r>
      <w:r w:rsidR="007248FC" w:rsidRPr="00D50761">
        <w:rPr>
          <w:sz w:val="28"/>
          <w:szCs w:val="28"/>
          <w:lang w:val="ro-RO" w:eastAsia="en-GB"/>
        </w:rPr>
        <w:t>:</w:t>
      </w:r>
    </w:p>
    <w:tbl>
      <w:tblPr>
        <w:tblW w:w="523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5764"/>
        <w:gridCol w:w="3352"/>
      </w:tblGrid>
      <w:tr w:rsidR="007248FC" w:rsidRPr="00D50761" w14:paraId="70A14FD6" w14:textId="77777777" w:rsidTr="00A27F14">
        <w:trPr>
          <w:jc w:val="center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53ADB6" w14:textId="77777777" w:rsidR="00912767" w:rsidRDefault="007248FC" w:rsidP="00912767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en-GB"/>
              </w:rPr>
            </w:pPr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t>Nr.</w:t>
            </w:r>
          </w:p>
          <w:p w14:paraId="7BC2136A" w14:textId="263C265D" w:rsidR="007248FC" w:rsidRPr="00D50761" w:rsidRDefault="007248FC" w:rsidP="00912767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en-GB"/>
              </w:rPr>
            </w:pPr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lastRenderedPageBreak/>
              <w:t>crt.</w:t>
            </w:r>
          </w:p>
        </w:tc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6FD699" w14:textId="77777777" w:rsidR="007248FC" w:rsidRPr="00D50761" w:rsidRDefault="007248FC" w:rsidP="007248FC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en-GB"/>
              </w:rPr>
            </w:pPr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lastRenderedPageBreak/>
              <w:t xml:space="preserve">Denumirea </w:t>
            </w:r>
            <w:proofErr w:type="spellStart"/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t>substanţei</w:t>
            </w:r>
            <w:proofErr w:type="spellEnd"/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t xml:space="preserve"> de parfumare alergene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88869E" w14:textId="77777777" w:rsidR="007248FC" w:rsidRPr="00D50761" w:rsidRDefault="007248FC" w:rsidP="007248FC">
            <w:pPr>
              <w:ind w:firstLine="0"/>
              <w:jc w:val="center"/>
              <w:rPr>
                <w:b/>
                <w:bCs/>
                <w:sz w:val="28"/>
                <w:szCs w:val="28"/>
                <w:lang w:val="ro-RO" w:eastAsia="en-GB"/>
              </w:rPr>
            </w:pPr>
            <w:r w:rsidRPr="00D50761">
              <w:rPr>
                <w:b/>
                <w:bCs/>
                <w:sz w:val="28"/>
                <w:szCs w:val="28"/>
                <w:lang w:val="ro-RO" w:eastAsia="en-GB"/>
              </w:rPr>
              <w:t>Numărul CAS</w:t>
            </w:r>
          </w:p>
        </w:tc>
      </w:tr>
      <w:tr w:rsidR="007248FC" w:rsidRPr="00D50761" w14:paraId="19687CEB" w14:textId="77777777" w:rsidTr="00A27F1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3CDC1E" w14:textId="77777777" w:rsidR="007248FC" w:rsidRPr="00FC531F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sz w:val="28"/>
                <w:szCs w:val="28"/>
                <w:lang w:val="ro-RO" w:eastAsia="en-GB"/>
              </w:rPr>
              <w:t>11.</w:t>
            </w:r>
          </w:p>
        </w:tc>
        <w:tc>
          <w:tcPr>
            <w:tcW w:w="2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D53C1E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sz w:val="28"/>
                <w:szCs w:val="28"/>
                <w:lang w:val="ro-RO" w:eastAsia="en-GB"/>
              </w:rPr>
              <w:t>3-metil-4-(2,6,6-trimetil-2-ciclohexen-1-il)-3-buten-2-onă</w:t>
            </w:r>
          </w:p>
        </w:tc>
        <w:tc>
          <w:tcPr>
            <w:tcW w:w="17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04735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sz w:val="28"/>
                <w:szCs w:val="28"/>
                <w:lang w:val="ro-RO" w:eastAsia="en-GB"/>
              </w:rPr>
              <w:t>127-51-5</w:t>
            </w:r>
          </w:p>
        </w:tc>
      </w:tr>
      <w:tr w:rsidR="007248FC" w:rsidRPr="00D50761" w14:paraId="4EFFD44F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8D13D8" w14:textId="13B332D4" w:rsidR="007248FC" w:rsidRPr="00FC531F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12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3F2275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Acetilcedren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19A5F1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32388-55-9</w:t>
            </w:r>
          </w:p>
        </w:tc>
      </w:tr>
      <w:tr w:rsidR="007248FC" w:rsidRPr="00D50761" w14:paraId="43DFCD73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80B8A9" w14:textId="7FACFDD8" w:rsidR="007248FC" w:rsidRPr="00FC531F" w:rsidRDefault="00FC531F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13.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38FCB1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Salicilat de amil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2EF37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2050-08-0</w:t>
            </w:r>
          </w:p>
        </w:tc>
      </w:tr>
      <w:tr w:rsidR="007248FC" w:rsidRPr="00D50761" w14:paraId="6E96995D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D97EA7" w14:textId="0A3AADFE" w:rsidR="007248FC" w:rsidRPr="00FC531F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14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DCD09D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trans-</w:t>
            </w:r>
            <w:proofErr w:type="spellStart"/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Anetol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3C124A" w14:textId="77777777" w:rsidR="007248FC" w:rsidRPr="00FC531F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4180-23-8</w:t>
            </w:r>
          </w:p>
        </w:tc>
      </w:tr>
      <w:tr w:rsidR="007248FC" w:rsidRPr="00D50761" w14:paraId="056D6E8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8687FD" w14:textId="73069B88" w:rsidR="007248FC" w:rsidRPr="00D50761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15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1BAA7C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Benzaldehidă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682C04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100-52-7</w:t>
            </w:r>
          </w:p>
        </w:tc>
      </w:tr>
      <w:tr w:rsidR="007248FC" w:rsidRPr="00D50761" w14:paraId="6B0AEE3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36A336" w14:textId="50884058" w:rsidR="007248FC" w:rsidRPr="00D50761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16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202ADB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Camfor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18DE0A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76-22-2; 464-49-3</w:t>
            </w:r>
          </w:p>
        </w:tc>
      </w:tr>
      <w:tr w:rsidR="007248FC" w:rsidRPr="00D50761" w14:paraId="0037109E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627460" w14:textId="706910F0" w:rsidR="007248FC" w:rsidRPr="00D50761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17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175506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Carvonă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25B254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99-49-0; 6485-40-1; 2244-16-8</w:t>
            </w:r>
          </w:p>
        </w:tc>
      </w:tr>
      <w:tr w:rsidR="007248FC" w:rsidRPr="00D50761" w14:paraId="1E45F931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85378B" w14:textId="20651F54" w:rsidR="007248FC" w:rsidRPr="00D50761" w:rsidRDefault="007248FC" w:rsidP="00FC531F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18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B0A78A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beta-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Cariofilen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(oxid)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182B68" w14:textId="77777777" w:rsidR="007248FC" w:rsidRPr="00D50761" w:rsidRDefault="007248FC" w:rsidP="007248FC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87-44-5</w:t>
            </w:r>
          </w:p>
        </w:tc>
      </w:tr>
      <w:tr w:rsidR="007248FC" w:rsidRPr="00D50761" w14:paraId="2B1A7BD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75A06B" w14:textId="35A02FAC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19.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981DFC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Cetonă de trandafir -4 (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damascenonă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C322C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23696-85-7</w:t>
            </w:r>
          </w:p>
        </w:tc>
      </w:tr>
      <w:tr w:rsidR="007248FC" w:rsidRPr="00D50761" w14:paraId="01ED478F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0DED01" w14:textId="4EA882A5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A098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alfa-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Damasconă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(TMCHB)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5CEC9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43052-87-5; 23726-94-5</w:t>
            </w:r>
          </w:p>
        </w:tc>
      </w:tr>
      <w:tr w:rsidR="007248FC" w:rsidRPr="00D50761" w14:paraId="5A0EFA5D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EDF3E" w14:textId="5B256AE7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26FA0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-beta-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Damasconă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2F1B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23726-92-3</w:t>
            </w:r>
          </w:p>
        </w:tc>
      </w:tr>
      <w:tr w:rsidR="007248FC" w:rsidRPr="00D50761" w14:paraId="077516AA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A7A8ED" w14:textId="21DEB636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22.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0853E1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delta-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Damasconă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86B90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57378-68-4</w:t>
            </w:r>
          </w:p>
        </w:tc>
      </w:tr>
      <w:tr w:rsidR="007248FC" w:rsidRPr="00D50761" w14:paraId="009F1777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F3386C" w14:textId="2BB2BC39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23.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C857B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Acetat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dimetilbenzil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carbinil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(DMBCA)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997B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151-05-3</w:t>
            </w:r>
          </w:p>
        </w:tc>
      </w:tr>
      <w:tr w:rsidR="007248FC" w:rsidRPr="00D50761" w14:paraId="53BBCBE0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53CF9F" w14:textId="2E8A9FAA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24.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510B1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Hexadecanolactonă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2327D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109-29-5</w:t>
            </w:r>
          </w:p>
        </w:tc>
      </w:tr>
      <w:tr w:rsidR="007248FC" w:rsidRPr="00D50761" w14:paraId="6EB1EE73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8944BD" w14:textId="3D482BC2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25.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1EE3D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Hexametilindanopiran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18BA5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1222-05-5</w:t>
            </w:r>
          </w:p>
        </w:tc>
      </w:tr>
      <w:tr w:rsidR="007248FC" w:rsidRPr="00D50761" w14:paraId="3BAB2596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15B73A" w14:textId="1ECA6662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26.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22F2E1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(DL)-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Limonenă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CC6E2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138-86-3</w:t>
            </w:r>
          </w:p>
        </w:tc>
      </w:tr>
      <w:tr w:rsidR="007248FC" w:rsidRPr="00D50761" w14:paraId="168244C5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CDCDA6" w14:textId="0932ACD8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27.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57313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Acetat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linalil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07277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115-95-7</w:t>
            </w:r>
          </w:p>
        </w:tc>
      </w:tr>
      <w:tr w:rsidR="007248FC" w:rsidRPr="00D50761" w14:paraId="1C4EE30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94FE21" w14:textId="58FCAE6D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28.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E5F32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Mentol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AF189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1490-04-6; 89-78-1; 2216-51-5</w:t>
            </w:r>
          </w:p>
        </w:tc>
      </w:tr>
      <w:tr w:rsidR="007248FC" w:rsidRPr="00D50761" w14:paraId="73C406D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6911D0" w14:textId="4044E73B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29.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DD12D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Salicilat de metil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29418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119-36-8</w:t>
            </w:r>
          </w:p>
        </w:tc>
      </w:tr>
      <w:tr w:rsidR="007248FC" w:rsidRPr="00D50761" w14:paraId="19647AA6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47AA1E" w14:textId="4EA3D966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56215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3-metil-5-(2,2,3-trimetil-3-ciclopenten-1-il)pent-4-en-2-ol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498AF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67801-20-1</w:t>
            </w:r>
          </w:p>
        </w:tc>
      </w:tr>
      <w:tr w:rsidR="007248FC" w:rsidRPr="00D50761" w14:paraId="7B48424B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C1FB23" w14:textId="714D1CD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CC367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alfa-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Pinen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5281B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80-56-8</w:t>
            </w:r>
          </w:p>
        </w:tc>
      </w:tr>
      <w:tr w:rsidR="007248FC" w:rsidRPr="00D50761" w14:paraId="5234420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242325" w14:textId="5999D60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32.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650B7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beta-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Pinen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76E4C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127-91-3</w:t>
            </w:r>
          </w:p>
        </w:tc>
      </w:tr>
      <w:tr w:rsidR="007248FC" w:rsidRPr="00D50761" w14:paraId="3C2ED76B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D69B54" w14:textId="2959766E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33.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11BE9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Propiliden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ftalidă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CA190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17369-59-4</w:t>
            </w:r>
          </w:p>
        </w:tc>
      </w:tr>
      <w:tr w:rsidR="007248FC" w:rsidRPr="00D50761" w14:paraId="0983068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0AEE59" w14:textId="72AB9434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34.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66BB4C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Aldehidă salicilică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2C534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90-02-8</w:t>
            </w:r>
          </w:p>
        </w:tc>
      </w:tr>
      <w:tr w:rsidR="007248FC" w:rsidRPr="00D50761" w14:paraId="4F9BDF61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9E7D68" w14:textId="2FB0DE2B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35.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3DA4C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alfa-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Santalol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E6F6E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115-71-9</w:t>
            </w:r>
          </w:p>
        </w:tc>
      </w:tr>
      <w:tr w:rsidR="007248FC" w:rsidRPr="00D50761" w14:paraId="7C443B3E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D55AB1" w14:textId="6AB1FDF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36.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04F29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beta-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Santalol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DB973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77-42-9</w:t>
            </w:r>
          </w:p>
        </w:tc>
      </w:tr>
      <w:tr w:rsidR="007248FC" w:rsidRPr="00D50761" w14:paraId="5643E41A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A1B0CF" w14:textId="0F4AB0E5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37.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08D5A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Sclareol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F878E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515-03-7</w:t>
            </w:r>
          </w:p>
        </w:tc>
      </w:tr>
      <w:tr w:rsidR="007248FC" w:rsidRPr="00D50761" w14:paraId="723B6DD0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92A8A5" w14:textId="1A398C62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38.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5C645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alfa-Terpinol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81F90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10482-56-1; 98-55-5</w:t>
            </w:r>
          </w:p>
        </w:tc>
      </w:tr>
      <w:tr w:rsidR="007248FC" w:rsidRPr="00D50761" w14:paraId="46BBDF83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F0B075" w14:textId="78B734DB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39.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AE737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Terpineol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(amestec de izomeri)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90528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8000-41-7</w:t>
            </w:r>
          </w:p>
        </w:tc>
      </w:tr>
      <w:tr w:rsidR="007248FC" w:rsidRPr="00D50761" w14:paraId="39B29A04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7A7AD5" w14:textId="0D798EDA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719D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Terpinolenă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372C7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586-62-9</w:t>
            </w:r>
          </w:p>
        </w:tc>
      </w:tr>
      <w:tr w:rsidR="007248FC" w:rsidRPr="00D50761" w14:paraId="63101232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CB66CB" w14:textId="3F19961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333D5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Tetrametilacetiloctahidronaftalină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C4B99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54464-57-2; 54464-59-4; 68155-66-8; 68155-67-9</w:t>
            </w:r>
          </w:p>
        </w:tc>
      </w:tr>
      <w:tr w:rsidR="007248FC" w:rsidRPr="00D50761" w14:paraId="4A3EDB42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96E12D" w14:textId="08DC4353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42.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49737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Trimetilbenzenpropanol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majantol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DF2FE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103694-68-4</w:t>
            </w:r>
          </w:p>
        </w:tc>
      </w:tr>
      <w:tr w:rsidR="007248FC" w:rsidRPr="00D50761" w14:paraId="3048DB51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6E6158" w14:textId="071435D1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43.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995C2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Vanilină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71800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121-33-5</w:t>
            </w:r>
          </w:p>
        </w:tc>
      </w:tr>
      <w:tr w:rsidR="007248FC" w:rsidRPr="00D50761" w14:paraId="339BC5B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127F4D" w14:textId="7BB4181E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lastRenderedPageBreak/>
              <w:t>44.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AA94C0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Cananga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odorata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și ulei de ylang-ylang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19534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83863-30-3; 8006-81-3</w:t>
            </w:r>
          </w:p>
        </w:tc>
      </w:tr>
      <w:tr w:rsidR="007248FC" w:rsidRPr="00D50761" w14:paraId="5792D202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FD0D44" w14:textId="76429409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45.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F2D95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scoarță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Cedrus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atlantica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88F7A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92201-55-3; 8000-27-9</w:t>
            </w:r>
          </w:p>
        </w:tc>
      </w:tr>
      <w:tr w:rsidR="007248FC" w:rsidRPr="00D50761" w14:paraId="60A3DAF2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8F83F9" w14:textId="03EE809B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46.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C6BAD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frunză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Cinnamomum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cassia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FB1D6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8007-80-5</w:t>
            </w:r>
          </w:p>
        </w:tc>
      </w:tr>
      <w:tr w:rsidR="007248FC" w:rsidRPr="00D50761" w14:paraId="0D196B97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1370BA" w14:textId="33021C8E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47.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837E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scoarță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Cinnamomum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zeylanicum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E4A84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84649-98-9</w:t>
            </w:r>
          </w:p>
        </w:tc>
      </w:tr>
      <w:tr w:rsidR="007248FC" w:rsidRPr="00D50761" w14:paraId="5A937D67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413CA0" w14:textId="57B7D25D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48.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BF858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flori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aurantium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amara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71E60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8016-38-4</w:t>
            </w:r>
          </w:p>
        </w:tc>
      </w:tr>
      <w:tr w:rsidR="007248FC" w:rsidRPr="00D50761" w14:paraId="003860E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3EBBD9" w14:textId="4956C61C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49.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B94F1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coajă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aurantium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amara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1C2EB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72968-50-4</w:t>
            </w:r>
          </w:p>
        </w:tc>
      </w:tr>
      <w:tr w:rsidR="007248FC" w:rsidRPr="00D50761" w14:paraId="6EB5A78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EAF3B0" w14:textId="1AE7CDA7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93520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coajă stoarsă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berggamia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BE830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89957-91-5</w:t>
            </w:r>
          </w:p>
        </w:tc>
      </w:tr>
      <w:tr w:rsidR="007248FC" w:rsidRPr="00D50761" w14:paraId="79A956C0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E98997" w14:textId="2A0771DD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5036B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coajă stoarsă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limonum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4F70D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84929-31-7</w:t>
            </w:r>
          </w:p>
        </w:tc>
      </w:tr>
      <w:tr w:rsidR="007248FC" w:rsidRPr="00D50761" w14:paraId="2C2CADF7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71F1BE" w14:textId="317ADCA2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52.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53F8B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de coajă stoarsă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sinensis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(sin.: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Aurantium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dulcis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7A481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97766-30-8; 8028-48-6</w:t>
            </w:r>
          </w:p>
        </w:tc>
      </w:tr>
      <w:tr w:rsidR="007248FC" w:rsidRPr="00D50761" w14:paraId="5907EB03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1AB020" w14:textId="01F4082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53.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E39BD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Uleiuri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Cymbopogon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citratus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/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schoenanthus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DE1CE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89998-14-1; 8007-02-01; 89998-16-3</w:t>
            </w:r>
          </w:p>
        </w:tc>
      </w:tr>
      <w:tr w:rsidR="007248FC" w:rsidRPr="00D50761" w14:paraId="11CCBE68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CFC050" w14:textId="1A73B3B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54.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1177F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frunze de eucalipt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spp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33C301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92502-70-0; 8000-48-4</w:t>
            </w:r>
          </w:p>
        </w:tc>
      </w:tr>
      <w:tr w:rsidR="007248FC" w:rsidRPr="00D50761" w14:paraId="39F079EB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B15001" w14:textId="5777888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55.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57275C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flori/frunze de Eugenia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caryophyllus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8DA49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8000-34-8</w:t>
            </w:r>
          </w:p>
        </w:tc>
      </w:tr>
      <w:tr w:rsidR="007248FC" w:rsidRPr="00D50761" w14:paraId="6F8DCD0C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81FB45" w14:textId="07402A32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56.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916A2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Jasminum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grandiflorum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/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officinale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A2E73C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84776-64-7; 90045-94-6; 8022-96-6</w:t>
            </w:r>
          </w:p>
        </w:tc>
      </w:tr>
      <w:tr w:rsidR="007248FC" w:rsidRPr="00D50761" w14:paraId="31DB24F4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0046E9" w14:textId="09ABB445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57.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AD34B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Juniperus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virginiana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CCCCD7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8000-27-9; 85085-41-2</w:t>
            </w:r>
          </w:p>
        </w:tc>
      </w:tr>
      <w:tr w:rsidR="007248FC" w:rsidRPr="00D50761" w14:paraId="4F9C3AFD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257E1B" w14:textId="7454531E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58.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63A701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fructe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Laurus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nobilis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0A98F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8007-48-5</w:t>
            </w:r>
          </w:p>
        </w:tc>
      </w:tr>
      <w:tr w:rsidR="007248FC" w:rsidRPr="00D50761" w14:paraId="133D21E2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8FD946" w14:textId="4EE2BCC9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59.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8F1258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frunze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Laurus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nobilis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BF917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8002-41-3</w:t>
            </w:r>
          </w:p>
        </w:tc>
      </w:tr>
      <w:tr w:rsidR="007248FC" w:rsidRPr="00D50761" w14:paraId="3393B58B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499ACB" w14:textId="444FDA21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C4205C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semințe de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Laurus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nobilis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1A2F4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84603-73-6</w:t>
            </w:r>
          </w:p>
        </w:tc>
      </w:tr>
      <w:tr w:rsidR="007248FC" w:rsidRPr="00D50761" w14:paraId="62F3A603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A862AC" w14:textId="17E0C165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DE3DC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Lavandula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hybrida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F48DE1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91722-69-9</w:t>
            </w:r>
          </w:p>
        </w:tc>
      </w:tr>
      <w:tr w:rsidR="007248FC" w:rsidRPr="00D50761" w14:paraId="59C3B174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34A08D" w14:textId="16793BB7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62.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00046F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Lavandula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officinalis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6ED8A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84776-65-8</w:t>
            </w:r>
          </w:p>
        </w:tc>
      </w:tr>
      <w:tr w:rsidR="007248FC" w:rsidRPr="00D50761" w14:paraId="44A7FE2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7BA5AD" w14:textId="7888152B" w:rsidR="007248FC" w:rsidRPr="00D50761" w:rsidRDefault="007248FC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63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8FC552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Mentha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piperita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91D51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8006-90-4; 84082-70-2</w:t>
            </w:r>
          </w:p>
        </w:tc>
      </w:tr>
      <w:tr w:rsidR="007248FC" w:rsidRPr="00D50761" w14:paraId="7F4E746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CE56F0" w14:textId="1C8F1ED0" w:rsidR="007248FC" w:rsidRPr="00D50761" w:rsidRDefault="007248FC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64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EA328B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Mentha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spicata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A1D3F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84696-51-5</w:t>
            </w:r>
          </w:p>
        </w:tc>
      </w:tr>
      <w:tr w:rsidR="007248FC" w:rsidRPr="00D50761" w14:paraId="19A285D0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D4E8BC" w14:textId="0BFBCEBF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65.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F1799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Narcissus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spp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D29B7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Diverse, inclusiv 90064-25-8</w:t>
            </w:r>
          </w:p>
        </w:tc>
      </w:tr>
      <w:tr w:rsidR="007248FC" w:rsidRPr="00D50761" w14:paraId="0F78B62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F439C8" w14:textId="4303A04B" w:rsidR="007248FC" w:rsidRPr="00D50761" w:rsidRDefault="007248FC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66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59707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Pelargonium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graveolens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3D6C8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90082-51-2; 8000-46-2</w:t>
            </w:r>
          </w:p>
        </w:tc>
      </w:tr>
      <w:tr w:rsidR="007248FC" w:rsidRPr="00D50761" w14:paraId="57C1043A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F0EAD5" w14:textId="75AFEBA9" w:rsidR="007248FC" w:rsidRPr="00D50761" w:rsidRDefault="007248FC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67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6DC01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Pinus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mugo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6F6D4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90082-72-7</w:t>
            </w:r>
          </w:p>
        </w:tc>
      </w:tr>
      <w:tr w:rsidR="007248FC" w:rsidRPr="00D50761" w14:paraId="7CCDAE0A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CC1C6F" w14:textId="5807DD5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68.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6B8F5E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Pinus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pumila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67AFB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97676-05-6</w:t>
            </w:r>
          </w:p>
        </w:tc>
      </w:tr>
      <w:tr w:rsidR="007248FC" w:rsidRPr="00D50761" w14:paraId="623F6AFB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9AA14D" w14:textId="051C3F8D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69.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2B07E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Pogostemon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cablin</w:t>
            </w:r>
            <w:proofErr w:type="spellEnd"/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DBD9CD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8014-09-3; 84238-39-1</w:t>
            </w:r>
          </w:p>
        </w:tc>
      </w:tr>
      <w:tr w:rsidR="007248FC" w:rsidRPr="00D50761" w14:paraId="2F721018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F81366" w14:textId="77F73D40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70.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0CFF55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Ulei din flori de trandafir (Rosa 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spp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AC1A19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Diverse, inclusiv 8007-01-0, 93334-48-6, 84696-47-9, 84604-12-6, 90106-38-0, 84604-13-7, 92347-25-6</w:t>
            </w:r>
          </w:p>
        </w:tc>
      </w:tr>
      <w:tr w:rsidR="007248FC" w:rsidRPr="00D50761" w14:paraId="7BAE39D4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E0287C" w14:textId="73E846DA" w:rsidR="007248FC" w:rsidRPr="00D50761" w:rsidRDefault="00FC531F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>
              <w:rPr>
                <w:rFonts w:eastAsia="Arial Unicode MS"/>
                <w:color w:val="333333"/>
                <w:sz w:val="28"/>
                <w:szCs w:val="28"/>
                <w:lang w:val="ro-MD"/>
              </w:rPr>
              <w:t>71.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7DE6A0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Santalum</w:t>
            </w:r>
            <w:proofErr w:type="spellEnd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 xml:space="preserve"> album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057033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84787-70-2; 8006-87-9</w:t>
            </w:r>
          </w:p>
        </w:tc>
      </w:tr>
      <w:tr w:rsidR="007248FC" w:rsidRPr="00D50761" w14:paraId="5D571CC9" w14:textId="77777777" w:rsidTr="00A27F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ED6A08" w14:textId="43197A31" w:rsidR="007248FC" w:rsidRPr="00D50761" w:rsidRDefault="007248FC" w:rsidP="00FC531F">
            <w:pPr>
              <w:ind w:firstLine="0"/>
              <w:jc w:val="center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72</w:t>
            </w:r>
            <w:r w:rsidR="00FC531F">
              <w:rPr>
                <w:rFonts w:eastAsia="Arial Unicode MS"/>
                <w:color w:val="333333"/>
                <w:sz w:val="28"/>
                <w:szCs w:val="28"/>
                <w:lang w:val="ro-MD"/>
              </w:rPr>
              <w:t>.</w:t>
            </w:r>
          </w:p>
        </w:tc>
        <w:tc>
          <w:tcPr>
            <w:tcW w:w="2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09A406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Terebentină (ulei)</w:t>
            </w:r>
          </w:p>
        </w:tc>
        <w:tc>
          <w:tcPr>
            <w:tcW w:w="1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E66254" w14:textId="77777777" w:rsidR="007248FC" w:rsidRPr="00D50761" w:rsidRDefault="007248FC" w:rsidP="007248FC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8006-64-2; 9005-90-7; 8052-14-0</w:t>
            </w:r>
          </w:p>
        </w:tc>
      </w:tr>
    </w:tbl>
    <w:p w14:paraId="69850944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3848F495" w14:textId="5C55C18E" w:rsidR="00482D56" w:rsidRPr="00D50761" w:rsidRDefault="00482D56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la capitolul II punctul 12:</w:t>
      </w:r>
    </w:p>
    <w:p w14:paraId="2FC16593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48090B4E" w14:textId="57775CBF" w:rsidR="00546605" w:rsidRDefault="00482D56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>cuvintele „menționate în</w:t>
      </w:r>
      <w:r w:rsidR="00EE7FA1" w:rsidRPr="00D50761">
        <w:rPr>
          <w:sz w:val="28"/>
          <w:szCs w:val="28"/>
          <w:lang w:val="ro-RO" w:eastAsia="en-GB"/>
        </w:rPr>
        <w:t xml:space="preserve"> tabelul 2</w:t>
      </w:r>
      <w:r w:rsidRPr="00D50761">
        <w:rPr>
          <w:sz w:val="28"/>
          <w:szCs w:val="28"/>
          <w:lang w:val="ro-RO" w:eastAsia="en-GB"/>
        </w:rPr>
        <w:t>” se substituie cu textul cu următorul cuprins: „</w:t>
      </w:r>
      <w:r w:rsidR="00CD2B14" w:rsidRPr="00D50761">
        <w:rPr>
          <w:sz w:val="28"/>
          <w:szCs w:val="28"/>
          <w:lang w:val="ro-RO" w:eastAsia="en-GB"/>
        </w:rPr>
        <w:t>m</w:t>
      </w:r>
      <w:r w:rsidRPr="00D50761">
        <w:rPr>
          <w:sz w:val="28"/>
          <w:szCs w:val="28"/>
          <w:lang w:val="ro-RO" w:eastAsia="en-GB"/>
        </w:rPr>
        <w:t>enționate la poziția 1-11 din</w:t>
      </w:r>
      <w:r w:rsidR="00EE7FA1" w:rsidRPr="00D50761">
        <w:rPr>
          <w:sz w:val="28"/>
          <w:szCs w:val="28"/>
          <w:lang w:val="ro-RO" w:eastAsia="en-GB"/>
        </w:rPr>
        <w:t xml:space="preserve"> tabelul 2</w:t>
      </w:r>
      <w:r w:rsidRPr="00D50761">
        <w:rPr>
          <w:sz w:val="28"/>
          <w:szCs w:val="28"/>
          <w:lang w:val="ro-RO" w:eastAsia="en-GB"/>
        </w:rPr>
        <w:t>”</w:t>
      </w:r>
      <w:r w:rsidR="00DE2B68">
        <w:rPr>
          <w:sz w:val="28"/>
          <w:szCs w:val="28"/>
          <w:lang w:val="ro-RO" w:eastAsia="en-GB"/>
        </w:rPr>
        <w:t>;</w:t>
      </w:r>
    </w:p>
    <w:p w14:paraId="29627326" w14:textId="77777777" w:rsidR="00C02AEC" w:rsidRPr="00D50761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2FCBD11B" w14:textId="029B9696" w:rsidR="00546605" w:rsidRPr="007524E5" w:rsidRDefault="00D50761" w:rsidP="00C02AEC">
      <w:pPr>
        <w:tabs>
          <w:tab w:val="left" w:pos="284"/>
        </w:tabs>
        <w:spacing w:after="160" w:line="259" w:lineRule="auto"/>
        <w:ind w:firstLine="0"/>
        <w:contextualSpacing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ab/>
      </w:r>
      <w:r>
        <w:rPr>
          <w:sz w:val="28"/>
          <w:szCs w:val="28"/>
          <w:lang w:val="ro-RO" w:eastAsia="en-GB"/>
        </w:rPr>
        <w:tab/>
      </w:r>
      <w:r w:rsidR="00482D56" w:rsidRPr="00D50761">
        <w:rPr>
          <w:sz w:val="28"/>
          <w:szCs w:val="28"/>
          <w:lang w:val="ro-RO" w:eastAsia="en-GB"/>
        </w:rPr>
        <w:t>la subpunct</w:t>
      </w:r>
      <w:r w:rsidR="00EE7FA1" w:rsidRPr="00D50761">
        <w:rPr>
          <w:sz w:val="28"/>
          <w:szCs w:val="28"/>
          <w:lang w:val="ro-RO" w:eastAsia="en-GB"/>
        </w:rPr>
        <w:t>ele</w:t>
      </w:r>
      <w:r w:rsidR="00482D56" w:rsidRPr="00D50761">
        <w:rPr>
          <w:sz w:val="28"/>
          <w:szCs w:val="28"/>
          <w:lang w:val="ro-RO" w:eastAsia="en-GB"/>
        </w:rPr>
        <w:t xml:space="preserve"> a) </w:t>
      </w:r>
      <w:r w:rsidR="00CD2B14" w:rsidRPr="00D50761">
        <w:rPr>
          <w:sz w:val="28"/>
          <w:szCs w:val="28"/>
          <w:lang w:val="ro-RO" w:eastAsia="en-GB"/>
        </w:rPr>
        <w:t xml:space="preserve">și </w:t>
      </w:r>
      <w:r w:rsidR="00EE7FA1" w:rsidRPr="00D50761">
        <w:rPr>
          <w:sz w:val="28"/>
          <w:szCs w:val="28"/>
          <w:lang w:val="ro-RO" w:eastAsia="en-GB"/>
        </w:rPr>
        <w:t xml:space="preserve">c) </w:t>
      </w:r>
      <w:r w:rsidR="00482D56" w:rsidRPr="00D50761">
        <w:rPr>
          <w:sz w:val="28"/>
          <w:szCs w:val="28"/>
          <w:lang w:val="ro-RO" w:eastAsia="en-GB"/>
        </w:rPr>
        <w:t>cuvintele „</w:t>
      </w:r>
      <w:r w:rsidR="00EE7FA1" w:rsidRPr="00D50761">
        <w:rPr>
          <w:sz w:val="28"/>
          <w:szCs w:val="28"/>
          <w:lang w:val="ro-RO" w:eastAsia="en-GB"/>
        </w:rPr>
        <w:t xml:space="preserve"> din </w:t>
      </w:r>
      <w:r w:rsidR="00482D56" w:rsidRPr="00D50761">
        <w:rPr>
          <w:sz w:val="28"/>
          <w:szCs w:val="28"/>
          <w:lang w:val="ro-RO" w:eastAsia="en-GB"/>
        </w:rPr>
        <w:t>partea B a prezentei anexe” se substituie cu textul cu următoru</w:t>
      </w:r>
      <w:r w:rsidR="00482D56" w:rsidRPr="007524E5">
        <w:rPr>
          <w:sz w:val="28"/>
          <w:szCs w:val="28"/>
          <w:lang w:val="ro-RO" w:eastAsia="en-GB"/>
        </w:rPr>
        <w:t xml:space="preserve">l </w:t>
      </w:r>
      <w:proofErr w:type="spellStart"/>
      <w:r w:rsidR="00482D56" w:rsidRPr="007524E5">
        <w:rPr>
          <w:sz w:val="28"/>
          <w:szCs w:val="28"/>
          <w:lang w:val="ro-RO" w:eastAsia="en-GB"/>
        </w:rPr>
        <w:t>cuprins:</w:t>
      </w:r>
      <w:r w:rsidR="00C21E13">
        <w:rPr>
          <w:sz w:val="28"/>
          <w:szCs w:val="28"/>
          <w:lang w:val="ro-RO" w:eastAsia="en-GB"/>
        </w:rPr>
        <w:t>„</w:t>
      </w:r>
      <w:r w:rsidR="00EE7FA1" w:rsidRPr="007524E5">
        <w:rPr>
          <w:sz w:val="28"/>
          <w:szCs w:val="28"/>
          <w:lang w:val="ro-RO" w:eastAsia="en-GB"/>
        </w:rPr>
        <w:t>din</w:t>
      </w:r>
      <w:proofErr w:type="spellEnd"/>
      <w:r w:rsidR="00EE7FA1" w:rsidRPr="007524E5">
        <w:rPr>
          <w:sz w:val="28"/>
          <w:szCs w:val="28"/>
          <w:lang w:val="ro-RO" w:eastAsia="en-GB"/>
        </w:rPr>
        <w:t xml:space="preserve"> </w:t>
      </w:r>
      <w:r w:rsidR="00CD2B14" w:rsidRPr="007524E5">
        <w:rPr>
          <w:sz w:val="28"/>
          <w:szCs w:val="28"/>
          <w:lang w:val="ro-RO" w:eastAsia="en-GB"/>
        </w:rPr>
        <w:t>Anexa nr.5 Partea B”</w:t>
      </w:r>
      <w:r w:rsidR="007524E5" w:rsidRPr="007524E5">
        <w:rPr>
          <w:sz w:val="28"/>
          <w:szCs w:val="28"/>
          <w:lang w:val="ro-RO" w:eastAsia="en-GB"/>
        </w:rPr>
        <w:t>, iar cuvintele „a prezentei anexe</w:t>
      </w:r>
      <w:r w:rsidR="00C21E13">
        <w:rPr>
          <w:sz w:val="28"/>
          <w:szCs w:val="28"/>
          <w:lang w:val="ro-RO" w:eastAsia="en-GB"/>
        </w:rPr>
        <w:t>”</w:t>
      </w:r>
      <w:r w:rsidR="007524E5" w:rsidRPr="007524E5">
        <w:rPr>
          <w:sz w:val="28"/>
          <w:szCs w:val="28"/>
          <w:lang w:val="ro-RO" w:eastAsia="en-GB"/>
        </w:rPr>
        <w:t xml:space="preserve"> se exclud</w:t>
      </w:r>
      <w:r w:rsidR="00CD2B14" w:rsidRPr="007524E5">
        <w:rPr>
          <w:sz w:val="28"/>
          <w:szCs w:val="28"/>
          <w:lang w:val="ro-RO" w:eastAsia="en-GB"/>
        </w:rPr>
        <w:t>;</w:t>
      </w:r>
      <w:r w:rsidR="00482D56" w:rsidRPr="007524E5">
        <w:rPr>
          <w:sz w:val="28"/>
          <w:szCs w:val="28"/>
          <w:lang w:val="ro-RO" w:eastAsia="en-GB"/>
        </w:rPr>
        <w:t xml:space="preserve"> </w:t>
      </w:r>
    </w:p>
    <w:p w14:paraId="72C0C3EA" w14:textId="77777777" w:rsidR="00C02AEC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55AA8376" w14:textId="284D7CEE" w:rsidR="00546605" w:rsidRPr="00D50761" w:rsidRDefault="00EE7FA1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 w:rsidRPr="00D50761">
        <w:rPr>
          <w:sz w:val="28"/>
          <w:szCs w:val="28"/>
          <w:lang w:val="ro-RO" w:eastAsia="en-GB"/>
        </w:rPr>
        <w:t xml:space="preserve">în </w:t>
      </w:r>
      <w:r w:rsidR="00C02AEC">
        <w:rPr>
          <w:sz w:val="28"/>
          <w:szCs w:val="28"/>
          <w:lang w:val="ro-RO" w:eastAsia="en-GB"/>
        </w:rPr>
        <w:t>T</w:t>
      </w:r>
      <w:r w:rsidRPr="00D50761">
        <w:rPr>
          <w:sz w:val="28"/>
          <w:szCs w:val="28"/>
          <w:lang w:val="ro-RO" w:eastAsia="en-GB"/>
        </w:rPr>
        <w:t>abelul 3 pozițiile1, 8 și 11 vor ave</w:t>
      </w:r>
      <w:r w:rsidR="00D50761" w:rsidRPr="00D50761">
        <w:rPr>
          <w:sz w:val="28"/>
          <w:szCs w:val="28"/>
          <w:lang w:val="ro-RO" w:eastAsia="en-GB"/>
        </w:rPr>
        <w:t>a</w:t>
      </w:r>
      <w:r w:rsidRPr="00D50761">
        <w:rPr>
          <w:sz w:val="28"/>
          <w:szCs w:val="28"/>
          <w:lang w:val="ro-RO" w:eastAsia="en-GB"/>
        </w:rPr>
        <w:t xml:space="preserve"> următorul cuprins:</w:t>
      </w:r>
    </w:p>
    <w:tbl>
      <w:tblPr>
        <w:tblW w:w="424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2846"/>
        <w:gridCol w:w="1333"/>
        <w:gridCol w:w="1386"/>
        <w:gridCol w:w="1521"/>
      </w:tblGrid>
      <w:tr w:rsidR="00EE7FA1" w:rsidRPr="00D50761" w14:paraId="6F5405ED" w14:textId="77777777" w:rsidTr="00D507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3DF2BD" w14:textId="4C7EFC45" w:rsidR="00EE7FA1" w:rsidRPr="00D50761" w:rsidRDefault="00EE7FA1" w:rsidP="00EE7FA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1.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964075" w14:textId="3EA0ADFF" w:rsidR="00EE7FA1" w:rsidRPr="00D50761" w:rsidRDefault="00EE7FA1" w:rsidP="00EE7FA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Aluminiu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33B5D3" w14:textId="353FDBB1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D33A18" w14:textId="6DDBD6C9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686768" w14:textId="25CBD3C8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28130</w:t>
            </w:r>
          </w:p>
        </w:tc>
      </w:tr>
      <w:tr w:rsidR="00EE7FA1" w:rsidRPr="00D50761" w14:paraId="3943064D" w14:textId="77777777" w:rsidTr="00D507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70C80E" w14:textId="2B7BB1AB" w:rsidR="00EE7FA1" w:rsidRPr="00D50761" w:rsidRDefault="00EE7FA1" w:rsidP="00EE7FA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8.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B76C3E" w14:textId="435BA937" w:rsidR="00EE7FA1" w:rsidRPr="00D50761" w:rsidRDefault="00EE7FA1" w:rsidP="00EE7FA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Crom (VI)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C07857" w14:textId="2E777062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0,02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D57813" w14:textId="371F2B6E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0,005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6C3BE8" w14:textId="41D1EDE8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0,053</w:t>
            </w:r>
          </w:p>
        </w:tc>
      </w:tr>
      <w:tr w:rsidR="00EE7FA1" w:rsidRPr="00D50761" w14:paraId="6CA95F8F" w14:textId="77777777" w:rsidTr="00D5076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208554" w14:textId="02888E87" w:rsidR="00EE7FA1" w:rsidRPr="00D50761" w:rsidRDefault="00EE7FA1" w:rsidP="00EE7FA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11.</w:t>
            </w:r>
          </w:p>
        </w:tc>
        <w:tc>
          <w:tcPr>
            <w:tcW w:w="1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A79E23" w14:textId="4BD0723C" w:rsidR="00EE7FA1" w:rsidRPr="00D50761" w:rsidRDefault="00EE7FA1" w:rsidP="00EE7FA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Plumb</w:t>
            </w:r>
          </w:p>
        </w:tc>
        <w:tc>
          <w:tcPr>
            <w:tcW w:w="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6A8E84" w14:textId="16BB538D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EA23B6" w14:textId="2B80F3FB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68DB13" w14:textId="0D1CC106" w:rsidR="00EE7FA1" w:rsidRPr="00D50761" w:rsidRDefault="00EE7FA1" w:rsidP="00EE7FA1">
            <w:pPr>
              <w:ind w:firstLine="0"/>
              <w:jc w:val="righ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</w:rPr>
              <w:t>23</w:t>
            </w:r>
          </w:p>
        </w:tc>
      </w:tr>
    </w:tbl>
    <w:p w14:paraId="73BEDDF2" w14:textId="77777777" w:rsidR="00EE7FA1" w:rsidRPr="00D50761" w:rsidRDefault="00EE7FA1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23E93FD9" w14:textId="0AA7832F" w:rsidR="00546605" w:rsidRPr="00D50761" w:rsidRDefault="00C02AEC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T</w:t>
      </w:r>
      <w:r w:rsidR="00D50761" w:rsidRPr="00D50761">
        <w:rPr>
          <w:sz w:val="28"/>
          <w:szCs w:val="28"/>
          <w:lang w:val="ro-RO" w:eastAsia="en-GB"/>
        </w:rPr>
        <w:t xml:space="preserve">abelul </w:t>
      </w:r>
      <w:r w:rsidR="00D50761">
        <w:rPr>
          <w:sz w:val="28"/>
          <w:szCs w:val="28"/>
          <w:lang w:val="ro-RO" w:eastAsia="en-GB"/>
        </w:rPr>
        <w:t xml:space="preserve">din </w:t>
      </w:r>
      <w:r w:rsidR="00D50761" w:rsidRPr="00D50761">
        <w:rPr>
          <w:sz w:val="28"/>
          <w:szCs w:val="28"/>
          <w:lang w:val="ro-RO" w:eastAsia="en-GB"/>
        </w:rPr>
        <w:t>Partea B</w:t>
      </w:r>
      <w:r w:rsidR="00D50761">
        <w:rPr>
          <w:sz w:val="28"/>
          <w:szCs w:val="28"/>
          <w:lang w:val="ro-RO" w:eastAsia="en-GB"/>
        </w:rPr>
        <w:t xml:space="preserve"> se</w:t>
      </w:r>
      <w:r w:rsidR="00D50761" w:rsidRPr="00D50761">
        <w:rPr>
          <w:sz w:val="28"/>
          <w:szCs w:val="28"/>
          <w:lang w:val="ro-RO" w:eastAsia="en-GB"/>
        </w:rPr>
        <w:t xml:space="preserve"> completează cu pozițiile 5-12 cu următorul text:</w:t>
      </w:r>
    </w:p>
    <w:tbl>
      <w:tblPr>
        <w:tblpPr w:leftFromText="180" w:rightFromText="180" w:vertAnchor="text" w:tblpY="1"/>
        <w:tblOverlap w:val="never"/>
        <w:tblW w:w="518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2670"/>
        <w:gridCol w:w="1529"/>
        <w:gridCol w:w="5050"/>
      </w:tblGrid>
      <w:tr w:rsidR="00D50761" w:rsidRPr="00D50761" w14:paraId="50349684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B5BB3A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5.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DC68AE" w14:textId="77777777" w:rsidR="00D50761" w:rsidRPr="00D50761" w:rsidRDefault="00D50761" w:rsidP="00D5076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Formamidă</w:t>
            </w:r>
            <w:proofErr w:type="spellEnd"/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A88F10" w14:textId="77777777" w:rsidR="00D50761" w:rsidRPr="00D50761" w:rsidRDefault="00D50761" w:rsidP="00D5076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75-12-7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8526F7" w14:textId="77777777" w:rsidR="00D50761" w:rsidRPr="00D50761" w:rsidRDefault="00D50761" w:rsidP="004C3343">
            <w:pPr>
              <w:ind w:firstLine="0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20 12-m</w:t>
            </w:r>
            <w:r w:rsidRPr="00D50761">
              <w:rPr>
                <w:rFonts w:eastAsia="Arial Unicode MS"/>
                <w:color w:val="333333"/>
                <w:sz w:val="28"/>
                <w:szCs w:val="28"/>
                <w:vertAlign w:val="superscript"/>
                <w:lang w:val="ro-MD"/>
              </w:rPr>
              <w:t>3</w:t>
            </w: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 (limită de emisie) după maximum 28 de zile de la începerea analizării emisiilor materialelor din spumă ale jucăriei care conține mai mult de 200 mg/kg (valoarea limită bazată pe conținut)</w:t>
            </w:r>
          </w:p>
        </w:tc>
      </w:tr>
      <w:tr w:rsidR="00D50761" w:rsidRPr="00D50761" w14:paraId="30E3F666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7F160E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6.</w:t>
            </w:r>
          </w:p>
          <w:p w14:paraId="027DD13C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D09C7A" w14:textId="77777777" w:rsidR="00D50761" w:rsidRPr="00D50761" w:rsidRDefault="00D50761" w:rsidP="00D5076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1,2-benzizotiazol-3(2H)-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onă</w:t>
            </w:r>
            <w:proofErr w:type="spellEnd"/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0FB834" w14:textId="77777777" w:rsidR="00D50761" w:rsidRPr="00D50761" w:rsidRDefault="00D50761" w:rsidP="00D50761">
            <w:pPr>
              <w:ind w:firstLine="0"/>
              <w:jc w:val="left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2634-33-5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AA977" w14:textId="77777777" w:rsidR="00D50761" w:rsidRPr="00D50761" w:rsidRDefault="00D50761" w:rsidP="004C3343">
            <w:pPr>
              <w:ind w:firstLine="0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 mg/kg (conținut limită) în soluțiile apoase pentru joacă, în conformitate cu metodele stabilite în standardele EN 71-10:2005 și EN 71-11:2005</w:t>
            </w:r>
          </w:p>
        </w:tc>
      </w:tr>
      <w:tr w:rsidR="00D50761" w:rsidRPr="00D50761" w14:paraId="4BD070F8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707B6D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7.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3BE34E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 masă de reacție de: 5-cloro-2-metil-4-izotiazolin-3-onă [CE nr. 247-500-7] și 2-metil-2H-isotiazol-3-onă [CE nr. 220-239-6] (3:1)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8C17F4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55965-84-9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7FC5B5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 mg/kg (conținut-limită) în soluțiile apoase pentru joacă</w:t>
            </w:r>
          </w:p>
        </w:tc>
      </w:tr>
      <w:tr w:rsidR="00D50761" w:rsidRPr="00D50761" w14:paraId="45E681B8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AA71F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8.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3A1F9C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5-cloro-2-metilizotiazolin-3(2H)-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onă</w:t>
            </w:r>
            <w:proofErr w:type="spellEnd"/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DB8B39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26172-55-4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78E498" w14:textId="77777777" w:rsidR="00D50761" w:rsidRPr="00D50761" w:rsidRDefault="00D50761" w:rsidP="004C3343">
            <w:pPr>
              <w:ind w:firstLine="0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0,75 mg/kg (conținut-limită) în soluțiile apoase pentru joacă</w:t>
            </w:r>
          </w:p>
        </w:tc>
      </w:tr>
      <w:tr w:rsidR="00D50761" w:rsidRPr="00D50761" w14:paraId="7C618314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0B5C44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9.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F702C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2-metilizotiazolin-3(2H)-</w:t>
            </w:r>
            <w:proofErr w:type="spellStart"/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onă</w:t>
            </w:r>
            <w:proofErr w:type="spellEnd"/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DF2F2A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2682-20-4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21164E" w14:textId="77777777" w:rsidR="00D50761" w:rsidRPr="00D50761" w:rsidRDefault="00D50761" w:rsidP="004C3343">
            <w:pPr>
              <w:ind w:firstLine="0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0,25 mg/kg (conținut-limită) în soluțiile apoase pentru joacă</w:t>
            </w:r>
          </w:p>
        </w:tc>
      </w:tr>
      <w:tr w:rsidR="00D50761" w:rsidRPr="00D50761" w14:paraId="072068C0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EE80D0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10.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D090CB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Fenol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4F7E6E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108-95-2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B23520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 xml:space="preserve">limita de migrare de 5 mg/l în materialele </w:t>
            </w:r>
            <w:proofErr w:type="spellStart"/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polimerice</w:t>
            </w:r>
            <w:proofErr w:type="spellEnd"/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 xml:space="preserve"> trebuie determinată în conformitate cu metodele stabilite în EN 71-10:2005 și EN 71-11:2005.</w:t>
            </w:r>
          </w:p>
          <w:p w14:paraId="6AACED81" w14:textId="77777777" w:rsidR="00D50761" w:rsidRPr="00C02AEC" w:rsidRDefault="00D50761" w:rsidP="004C3343">
            <w:pPr>
              <w:ind w:firstLine="0"/>
              <w:rPr>
                <w:rFonts w:eastAsia="Arial Unicode MS"/>
                <w:color w:val="333333"/>
                <w:sz w:val="28"/>
                <w:szCs w:val="28"/>
                <w:lang w:val="ro-RO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/>
              </w:rPr>
              <w:t xml:space="preserve">conținutul limită de 10 mg/kg la conservanți trebuie determinată în conformitate cu </w:t>
            </w:r>
            <w:r w:rsidRPr="00C02AEC">
              <w:rPr>
                <w:rFonts w:eastAsia="Arial Unicode MS"/>
                <w:color w:val="333333"/>
                <w:sz w:val="28"/>
                <w:szCs w:val="28"/>
                <w:lang w:val="ro-RO"/>
              </w:rPr>
              <w:lastRenderedPageBreak/>
              <w:t>metodele stabilite în EN 71-10:2005 și EN 71-11:2005.</w:t>
            </w:r>
          </w:p>
        </w:tc>
      </w:tr>
      <w:tr w:rsidR="00D50761" w:rsidRPr="00D50761" w14:paraId="42ABBB01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5F3D09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lastRenderedPageBreak/>
              <w:t>11.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B526FC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Formaldehidă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A56B89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50-00-0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1B51D8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 xml:space="preserve">1,5 mg/l (limită de migrare) în materialele </w:t>
            </w:r>
            <w:proofErr w:type="spellStart"/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polimerice</w:t>
            </w:r>
            <w:proofErr w:type="spellEnd"/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 xml:space="preserve"> utilizate la fabricarea jucăriilor</w:t>
            </w:r>
          </w:p>
          <w:p w14:paraId="551F9499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0,1 ml/m</w:t>
            </w:r>
            <w:r w:rsidRPr="00C02AEC">
              <w:rPr>
                <w:rFonts w:eastAsia="Arial Unicode MS"/>
                <w:color w:val="333333"/>
                <w:sz w:val="28"/>
                <w:szCs w:val="28"/>
                <w:vertAlign w:val="superscript"/>
                <w:lang w:val="ro-RO" w:eastAsia="en-GB"/>
              </w:rPr>
              <w:t>3</w:t>
            </w: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 (limita de emisii) în materialele de lemn lipit cu rășină utilizate la fabricarea jucăriilor</w:t>
            </w:r>
          </w:p>
          <w:p w14:paraId="37949636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30 mg/kg (conținut-limită) în materialele textile utilizate la fabricarea jucăriilor</w:t>
            </w:r>
          </w:p>
          <w:p w14:paraId="5A536D48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30 mg/kg (conținut-limită) în pielea utilizată la fabricarea jucăriilor</w:t>
            </w:r>
          </w:p>
          <w:p w14:paraId="4D9450ED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30 mg/kg (conținut-limită) în hârtia utilizată la fabricarea jucăriilor</w:t>
            </w:r>
          </w:p>
          <w:p w14:paraId="4DF171E8" w14:textId="77777777" w:rsidR="00D50761" w:rsidRPr="00C02AEC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RO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/>
              </w:rPr>
              <w:t>10 mg/kg (conținut-limită) în materialele pe bază de apă utilizate la fabricarea jucăriilor.</w:t>
            </w:r>
          </w:p>
        </w:tc>
      </w:tr>
      <w:tr w:rsidR="00D50761" w:rsidRPr="00D50761" w14:paraId="69984568" w14:textId="77777777" w:rsidTr="00C02A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31FA84" w14:textId="77777777" w:rsidR="00D50761" w:rsidRPr="00D50761" w:rsidRDefault="00D50761" w:rsidP="00D50761">
            <w:pPr>
              <w:ind w:firstLine="0"/>
              <w:jc w:val="center"/>
              <w:rPr>
                <w:sz w:val="28"/>
                <w:szCs w:val="28"/>
                <w:lang w:val="ro-RO" w:eastAsia="en-GB"/>
              </w:rPr>
            </w:pPr>
            <w:r w:rsidRPr="00D50761">
              <w:rPr>
                <w:sz w:val="28"/>
                <w:szCs w:val="28"/>
                <w:lang w:val="ro-RO" w:eastAsia="en-GB"/>
              </w:rPr>
              <w:t>12.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647C0A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Anilină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F73630" w14:textId="77777777" w:rsidR="00D50761" w:rsidRPr="00D50761" w:rsidRDefault="00D50761" w:rsidP="00D50761">
            <w:pPr>
              <w:ind w:firstLine="0"/>
              <w:jc w:val="left"/>
              <w:rPr>
                <w:rFonts w:eastAsia="Arial Unicode MS"/>
                <w:color w:val="333333"/>
                <w:sz w:val="28"/>
                <w:szCs w:val="28"/>
                <w:lang w:val="ro-MD"/>
              </w:rPr>
            </w:pPr>
            <w:r w:rsidRPr="00D50761">
              <w:rPr>
                <w:rFonts w:eastAsia="Arial Unicode MS"/>
                <w:color w:val="333333"/>
                <w:sz w:val="28"/>
                <w:szCs w:val="28"/>
                <w:lang w:val="ro-MD"/>
              </w:rPr>
              <w:t>62-53-3</w:t>
            </w:r>
          </w:p>
        </w:tc>
        <w:tc>
          <w:tcPr>
            <w:tcW w:w="2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E6D63B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30 mg/kg după scindare reductivă în materialele din jucării din materiale textile și din piele</w:t>
            </w:r>
          </w:p>
          <w:p w14:paraId="4AB58CF2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10 mg/kg ca anilină liberă în vopselele aplicabile cu degetele</w:t>
            </w:r>
          </w:p>
          <w:p w14:paraId="31ECEEF7" w14:textId="77777777" w:rsidR="00D50761" w:rsidRPr="00C02AEC" w:rsidRDefault="00D50761" w:rsidP="00D50761">
            <w:pPr>
              <w:spacing w:before="60" w:after="60" w:line="312" w:lineRule="atLeast"/>
              <w:ind w:firstLine="0"/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</w:pPr>
            <w:r w:rsidRPr="00C02AEC">
              <w:rPr>
                <w:rFonts w:eastAsia="Arial Unicode MS"/>
                <w:color w:val="333333"/>
                <w:sz w:val="28"/>
                <w:szCs w:val="28"/>
                <w:lang w:val="ro-RO" w:eastAsia="en-GB"/>
              </w:rPr>
              <w:t>30 mg/kg după scindare reductivă în vopselele aplicabile cu degetele</w:t>
            </w:r>
          </w:p>
        </w:tc>
      </w:tr>
    </w:tbl>
    <w:p w14:paraId="3D421249" w14:textId="77777777" w:rsidR="00D50761" w:rsidRPr="00D50761" w:rsidRDefault="00D50761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791F279A" w14:textId="523F8667" w:rsidR="00546605" w:rsidRDefault="00733658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  <w:r>
        <w:rPr>
          <w:sz w:val="28"/>
          <w:szCs w:val="28"/>
          <w:lang w:val="ro-RO" w:eastAsia="en-GB"/>
        </w:rPr>
        <w:t>y</w:t>
      </w:r>
      <w:r w:rsidR="00546605" w:rsidRPr="00D50761">
        <w:rPr>
          <w:sz w:val="28"/>
          <w:szCs w:val="28"/>
          <w:lang w:val="ro-RO" w:eastAsia="en-GB"/>
        </w:rPr>
        <w:t>)</w:t>
      </w:r>
      <w:r w:rsidR="00D50761" w:rsidRPr="00D50761">
        <w:rPr>
          <w:sz w:val="28"/>
          <w:szCs w:val="28"/>
          <w:lang w:val="ro-RO" w:eastAsia="en-GB"/>
        </w:rPr>
        <w:t xml:space="preserve"> în tot textul Anexei nr. 6 cuvintele „marcajul de conformitate CE” se substituie cu cuvintele „marcajul CE”</w:t>
      </w:r>
      <w:r w:rsidR="00D50761">
        <w:rPr>
          <w:sz w:val="28"/>
          <w:szCs w:val="28"/>
          <w:lang w:val="ro-RO" w:eastAsia="en-GB"/>
        </w:rPr>
        <w:t>.</w:t>
      </w:r>
    </w:p>
    <w:p w14:paraId="5C97CBD7" w14:textId="77777777" w:rsidR="00E96238" w:rsidRPr="00D50761" w:rsidRDefault="00E96238" w:rsidP="001B0A7F">
      <w:pPr>
        <w:tabs>
          <w:tab w:val="left" w:pos="284"/>
        </w:tabs>
        <w:spacing w:after="160" w:line="259" w:lineRule="auto"/>
        <w:contextualSpacing/>
        <w:jc w:val="left"/>
        <w:rPr>
          <w:sz w:val="28"/>
          <w:szCs w:val="28"/>
          <w:lang w:val="ro-RO" w:eastAsia="en-GB"/>
        </w:rPr>
      </w:pPr>
    </w:p>
    <w:p w14:paraId="31ADDEAE" w14:textId="77777777" w:rsidR="001B0A7F" w:rsidRDefault="001B0A7F" w:rsidP="001B0A7F">
      <w:pPr>
        <w:rPr>
          <w:sz w:val="28"/>
          <w:szCs w:val="28"/>
          <w:lang w:val="ro-RO" w:eastAsia="ro-RO"/>
        </w:rPr>
      </w:pPr>
    </w:p>
    <w:p w14:paraId="6828CB10" w14:textId="77777777" w:rsidR="00C02AEC" w:rsidRDefault="00C02AEC" w:rsidP="001B0A7F">
      <w:pPr>
        <w:rPr>
          <w:sz w:val="28"/>
          <w:szCs w:val="28"/>
          <w:lang w:val="ro-RO" w:eastAsia="ro-RO"/>
        </w:rPr>
      </w:pPr>
    </w:p>
    <w:p w14:paraId="326FC4D1" w14:textId="77777777" w:rsidR="00C02AEC" w:rsidRPr="00D50761" w:rsidRDefault="00C02AEC" w:rsidP="001B0A7F">
      <w:pPr>
        <w:rPr>
          <w:sz w:val="28"/>
          <w:szCs w:val="28"/>
          <w:lang w:val="ro-RO" w:eastAsia="ro-RO"/>
        </w:rPr>
      </w:pPr>
    </w:p>
    <w:p w14:paraId="75B90658" w14:textId="2419F0E2" w:rsidR="001B0A7F" w:rsidRPr="00D50761" w:rsidRDefault="001B0A7F" w:rsidP="001B0A7F">
      <w:pPr>
        <w:rPr>
          <w:sz w:val="28"/>
          <w:szCs w:val="28"/>
          <w:lang w:val="ro-RO" w:eastAsia="ro-RO"/>
        </w:rPr>
      </w:pPr>
      <w:r w:rsidRPr="00D50761">
        <w:rPr>
          <w:b/>
          <w:sz w:val="28"/>
          <w:szCs w:val="28"/>
          <w:lang w:val="ro-RO" w:eastAsia="ro-RO"/>
        </w:rPr>
        <w:t>Prim-ministru</w:t>
      </w:r>
      <w:r w:rsidRPr="00D50761">
        <w:rPr>
          <w:b/>
          <w:sz w:val="28"/>
          <w:szCs w:val="28"/>
          <w:lang w:val="ro-RO" w:eastAsia="ro-RO"/>
        </w:rPr>
        <w:tab/>
      </w:r>
      <w:r w:rsidRPr="00D50761">
        <w:rPr>
          <w:b/>
          <w:sz w:val="28"/>
          <w:szCs w:val="28"/>
          <w:lang w:val="ro-RO" w:eastAsia="ro-RO"/>
        </w:rPr>
        <w:tab/>
      </w:r>
      <w:r w:rsidRPr="00D50761">
        <w:rPr>
          <w:b/>
          <w:sz w:val="28"/>
          <w:szCs w:val="28"/>
          <w:lang w:val="ro-RO" w:eastAsia="ro-RO"/>
        </w:rPr>
        <w:tab/>
      </w:r>
      <w:r w:rsidRPr="00D50761">
        <w:rPr>
          <w:b/>
          <w:sz w:val="28"/>
          <w:szCs w:val="28"/>
          <w:lang w:val="ro-RO" w:eastAsia="ro-RO"/>
        </w:rPr>
        <w:tab/>
      </w:r>
      <w:r w:rsidRPr="00D50761">
        <w:rPr>
          <w:b/>
          <w:sz w:val="28"/>
          <w:szCs w:val="28"/>
          <w:lang w:val="ro-RO" w:eastAsia="ro-RO"/>
        </w:rPr>
        <w:tab/>
      </w:r>
      <w:r w:rsidR="00F33EAD">
        <w:rPr>
          <w:b/>
          <w:sz w:val="28"/>
          <w:szCs w:val="28"/>
          <w:lang w:val="ro-RO" w:eastAsia="ro-RO"/>
        </w:rPr>
        <w:tab/>
      </w:r>
      <w:r w:rsidRPr="00D50761">
        <w:rPr>
          <w:b/>
          <w:sz w:val="28"/>
          <w:szCs w:val="28"/>
          <w:lang w:val="ro-RO" w:eastAsia="ro-RO"/>
        </w:rPr>
        <w:t>DORIN RECEAN</w:t>
      </w:r>
    </w:p>
    <w:p w14:paraId="5635504F" w14:textId="77777777" w:rsidR="001B0A7F" w:rsidRDefault="001B0A7F" w:rsidP="001B0A7F">
      <w:pPr>
        <w:rPr>
          <w:sz w:val="28"/>
          <w:szCs w:val="28"/>
          <w:lang w:val="ro-RO" w:eastAsia="ro-RO"/>
        </w:rPr>
      </w:pPr>
    </w:p>
    <w:p w14:paraId="65A4D441" w14:textId="77777777" w:rsidR="00E96238" w:rsidRPr="00D50761" w:rsidRDefault="00E96238" w:rsidP="001B0A7F">
      <w:pPr>
        <w:rPr>
          <w:sz w:val="28"/>
          <w:szCs w:val="28"/>
          <w:lang w:val="ro-RO" w:eastAsia="ro-RO"/>
        </w:rPr>
      </w:pPr>
    </w:p>
    <w:p w14:paraId="5A393363" w14:textId="77777777" w:rsidR="001B0A7F" w:rsidRDefault="001B0A7F" w:rsidP="001B0A7F">
      <w:pPr>
        <w:tabs>
          <w:tab w:val="left" w:pos="5954"/>
        </w:tabs>
        <w:rPr>
          <w:sz w:val="28"/>
          <w:szCs w:val="28"/>
          <w:lang w:val="ro-RO" w:eastAsia="ro-RO"/>
        </w:rPr>
      </w:pPr>
      <w:r w:rsidRPr="00D50761">
        <w:rPr>
          <w:sz w:val="28"/>
          <w:szCs w:val="28"/>
          <w:lang w:val="ro-RO" w:eastAsia="ro-RO"/>
        </w:rPr>
        <w:t>Contrasemnează:</w:t>
      </w:r>
    </w:p>
    <w:p w14:paraId="04DE65B0" w14:textId="77777777" w:rsidR="00C02AEC" w:rsidRPr="00D50761" w:rsidRDefault="00C02AEC" w:rsidP="001B0A7F">
      <w:pPr>
        <w:tabs>
          <w:tab w:val="left" w:pos="5954"/>
        </w:tabs>
        <w:rPr>
          <w:sz w:val="28"/>
          <w:szCs w:val="28"/>
          <w:lang w:val="ro-RO" w:eastAsia="ro-RO"/>
        </w:rPr>
      </w:pPr>
    </w:p>
    <w:p w14:paraId="472FC8C9" w14:textId="77777777" w:rsidR="001B0A7F" w:rsidRPr="00D50761" w:rsidRDefault="001B0A7F" w:rsidP="001B0A7F">
      <w:pPr>
        <w:tabs>
          <w:tab w:val="left" w:pos="5954"/>
        </w:tabs>
        <w:rPr>
          <w:sz w:val="28"/>
          <w:szCs w:val="28"/>
          <w:lang w:val="ro-RO" w:eastAsia="ru-RU"/>
        </w:rPr>
      </w:pPr>
      <w:r w:rsidRPr="00D50761">
        <w:rPr>
          <w:sz w:val="28"/>
          <w:szCs w:val="28"/>
          <w:lang w:val="ro-RO" w:eastAsia="ru-RU"/>
        </w:rPr>
        <w:t>Viceprim-ministru,</w:t>
      </w:r>
    </w:p>
    <w:p w14:paraId="0F36A3C9" w14:textId="77777777" w:rsidR="001B0A7F" w:rsidRPr="00D50761" w:rsidRDefault="001B0A7F" w:rsidP="001B0A7F">
      <w:pPr>
        <w:rPr>
          <w:sz w:val="28"/>
          <w:szCs w:val="28"/>
          <w:lang w:val="ro-RO" w:eastAsia="ru-RU"/>
        </w:rPr>
      </w:pPr>
      <w:r w:rsidRPr="00D50761">
        <w:rPr>
          <w:sz w:val="28"/>
          <w:szCs w:val="28"/>
          <w:lang w:val="ro-RO" w:eastAsia="ru-RU"/>
        </w:rPr>
        <w:t xml:space="preserve">ministrul dezvoltării </w:t>
      </w:r>
    </w:p>
    <w:p w14:paraId="3E36048D" w14:textId="123AE0D3" w:rsidR="001B0A7F" w:rsidRPr="00D50761" w:rsidRDefault="001B0A7F" w:rsidP="001B0A7F">
      <w:pPr>
        <w:rPr>
          <w:sz w:val="28"/>
          <w:szCs w:val="28"/>
          <w:lang w:val="ro-RO" w:eastAsia="ru-RU"/>
        </w:rPr>
      </w:pPr>
      <w:r w:rsidRPr="00D50761">
        <w:rPr>
          <w:sz w:val="28"/>
          <w:szCs w:val="28"/>
          <w:lang w:val="ro-RO" w:eastAsia="ru-RU"/>
        </w:rPr>
        <w:t>economice și digitalizării</w:t>
      </w:r>
      <w:r w:rsidRPr="00D50761">
        <w:rPr>
          <w:sz w:val="28"/>
          <w:szCs w:val="28"/>
          <w:lang w:val="ro-RO" w:eastAsia="ru-RU"/>
        </w:rPr>
        <w:tab/>
      </w:r>
      <w:r w:rsidRPr="00D50761">
        <w:rPr>
          <w:sz w:val="28"/>
          <w:szCs w:val="28"/>
          <w:lang w:val="ro-RO" w:eastAsia="ru-RU"/>
        </w:rPr>
        <w:tab/>
      </w:r>
      <w:r w:rsidRPr="00D50761">
        <w:rPr>
          <w:sz w:val="28"/>
          <w:szCs w:val="28"/>
          <w:lang w:val="ro-RO" w:eastAsia="ru-RU"/>
        </w:rPr>
        <w:tab/>
      </w:r>
      <w:r w:rsidRPr="00D50761">
        <w:rPr>
          <w:sz w:val="28"/>
          <w:szCs w:val="28"/>
          <w:lang w:val="ro-RO" w:eastAsia="ru-RU"/>
        </w:rPr>
        <w:tab/>
      </w:r>
      <w:r w:rsidR="00F33EAD">
        <w:rPr>
          <w:sz w:val="28"/>
          <w:szCs w:val="28"/>
          <w:lang w:val="ro-RO" w:eastAsia="ru-RU"/>
        </w:rPr>
        <w:tab/>
      </w:r>
      <w:r w:rsidRPr="00D50761">
        <w:rPr>
          <w:sz w:val="28"/>
          <w:szCs w:val="28"/>
          <w:lang w:val="ro-RO" w:eastAsia="ru-RU"/>
        </w:rPr>
        <w:t>Dumitru ALAIBA</w:t>
      </w:r>
    </w:p>
    <w:sectPr w:rsidR="001B0A7F" w:rsidRPr="00D50761" w:rsidSect="00C02AEC">
      <w:headerReference w:type="default" r:id="rId12"/>
      <w:headerReference w:type="first" r:id="rId13"/>
      <w:footerReference w:type="first" r:id="rId14"/>
      <w:pgSz w:w="11907" w:h="16840" w:code="9"/>
      <w:pgMar w:top="1134" w:right="850" w:bottom="1134" w:left="1701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76762" w14:textId="77777777" w:rsidR="003E2F33" w:rsidRDefault="003E2F33" w:rsidP="00026B87">
      <w:r>
        <w:separator/>
      </w:r>
    </w:p>
  </w:endnote>
  <w:endnote w:type="continuationSeparator" w:id="0">
    <w:p w14:paraId="3074361C" w14:textId="77777777" w:rsidR="003E2F33" w:rsidRDefault="003E2F3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77777777" w:rsidR="00EE7FA1" w:rsidRPr="001D364E" w:rsidRDefault="00EE7FA1" w:rsidP="001D364E">
    <w:pPr>
      <w:pStyle w:val="a8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>
      <w:rPr>
        <w:noProof/>
        <w:sz w:val="16"/>
        <w:szCs w:val="16"/>
      </w:rPr>
      <w:t>Y:\001\Blanchete 2020\hotarire-Ro.docx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B06C0" w14:textId="77777777" w:rsidR="003E2F33" w:rsidRDefault="003E2F33" w:rsidP="00026B87">
      <w:r>
        <w:separator/>
      </w:r>
    </w:p>
  </w:footnote>
  <w:footnote w:type="continuationSeparator" w:id="0">
    <w:p w14:paraId="13C5373A" w14:textId="77777777" w:rsidR="003E2F33" w:rsidRDefault="003E2F3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0808E9B3" w:rsidR="00EE7FA1" w:rsidRDefault="00EE7FA1">
    <w:pPr>
      <w:pStyle w:val="a6"/>
      <w:jc w:val="center"/>
    </w:pPr>
  </w:p>
  <w:p w14:paraId="395892D0" w14:textId="77777777" w:rsidR="00EE7FA1" w:rsidRDefault="00EE7F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E9291" w14:textId="77777777" w:rsidR="00EE7FA1" w:rsidRPr="00D36E67" w:rsidRDefault="00EE7FA1" w:rsidP="00D36E67">
    <w:pPr>
      <w:spacing w:after="160" w:line="259" w:lineRule="auto"/>
      <w:ind w:firstLine="0"/>
      <w:jc w:val="right"/>
      <w:rPr>
        <w:rFonts w:eastAsia="Calibri"/>
        <w:b/>
        <w:bCs/>
        <w:sz w:val="28"/>
        <w:szCs w:val="28"/>
        <w:lang w:val="ro-RO"/>
      </w:rPr>
    </w:pPr>
    <w:r w:rsidRPr="00D36E67">
      <w:rPr>
        <w:rFonts w:eastAsia="Calibri"/>
        <w:b/>
        <w:bCs/>
        <w:sz w:val="28"/>
        <w:szCs w:val="28"/>
        <w:lang w:val="ro-RO"/>
      </w:rPr>
      <w:t>UE</w:t>
    </w:r>
  </w:p>
  <w:p w14:paraId="0329B8BE" w14:textId="77777777" w:rsidR="00EE7FA1" w:rsidRPr="00D36E67" w:rsidRDefault="00EE7FA1" w:rsidP="00D36E67">
    <w:pPr>
      <w:spacing w:after="160" w:line="259" w:lineRule="auto"/>
      <w:ind w:firstLine="0"/>
      <w:jc w:val="right"/>
      <w:rPr>
        <w:rFonts w:eastAsia="Calibri"/>
        <w:bCs/>
        <w:sz w:val="28"/>
        <w:szCs w:val="28"/>
        <w:lang w:val="ro-RO"/>
      </w:rPr>
    </w:pPr>
    <w:r w:rsidRPr="00D36E67">
      <w:rPr>
        <w:rFonts w:eastAsia="Calibri"/>
        <w:bCs/>
        <w:sz w:val="28"/>
        <w:szCs w:val="28"/>
        <w:lang w:val="ro-RO"/>
      </w:rPr>
      <w:t>Proiect</w:t>
    </w:r>
  </w:p>
  <w:p w14:paraId="3B5651E0" w14:textId="77777777" w:rsidR="00EE7FA1" w:rsidRDefault="00EE7FA1"/>
  <w:p w14:paraId="798FC2EE" w14:textId="77777777" w:rsidR="00EE7FA1" w:rsidRDefault="00EE7FA1"/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</w:tblGrid>
    <w:tr w:rsidR="00EE7FA1" w14:paraId="64B82F37" w14:textId="77777777" w:rsidTr="00FC2D2D">
      <w:tc>
        <w:tcPr>
          <w:tcW w:w="5000" w:type="pct"/>
        </w:tcPr>
        <w:p w14:paraId="479269F3" w14:textId="77777777" w:rsidR="00EE7FA1" w:rsidRDefault="00EE7FA1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EE7FA1" w:rsidRDefault="00EE7FA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EE7FA1" w:rsidRDefault="00EE7FA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EE7FA1" w:rsidRDefault="00EE7FA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EE7FA1" w:rsidRPr="00FC2D2D" w:rsidRDefault="00EE7FA1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EE7FA1" w14:paraId="27AE2608" w14:textId="77777777" w:rsidTr="00FC2D2D">
      <w:tc>
        <w:tcPr>
          <w:tcW w:w="5000" w:type="pct"/>
        </w:tcPr>
        <w:p w14:paraId="08F848A5" w14:textId="77777777" w:rsidR="00EE7FA1" w:rsidRPr="00633BD9" w:rsidRDefault="00EE7FA1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EE7FA1" w:rsidRPr="00FC2D2D" w:rsidRDefault="00EE7FA1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EE7FA1" w:rsidRPr="00FC2D2D" w:rsidRDefault="00EE7FA1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EE7FA1" w:rsidRPr="00FC2D2D" w:rsidRDefault="00EE7FA1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EE7FA1" w:rsidRPr="00FC2D2D" w:rsidRDefault="00EE7FA1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EE7FA1" w:rsidRPr="00FC2D2D" w:rsidRDefault="00EE7FA1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EE7FA1" w:rsidRPr="00FC2D2D" w:rsidRDefault="00EE7FA1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EE7FA1" w:rsidRPr="00FC2D2D" w:rsidRDefault="00EE7FA1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EE7FA1" w:rsidRPr="00B16328" w:rsidRDefault="00EE7FA1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122E4"/>
    <w:multiLevelType w:val="hybridMultilevel"/>
    <w:tmpl w:val="26FA95CE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041F7"/>
    <w:multiLevelType w:val="hybridMultilevel"/>
    <w:tmpl w:val="A5AC569C"/>
    <w:lvl w:ilvl="0" w:tplc="2A78A40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FE1DFF"/>
    <w:multiLevelType w:val="hybridMultilevel"/>
    <w:tmpl w:val="0AC8E2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633D3"/>
    <w:multiLevelType w:val="hybridMultilevel"/>
    <w:tmpl w:val="DFCC29F8"/>
    <w:lvl w:ilvl="0" w:tplc="04E89F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35B8"/>
    <w:multiLevelType w:val="hybridMultilevel"/>
    <w:tmpl w:val="DFCC29F8"/>
    <w:lvl w:ilvl="0" w:tplc="04E89F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93653"/>
    <w:multiLevelType w:val="hybridMultilevel"/>
    <w:tmpl w:val="40C4EFE6"/>
    <w:lvl w:ilvl="0" w:tplc="809C4C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944AC2"/>
    <w:multiLevelType w:val="hybridMultilevel"/>
    <w:tmpl w:val="3B186312"/>
    <w:lvl w:ilvl="0" w:tplc="EDA20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8"/>
  </w:num>
  <w:num w:numId="3">
    <w:abstractNumId w:val="2"/>
  </w:num>
  <w:num w:numId="4">
    <w:abstractNumId w:val="25"/>
  </w:num>
  <w:num w:numId="5">
    <w:abstractNumId w:val="19"/>
  </w:num>
  <w:num w:numId="6">
    <w:abstractNumId w:val="28"/>
  </w:num>
  <w:num w:numId="7">
    <w:abstractNumId w:val="6"/>
  </w:num>
  <w:num w:numId="8">
    <w:abstractNumId w:val="20"/>
  </w:num>
  <w:num w:numId="9">
    <w:abstractNumId w:val="39"/>
  </w:num>
  <w:num w:numId="10">
    <w:abstractNumId w:val="41"/>
  </w:num>
  <w:num w:numId="11">
    <w:abstractNumId w:val="17"/>
  </w:num>
  <w:num w:numId="12">
    <w:abstractNumId w:val="32"/>
  </w:num>
  <w:num w:numId="13">
    <w:abstractNumId w:val="5"/>
  </w:num>
  <w:num w:numId="14">
    <w:abstractNumId w:val="4"/>
  </w:num>
  <w:num w:numId="15">
    <w:abstractNumId w:val="10"/>
  </w:num>
  <w:num w:numId="16">
    <w:abstractNumId w:val="30"/>
  </w:num>
  <w:num w:numId="17">
    <w:abstractNumId w:val="29"/>
  </w:num>
  <w:num w:numId="18">
    <w:abstractNumId w:val="3"/>
  </w:num>
  <w:num w:numId="19">
    <w:abstractNumId w:val="11"/>
  </w:num>
  <w:num w:numId="20">
    <w:abstractNumId w:val="14"/>
  </w:num>
  <w:num w:numId="21">
    <w:abstractNumId w:val="35"/>
  </w:num>
  <w:num w:numId="22">
    <w:abstractNumId w:val="27"/>
  </w:num>
  <w:num w:numId="23">
    <w:abstractNumId w:val="42"/>
  </w:num>
  <w:num w:numId="24">
    <w:abstractNumId w:val="18"/>
  </w:num>
  <w:num w:numId="25">
    <w:abstractNumId w:val="36"/>
  </w:num>
  <w:num w:numId="26">
    <w:abstractNumId w:val="21"/>
  </w:num>
  <w:num w:numId="27">
    <w:abstractNumId w:val="24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4"/>
  </w:num>
  <w:num w:numId="32">
    <w:abstractNumId w:val="16"/>
  </w:num>
  <w:num w:numId="33">
    <w:abstractNumId w:val="43"/>
  </w:num>
  <w:num w:numId="34">
    <w:abstractNumId w:val="40"/>
  </w:num>
  <w:num w:numId="35">
    <w:abstractNumId w:val="12"/>
  </w:num>
  <w:num w:numId="36">
    <w:abstractNumId w:val="13"/>
  </w:num>
  <w:num w:numId="37">
    <w:abstractNumId w:val="26"/>
  </w:num>
  <w:num w:numId="38">
    <w:abstractNumId w:val="7"/>
  </w:num>
  <w:num w:numId="39">
    <w:abstractNumId w:val="15"/>
  </w:num>
  <w:num w:numId="40">
    <w:abstractNumId w:val="22"/>
  </w:num>
  <w:num w:numId="41">
    <w:abstractNumId w:val="33"/>
  </w:num>
  <w:num w:numId="42">
    <w:abstractNumId w:val="37"/>
  </w:num>
  <w:num w:numId="43">
    <w:abstractNumId w:val="23"/>
  </w:num>
  <w:num w:numId="44">
    <w:abstractNumId w:val="31"/>
  </w:num>
  <w:num w:numId="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542D"/>
    <w:rsid w:val="00026B87"/>
    <w:rsid w:val="000555C7"/>
    <w:rsid w:val="0006335B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C5900"/>
    <w:rsid w:val="000D3405"/>
    <w:rsid w:val="000D7A09"/>
    <w:rsid w:val="000E16D8"/>
    <w:rsid w:val="000F0FD7"/>
    <w:rsid w:val="000F36BF"/>
    <w:rsid w:val="000F6C89"/>
    <w:rsid w:val="001100A2"/>
    <w:rsid w:val="00111319"/>
    <w:rsid w:val="0011681B"/>
    <w:rsid w:val="0014378C"/>
    <w:rsid w:val="00144067"/>
    <w:rsid w:val="001469DB"/>
    <w:rsid w:val="001574DD"/>
    <w:rsid w:val="001614F3"/>
    <w:rsid w:val="001660C2"/>
    <w:rsid w:val="001850EC"/>
    <w:rsid w:val="00191F49"/>
    <w:rsid w:val="001B0A7F"/>
    <w:rsid w:val="001B2461"/>
    <w:rsid w:val="001B5608"/>
    <w:rsid w:val="001B62BA"/>
    <w:rsid w:val="001D364E"/>
    <w:rsid w:val="001E04CA"/>
    <w:rsid w:val="001E6EB8"/>
    <w:rsid w:val="00203F86"/>
    <w:rsid w:val="00222B19"/>
    <w:rsid w:val="00243B9C"/>
    <w:rsid w:val="00250639"/>
    <w:rsid w:val="00251AE0"/>
    <w:rsid w:val="0025392F"/>
    <w:rsid w:val="00256447"/>
    <w:rsid w:val="00256F32"/>
    <w:rsid w:val="00283736"/>
    <w:rsid w:val="0029400E"/>
    <w:rsid w:val="002D48BB"/>
    <w:rsid w:val="002E50B4"/>
    <w:rsid w:val="003071FD"/>
    <w:rsid w:val="00314047"/>
    <w:rsid w:val="003267A0"/>
    <w:rsid w:val="003321A4"/>
    <w:rsid w:val="0034194B"/>
    <w:rsid w:val="003538D9"/>
    <w:rsid w:val="003543E9"/>
    <w:rsid w:val="003724B5"/>
    <w:rsid w:val="003852B4"/>
    <w:rsid w:val="003A2DEB"/>
    <w:rsid w:val="003A4AE6"/>
    <w:rsid w:val="003B04ED"/>
    <w:rsid w:val="003B596B"/>
    <w:rsid w:val="003D6BC3"/>
    <w:rsid w:val="003E0C00"/>
    <w:rsid w:val="003E2F33"/>
    <w:rsid w:val="004009AA"/>
    <w:rsid w:val="004126A0"/>
    <w:rsid w:val="00427274"/>
    <w:rsid w:val="00441A17"/>
    <w:rsid w:val="00443FC0"/>
    <w:rsid w:val="0044592D"/>
    <w:rsid w:val="00454CEE"/>
    <w:rsid w:val="004654AB"/>
    <w:rsid w:val="00466045"/>
    <w:rsid w:val="00480561"/>
    <w:rsid w:val="00482BA3"/>
    <w:rsid w:val="00482D56"/>
    <w:rsid w:val="004A228A"/>
    <w:rsid w:val="004A4B59"/>
    <w:rsid w:val="004B00D8"/>
    <w:rsid w:val="004C0058"/>
    <w:rsid w:val="004C3343"/>
    <w:rsid w:val="004E1000"/>
    <w:rsid w:val="004F51E5"/>
    <w:rsid w:val="00500597"/>
    <w:rsid w:val="0050680A"/>
    <w:rsid w:val="00507C51"/>
    <w:rsid w:val="00512A5C"/>
    <w:rsid w:val="005262C2"/>
    <w:rsid w:val="00530592"/>
    <w:rsid w:val="005339FD"/>
    <w:rsid w:val="00535D27"/>
    <w:rsid w:val="00542F92"/>
    <w:rsid w:val="00543F94"/>
    <w:rsid w:val="00546605"/>
    <w:rsid w:val="005469D3"/>
    <w:rsid w:val="005541A1"/>
    <w:rsid w:val="005556F5"/>
    <w:rsid w:val="005802DD"/>
    <w:rsid w:val="005850E0"/>
    <w:rsid w:val="00586D2A"/>
    <w:rsid w:val="005A59AA"/>
    <w:rsid w:val="005D29BC"/>
    <w:rsid w:val="005E1FF5"/>
    <w:rsid w:val="005F05F9"/>
    <w:rsid w:val="005F1999"/>
    <w:rsid w:val="005F2B04"/>
    <w:rsid w:val="00601679"/>
    <w:rsid w:val="00602E93"/>
    <w:rsid w:val="00603A9C"/>
    <w:rsid w:val="00625110"/>
    <w:rsid w:val="0063090F"/>
    <w:rsid w:val="00633BD9"/>
    <w:rsid w:val="00657B33"/>
    <w:rsid w:val="00663811"/>
    <w:rsid w:val="00671998"/>
    <w:rsid w:val="0067374F"/>
    <w:rsid w:val="00695959"/>
    <w:rsid w:val="006B17C6"/>
    <w:rsid w:val="006B61A5"/>
    <w:rsid w:val="006E3ECB"/>
    <w:rsid w:val="006E74D0"/>
    <w:rsid w:val="006F24D3"/>
    <w:rsid w:val="00723D26"/>
    <w:rsid w:val="007248FC"/>
    <w:rsid w:val="007276F9"/>
    <w:rsid w:val="007305B8"/>
    <w:rsid w:val="00730FEE"/>
    <w:rsid w:val="00733658"/>
    <w:rsid w:val="0073380E"/>
    <w:rsid w:val="00737FC1"/>
    <w:rsid w:val="00746067"/>
    <w:rsid w:val="0074640D"/>
    <w:rsid w:val="007524E5"/>
    <w:rsid w:val="00752E46"/>
    <w:rsid w:val="007551A5"/>
    <w:rsid w:val="00756AE9"/>
    <w:rsid w:val="00782601"/>
    <w:rsid w:val="00783B80"/>
    <w:rsid w:val="007926E4"/>
    <w:rsid w:val="0079366C"/>
    <w:rsid w:val="007A2971"/>
    <w:rsid w:val="007A37D5"/>
    <w:rsid w:val="007A4567"/>
    <w:rsid w:val="007C0E5B"/>
    <w:rsid w:val="007E0B5B"/>
    <w:rsid w:val="007E4974"/>
    <w:rsid w:val="00812B30"/>
    <w:rsid w:val="00814406"/>
    <w:rsid w:val="00832599"/>
    <w:rsid w:val="0084667B"/>
    <w:rsid w:val="0085607B"/>
    <w:rsid w:val="00862AB4"/>
    <w:rsid w:val="0087581E"/>
    <w:rsid w:val="00882196"/>
    <w:rsid w:val="00893B25"/>
    <w:rsid w:val="008B533A"/>
    <w:rsid w:val="008C14FC"/>
    <w:rsid w:val="008C1EB3"/>
    <w:rsid w:val="008C53C4"/>
    <w:rsid w:val="008C5570"/>
    <w:rsid w:val="008C5F65"/>
    <w:rsid w:val="008D5E73"/>
    <w:rsid w:val="008F7487"/>
    <w:rsid w:val="00912767"/>
    <w:rsid w:val="009159B9"/>
    <w:rsid w:val="009168BD"/>
    <w:rsid w:val="00917A6B"/>
    <w:rsid w:val="009374A9"/>
    <w:rsid w:val="009413CC"/>
    <w:rsid w:val="00941781"/>
    <w:rsid w:val="009423B6"/>
    <w:rsid w:val="00950CEF"/>
    <w:rsid w:val="0095316D"/>
    <w:rsid w:val="00965406"/>
    <w:rsid w:val="00967B94"/>
    <w:rsid w:val="009926E8"/>
    <w:rsid w:val="009A0D22"/>
    <w:rsid w:val="009A3326"/>
    <w:rsid w:val="009B4C08"/>
    <w:rsid w:val="009B4E5C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27F14"/>
    <w:rsid w:val="00A32BFE"/>
    <w:rsid w:val="00A35DD9"/>
    <w:rsid w:val="00A56041"/>
    <w:rsid w:val="00A645F2"/>
    <w:rsid w:val="00A84537"/>
    <w:rsid w:val="00A87A92"/>
    <w:rsid w:val="00A938D0"/>
    <w:rsid w:val="00A94FEB"/>
    <w:rsid w:val="00A977C3"/>
    <w:rsid w:val="00AA173D"/>
    <w:rsid w:val="00AA723A"/>
    <w:rsid w:val="00AB67F5"/>
    <w:rsid w:val="00AB6C8D"/>
    <w:rsid w:val="00AC4E69"/>
    <w:rsid w:val="00AE7568"/>
    <w:rsid w:val="00AF0010"/>
    <w:rsid w:val="00AF4D41"/>
    <w:rsid w:val="00B05A8B"/>
    <w:rsid w:val="00B16328"/>
    <w:rsid w:val="00B4370D"/>
    <w:rsid w:val="00B51090"/>
    <w:rsid w:val="00B71142"/>
    <w:rsid w:val="00B82055"/>
    <w:rsid w:val="00B84F25"/>
    <w:rsid w:val="00BB5442"/>
    <w:rsid w:val="00BF0747"/>
    <w:rsid w:val="00BF2373"/>
    <w:rsid w:val="00BF32A6"/>
    <w:rsid w:val="00C02AEC"/>
    <w:rsid w:val="00C02DFA"/>
    <w:rsid w:val="00C03113"/>
    <w:rsid w:val="00C04B58"/>
    <w:rsid w:val="00C20AF9"/>
    <w:rsid w:val="00C21E13"/>
    <w:rsid w:val="00C2477D"/>
    <w:rsid w:val="00C352DF"/>
    <w:rsid w:val="00C35492"/>
    <w:rsid w:val="00C52C23"/>
    <w:rsid w:val="00C74719"/>
    <w:rsid w:val="00C74905"/>
    <w:rsid w:val="00C8385B"/>
    <w:rsid w:val="00C845B7"/>
    <w:rsid w:val="00C97309"/>
    <w:rsid w:val="00CA3FAC"/>
    <w:rsid w:val="00CB05D3"/>
    <w:rsid w:val="00CB0FCF"/>
    <w:rsid w:val="00CB4AF9"/>
    <w:rsid w:val="00CC7AFF"/>
    <w:rsid w:val="00CD2B14"/>
    <w:rsid w:val="00CE0DA1"/>
    <w:rsid w:val="00CF2559"/>
    <w:rsid w:val="00D057EC"/>
    <w:rsid w:val="00D1121D"/>
    <w:rsid w:val="00D30198"/>
    <w:rsid w:val="00D36E67"/>
    <w:rsid w:val="00D41305"/>
    <w:rsid w:val="00D44E62"/>
    <w:rsid w:val="00D50761"/>
    <w:rsid w:val="00D64123"/>
    <w:rsid w:val="00D642D3"/>
    <w:rsid w:val="00D77ECB"/>
    <w:rsid w:val="00D8311D"/>
    <w:rsid w:val="00D86B79"/>
    <w:rsid w:val="00D91434"/>
    <w:rsid w:val="00DB1216"/>
    <w:rsid w:val="00DB5E8E"/>
    <w:rsid w:val="00DB7468"/>
    <w:rsid w:val="00DC4C6E"/>
    <w:rsid w:val="00DE2B68"/>
    <w:rsid w:val="00DF0E57"/>
    <w:rsid w:val="00DF181A"/>
    <w:rsid w:val="00DF7E3E"/>
    <w:rsid w:val="00E04C14"/>
    <w:rsid w:val="00E11CE2"/>
    <w:rsid w:val="00E216C5"/>
    <w:rsid w:val="00E25218"/>
    <w:rsid w:val="00E35C09"/>
    <w:rsid w:val="00E45B59"/>
    <w:rsid w:val="00E52F97"/>
    <w:rsid w:val="00E5346C"/>
    <w:rsid w:val="00E82D01"/>
    <w:rsid w:val="00E91ECE"/>
    <w:rsid w:val="00E96238"/>
    <w:rsid w:val="00EA1DFC"/>
    <w:rsid w:val="00EA3268"/>
    <w:rsid w:val="00EA7735"/>
    <w:rsid w:val="00EB50D7"/>
    <w:rsid w:val="00EB7F6B"/>
    <w:rsid w:val="00ED1EA8"/>
    <w:rsid w:val="00ED2FE3"/>
    <w:rsid w:val="00EE13DF"/>
    <w:rsid w:val="00EE7FA1"/>
    <w:rsid w:val="00EF5CF5"/>
    <w:rsid w:val="00F019B4"/>
    <w:rsid w:val="00F01AB9"/>
    <w:rsid w:val="00F04857"/>
    <w:rsid w:val="00F157DD"/>
    <w:rsid w:val="00F33EAD"/>
    <w:rsid w:val="00F4110C"/>
    <w:rsid w:val="00F51396"/>
    <w:rsid w:val="00F552B7"/>
    <w:rsid w:val="00F67B04"/>
    <w:rsid w:val="00F7030E"/>
    <w:rsid w:val="00F76152"/>
    <w:rsid w:val="00F817FC"/>
    <w:rsid w:val="00F864E2"/>
    <w:rsid w:val="00FA194B"/>
    <w:rsid w:val="00FA7984"/>
    <w:rsid w:val="00FB176A"/>
    <w:rsid w:val="00FC0D21"/>
    <w:rsid w:val="00FC2D2D"/>
    <w:rsid w:val="00FC4320"/>
    <w:rsid w:val="00FC531F"/>
    <w:rsid w:val="00FD2A3E"/>
    <w:rsid w:val="00FD50C6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lf">
    <w:name w:val="lf"/>
    <w:basedOn w:val="a"/>
    <w:rsid w:val="00E35C09"/>
    <w:pPr>
      <w:ind w:firstLine="0"/>
      <w:jc w:val="left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1120123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lex:LPLP201112012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lex:LPLP201112012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RO/AUTO/?uri=celex:32021L0903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D0D9-D761-49E2-82E9-9809C013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9</Pages>
  <Words>2461</Words>
  <Characters>14029</Characters>
  <Application>Microsoft Office Word</Application>
  <DocSecurity>0</DocSecurity>
  <Lines>116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Microsoft account</cp:lastModifiedBy>
  <cp:revision>30</cp:revision>
  <cp:lastPrinted>2020-01-31T14:51:00Z</cp:lastPrinted>
  <dcterms:created xsi:type="dcterms:W3CDTF">2023-06-13T12:20:00Z</dcterms:created>
  <dcterms:modified xsi:type="dcterms:W3CDTF">2023-06-20T11:46:00Z</dcterms:modified>
</cp:coreProperties>
</file>