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5B565" w14:textId="77777777" w:rsidR="004C29D5" w:rsidRPr="00FE69FE" w:rsidRDefault="004C29D5" w:rsidP="00FE69FE">
      <w:pPr>
        <w:spacing w:after="0" w:line="240" w:lineRule="auto"/>
        <w:jc w:val="both"/>
        <w:rPr>
          <w:rFonts w:ascii="Times New Roman" w:hAnsi="Times New Roman"/>
          <w:lang w:val="ro-MD"/>
        </w:rPr>
      </w:pPr>
    </w:p>
    <w:p w14:paraId="285A9284" w14:textId="77777777" w:rsidR="00767C89" w:rsidRDefault="0058596D" w:rsidP="00767C89">
      <w:pPr>
        <w:pStyle w:val="3"/>
        <w:spacing w:line="240" w:lineRule="auto"/>
        <w:ind w:firstLine="720"/>
        <w:jc w:val="center"/>
        <w:rPr>
          <w:rFonts w:ascii="Times New Roman" w:hAnsi="Times New Roman" w:cs="Times New Roman"/>
          <w:b/>
          <w:lang w:val="ro-MD"/>
        </w:rPr>
      </w:pPr>
      <w:r w:rsidRPr="00767C89">
        <w:rPr>
          <w:rFonts w:ascii="Times New Roman" w:hAnsi="Times New Roman" w:cs="Times New Roman"/>
          <w:b/>
          <w:lang w:val="ro-MD"/>
        </w:rPr>
        <w:t>Tabel comparativ la</w:t>
      </w:r>
      <w:r w:rsidR="00C15D45" w:rsidRPr="00767C89">
        <w:rPr>
          <w:rFonts w:ascii="Times New Roman" w:hAnsi="Times New Roman" w:cs="Times New Roman"/>
          <w:b/>
          <w:lang w:val="ro-MD"/>
        </w:rPr>
        <w:t xml:space="preserve"> </w:t>
      </w:r>
      <w:r w:rsidR="00B365A4" w:rsidRPr="00767C89">
        <w:rPr>
          <w:rFonts w:ascii="Times New Roman" w:hAnsi="Times New Roman" w:cs="Times New Roman"/>
          <w:b/>
          <w:lang w:val="ro-MD"/>
        </w:rPr>
        <w:t>Proiectul Hotărârii de Guvern</w:t>
      </w:r>
      <w:r w:rsidRPr="00767C89">
        <w:rPr>
          <w:rFonts w:ascii="Times New Roman" w:hAnsi="Times New Roman" w:cs="Times New Roman"/>
          <w:b/>
          <w:lang w:val="ro-MD"/>
        </w:rPr>
        <w:t xml:space="preserve"> </w:t>
      </w:r>
    </w:p>
    <w:p w14:paraId="36EF5B88" w14:textId="6D63CA73" w:rsidR="00767C89" w:rsidRPr="00767C89" w:rsidRDefault="00767C89" w:rsidP="00767C89">
      <w:pPr>
        <w:pStyle w:val="3"/>
        <w:spacing w:line="240" w:lineRule="auto"/>
        <w:ind w:firstLine="720"/>
        <w:jc w:val="center"/>
        <w:rPr>
          <w:rFonts w:ascii="Times New Roman" w:hAnsi="Times New Roman" w:cs="Times New Roman"/>
          <w:i/>
          <w:iCs/>
          <w:lang w:val="ro-MD"/>
        </w:rPr>
      </w:pPr>
      <w:r w:rsidRPr="00767C89">
        <w:rPr>
          <w:rFonts w:ascii="Times New Roman" w:hAnsi="Times New Roman" w:cs="Times New Roman"/>
          <w:i/>
          <w:iCs/>
          <w:lang w:val="ro-MD"/>
        </w:rPr>
        <w:t xml:space="preserve">Cu privire la modificarea Hotărârii Guvernului nr. 343/2020 Cu </w:t>
      </w:r>
      <w:r w:rsidRPr="00767C89">
        <w:rPr>
          <w:rFonts w:ascii="Times New Roman" w:hAnsi="Times New Roman" w:cs="Times New Roman"/>
          <w:i/>
          <w:iCs/>
          <w:color w:val="333333"/>
        </w:rPr>
        <w:t>privire la aprobarea Metodologiei de finanțare bugetară a instituțiilor publice de învățământ superior</w:t>
      </w:r>
    </w:p>
    <w:p w14:paraId="2527BEFF" w14:textId="17974BAC" w:rsidR="00F57D55" w:rsidRPr="0006227E" w:rsidRDefault="00F57D55" w:rsidP="00767C89">
      <w:pPr>
        <w:spacing w:after="0" w:line="240" w:lineRule="auto"/>
        <w:jc w:val="center"/>
        <w:rPr>
          <w:rFonts w:ascii="Times New Roman" w:hAnsi="Times New Roman"/>
          <w:b/>
          <w:lang w:val="ro-MD"/>
        </w:rPr>
      </w:pPr>
    </w:p>
    <w:p w14:paraId="00D7162E" w14:textId="77777777" w:rsidR="00584AF7" w:rsidRPr="0006227E" w:rsidRDefault="00584AF7" w:rsidP="00FE69FE">
      <w:pPr>
        <w:spacing w:after="0" w:line="240" w:lineRule="auto"/>
        <w:jc w:val="both"/>
        <w:rPr>
          <w:rFonts w:ascii="Times New Roman" w:hAnsi="Times New Roman"/>
          <w:lang w:val="ro-MD"/>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151"/>
        <w:gridCol w:w="4500"/>
        <w:gridCol w:w="4928"/>
      </w:tblGrid>
      <w:tr w:rsidR="0058596D" w:rsidRPr="0006227E" w14:paraId="5C66AF2D" w14:textId="77777777" w:rsidTr="00450B92">
        <w:trPr>
          <w:trHeight w:val="729"/>
        </w:trPr>
        <w:tc>
          <w:tcPr>
            <w:tcW w:w="738" w:type="dxa"/>
          </w:tcPr>
          <w:p w14:paraId="567A9882" w14:textId="77777777" w:rsidR="00B42873" w:rsidRPr="0006227E" w:rsidRDefault="00B42873" w:rsidP="00FE69FE">
            <w:pPr>
              <w:spacing w:after="0" w:line="240" w:lineRule="auto"/>
              <w:jc w:val="both"/>
              <w:rPr>
                <w:rFonts w:ascii="Times New Roman" w:hAnsi="Times New Roman"/>
                <w:lang w:val="ro-MD"/>
              </w:rPr>
            </w:pPr>
            <w:r w:rsidRPr="0006227E">
              <w:rPr>
                <w:rFonts w:ascii="Times New Roman" w:hAnsi="Times New Roman"/>
                <w:lang w:val="ro-MD"/>
              </w:rPr>
              <w:t>Nr.</w:t>
            </w:r>
          </w:p>
        </w:tc>
        <w:tc>
          <w:tcPr>
            <w:tcW w:w="4151" w:type="dxa"/>
          </w:tcPr>
          <w:p w14:paraId="38399D1A" w14:textId="77777777" w:rsidR="00B42873" w:rsidRPr="0006227E" w:rsidRDefault="00B42873" w:rsidP="00FE69FE">
            <w:pPr>
              <w:spacing w:after="0" w:line="240" w:lineRule="auto"/>
              <w:jc w:val="both"/>
              <w:rPr>
                <w:rFonts w:ascii="Times New Roman" w:hAnsi="Times New Roman"/>
                <w:lang w:val="ro-MD"/>
              </w:rPr>
            </w:pPr>
            <w:r w:rsidRPr="0006227E">
              <w:rPr>
                <w:rFonts w:ascii="Times New Roman" w:hAnsi="Times New Roman"/>
                <w:lang w:val="ro-MD"/>
              </w:rPr>
              <w:t>Prevederea actuală</w:t>
            </w:r>
          </w:p>
        </w:tc>
        <w:tc>
          <w:tcPr>
            <w:tcW w:w="4500" w:type="dxa"/>
          </w:tcPr>
          <w:p w14:paraId="154CC6A4" w14:textId="77777777" w:rsidR="009024EC" w:rsidRPr="0006227E" w:rsidRDefault="008F66AD" w:rsidP="00FE69FE">
            <w:pPr>
              <w:spacing w:after="0" w:line="240" w:lineRule="auto"/>
              <w:jc w:val="both"/>
              <w:rPr>
                <w:rFonts w:ascii="Times New Roman" w:hAnsi="Times New Roman"/>
                <w:lang w:val="ro-MD"/>
              </w:rPr>
            </w:pPr>
            <w:r w:rsidRPr="0006227E">
              <w:rPr>
                <w:rFonts w:ascii="Times New Roman" w:hAnsi="Times New Roman"/>
                <w:lang w:val="ro-MD"/>
              </w:rPr>
              <w:t>Propunerea de modificare</w:t>
            </w:r>
          </w:p>
          <w:p w14:paraId="3D6D2D09" w14:textId="77777777" w:rsidR="00596673" w:rsidRPr="0006227E" w:rsidRDefault="00596673" w:rsidP="00FE69FE">
            <w:pPr>
              <w:spacing w:after="0" w:line="240" w:lineRule="auto"/>
              <w:jc w:val="both"/>
              <w:rPr>
                <w:rFonts w:ascii="Times New Roman" w:hAnsi="Times New Roman"/>
                <w:lang w:val="ro-MD"/>
              </w:rPr>
            </w:pPr>
          </w:p>
          <w:p w14:paraId="20659999" w14:textId="77777777" w:rsidR="00B42873" w:rsidRPr="0006227E" w:rsidRDefault="00B42873" w:rsidP="00FE69FE">
            <w:pPr>
              <w:spacing w:after="0" w:line="240" w:lineRule="auto"/>
              <w:jc w:val="both"/>
              <w:rPr>
                <w:rFonts w:ascii="Times New Roman" w:hAnsi="Times New Roman"/>
                <w:lang w:val="ro-MD"/>
              </w:rPr>
            </w:pPr>
          </w:p>
        </w:tc>
        <w:tc>
          <w:tcPr>
            <w:tcW w:w="4928" w:type="dxa"/>
          </w:tcPr>
          <w:p w14:paraId="74C24890" w14:textId="77777777" w:rsidR="00B42873" w:rsidRPr="0006227E" w:rsidRDefault="00B365A4" w:rsidP="00FE69FE">
            <w:pPr>
              <w:spacing w:after="0" w:line="240" w:lineRule="auto"/>
              <w:jc w:val="both"/>
              <w:rPr>
                <w:rFonts w:ascii="Times New Roman" w:hAnsi="Times New Roman"/>
                <w:lang w:val="ro-MD"/>
              </w:rPr>
            </w:pPr>
            <w:r w:rsidRPr="0006227E">
              <w:rPr>
                <w:rFonts w:ascii="Times New Roman" w:hAnsi="Times New Roman"/>
                <w:lang w:val="ro-MD"/>
              </w:rPr>
              <w:t>Prevederea în redacție nouă, în cazul acceptului modificării</w:t>
            </w:r>
          </w:p>
        </w:tc>
      </w:tr>
      <w:tr w:rsidR="00455CF1" w:rsidRPr="0006227E" w14:paraId="3A0F4493" w14:textId="77777777" w:rsidTr="00450B92">
        <w:trPr>
          <w:trHeight w:val="729"/>
        </w:trPr>
        <w:tc>
          <w:tcPr>
            <w:tcW w:w="738" w:type="dxa"/>
          </w:tcPr>
          <w:p w14:paraId="6AAA1412" w14:textId="325B6449" w:rsidR="00455CF1" w:rsidRPr="00455CF1" w:rsidRDefault="00455CF1" w:rsidP="00161FBA">
            <w:pPr>
              <w:pStyle w:val="a4"/>
              <w:numPr>
                <w:ilvl w:val="0"/>
                <w:numId w:val="1"/>
              </w:numPr>
              <w:spacing w:after="0" w:line="240" w:lineRule="auto"/>
              <w:jc w:val="both"/>
              <w:rPr>
                <w:rFonts w:ascii="Times New Roman" w:hAnsi="Times New Roman"/>
                <w:lang w:val="ro-MD"/>
              </w:rPr>
            </w:pPr>
          </w:p>
        </w:tc>
        <w:tc>
          <w:tcPr>
            <w:tcW w:w="4151" w:type="dxa"/>
          </w:tcPr>
          <w:p w14:paraId="73648BCB" w14:textId="77777777" w:rsidR="00455CF1" w:rsidRPr="00547867" w:rsidRDefault="00455CF1" w:rsidP="00FE69FE">
            <w:pPr>
              <w:spacing w:after="0" w:line="240" w:lineRule="auto"/>
              <w:jc w:val="both"/>
              <w:rPr>
                <w:rFonts w:ascii="Times New Roman" w:hAnsi="Times New Roman"/>
                <w:i/>
                <w:lang w:val="ro-MD"/>
              </w:rPr>
            </w:pPr>
            <w:r w:rsidRPr="00547867">
              <w:rPr>
                <w:rFonts w:ascii="Times New Roman" w:hAnsi="Times New Roman"/>
                <w:i/>
                <w:lang w:val="ro-MD"/>
              </w:rPr>
              <w:t>În cuprinsul Hotărârii:</w:t>
            </w:r>
          </w:p>
          <w:p w14:paraId="06B537B6" w14:textId="77777777" w:rsidR="0040409D" w:rsidRPr="00547867" w:rsidRDefault="0040409D" w:rsidP="00455CF1">
            <w:pPr>
              <w:spacing w:after="0" w:line="240" w:lineRule="auto"/>
              <w:jc w:val="both"/>
              <w:rPr>
                <w:rFonts w:ascii="Times New Roman" w:hAnsi="Times New Roman"/>
                <w:lang w:val="ro-MD"/>
              </w:rPr>
            </w:pPr>
          </w:p>
          <w:p w14:paraId="19D0D5ED" w14:textId="58D946B0" w:rsidR="00455CF1" w:rsidRPr="00547867" w:rsidRDefault="00455CF1" w:rsidP="00455CF1">
            <w:pPr>
              <w:spacing w:after="0" w:line="240" w:lineRule="auto"/>
              <w:jc w:val="both"/>
              <w:rPr>
                <w:rFonts w:ascii="Times New Roman" w:hAnsi="Times New Roman"/>
                <w:lang w:val="ro-MD"/>
              </w:rPr>
            </w:pPr>
            <w:r w:rsidRPr="00547867">
              <w:rPr>
                <w:rFonts w:ascii="Times New Roman" w:hAnsi="Times New Roman"/>
                <w:lang w:val="ro-MD"/>
              </w:rPr>
              <w:t xml:space="preserve">Pct. 2. </w:t>
            </w:r>
            <w:r w:rsidRPr="00547867">
              <w:rPr>
                <w:rFonts w:ascii="Times New Roman" w:hAnsi="Times New Roman"/>
                <w:shd w:val="clear" w:color="auto" w:fill="FFFFFF"/>
              </w:rPr>
              <w:t xml:space="preserve">Metodologia de finanțare bugetară a </w:t>
            </w:r>
            <w:r w:rsidRPr="00547867">
              <w:rPr>
                <w:rFonts w:ascii="Times New Roman" w:hAnsi="Times New Roman"/>
                <w:shd w:val="clear" w:color="auto" w:fill="FFFFFF"/>
              </w:rPr>
              <w:t>instituțiilor</w:t>
            </w:r>
            <w:r w:rsidRPr="00547867">
              <w:rPr>
                <w:rFonts w:ascii="Times New Roman" w:hAnsi="Times New Roman"/>
                <w:shd w:val="clear" w:color="auto" w:fill="FFFFFF"/>
              </w:rPr>
              <w:t xml:space="preserve"> publice de </w:t>
            </w:r>
            <w:r w:rsidRPr="00547867">
              <w:rPr>
                <w:rFonts w:ascii="Times New Roman" w:hAnsi="Times New Roman"/>
                <w:shd w:val="clear" w:color="auto" w:fill="FFFFFF"/>
              </w:rPr>
              <w:t>învățământ</w:t>
            </w:r>
            <w:r w:rsidRPr="00547867">
              <w:rPr>
                <w:rFonts w:ascii="Times New Roman" w:hAnsi="Times New Roman"/>
                <w:shd w:val="clear" w:color="auto" w:fill="FFFFFF"/>
              </w:rPr>
              <w:t xml:space="preserve"> superior se pune în aplicare de la 1 ianuarie 2021 (elaborarea, aprobarea, executarea și raportarea bugetului) pentru toate </w:t>
            </w:r>
            <w:r w:rsidRPr="00547867">
              <w:rPr>
                <w:rFonts w:ascii="Times New Roman" w:hAnsi="Times New Roman"/>
                <w:shd w:val="clear" w:color="auto" w:fill="FFFFFF"/>
              </w:rPr>
              <w:t>instituțiile</w:t>
            </w:r>
            <w:r w:rsidRPr="00547867">
              <w:rPr>
                <w:rFonts w:ascii="Times New Roman" w:hAnsi="Times New Roman"/>
                <w:shd w:val="clear" w:color="auto" w:fill="FFFFFF"/>
              </w:rPr>
              <w:t xml:space="preserve"> publice de </w:t>
            </w:r>
            <w:r w:rsidRPr="00547867">
              <w:rPr>
                <w:rFonts w:ascii="Times New Roman" w:hAnsi="Times New Roman"/>
                <w:shd w:val="clear" w:color="auto" w:fill="FFFFFF"/>
              </w:rPr>
              <w:t>învățământ</w:t>
            </w:r>
            <w:r w:rsidRPr="00547867">
              <w:rPr>
                <w:rFonts w:ascii="Times New Roman" w:hAnsi="Times New Roman"/>
                <w:shd w:val="clear" w:color="auto" w:fill="FFFFFF"/>
              </w:rPr>
              <w:t xml:space="preserve"> superior cu autonomie financiară. În funcție de rezultatele implementării, pe parcursul anului 2021, prezenta hotărâre va fi modificată la propunerea Ministerului Educației, Culturii și Cercetării, dacă este cazul, pentru aplicare constantă.</w:t>
            </w:r>
          </w:p>
        </w:tc>
        <w:tc>
          <w:tcPr>
            <w:tcW w:w="4500" w:type="dxa"/>
          </w:tcPr>
          <w:p w14:paraId="0CDC560B" w14:textId="77777777" w:rsidR="00DB6AB7" w:rsidRPr="00547867" w:rsidRDefault="00DB6AB7" w:rsidP="00DB6AB7">
            <w:pPr>
              <w:spacing w:line="240" w:lineRule="auto"/>
              <w:jc w:val="both"/>
              <w:rPr>
                <w:rFonts w:ascii="Times New Roman" w:hAnsi="Times New Roman"/>
                <w:lang w:val="ro-MD"/>
              </w:rPr>
            </w:pPr>
          </w:p>
          <w:p w14:paraId="25862618" w14:textId="4B57F894" w:rsidR="00DB6AB7" w:rsidRPr="00547867" w:rsidRDefault="00DB6AB7" w:rsidP="00DB6AB7">
            <w:pPr>
              <w:spacing w:line="240" w:lineRule="auto"/>
              <w:jc w:val="both"/>
              <w:rPr>
                <w:rFonts w:ascii="Times New Roman" w:hAnsi="Times New Roman"/>
                <w:lang w:val="ro-MD"/>
              </w:rPr>
            </w:pPr>
            <w:r w:rsidRPr="00547867">
              <w:rPr>
                <w:rFonts w:ascii="Times New Roman" w:hAnsi="Times New Roman"/>
                <w:lang w:val="ro-MD"/>
              </w:rPr>
              <w:t>La pct.</w:t>
            </w:r>
            <w:r w:rsidR="00DB2318" w:rsidRPr="00547867">
              <w:rPr>
                <w:rFonts w:ascii="Times New Roman" w:hAnsi="Times New Roman"/>
                <w:lang w:val="ro-MD"/>
              </w:rPr>
              <w:t xml:space="preserve"> </w:t>
            </w:r>
            <w:r w:rsidRPr="00547867">
              <w:rPr>
                <w:rFonts w:ascii="Times New Roman" w:hAnsi="Times New Roman"/>
                <w:lang w:val="ro-MD"/>
              </w:rPr>
              <w:t xml:space="preserve">2 </w:t>
            </w:r>
            <w:r w:rsidRPr="00547867">
              <w:rPr>
                <w:rFonts w:ascii="Times New Roman" w:hAnsi="Times New Roman"/>
                <w:lang w:val="ro-MD"/>
              </w:rPr>
              <w:t>textul „Ministerul Educației, Culturii și Cercetării” se substituie cu textul „Ministerul Educației și Cercetării”.</w:t>
            </w:r>
          </w:p>
          <w:p w14:paraId="1081806D" w14:textId="27DC474C" w:rsidR="00DB6AB7" w:rsidRPr="00547867" w:rsidRDefault="00DB6AB7" w:rsidP="00DB6AB7">
            <w:pPr>
              <w:spacing w:after="0" w:line="240" w:lineRule="auto"/>
              <w:jc w:val="both"/>
              <w:rPr>
                <w:rFonts w:ascii="Times New Roman" w:hAnsi="Times New Roman"/>
                <w:color w:val="333333"/>
                <w:shd w:val="clear" w:color="auto" w:fill="FFFFFF"/>
              </w:rPr>
            </w:pPr>
            <w:r w:rsidRPr="00547867">
              <w:rPr>
                <w:rFonts w:ascii="Times New Roman" w:hAnsi="Times New Roman"/>
                <w:lang w:val="ro-MD"/>
              </w:rPr>
              <w:t xml:space="preserve"> </w:t>
            </w:r>
          </w:p>
          <w:p w14:paraId="53BADA23" w14:textId="48A7FC62" w:rsidR="00DB6AB7" w:rsidRPr="00547867" w:rsidRDefault="00DB6AB7" w:rsidP="0040409D">
            <w:pPr>
              <w:spacing w:line="240" w:lineRule="auto"/>
              <w:jc w:val="both"/>
              <w:rPr>
                <w:rFonts w:ascii="Times New Roman" w:hAnsi="Times New Roman"/>
                <w:color w:val="333333"/>
                <w:shd w:val="clear" w:color="auto" w:fill="FFFFFF"/>
              </w:rPr>
            </w:pPr>
          </w:p>
          <w:p w14:paraId="7BABA156" w14:textId="77777777" w:rsidR="00455CF1" w:rsidRPr="00547867" w:rsidRDefault="00455CF1" w:rsidP="00DB6AB7">
            <w:pPr>
              <w:spacing w:line="240" w:lineRule="auto"/>
              <w:jc w:val="both"/>
              <w:rPr>
                <w:rFonts w:ascii="Times New Roman" w:hAnsi="Times New Roman"/>
                <w:lang w:val="ro-MD"/>
              </w:rPr>
            </w:pPr>
          </w:p>
        </w:tc>
        <w:tc>
          <w:tcPr>
            <w:tcW w:w="4928" w:type="dxa"/>
          </w:tcPr>
          <w:p w14:paraId="70C33BDC" w14:textId="77777777" w:rsidR="00DB6AB7" w:rsidRPr="00547867" w:rsidRDefault="00DB6AB7" w:rsidP="00DB6AB7">
            <w:pPr>
              <w:spacing w:line="240" w:lineRule="auto"/>
              <w:jc w:val="both"/>
              <w:rPr>
                <w:rFonts w:ascii="Times New Roman" w:hAnsi="Times New Roman"/>
                <w:lang w:val="ro-MD"/>
              </w:rPr>
            </w:pPr>
          </w:p>
          <w:p w14:paraId="271648D3" w14:textId="6058E17C" w:rsidR="00DB6AB7" w:rsidRPr="00547867" w:rsidRDefault="00DB6AB7" w:rsidP="00DB6AB7">
            <w:pPr>
              <w:spacing w:line="240" w:lineRule="auto"/>
              <w:jc w:val="both"/>
              <w:rPr>
                <w:rFonts w:ascii="Times New Roman" w:hAnsi="Times New Roman"/>
                <w:color w:val="333333"/>
                <w:shd w:val="clear" w:color="auto" w:fill="FFFFFF"/>
              </w:rPr>
            </w:pPr>
            <w:r w:rsidRPr="00547867">
              <w:rPr>
                <w:rFonts w:ascii="Times New Roman" w:hAnsi="Times New Roman"/>
                <w:lang w:val="ro-MD"/>
              </w:rPr>
              <w:t>„</w:t>
            </w:r>
            <w:r w:rsidRPr="00811A26">
              <w:rPr>
                <w:rFonts w:ascii="Times New Roman" w:hAnsi="Times New Roman"/>
                <w:b/>
                <w:lang w:val="ro-MD"/>
              </w:rPr>
              <w:t>Pct.2</w:t>
            </w:r>
            <w:r w:rsidRPr="00547867">
              <w:rPr>
                <w:rFonts w:ascii="Times New Roman" w:hAnsi="Times New Roman"/>
                <w:lang w:val="ro-MD"/>
              </w:rPr>
              <w:t xml:space="preserve">. </w:t>
            </w:r>
            <w:r w:rsidRPr="00547867">
              <w:rPr>
                <w:rFonts w:ascii="Times New Roman" w:hAnsi="Times New Roman"/>
                <w:color w:val="333333"/>
                <w:shd w:val="clear" w:color="auto" w:fill="FFFFFF"/>
              </w:rPr>
              <w:t>Metodologia de finanțare bugetară a instituțiilor publice de învățământ superior se pune în aplicare de la 1 ianuarie 2021 (elaborarea, aprobarea, executarea și raportarea bugetului) pentru toate instituțiile publice de învățământ superior cu autonomie financiară. În funcție de rezultatele implementării, pe parcursul anului 2021, prezenta hotărâre va fi modificată la propunerea Ministerului Educației și Cercetării, dacă este cazul, pentru aplicare constantă”.</w:t>
            </w:r>
          </w:p>
          <w:p w14:paraId="025961F2" w14:textId="77777777" w:rsidR="00455CF1" w:rsidRPr="00547867" w:rsidRDefault="00455CF1" w:rsidP="00FE69FE">
            <w:pPr>
              <w:spacing w:after="0" w:line="240" w:lineRule="auto"/>
              <w:jc w:val="both"/>
              <w:rPr>
                <w:rFonts w:ascii="Times New Roman" w:hAnsi="Times New Roman"/>
              </w:rPr>
            </w:pPr>
          </w:p>
        </w:tc>
      </w:tr>
      <w:tr w:rsidR="00455CF1" w:rsidRPr="0006227E" w14:paraId="23332F96" w14:textId="77777777" w:rsidTr="00450B92">
        <w:trPr>
          <w:trHeight w:val="729"/>
        </w:trPr>
        <w:tc>
          <w:tcPr>
            <w:tcW w:w="738" w:type="dxa"/>
          </w:tcPr>
          <w:p w14:paraId="52AD879F" w14:textId="7D679A9D" w:rsidR="00455CF1" w:rsidRPr="00455CF1" w:rsidRDefault="00455CF1" w:rsidP="00161FBA">
            <w:pPr>
              <w:pStyle w:val="a4"/>
              <w:numPr>
                <w:ilvl w:val="0"/>
                <w:numId w:val="1"/>
              </w:numPr>
              <w:spacing w:after="0" w:line="240" w:lineRule="auto"/>
              <w:jc w:val="both"/>
              <w:rPr>
                <w:rFonts w:ascii="Times New Roman" w:hAnsi="Times New Roman"/>
                <w:lang w:val="ro-MD"/>
              </w:rPr>
            </w:pPr>
          </w:p>
        </w:tc>
        <w:tc>
          <w:tcPr>
            <w:tcW w:w="4151" w:type="dxa"/>
          </w:tcPr>
          <w:p w14:paraId="4E72ED43" w14:textId="0BAA7BA7" w:rsidR="001861B4" w:rsidRPr="001861B4" w:rsidRDefault="001861B4" w:rsidP="001861B4">
            <w:pPr>
              <w:shd w:val="clear" w:color="auto" w:fill="FFFFFF"/>
              <w:spacing w:after="0" w:line="240" w:lineRule="auto"/>
              <w:jc w:val="both"/>
              <w:rPr>
                <w:rFonts w:ascii="Times New Roman" w:eastAsia="Times New Roman" w:hAnsi="Times New Roman"/>
                <w:lang w:val="ro-MD" w:eastAsia="en-US"/>
              </w:rPr>
            </w:pPr>
            <w:r w:rsidRPr="00547867">
              <w:rPr>
                <w:rFonts w:ascii="Times New Roman" w:eastAsia="Times New Roman" w:hAnsi="Times New Roman"/>
                <w:lang w:val="ro-MD" w:eastAsia="en-US"/>
              </w:rPr>
              <w:t xml:space="preserve">Pct. 3. </w:t>
            </w:r>
            <w:r w:rsidRPr="001861B4">
              <w:rPr>
                <w:rFonts w:ascii="Times New Roman" w:eastAsia="Times New Roman" w:hAnsi="Times New Roman"/>
                <w:lang w:val="ro-MD" w:eastAsia="en-US"/>
              </w:rPr>
              <w:t xml:space="preserve">Ministerul </w:t>
            </w:r>
            <w:r w:rsidRPr="00547867">
              <w:rPr>
                <w:rFonts w:ascii="Times New Roman" w:eastAsia="Times New Roman" w:hAnsi="Times New Roman"/>
                <w:lang w:val="ro-MD" w:eastAsia="en-US"/>
              </w:rPr>
              <w:t>Educației</w:t>
            </w:r>
            <w:r w:rsidRPr="001861B4">
              <w:rPr>
                <w:rFonts w:ascii="Times New Roman" w:eastAsia="Times New Roman" w:hAnsi="Times New Roman"/>
                <w:lang w:val="ro-MD" w:eastAsia="en-US"/>
              </w:rPr>
              <w:t xml:space="preserve">, Culturii și Cercetării în comun cu Ministerul Agriculturii, Dezvoltării Regionale și Mediului, Ministerul </w:t>
            </w:r>
            <w:r w:rsidRPr="00547867">
              <w:rPr>
                <w:rFonts w:ascii="Times New Roman" w:eastAsia="Times New Roman" w:hAnsi="Times New Roman"/>
                <w:lang w:val="ro-MD" w:eastAsia="en-US"/>
              </w:rPr>
              <w:t>Sănătății</w:t>
            </w:r>
            <w:r w:rsidRPr="001861B4">
              <w:rPr>
                <w:rFonts w:ascii="Times New Roman" w:eastAsia="Times New Roman" w:hAnsi="Times New Roman"/>
                <w:lang w:val="ro-MD" w:eastAsia="en-US"/>
              </w:rPr>
              <w:t>, Muncii și Protecției Sociale și Cancelaria de Stat:</w:t>
            </w:r>
          </w:p>
          <w:p w14:paraId="2A050546" w14:textId="72B71FAB" w:rsidR="001861B4" w:rsidRPr="001861B4" w:rsidRDefault="001861B4" w:rsidP="001861B4">
            <w:pPr>
              <w:shd w:val="clear" w:color="auto" w:fill="FFFFFF"/>
              <w:spacing w:after="0" w:line="240" w:lineRule="auto"/>
              <w:ind w:firstLine="539"/>
              <w:jc w:val="both"/>
              <w:rPr>
                <w:rFonts w:ascii="Times New Roman" w:eastAsia="Times New Roman" w:hAnsi="Times New Roman"/>
                <w:lang w:val="ro-MD" w:eastAsia="en-US"/>
              </w:rPr>
            </w:pPr>
            <w:r w:rsidRPr="001861B4">
              <w:rPr>
                <w:rFonts w:ascii="Times New Roman" w:eastAsia="Times New Roman" w:hAnsi="Times New Roman"/>
                <w:lang w:val="ro-MD" w:eastAsia="en-US"/>
              </w:rPr>
              <w:t xml:space="preserve">1) vor asigura </w:t>
            </w:r>
            <w:r w:rsidRPr="00547867">
              <w:rPr>
                <w:rFonts w:ascii="Times New Roman" w:eastAsia="Times New Roman" w:hAnsi="Times New Roman"/>
                <w:lang w:val="ro-MD" w:eastAsia="en-US"/>
              </w:rPr>
              <w:t>finanțarea</w:t>
            </w:r>
            <w:r w:rsidRPr="001861B4">
              <w:rPr>
                <w:rFonts w:ascii="Times New Roman" w:eastAsia="Times New Roman" w:hAnsi="Times New Roman"/>
                <w:lang w:val="ro-MD" w:eastAsia="en-US"/>
              </w:rPr>
              <w:t xml:space="preserve">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din subordine în baza Metodologiei de finanțare bugetară a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w:t>
            </w:r>
          </w:p>
          <w:p w14:paraId="6638CDA7" w14:textId="67787523" w:rsidR="00455CF1" w:rsidRPr="00547867" w:rsidRDefault="001861B4" w:rsidP="001861B4">
            <w:pPr>
              <w:shd w:val="clear" w:color="auto" w:fill="FFFFFF"/>
              <w:spacing w:after="0" w:line="240" w:lineRule="auto"/>
              <w:ind w:firstLine="539"/>
              <w:jc w:val="both"/>
              <w:rPr>
                <w:rFonts w:ascii="Times New Roman" w:eastAsia="Times New Roman" w:hAnsi="Times New Roman"/>
                <w:lang w:val="ro-MD" w:eastAsia="en-US"/>
              </w:rPr>
            </w:pPr>
            <w:r w:rsidRPr="001861B4">
              <w:rPr>
                <w:rFonts w:ascii="Times New Roman" w:eastAsia="Times New Roman" w:hAnsi="Times New Roman"/>
                <w:lang w:val="ro-MD" w:eastAsia="en-US"/>
              </w:rPr>
              <w:t xml:space="preserve">2) vor monitoriza  implementarea Metodologiei de finanțare bugetară a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de către toate </w:t>
            </w:r>
            <w:r w:rsidRPr="00547867">
              <w:rPr>
                <w:rFonts w:ascii="Times New Roman" w:eastAsia="Times New Roman" w:hAnsi="Times New Roman"/>
                <w:lang w:val="ro-MD" w:eastAsia="en-US"/>
              </w:rPr>
              <w:t>instituțiile</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cu autonomie financiară.</w:t>
            </w:r>
          </w:p>
        </w:tc>
        <w:tc>
          <w:tcPr>
            <w:tcW w:w="4500" w:type="dxa"/>
          </w:tcPr>
          <w:p w14:paraId="16E3F58F" w14:textId="4323B15C" w:rsidR="00DB2318" w:rsidRPr="00547867" w:rsidRDefault="00DB2318" w:rsidP="00DB2318">
            <w:pPr>
              <w:spacing w:line="240" w:lineRule="auto"/>
              <w:jc w:val="both"/>
              <w:rPr>
                <w:rFonts w:ascii="Times New Roman" w:hAnsi="Times New Roman"/>
                <w:shd w:val="clear" w:color="auto" w:fill="FFFFFF"/>
                <w:lang w:val="ro-MD"/>
              </w:rPr>
            </w:pPr>
            <w:r w:rsidRPr="00547867">
              <w:rPr>
                <w:rFonts w:ascii="Times New Roman" w:hAnsi="Times New Roman"/>
                <w:lang w:val="ro-MD"/>
              </w:rPr>
              <w:t xml:space="preserve">La pct. 3 </w:t>
            </w:r>
            <w:r w:rsidRPr="00547867">
              <w:rPr>
                <w:rFonts w:ascii="Times New Roman" w:hAnsi="Times New Roman"/>
                <w:lang w:val="ro-MD"/>
              </w:rPr>
              <w:t>textul „</w:t>
            </w:r>
            <w:r w:rsidRPr="00547867">
              <w:rPr>
                <w:rFonts w:ascii="Times New Roman" w:hAnsi="Times New Roman"/>
                <w:shd w:val="clear" w:color="auto" w:fill="FFFFFF"/>
              </w:rPr>
              <w:t>Ministerul Educației, Culturii și Cercetării în comun cu Ministerul Agriculturii, Dezvoltării Regionale și Mediului, Ministerul Sănătății, Muncii și Protecției Sociale și Cancelaria de Stat</w:t>
            </w:r>
            <w:r w:rsidRPr="00547867">
              <w:rPr>
                <w:rFonts w:ascii="Times New Roman" w:hAnsi="Times New Roman"/>
                <w:shd w:val="clear" w:color="auto" w:fill="FFFFFF"/>
                <w:lang w:val="ro-MD"/>
              </w:rPr>
              <w:t xml:space="preserve">” </w:t>
            </w:r>
            <w:r w:rsidRPr="00547867">
              <w:rPr>
                <w:rFonts w:ascii="Times New Roman" w:hAnsi="Times New Roman"/>
                <w:lang w:val="ro-MD"/>
              </w:rPr>
              <w:t xml:space="preserve">se substituie cu textul „Ministerul Educației și Cercetării </w:t>
            </w:r>
            <w:r w:rsidRPr="00547867">
              <w:rPr>
                <w:rFonts w:ascii="Times New Roman" w:hAnsi="Times New Roman"/>
                <w:shd w:val="clear" w:color="auto" w:fill="FFFFFF"/>
              </w:rPr>
              <w:t>în comun cu Ministerul Sănătății și Ministerul Culturii</w:t>
            </w:r>
            <w:r w:rsidRPr="00547867">
              <w:rPr>
                <w:rFonts w:ascii="Times New Roman" w:hAnsi="Times New Roman"/>
                <w:lang w:val="ro-MD"/>
              </w:rPr>
              <w:t>”.</w:t>
            </w:r>
          </w:p>
          <w:p w14:paraId="5BA1AB60" w14:textId="77777777" w:rsidR="00455CF1" w:rsidRDefault="00455CF1" w:rsidP="00FE69FE">
            <w:pPr>
              <w:spacing w:after="0" w:line="240" w:lineRule="auto"/>
              <w:jc w:val="both"/>
              <w:rPr>
                <w:rFonts w:ascii="Times New Roman" w:hAnsi="Times New Roman"/>
                <w:lang w:val="ro-MD"/>
              </w:rPr>
            </w:pPr>
          </w:p>
          <w:p w14:paraId="643867ED" w14:textId="77777777" w:rsidR="00840B13" w:rsidRDefault="00840B13" w:rsidP="00FE69FE">
            <w:pPr>
              <w:spacing w:after="0" w:line="240" w:lineRule="auto"/>
              <w:jc w:val="both"/>
              <w:rPr>
                <w:rFonts w:ascii="Times New Roman" w:hAnsi="Times New Roman"/>
                <w:lang w:val="ro-MD"/>
              </w:rPr>
            </w:pPr>
          </w:p>
          <w:p w14:paraId="62F7D812" w14:textId="77777777" w:rsidR="00840B13" w:rsidRDefault="00840B13" w:rsidP="00FE69FE">
            <w:pPr>
              <w:spacing w:after="0" w:line="240" w:lineRule="auto"/>
              <w:jc w:val="both"/>
              <w:rPr>
                <w:rFonts w:ascii="Times New Roman" w:hAnsi="Times New Roman"/>
                <w:lang w:val="ro-MD"/>
              </w:rPr>
            </w:pPr>
          </w:p>
          <w:p w14:paraId="592916BC" w14:textId="77777777" w:rsidR="00840B13" w:rsidRDefault="00840B13" w:rsidP="00FE69FE">
            <w:pPr>
              <w:spacing w:after="0" w:line="240" w:lineRule="auto"/>
              <w:jc w:val="both"/>
              <w:rPr>
                <w:rFonts w:ascii="Times New Roman" w:hAnsi="Times New Roman"/>
                <w:lang w:val="ro-MD"/>
              </w:rPr>
            </w:pPr>
          </w:p>
          <w:p w14:paraId="185A0F3A" w14:textId="77777777" w:rsidR="00840B13" w:rsidRDefault="00840B13" w:rsidP="00FE69FE">
            <w:pPr>
              <w:spacing w:after="0" w:line="240" w:lineRule="auto"/>
              <w:jc w:val="both"/>
              <w:rPr>
                <w:rFonts w:ascii="Times New Roman" w:hAnsi="Times New Roman"/>
                <w:lang w:val="ro-MD"/>
              </w:rPr>
            </w:pPr>
          </w:p>
          <w:p w14:paraId="5206F13F" w14:textId="77777777" w:rsidR="00840B13" w:rsidRDefault="00840B13" w:rsidP="00FE69FE">
            <w:pPr>
              <w:spacing w:after="0" w:line="240" w:lineRule="auto"/>
              <w:jc w:val="both"/>
              <w:rPr>
                <w:rFonts w:ascii="Times New Roman" w:hAnsi="Times New Roman"/>
                <w:lang w:val="ro-MD"/>
              </w:rPr>
            </w:pPr>
          </w:p>
          <w:p w14:paraId="6F61DB2B" w14:textId="77777777" w:rsidR="00840B13" w:rsidRDefault="00840B13" w:rsidP="00FE69FE">
            <w:pPr>
              <w:spacing w:after="0" w:line="240" w:lineRule="auto"/>
              <w:jc w:val="both"/>
              <w:rPr>
                <w:rFonts w:ascii="Times New Roman" w:hAnsi="Times New Roman"/>
                <w:lang w:val="ro-MD"/>
              </w:rPr>
            </w:pPr>
          </w:p>
          <w:p w14:paraId="1822064C" w14:textId="77777777" w:rsidR="00840B13" w:rsidRDefault="00840B13" w:rsidP="00FE69FE">
            <w:pPr>
              <w:spacing w:after="0" w:line="240" w:lineRule="auto"/>
              <w:jc w:val="both"/>
              <w:rPr>
                <w:rFonts w:ascii="Times New Roman" w:hAnsi="Times New Roman"/>
                <w:lang w:val="ro-MD"/>
              </w:rPr>
            </w:pPr>
          </w:p>
          <w:p w14:paraId="2C367947" w14:textId="77777777" w:rsidR="00840B13" w:rsidRPr="00547867" w:rsidRDefault="00840B13" w:rsidP="00FE69FE">
            <w:pPr>
              <w:spacing w:after="0" w:line="240" w:lineRule="auto"/>
              <w:jc w:val="both"/>
              <w:rPr>
                <w:rFonts w:ascii="Times New Roman" w:hAnsi="Times New Roman"/>
                <w:lang w:val="ro-MD"/>
              </w:rPr>
            </w:pPr>
          </w:p>
        </w:tc>
        <w:tc>
          <w:tcPr>
            <w:tcW w:w="4928" w:type="dxa"/>
          </w:tcPr>
          <w:p w14:paraId="15BA6CF6" w14:textId="79A8EB54" w:rsidR="00DB711E" w:rsidRPr="001861B4" w:rsidRDefault="00DB711E" w:rsidP="00DB711E">
            <w:pPr>
              <w:shd w:val="clear" w:color="auto" w:fill="FFFFFF"/>
              <w:spacing w:after="0" w:line="240" w:lineRule="auto"/>
              <w:jc w:val="both"/>
              <w:rPr>
                <w:rFonts w:ascii="Times New Roman" w:eastAsia="Times New Roman" w:hAnsi="Times New Roman"/>
                <w:lang w:val="ro-MD" w:eastAsia="en-US"/>
              </w:rPr>
            </w:pPr>
            <w:r w:rsidRPr="00547867">
              <w:rPr>
                <w:rFonts w:ascii="Times New Roman" w:hAnsi="Times New Roman"/>
                <w:lang w:val="ro-MD"/>
              </w:rPr>
              <w:t>„</w:t>
            </w:r>
            <w:r w:rsidRPr="00811A26">
              <w:rPr>
                <w:rFonts w:ascii="Times New Roman" w:hAnsi="Times New Roman"/>
                <w:b/>
                <w:lang w:val="ro-MD"/>
              </w:rPr>
              <w:t>Pct.3</w:t>
            </w:r>
            <w:r w:rsidRPr="00547867">
              <w:rPr>
                <w:rFonts w:ascii="Times New Roman" w:hAnsi="Times New Roman"/>
                <w:lang w:val="ro-MD"/>
              </w:rPr>
              <w:t xml:space="preserve">. </w:t>
            </w:r>
            <w:r w:rsidRPr="00547867">
              <w:rPr>
                <w:rFonts w:ascii="Times New Roman" w:hAnsi="Times New Roman"/>
                <w:lang w:val="ro-MD"/>
              </w:rPr>
              <w:t xml:space="preserve">Ministerul Educației și Cercetării </w:t>
            </w:r>
            <w:r w:rsidRPr="00547867">
              <w:rPr>
                <w:rFonts w:ascii="Times New Roman" w:hAnsi="Times New Roman"/>
                <w:shd w:val="clear" w:color="auto" w:fill="FFFFFF"/>
              </w:rPr>
              <w:t>în comun cu Ministerul Sănătății și Ministerul Culturii</w:t>
            </w:r>
            <w:r w:rsidRPr="001861B4">
              <w:rPr>
                <w:rFonts w:ascii="Times New Roman" w:eastAsia="Times New Roman" w:hAnsi="Times New Roman"/>
                <w:lang w:val="ro-MD" w:eastAsia="en-US"/>
              </w:rPr>
              <w:t>:</w:t>
            </w:r>
          </w:p>
          <w:p w14:paraId="2BF2D4F0" w14:textId="77777777" w:rsidR="00DB711E" w:rsidRPr="001861B4" w:rsidRDefault="00DB711E" w:rsidP="00DB711E">
            <w:pPr>
              <w:shd w:val="clear" w:color="auto" w:fill="FFFFFF"/>
              <w:spacing w:after="0" w:line="240" w:lineRule="auto"/>
              <w:jc w:val="both"/>
              <w:rPr>
                <w:rFonts w:ascii="Times New Roman" w:eastAsia="Times New Roman" w:hAnsi="Times New Roman"/>
                <w:lang w:val="ro-MD" w:eastAsia="en-US"/>
              </w:rPr>
            </w:pPr>
            <w:r w:rsidRPr="001861B4">
              <w:rPr>
                <w:rFonts w:ascii="Times New Roman" w:eastAsia="Times New Roman" w:hAnsi="Times New Roman"/>
                <w:lang w:val="ro-MD" w:eastAsia="en-US"/>
              </w:rPr>
              <w:t xml:space="preserve">1) vor asigura </w:t>
            </w:r>
            <w:r w:rsidRPr="00547867">
              <w:rPr>
                <w:rFonts w:ascii="Times New Roman" w:eastAsia="Times New Roman" w:hAnsi="Times New Roman"/>
                <w:lang w:val="ro-MD" w:eastAsia="en-US"/>
              </w:rPr>
              <w:t>finanțarea</w:t>
            </w:r>
            <w:r w:rsidRPr="001861B4">
              <w:rPr>
                <w:rFonts w:ascii="Times New Roman" w:eastAsia="Times New Roman" w:hAnsi="Times New Roman"/>
                <w:lang w:val="ro-MD" w:eastAsia="en-US"/>
              </w:rPr>
              <w:t xml:space="preserve">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din subordine în baza Metodologiei de finanțare bugetară a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w:t>
            </w:r>
          </w:p>
          <w:p w14:paraId="40D76B11" w14:textId="1DDFBE2D" w:rsidR="00455CF1" w:rsidRPr="00547867" w:rsidRDefault="00DB711E" w:rsidP="00DB711E">
            <w:pPr>
              <w:spacing w:after="0" w:line="240" w:lineRule="auto"/>
              <w:jc w:val="both"/>
              <w:rPr>
                <w:rFonts w:ascii="Times New Roman" w:hAnsi="Times New Roman"/>
                <w:lang w:val="ro-MD"/>
              </w:rPr>
            </w:pPr>
            <w:r w:rsidRPr="001861B4">
              <w:rPr>
                <w:rFonts w:ascii="Times New Roman" w:eastAsia="Times New Roman" w:hAnsi="Times New Roman"/>
                <w:lang w:val="ro-MD" w:eastAsia="en-US"/>
              </w:rPr>
              <w:t xml:space="preserve">2) vor monitoriza  implementarea Metodologiei de finanțare bugetară a </w:t>
            </w:r>
            <w:r w:rsidRPr="00547867">
              <w:rPr>
                <w:rFonts w:ascii="Times New Roman" w:eastAsia="Times New Roman" w:hAnsi="Times New Roman"/>
                <w:lang w:val="ro-MD" w:eastAsia="en-US"/>
              </w:rPr>
              <w:t>instituțiilor</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de către toate </w:t>
            </w:r>
            <w:r w:rsidRPr="00547867">
              <w:rPr>
                <w:rFonts w:ascii="Times New Roman" w:eastAsia="Times New Roman" w:hAnsi="Times New Roman"/>
                <w:lang w:val="ro-MD" w:eastAsia="en-US"/>
              </w:rPr>
              <w:t>instituțiile</w:t>
            </w:r>
            <w:r w:rsidRPr="001861B4">
              <w:rPr>
                <w:rFonts w:ascii="Times New Roman" w:eastAsia="Times New Roman" w:hAnsi="Times New Roman"/>
                <w:lang w:val="ro-MD" w:eastAsia="en-US"/>
              </w:rPr>
              <w:t xml:space="preserve"> publice de </w:t>
            </w:r>
            <w:r w:rsidRPr="00547867">
              <w:rPr>
                <w:rFonts w:ascii="Times New Roman" w:eastAsia="Times New Roman" w:hAnsi="Times New Roman"/>
                <w:lang w:val="ro-MD" w:eastAsia="en-US"/>
              </w:rPr>
              <w:t>învățământ</w:t>
            </w:r>
            <w:r w:rsidRPr="001861B4">
              <w:rPr>
                <w:rFonts w:ascii="Times New Roman" w:eastAsia="Times New Roman" w:hAnsi="Times New Roman"/>
                <w:lang w:val="ro-MD" w:eastAsia="en-US"/>
              </w:rPr>
              <w:t xml:space="preserve"> superior cu autonomie financiară.</w:t>
            </w:r>
          </w:p>
        </w:tc>
      </w:tr>
      <w:tr w:rsidR="005C342A" w:rsidRPr="0006227E" w14:paraId="7990196C" w14:textId="77777777" w:rsidTr="00FE69FE">
        <w:trPr>
          <w:trHeight w:val="6876"/>
        </w:trPr>
        <w:tc>
          <w:tcPr>
            <w:tcW w:w="738" w:type="dxa"/>
          </w:tcPr>
          <w:p w14:paraId="252910BD" w14:textId="2BF236C9" w:rsidR="00450B92" w:rsidRPr="00455CF1" w:rsidRDefault="00450B92" w:rsidP="00161FBA">
            <w:pPr>
              <w:pStyle w:val="a4"/>
              <w:numPr>
                <w:ilvl w:val="0"/>
                <w:numId w:val="1"/>
              </w:numPr>
              <w:spacing w:after="0" w:line="240" w:lineRule="auto"/>
              <w:jc w:val="both"/>
              <w:rPr>
                <w:rFonts w:ascii="Times New Roman" w:hAnsi="Times New Roman"/>
                <w:lang w:val="ro-MD"/>
              </w:rPr>
            </w:pPr>
          </w:p>
          <w:p w14:paraId="6A5B3CB8" w14:textId="226E72E3" w:rsidR="00450B92" w:rsidRPr="0006227E" w:rsidRDefault="00450B92" w:rsidP="00FE69FE">
            <w:pPr>
              <w:spacing w:after="0" w:line="240" w:lineRule="auto"/>
              <w:jc w:val="both"/>
              <w:rPr>
                <w:rFonts w:ascii="Times New Roman" w:hAnsi="Times New Roman"/>
                <w:lang w:val="ro-MD"/>
              </w:rPr>
            </w:pPr>
          </w:p>
        </w:tc>
        <w:tc>
          <w:tcPr>
            <w:tcW w:w="4151" w:type="dxa"/>
          </w:tcPr>
          <w:p w14:paraId="42CC0A47" w14:textId="204E0AC3"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 Pct. 4. </w:t>
            </w:r>
            <w:r w:rsidR="006F1D02" w:rsidRPr="0006227E">
              <w:rPr>
                <w:rFonts w:ascii="Times New Roman" w:hAnsi="Times New Roman"/>
                <w:lang w:val="ro-MD"/>
              </w:rPr>
              <w:t>Alocațiile</w:t>
            </w:r>
            <w:r w:rsidRPr="0006227E">
              <w:rPr>
                <w:rFonts w:ascii="Times New Roman" w:hAnsi="Times New Roman"/>
                <w:lang w:val="ro-MD"/>
              </w:rPr>
              <w:t xml:space="preserve"> bugetare pentru </w:t>
            </w:r>
            <w:r w:rsidR="00FE69FE" w:rsidRPr="0006227E">
              <w:rPr>
                <w:rFonts w:ascii="Times New Roman" w:hAnsi="Times New Roman"/>
                <w:lang w:val="ro-MD"/>
              </w:rPr>
              <w:t>finanțarea</w:t>
            </w:r>
            <w:r w:rsidRPr="0006227E">
              <w:rPr>
                <w:rFonts w:ascii="Times New Roman" w:hAnsi="Times New Roman"/>
                <w:lang w:val="ro-MD"/>
              </w:rPr>
              <w:t xml:space="preserve"> bugetară a </w:t>
            </w:r>
            <w:r w:rsidR="006F1D02" w:rsidRPr="0006227E">
              <w:rPr>
                <w:rFonts w:ascii="Times New Roman" w:hAnsi="Times New Roman"/>
                <w:lang w:val="ro-MD"/>
              </w:rPr>
              <w:t>instituțiilor</w:t>
            </w:r>
            <w:r w:rsidRPr="0006227E">
              <w:rPr>
                <w:rFonts w:ascii="Times New Roman" w:hAnsi="Times New Roman"/>
                <w:lang w:val="ro-MD"/>
              </w:rPr>
              <w:t xml:space="preserve"> publice de învățământ superior (cu </w:t>
            </w:r>
            <w:r w:rsidR="00FE69FE" w:rsidRPr="0006227E">
              <w:rPr>
                <w:rFonts w:ascii="Times New Roman" w:hAnsi="Times New Roman"/>
                <w:lang w:val="ro-MD"/>
              </w:rPr>
              <w:t>excepția</w:t>
            </w:r>
            <w:r w:rsidRPr="0006227E">
              <w:rPr>
                <w:rFonts w:ascii="Times New Roman" w:hAnsi="Times New Roman"/>
                <w:lang w:val="ro-MD"/>
              </w:rPr>
              <w:t xml:space="preserve"> burselor, sumelor destinate pentru </w:t>
            </w:r>
            <w:r w:rsidR="00FE69FE" w:rsidRPr="0006227E">
              <w:rPr>
                <w:rFonts w:ascii="Times New Roman" w:hAnsi="Times New Roman"/>
                <w:lang w:val="ro-MD"/>
              </w:rPr>
              <w:t>întreținerea</w:t>
            </w:r>
            <w:r w:rsidRPr="0006227E">
              <w:rPr>
                <w:rFonts w:ascii="Times New Roman" w:hAnsi="Times New Roman"/>
                <w:lang w:val="ro-MD"/>
              </w:rPr>
              <w:t xml:space="preserve"> </w:t>
            </w:r>
            <w:r w:rsidR="00FE69FE" w:rsidRPr="0006227E">
              <w:rPr>
                <w:rFonts w:ascii="Times New Roman" w:hAnsi="Times New Roman"/>
                <w:lang w:val="ro-MD"/>
              </w:rPr>
              <w:t>căminelor</w:t>
            </w:r>
            <w:r w:rsidRPr="0006227E">
              <w:rPr>
                <w:rFonts w:ascii="Times New Roman" w:hAnsi="Times New Roman"/>
                <w:lang w:val="ro-MD"/>
              </w:rPr>
              <w:t xml:space="preserve">, </w:t>
            </w:r>
            <w:r w:rsidR="00FE69FE" w:rsidRPr="0006227E">
              <w:rPr>
                <w:rFonts w:ascii="Times New Roman" w:hAnsi="Times New Roman"/>
                <w:lang w:val="ro-MD"/>
              </w:rPr>
              <w:t>îndemnizațiilor</w:t>
            </w:r>
            <w:r w:rsidRPr="0006227E">
              <w:rPr>
                <w:rFonts w:ascii="Times New Roman" w:hAnsi="Times New Roman"/>
                <w:lang w:val="ro-MD"/>
              </w:rPr>
              <w:t xml:space="preserve"> pentru membrii consiliilor de dezvoltare strategică, plata </w:t>
            </w:r>
            <w:r w:rsidR="00FE69FE" w:rsidRPr="0006227E">
              <w:rPr>
                <w:rFonts w:ascii="Times New Roman" w:hAnsi="Times New Roman"/>
                <w:lang w:val="ro-MD"/>
              </w:rPr>
              <w:t>mobilităților</w:t>
            </w:r>
            <w:r w:rsidRPr="0006227E">
              <w:rPr>
                <w:rFonts w:ascii="Times New Roman" w:hAnsi="Times New Roman"/>
                <w:lang w:val="ro-MD"/>
              </w:rPr>
              <w:t xml:space="preserve"> academice, studiile superioare de doctorat) se </w:t>
            </w:r>
            <w:r w:rsidR="00FE69FE" w:rsidRPr="0006227E">
              <w:rPr>
                <w:rFonts w:ascii="Times New Roman" w:hAnsi="Times New Roman"/>
                <w:lang w:val="ro-MD"/>
              </w:rPr>
              <w:t>divizează</w:t>
            </w:r>
            <w:r w:rsidRPr="0006227E">
              <w:rPr>
                <w:rFonts w:ascii="Times New Roman" w:hAnsi="Times New Roman"/>
                <w:lang w:val="ro-MD"/>
              </w:rPr>
              <w:t xml:space="preserve">̆ </w:t>
            </w:r>
            <w:r w:rsidR="00FE69FE" w:rsidRPr="0006227E">
              <w:rPr>
                <w:rFonts w:ascii="Times New Roman" w:hAnsi="Times New Roman"/>
                <w:lang w:val="ro-MD"/>
              </w:rPr>
              <w:t>după</w:t>
            </w:r>
            <w:r w:rsidRPr="0006227E">
              <w:rPr>
                <w:rFonts w:ascii="Times New Roman" w:hAnsi="Times New Roman"/>
                <w:lang w:val="ro-MD"/>
              </w:rPr>
              <w:t xml:space="preserve">̆ cum </w:t>
            </w:r>
            <w:r w:rsidR="00FE69FE" w:rsidRPr="0006227E">
              <w:rPr>
                <w:rFonts w:ascii="Times New Roman" w:hAnsi="Times New Roman"/>
                <w:lang w:val="ro-MD"/>
              </w:rPr>
              <w:t>urmează</w:t>
            </w:r>
            <w:r w:rsidRPr="0006227E">
              <w:rPr>
                <w:rFonts w:ascii="Times New Roman" w:hAnsi="Times New Roman"/>
                <w:lang w:val="ro-MD"/>
              </w:rPr>
              <w:t xml:space="preserve">̆: </w:t>
            </w:r>
          </w:p>
          <w:p w14:paraId="28B32BEC" w14:textId="77777777"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1) finanțarea-standard, în bază de cost standard per student și coeficienți de ajustare, asociată gradului de complexitate a programelor de studii de la ciclurile de studii superioare de licență și master – 75% din alocațiile bugetare pentru finanțarea bugetară a instituțiilor publice de învățământ (în continuare – alocații bugetare directe); </w:t>
            </w:r>
          </w:p>
          <w:p w14:paraId="7CA8C650" w14:textId="77777777"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2)finanțarea compensatorie pentru susținerea performanței în instituțiile publice de învățământ superior – 20% din alocațiile bugetare pentru finanțarea bugetară a instituțiilor publice de învățământ superior (în continuare – alocații bugetare indirecte); </w:t>
            </w:r>
          </w:p>
          <w:p w14:paraId="26F19DD6" w14:textId="77777777"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3)finanțarea complementară pentru modernizarea bazei materiale și didactice – 5% din alocațiile bugetare pentru finanțarea bugetară a instituțiilor publice de învățământ superior. </w:t>
            </w:r>
          </w:p>
          <w:p w14:paraId="7F93588C" w14:textId="726375E0" w:rsidR="006F1D02" w:rsidRPr="0006227E" w:rsidRDefault="006F1D02" w:rsidP="00FE69FE">
            <w:pPr>
              <w:spacing w:after="0" w:line="240" w:lineRule="auto"/>
              <w:jc w:val="both"/>
              <w:rPr>
                <w:rFonts w:ascii="Times New Roman" w:hAnsi="Times New Roman"/>
                <w:lang w:val="ro-MD"/>
              </w:rPr>
            </w:pPr>
          </w:p>
        </w:tc>
        <w:tc>
          <w:tcPr>
            <w:tcW w:w="4500" w:type="dxa"/>
          </w:tcPr>
          <w:p w14:paraId="71CC6B81" w14:textId="109C842E" w:rsidR="005C342A" w:rsidRPr="00DB2318" w:rsidRDefault="005C342A" w:rsidP="00FE69FE">
            <w:pPr>
              <w:spacing w:after="0" w:line="240" w:lineRule="auto"/>
              <w:jc w:val="both"/>
              <w:rPr>
                <w:rFonts w:ascii="Times New Roman" w:hAnsi="Times New Roman"/>
                <w:sz w:val="24"/>
                <w:szCs w:val="24"/>
                <w:lang w:val="ro-MD"/>
              </w:rPr>
            </w:pPr>
            <w:r w:rsidRPr="00DB2318">
              <w:rPr>
                <w:rFonts w:ascii="Times New Roman" w:hAnsi="Times New Roman"/>
                <w:sz w:val="24"/>
                <w:szCs w:val="24"/>
                <w:lang w:val="ro-MD"/>
              </w:rPr>
              <w:t>La punctul 4. sbp.  2) și 3) se modifică și vor avea următorul text:</w:t>
            </w:r>
          </w:p>
          <w:p w14:paraId="584DAB90" w14:textId="77777777" w:rsidR="005C342A" w:rsidRPr="00DB2318" w:rsidRDefault="005C342A" w:rsidP="00FE69FE">
            <w:pPr>
              <w:spacing w:after="0" w:line="240" w:lineRule="auto"/>
              <w:jc w:val="both"/>
              <w:rPr>
                <w:rFonts w:ascii="Times New Roman" w:hAnsi="Times New Roman"/>
                <w:sz w:val="24"/>
                <w:szCs w:val="24"/>
                <w:lang w:val="ro-MD"/>
              </w:rPr>
            </w:pPr>
            <w:r w:rsidRPr="00DB2318">
              <w:rPr>
                <w:rFonts w:ascii="Times New Roman" w:hAnsi="Times New Roman"/>
                <w:sz w:val="24"/>
                <w:szCs w:val="24"/>
                <w:lang w:val="ro-MD"/>
              </w:rPr>
              <w:t>2) textul “– 20% ” se va înlocui cu  “ –  cel mult 20% ”;</w:t>
            </w:r>
          </w:p>
          <w:p w14:paraId="6B74F207" w14:textId="7D0BBAB8" w:rsidR="005C342A" w:rsidRPr="00DB2318" w:rsidRDefault="005C342A" w:rsidP="00FE69FE">
            <w:pPr>
              <w:spacing w:after="0" w:line="240" w:lineRule="auto"/>
              <w:jc w:val="both"/>
              <w:rPr>
                <w:rFonts w:ascii="Times New Roman" w:hAnsi="Times New Roman"/>
                <w:sz w:val="24"/>
                <w:szCs w:val="24"/>
                <w:lang w:val="ro-MD"/>
              </w:rPr>
            </w:pPr>
            <w:r w:rsidRPr="00DB2318">
              <w:rPr>
                <w:rFonts w:ascii="Times New Roman" w:hAnsi="Times New Roman"/>
                <w:sz w:val="24"/>
                <w:szCs w:val="24"/>
                <w:lang w:val="ro-MD"/>
              </w:rPr>
              <w:t>3) textul “– 5% ” se va înlocui cu  “ –  cel puțin 5% ”.</w:t>
            </w:r>
          </w:p>
          <w:p w14:paraId="3D2143DE" w14:textId="69892143" w:rsidR="005C342A" w:rsidRPr="0006227E" w:rsidRDefault="005C342A" w:rsidP="00FE69FE">
            <w:pPr>
              <w:spacing w:after="0" w:line="240" w:lineRule="auto"/>
              <w:jc w:val="both"/>
              <w:rPr>
                <w:rFonts w:ascii="Times New Roman" w:hAnsi="Times New Roman"/>
                <w:lang w:val="ro-MD"/>
              </w:rPr>
            </w:pPr>
          </w:p>
        </w:tc>
        <w:tc>
          <w:tcPr>
            <w:tcW w:w="4928" w:type="dxa"/>
          </w:tcPr>
          <w:p w14:paraId="16D3B6D9" w14:textId="77777777"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b/>
                <w:bCs/>
                <w:lang w:val="ro-MD"/>
              </w:rPr>
              <w:t>Pct. 4.</w:t>
            </w:r>
            <w:r w:rsidRPr="0006227E">
              <w:rPr>
                <w:rFonts w:ascii="Times New Roman" w:hAnsi="Times New Roman"/>
                <w:lang w:val="ro-MD"/>
              </w:rPr>
              <w:t xml:space="preserve"> Alocațiile bugetare pentru finanțarea bugetară a instituțiilor publice de învățământ superior (cu excepția burselor, sumelor destinate pentru întreținerea căminelor, îndemnizațiilor pentru membrii consiliilor de dezvoltare strategică, plata mobilităților academice, studiile superioare de doctorat) se divizează după cum urmează: </w:t>
            </w:r>
          </w:p>
          <w:p w14:paraId="531A6657" w14:textId="717F562B"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1) finanțarea-standard, în bază de cost standard per student și coeficienți de ajustare, asociată gradului de complexitate a programelor de studii de la ciclurile de studii superioare de licență și master –  75% din alocațiile bugetare pentru finanțarea bugetară a instituțiilor publice de învățământ (în continuare – alocații bugetare directe); </w:t>
            </w:r>
          </w:p>
          <w:p w14:paraId="36D50AB2" w14:textId="77777777"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 xml:space="preserve">2) finanțarea compensatorie pentru susținerea performanței în instituțiile publice de învățământ superior – cel mult 20% din alocațiile bugetare pentru finanțarea bugetară a instituțiilor publice de învățământ superior (în continuare – alocații bugetare indirecte); </w:t>
            </w:r>
          </w:p>
          <w:p w14:paraId="6FF97D92" w14:textId="6F142150" w:rsidR="005C342A" w:rsidRPr="0006227E" w:rsidRDefault="005C342A" w:rsidP="00FE69FE">
            <w:pPr>
              <w:spacing w:after="0" w:line="240" w:lineRule="auto"/>
              <w:jc w:val="both"/>
              <w:rPr>
                <w:rFonts w:ascii="Times New Roman" w:hAnsi="Times New Roman"/>
                <w:lang w:val="ro-MD"/>
              </w:rPr>
            </w:pPr>
            <w:r w:rsidRPr="0006227E">
              <w:rPr>
                <w:rFonts w:ascii="Times New Roman" w:hAnsi="Times New Roman"/>
                <w:lang w:val="ro-MD"/>
              </w:rPr>
              <w:t>3) finanțarea complementară pentru modernizarea bazei materiale și didactice – cel puțin 5% din alocațiile bugetare pentru finanțarea bugetară a instituțiilor publice de învățământ superior.</w:t>
            </w:r>
          </w:p>
          <w:p w14:paraId="4BF10D17" w14:textId="77777777" w:rsidR="005C342A" w:rsidRPr="0006227E" w:rsidRDefault="005C342A" w:rsidP="00FE69FE">
            <w:pPr>
              <w:spacing w:after="0" w:line="240" w:lineRule="auto"/>
              <w:jc w:val="both"/>
              <w:rPr>
                <w:rFonts w:ascii="Times New Roman" w:hAnsi="Times New Roman"/>
                <w:lang w:val="ro-MD"/>
              </w:rPr>
            </w:pPr>
          </w:p>
        </w:tc>
      </w:tr>
      <w:tr w:rsidR="00FE69FE" w:rsidRPr="0006227E" w14:paraId="4B66AF46" w14:textId="77777777" w:rsidTr="006F1D02">
        <w:trPr>
          <w:trHeight w:val="1764"/>
        </w:trPr>
        <w:tc>
          <w:tcPr>
            <w:tcW w:w="738" w:type="dxa"/>
          </w:tcPr>
          <w:p w14:paraId="36425FA0" w14:textId="6F30F66A" w:rsidR="00FE69FE" w:rsidRPr="00557E07" w:rsidRDefault="00FE69FE" w:rsidP="00161FBA">
            <w:pPr>
              <w:pStyle w:val="a4"/>
              <w:numPr>
                <w:ilvl w:val="0"/>
                <w:numId w:val="1"/>
              </w:numPr>
              <w:spacing w:after="0" w:line="240" w:lineRule="auto"/>
              <w:jc w:val="both"/>
              <w:rPr>
                <w:rFonts w:ascii="Times New Roman" w:hAnsi="Times New Roman"/>
                <w:lang w:val="ro-MD"/>
              </w:rPr>
            </w:pPr>
          </w:p>
        </w:tc>
        <w:tc>
          <w:tcPr>
            <w:tcW w:w="4151" w:type="dxa"/>
          </w:tcPr>
          <w:p w14:paraId="2B5B4296" w14:textId="77777777" w:rsidR="00FE69FE" w:rsidRPr="0006227E" w:rsidRDefault="00FE69FE" w:rsidP="00FE69FE">
            <w:pPr>
              <w:spacing w:after="0" w:line="240" w:lineRule="auto"/>
              <w:jc w:val="both"/>
              <w:rPr>
                <w:rFonts w:ascii="Times New Roman" w:hAnsi="Times New Roman"/>
                <w:lang w:val="ro-MD"/>
              </w:rPr>
            </w:pPr>
          </w:p>
        </w:tc>
        <w:tc>
          <w:tcPr>
            <w:tcW w:w="4500" w:type="dxa"/>
          </w:tcPr>
          <w:p w14:paraId="22B8ADDA" w14:textId="3C59D118" w:rsidR="00490CA9" w:rsidRPr="0006227E" w:rsidRDefault="00FE69FE" w:rsidP="00547867">
            <w:pPr>
              <w:spacing w:after="0" w:line="240" w:lineRule="auto"/>
              <w:jc w:val="both"/>
              <w:rPr>
                <w:rFonts w:ascii="Times New Roman" w:hAnsi="Times New Roman"/>
                <w:lang w:val="ro-MD"/>
              </w:rPr>
            </w:pPr>
            <w:r w:rsidRPr="0006227E">
              <w:rPr>
                <w:rFonts w:ascii="Times New Roman" w:hAnsi="Times New Roman"/>
                <w:lang w:val="ro-MD"/>
              </w:rPr>
              <w:t xml:space="preserve">Un nou punct </w:t>
            </w:r>
            <w:r w:rsidR="00490CA9" w:rsidRPr="0006227E">
              <w:rPr>
                <w:rFonts w:ascii="Times New Roman" w:hAnsi="Times New Roman"/>
                <w:lang w:val="ro-MD"/>
              </w:rPr>
              <w:t xml:space="preserve"> cu următorul cuprins:</w:t>
            </w:r>
          </w:p>
          <w:p w14:paraId="67163694" w14:textId="6C8F588F" w:rsidR="006F1D02" w:rsidRPr="0006227E" w:rsidRDefault="006C322E" w:rsidP="00547867">
            <w:pPr>
              <w:spacing w:line="240" w:lineRule="auto"/>
              <w:jc w:val="both"/>
              <w:rPr>
                <w:rFonts w:ascii="Times New Roman" w:hAnsi="Times New Roman"/>
                <w:lang w:val="ro-MD"/>
              </w:rPr>
            </w:pPr>
            <w:r w:rsidRPr="0006227E">
              <w:rPr>
                <w:rFonts w:ascii="Times New Roman" w:hAnsi="Times New Roman"/>
                <w:lang w:val="ro-MD"/>
              </w:rPr>
              <w:t>„</w:t>
            </w:r>
            <w:r w:rsidRPr="0006227E">
              <w:rPr>
                <w:rFonts w:ascii="Times New Roman" w:hAnsi="Times New Roman"/>
                <w:b/>
                <w:lang w:val="ro-MD"/>
              </w:rPr>
              <w:t>4</w:t>
            </w:r>
            <w:r w:rsidRPr="0006227E">
              <w:rPr>
                <w:rFonts w:ascii="Times New Roman" w:hAnsi="Times New Roman"/>
                <w:b/>
                <w:vertAlign w:val="superscript"/>
                <w:lang w:val="ro-MD"/>
              </w:rPr>
              <w:t>1</w:t>
            </w:r>
            <w:r w:rsidRPr="0006227E">
              <w:rPr>
                <w:rFonts w:ascii="Times New Roman" w:hAnsi="Times New Roman"/>
                <w:lang w:val="ro-MD"/>
              </w:rPr>
              <w:t xml:space="preserve">. Ponderea alocației bugetare pentru finanțarea compensatorie și finanțarea complementară se aprobă anual prin ordin al ministrului educației și cercetării în funcție de necesitățile instituțiilor de învățământ superior și valorile indicatorilor de performanță, în limita a </w:t>
            </w:r>
            <w:r w:rsidRPr="0006227E">
              <w:rPr>
                <w:rFonts w:ascii="Times New Roman" w:hAnsi="Times New Roman"/>
              </w:rPr>
              <w:t>25% din alocațiile bugetare pentru finanțarea bugetară a instituțiilor publice de învățământ superior</w:t>
            </w:r>
            <w:r w:rsidRPr="0006227E">
              <w:rPr>
                <w:rFonts w:ascii="Times New Roman" w:hAnsi="Times New Roman"/>
                <w:lang w:val="ro-MD"/>
              </w:rPr>
              <w:t>.”</w:t>
            </w:r>
          </w:p>
        </w:tc>
        <w:tc>
          <w:tcPr>
            <w:tcW w:w="4928" w:type="dxa"/>
          </w:tcPr>
          <w:p w14:paraId="5A8C6E51" w14:textId="655CC3E7" w:rsidR="006C322E" w:rsidRPr="0006227E" w:rsidRDefault="006C322E" w:rsidP="006C322E">
            <w:pPr>
              <w:spacing w:line="240" w:lineRule="auto"/>
              <w:jc w:val="both"/>
              <w:rPr>
                <w:rFonts w:ascii="Times New Roman" w:hAnsi="Times New Roman"/>
                <w:lang w:val="ro-MD"/>
              </w:rPr>
            </w:pPr>
            <w:r w:rsidRPr="0006227E">
              <w:rPr>
                <w:rFonts w:ascii="Times New Roman" w:hAnsi="Times New Roman"/>
                <w:lang w:val="ro-MD"/>
              </w:rPr>
              <w:t>„</w:t>
            </w:r>
            <w:r w:rsidR="00811A26" w:rsidRPr="00811A26">
              <w:rPr>
                <w:rFonts w:ascii="Times New Roman" w:hAnsi="Times New Roman"/>
                <w:b/>
                <w:lang w:val="ro-MD"/>
              </w:rPr>
              <w:t>Pct.</w:t>
            </w:r>
            <w:r w:rsidRPr="00811A26">
              <w:rPr>
                <w:rFonts w:ascii="Times New Roman" w:hAnsi="Times New Roman"/>
                <w:b/>
                <w:lang w:val="ro-MD"/>
              </w:rPr>
              <w:t>4</w:t>
            </w:r>
            <w:r w:rsidRPr="00811A26">
              <w:rPr>
                <w:rFonts w:ascii="Times New Roman" w:hAnsi="Times New Roman"/>
                <w:b/>
                <w:vertAlign w:val="superscript"/>
                <w:lang w:val="ro-MD"/>
              </w:rPr>
              <w:t>1</w:t>
            </w:r>
            <w:r w:rsidRPr="0006227E">
              <w:rPr>
                <w:rFonts w:ascii="Times New Roman" w:hAnsi="Times New Roman"/>
                <w:lang w:val="ro-MD"/>
              </w:rPr>
              <w:t xml:space="preserve">. Ponderea alocației bugetare pentru finanțarea compensatorie și finanțarea complementară se aprobă anual prin ordin al ministrului educației și cercetării în funcție de necesitățile instituțiilor de învățământ superior și valorile indicatorilor de performanță, în limita a </w:t>
            </w:r>
            <w:r w:rsidRPr="0006227E">
              <w:rPr>
                <w:rFonts w:ascii="Times New Roman" w:hAnsi="Times New Roman"/>
              </w:rPr>
              <w:t>25% din alocațiile bugetare pentru finanțarea bugetară a instituțiilor publice de învățământ superior</w:t>
            </w:r>
            <w:r w:rsidRPr="0006227E">
              <w:rPr>
                <w:rFonts w:ascii="Times New Roman" w:hAnsi="Times New Roman"/>
                <w:lang w:val="ro-MD"/>
              </w:rPr>
              <w:t>.”</w:t>
            </w:r>
          </w:p>
          <w:p w14:paraId="5A38AD8C" w14:textId="77777777" w:rsidR="00FE69FE" w:rsidRPr="0006227E" w:rsidRDefault="00FE69FE" w:rsidP="00FE69FE">
            <w:pPr>
              <w:spacing w:after="0" w:line="240" w:lineRule="auto"/>
              <w:jc w:val="both"/>
              <w:rPr>
                <w:rFonts w:ascii="Times New Roman" w:hAnsi="Times New Roman"/>
                <w:lang w:val="ro-MD"/>
              </w:rPr>
            </w:pPr>
          </w:p>
        </w:tc>
      </w:tr>
      <w:tr w:rsidR="00FE69FE" w:rsidRPr="0006227E" w14:paraId="1FFD30EE" w14:textId="77777777" w:rsidTr="00EC6071">
        <w:trPr>
          <w:trHeight w:val="16511"/>
        </w:trPr>
        <w:tc>
          <w:tcPr>
            <w:tcW w:w="738" w:type="dxa"/>
          </w:tcPr>
          <w:p w14:paraId="3972F227" w14:textId="77777777" w:rsidR="006F1D02" w:rsidRPr="0006227E" w:rsidRDefault="006F1D02" w:rsidP="00FE69FE">
            <w:pPr>
              <w:spacing w:after="0" w:line="240" w:lineRule="auto"/>
              <w:jc w:val="both"/>
              <w:rPr>
                <w:rFonts w:ascii="Times New Roman" w:hAnsi="Times New Roman"/>
                <w:lang w:val="ro-MD"/>
              </w:rPr>
            </w:pPr>
          </w:p>
          <w:p w14:paraId="43531369" w14:textId="2836D82F" w:rsidR="00FE69FE" w:rsidRPr="00557E07" w:rsidRDefault="00FE69FE" w:rsidP="00161FBA">
            <w:pPr>
              <w:pStyle w:val="a4"/>
              <w:numPr>
                <w:ilvl w:val="0"/>
                <w:numId w:val="1"/>
              </w:numPr>
              <w:spacing w:after="0" w:line="240" w:lineRule="auto"/>
              <w:jc w:val="both"/>
              <w:rPr>
                <w:rFonts w:ascii="Times New Roman" w:hAnsi="Times New Roman"/>
                <w:lang w:val="ro-MD"/>
              </w:rPr>
            </w:pPr>
          </w:p>
        </w:tc>
        <w:tc>
          <w:tcPr>
            <w:tcW w:w="4151" w:type="dxa"/>
          </w:tcPr>
          <w:p w14:paraId="1E40DD35" w14:textId="77777777" w:rsidR="006F1D02" w:rsidRPr="0006227E" w:rsidRDefault="006F1D02" w:rsidP="00FE69FE">
            <w:pPr>
              <w:spacing w:after="0" w:line="240" w:lineRule="auto"/>
              <w:jc w:val="both"/>
              <w:rPr>
                <w:rFonts w:ascii="Times New Roman" w:hAnsi="Times New Roman"/>
                <w:lang w:val="ro-MD"/>
              </w:rPr>
            </w:pPr>
          </w:p>
          <w:p w14:paraId="2029B004" w14:textId="10B1DA7C" w:rsidR="00FE69FE" w:rsidRPr="0006227E" w:rsidRDefault="00FE69FE" w:rsidP="00FE69FE">
            <w:pPr>
              <w:spacing w:after="0" w:line="240" w:lineRule="auto"/>
              <w:jc w:val="both"/>
              <w:rPr>
                <w:rFonts w:ascii="Times New Roman" w:hAnsi="Times New Roman"/>
                <w:lang w:val="ro-MD"/>
              </w:rPr>
            </w:pPr>
            <w:r w:rsidRPr="0006227E">
              <w:rPr>
                <w:rFonts w:ascii="Times New Roman" w:hAnsi="Times New Roman"/>
                <w:lang w:val="ro-MD"/>
              </w:rPr>
              <w:t>Pct. 10 Alocațiile bugetare pentru finanțarea compensatorie se determină în baza indicatorilor de performanță conform următoarelor direcții distincte de activitate:</w:t>
            </w:r>
          </w:p>
          <w:p w14:paraId="7A525BA5" w14:textId="77777777" w:rsidR="00FE69FE" w:rsidRPr="0006227E" w:rsidRDefault="00FE69FE" w:rsidP="00FE69FE">
            <w:pPr>
              <w:spacing w:after="0" w:line="240" w:lineRule="auto"/>
              <w:jc w:val="both"/>
              <w:rPr>
                <w:rFonts w:ascii="Times New Roman" w:hAnsi="Times New Roman"/>
                <w:lang w:val="ro-MD"/>
              </w:rPr>
            </w:pPr>
            <w:r w:rsidRPr="0006227E">
              <w:rPr>
                <w:rFonts w:ascii="Times New Roman" w:hAnsi="Times New Roman"/>
                <w:lang w:val="ro-MD"/>
              </w:rPr>
              <w:t>1) procesul de predare-învățare (indicatorii I</w:t>
            </w:r>
            <w:r w:rsidRPr="0006227E">
              <w:rPr>
                <w:rFonts w:ascii="Times New Roman" w:hAnsi="Times New Roman"/>
                <w:vertAlign w:val="subscript"/>
                <w:lang w:val="ro-MD"/>
              </w:rPr>
              <w:t>1</w:t>
            </w:r>
            <w:r w:rsidRPr="0006227E">
              <w:rPr>
                <w:rFonts w:ascii="Times New Roman" w:hAnsi="Times New Roman"/>
                <w:lang w:val="ro-MD"/>
              </w:rPr>
              <w:t xml:space="preserve"> – raportul numărului de studenți de la ciclul de master și numărul de studenți de la ciclul de licență și I</w:t>
            </w:r>
            <w:r w:rsidRPr="0006227E">
              <w:rPr>
                <w:rFonts w:ascii="Times New Roman" w:hAnsi="Times New Roman"/>
                <w:vertAlign w:val="subscript"/>
                <w:lang w:val="ro-MD"/>
              </w:rPr>
              <w:t>2</w:t>
            </w:r>
            <w:r w:rsidRPr="0006227E">
              <w:rPr>
                <w:rFonts w:ascii="Times New Roman" w:hAnsi="Times New Roman"/>
                <w:lang w:val="ro-MD"/>
              </w:rPr>
              <w:t xml:space="preserve"> – raportul dintre numărul cadrelor didactice titulare care au dreptul de a conduce doctorat și numărul total de cadre didactice titulare); </w:t>
            </w:r>
          </w:p>
          <w:p w14:paraId="4492D31C" w14:textId="3BF9C9DD" w:rsidR="00FE69FE" w:rsidRPr="0006227E" w:rsidRDefault="00FE69FE" w:rsidP="00FE69FE">
            <w:pPr>
              <w:spacing w:after="0" w:line="240" w:lineRule="auto"/>
              <w:jc w:val="both"/>
              <w:rPr>
                <w:rFonts w:ascii="Times New Roman" w:hAnsi="Times New Roman"/>
                <w:lang w:val="ro-MD"/>
              </w:rPr>
            </w:pPr>
            <w:r w:rsidRPr="0006227E">
              <w:rPr>
                <w:rFonts w:ascii="Times New Roman" w:hAnsi="Times New Roman"/>
                <w:lang w:val="ro-MD"/>
              </w:rPr>
              <w:t>2)</w:t>
            </w:r>
            <w:r w:rsidR="00CA05E6" w:rsidRPr="0006227E">
              <w:rPr>
                <w:rFonts w:ascii="Times New Roman" w:hAnsi="Times New Roman"/>
                <w:lang w:val="ro-MD"/>
              </w:rPr>
              <w:t xml:space="preserve"> </w:t>
            </w:r>
            <w:r w:rsidRPr="0006227E">
              <w:rPr>
                <w:rFonts w:ascii="Times New Roman" w:hAnsi="Times New Roman"/>
                <w:lang w:val="ro-MD"/>
              </w:rPr>
              <w:t>cercetarea științifică universitară/performanța artistică/performanța sportivă (indicatorii I</w:t>
            </w:r>
            <w:r w:rsidRPr="0006227E">
              <w:rPr>
                <w:rFonts w:ascii="Times New Roman" w:hAnsi="Times New Roman"/>
                <w:vertAlign w:val="subscript"/>
                <w:lang w:val="ro-MD"/>
              </w:rPr>
              <w:t xml:space="preserve">3 </w:t>
            </w:r>
            <w:r w:rsidRPr="0006227E">
              <w:rPr>
                <w:rFonts w:ascii="Times New Roman" w:hAnsi="Times New Roman"/>
                <w:lang w:val="ro-MD"/>
              </w:rPr>
              <w:t>– calitatea resursei umane și I</w:t>
            </w:r>
            <w:r w:rsidRPr="0006227E">
              <w:rPr>
                <w:rFonts w:ascii="Times New Roman" w:hAnsi="Times New Roman"/>
                <w:vertAlign w:val="subscript"/>
                <w:lang w:val="ro-MD"/>
              </w:rPr>
              <w:t xml:space="preserve">4 </w:t>
            </w:r>
            <w:r w:rsidRPr="0006227E">
              <w:rPr>
                <w:rFonts w:ascii="Times New Roman" w:hAnsi="Times New Roman"/>
                <w:lang w:val="ro-MD"/>
              </w:rPr>
              <w:t xml:space="preserve">– fondurile pentru cercetare științifică/performanță artistică/performanță sportivă); </w:t>
            </w:r>
          </w:p>
          <w:p w14:paraId="4FB9B0EA" w14:textId="77777777" w:rsidR="00FE69FE" w:rsidRPr="0006227E" w:rsidRDefault="00FE69FE" w:rsidP="00FE69FE">
            <w:pPr>
              <w:spacing w:after="0" w:line="240" w:lineRule="auto"/>
              <w:jc w:val="both"/>
              <w:rPr>
                <w:rFonts w:ascii="Times New Roman" w:hAnsi="Times New Roman"/>
                <w:lang w:val="ro-MD"/>
              </w:rPr>
            </w:pPr>
            <w:r w:rsidRPr="0006227E">
              <w:rPr>
                <w:rFonts w:ascii="Times New Roman" w:hAnsi="Times New Roman"/>
                <w:lang w:val="ro-MD"/>
              </w:rPr>
              <w:t>3)dimensiunea de internaționalizare (indicatorii I</w:t>
            </w:r>
            <w:r w:rsidRPr="0006227E">
              <w:rPr>
                <w:rFonts w:ascii="Times New Roman" w:hAnsi="Times New Roman"/>
                <w:vertAlign w:val="subscript"/>
                <w:lang w:val="ro-MD"/>
              </w:rPr>
              <w:t xml:space="preserve">5 </w:t>
            </w:r>
            <w:r w:rsidRPr="0006227E">
              <w:rPr>
                <w:rFonts w:ascii="Times New Roman" w:hAnsi="Times New Roman"/>
                <w:lang w:val="ro-MD"/>
              </w:rPr>
              <w:t>– mobilități outgoing (RM-EU), I</w:t>
            </w:r>
            <w:r w:rsidRPr="0006227E">
              <w:rPr>
                <w:rFonts w:ascii="Times New Roman" w:hAnsi="Times New Roman"/>
                <w:vertAlign w:val="subscript"/>
                <w:lang w:val="ro-MD"/>
              </w:rPr>
              <w:t xml:space="preserve">6 </w:t>
            </w:r>
            <w:r w:rsidRPr="0006227E">
              <w:rPr>
                <w:rFonts w:ascii="Times New Roman" w:hAnsi="Times New Roman"/>
                <w:lang w:val="ro-MD"/>
              </w:rPr>
              <w:t>– mobilități incoming (EU-RM) și I</w:t>
            </w:r>
            <w:r w:rsidRPr="0006227E">
              <w:rPr>
                <w:rFonts w:ascii="Times New Roman" w:hAnsi="Times New Roman"/>
                <w:vertAlign w:val="subscript"/>
                <w:lang w:val="ro-MD"/>
              </w:rPr>
              <w:t>7</w:t>
            </w:r>
            <w:r w:rsidRPr="0006227E">
              <w:rPr>
                <w:rFonts w:ascii="Times New Roman" w:hAnsi="Times New Roman"/>
                <w:lang w:val="ro-MD"/>
              </w:rPr>
              <w:t xml:space="preserve"> – fonduri atrase din proiecte internaționale (cu excepția celor de cercetare); </w:t>
            </w:r>
          </w:p>
          <w:p w14:paraId="21C4CF63" w14:textId="77777777" w:rsidR="00FE69FE" w:rsidRPr="0006227E" w:rsidRDefault="00FE69FE" w:rsidP="00FE69FE">
            <w:pPr>
              <w:spacing w:after="0" w:line="240" w:lineRule="auto"/>
              <w:jc w:val="both"/>
              <w:rPr>
                <w:rFonts w:ascii="Times New Roman" w:hAnsi="Times New Roman"/>
                <w:lang w:val="ro-MD"/>
              </w:rPr>
            </w:pPr>
            <w:r w:rsidRPr="0006227E">
              <w:rPr>
                <w:rFonts w:ascii="Times New Roman" w:hAnsi="Times New Roman"/>
                <w:lang w:val="ro-MD"/>
              </w:rPr>
              <w:t>4) orientarea socială: burse din fonduri universitare, altele decât cele din bugetul de stat, investiții în cămine, alte obiecte de infrastructură, asigurarea stagiilor de practică (indicatorul I</w:t>
            </w:r>
            <w:r w:rsidRPr="0006227E">
              <w:rPr>
                <w:rFonts w:ascii="Times New Roman" w:hAnsi="Times New Roman"/>
                <w:vertAlign w:val="subscript"/>
                <w:lang w:val="ro-MD"/>
              </w:rPr>
              <w:t>8</w:t>
            </w:r>
            <w:r w:rsidRPr="0006227E">
              <w:rPr>
                <w:rFonts w:ascii="Times New Roman" w:hAnsi="Times New Roman"/>
                <w:lang w:val="ro-MD"/>
              </w:rPr>
              <w:t xml:space="preserve"> – locuri în cămine studențești).</w:t>
            </w:r>
          </w:p>
          <w:p w14:paraId="1654BC4B" w14:textId="77777777" w:rsidR="00FE69FE" w:rsidRPr="0006227E" w:rsidRDefault="00FE69FE" w:rsidP="00FE69FE">
            <w:pPr>
              <w:spacing w:after="0" w:line="240" w:lineRule="auto"/>
              <w:jc w:val="both"/>
              <w:rPr>
                <w:rFonts w:ascii="Times New Roman" w:hAnsi="Times New Roman"/>
                <w:lang w:val="ro-MD"/>
              </w:rPr>
            </w:pPr>
          </w:p>
          <w:p w14:paraId="4BC84CFB" w14:textId="77777777" w:rsidR="00FE69FE" w:rsidRPr="0006227E" w:rsidRDefault="00FE69FE" w:rsidP="00FE69FE">
            <w:pPr>
              <w:spacing w:after="0" w:line="240" w:lineRule="auto"/>
              <w:jc w:val="both"/>
              <w:rPr>
                <w:rFonts w:ascii="Times New Roman" w:hAnsi="Times New Roman"/>
                <w:lang w:val="ro-MD"/>
              </w:rPr>
            </w:pPr>
          </w:p>
          <w:p w14:paraId="5E3E1AD0" w14:textId="77777777" w:rsidR="00FE69FE" w:rsidRPr="0006227E" w:rsidRDefault="00FE69FE" w:rsidP="00FE69FE">
            <w:pPr>
              <w:spacing w:after="0" w:line="240" w:lineRule="auto"/>
              <w:jc w:val="both"/>
              <w:rPr>
                <w:rFonts w:ascii="Times New Roman" w:hAnsi="Times New Roman"/>
                <w:lang w:val="ro-MD"/>
              </w:rPr>
            </w:pPr>
          </w:p>
          <w:p w14:paraId="0F979168" w14:textId="77777777" w:rsidR="00FE69FE" w:rsidRPr="0006227E" w:rsidRDefault="00FE69FE" w:rsidP="00FE69FE">
            <w:pPr>
              <w:spacing w:after="0" w:line="240" w:lineRule="auto"/>
              <w:jc w:val="both"/>
              <w:rPr>
                <w:rFonts w:ascii="Times New Roman" w:hAnsi="Times New Roman"/>
                <w:lang w:val="ro-MD"/>
              </w:rPr>
            </w:pPr>
          </w:p>
          <w:p w14:paraId="44B1EF37" w14:textId="77777777" w:rsidR="00FE69FE" w:rsidRPr="0006227E" w:rsidRDefault="00FE69FE" w:rsidP="00FE69FE">
            <w:pPr>
              <w:spacing w:after="0" w:line="240" w:lineRule="auto"/>
              <w:jc w:val="both"/>
              <w:rPr>
                <w:rFonts w:ascii="Times New Roman" w:hAnsi="Times New Roman"/>
                <w:lang w:val="ro-MD"/>
              </w:rPr>
            </w:pPr>
          </w:p>
          <w:p w14:paraId="7932DFCD" w14:textId="77777777" w:rsidR="00FE69FE" w:rsidRPr="0006227E" w:rsidRDefault="00FE69FE" w:rsidP="00FE69FE">
            <w:pPr>
              <w:spacing w:after="0" w:line="240" w:lineRule="auto"/>
              <w:jc w:val="both"/>
              <w:rPr>
                <w:rFonts w:ascii="Times New Roman" w:hAnsi="Times New Roman"/>
                <w:lang w:val="ro-MD"/>
              </w:rPr>
            </w:pPr>
          </w:p>
          <w:p w14:paraId="2FC0BEF9" w14:textId="77777777" w:rsidR="00FE69FE" w:rsidRPr="0006227E" w:rsidRDefault="00FE69FE" w:rsidP="00FE69FE">
            <w:pPr>
              <w:spacing w:after="0" w:line="240" w:lineRule="auto"/>
              <w:jc w:val="both"/>
              <w:rPr>
                <w:rFonts w:ascii="Times New Roman" w:hAnsi="Times New Roman"/>
                <w:lang w:val="ro-MD"/>
              </w:rPr>
            </w:pPr>
          </w:p>
          <w:p w14:paraId="106B27E8" w14:textId="77777777" w:rsidR="00FE69FE" w:rsidRPr="0006227E" w:rsidRDefault="00FE69FE" w:rsidP="00FE69FE">
            <w:pPr>
              <w:spacing w:after="0" w:line="240" w:lineRule="auto"/>
              <w:jc w:val="both"/>
              <w:rPr>
                <w:rFonts w:ascii="Times New Roman" w:hAnsi="Times New Roman"/>
                <w:lang w:val="ro-MD"/>
              </w:rPr>
            </w:pPr>
          </w:p>
          <w:p w14:paraId="651C6CDF" w14:textId="77777777" w:rsidR="00FE69FE" w:rsidRPr="0006227E" w:rsidRDefault="00FE69FE" w:rsidP="00FE69FE">
            <w:pPr>
              <w:spacing w:after="0" w:line="240" w:lineRule="auto"/>
              <w:jc w:val="both"/>
              <w:rPr>
                <w:rFonts w:ascii="Times New Roman" w:hAnsi="Times New Roman"/>
                <w:lang w:val="ro-MD"/>
              </w:rPr>
            </w:pPr>
          </w:p>
        </w:tc>
        <w:tc>
          <w:tcPr>
            <w:tcW w:w="4500" w:type="dxa"/>
          </w:tcPr>
          <w:p w14:paraId="09C088FB" w14:textId="77777777" w:rsidR="006F1D02" w:rsidRPr="0006227E" w:rsidRDefault="00FE69FE" w:rsidP="00490CA9">
            <w:pPr>
              <w:spacing w:after="0" w:line="240" w:lineRule="auto"/>
              <w:jc w:val="both"/>
              <w:rPr>
                <w:rFonts w:ascii="Times New Roman" w:hAnsi="Times New Roman"/>
                <w:lang w:val="ro-MD"/>
              </w:rPr>
            </w:pPr>
            <w:r w:rsidRPr="0006227E">
              <w:rPr>
                <w:rFonts w:ascii="Times New Roman" w:hAnsi="Times New Roman"/>
                <w:lang w:val="ro-MD"/>
              </w:rPr>
              <w:t xml:space="preserve"> </w:t>
            </w:r>
          </w:p>
          <w:p w14:paraId="07E95B23"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lang w:val="ro-MD"/>
              </w:rPr>
              <w:t>Punctul 10 va avea următorul cuprins</w:t>
            </w:r>
            <w:r w:rsidRPr="0006227E">
              <w:rPr>
                <w:rFonts w:ascii="Times New Roman" w:hAnsi="Times New Roman"/>
              </w:rPr>
              <w:t>:</w:t>
            </w:r>
          </w:p>
          <w:p w14:paraId="1E5A0517"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lang w:val="ro-MD"/>
              </w:rPr>
              <w:t>„</w:t>
            </w:r>
            <w:r w:rsidRPr="0006227E">
              <w:rPr>
                <w:rFonts w:ascii="Times New Roman" w:hAnsi="Times New Roman"/>
                <w:b/>
                <w:bCs/>
                <w:lang w:val="ro-MD"/>
              </w:rPr>
              <w:t xml:space="preserve">10. </w:t>
            </w:r>
            <w:r w:rsidRPr="0006227E">
              <w:rPr>
                <w:rFonts w:ascii="Times New Roman" w:hAnsi="Times New Roman"/>
                <w:lang w:val="ro-MD"/>
              </w:rPr>
              <w:t>Alocațiile bugetare pentru finanțarea compensatorie se determină în baza indicatorilor de performanță conform următoarelor direcții distincte de activitate:</w:t>
            </w:r>
          </w:p>
          <w:p w14:paraId="7E81FFBF"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1)</w:t>
            </w:r>
            <w:r w:rsidRPr="0006227E">
              <w:rPr>
                <w:rFonts w:ascii="Times New Roman" w:hAnsi="Times New Roman"/>
                <w:lang w:val="ro-MD"/>
              </w:rPr>
              <w:t xml:space="preserve"> procesul de predare - învățare (</w:t>
            </w:r>
            <w:r w:rsidRPr="0006227E">
              <w:rPr>
                <w:rFonts w:ascii="Times New Roman" w:hAnsi="Times New Roman"/>
              </w:rPr>
              <w:t xml:space="preserve">indicatorii </w:t>
            </w:r>
            <w:r w:rsidRPr="0006227E">
              <w:rPr>
                <w:rFonts w:ascii="Times New Roman" w:hAnsi="Times New Roman"/>
                <w:b/>
              </w:rPr>
              <w:t>I</w:t>
            </w:r>
            <w:r w:rsidRPr="0006227E">
              <w:rPr>
                <w:rFonts w:ascii="Times New Roman" w:hAnsi="Times New Roman"/>
                <w:b/>
                <w:vertAlign w:val="subscript"/>
              </w:rPr>
              <w:t xml:space="preserve">11 </w:t>
            </w:r>
            <w:r w:rsidRPr="0006227E">
              <w:rPr>
                <w:rFonts w:ascii="Times New Roman" w:hAnsi="Times New Roman"/>
                <w:b/>
              </w:rPr>
              <w:t xml:space="preserve">– </w:t>
            </w:r>
            <w:r w:rsidRPr="0006227E">
              <w:rPr>
                <w:rFonts w:ascii="Times New Roman" w:hAnsi="Times New Roman"/>
              </w:rPr>
              <w:t xml:space="preserve">raportul numărului de studenți de la ciclul de master și numărul de studenți de la ciclul de licență, </w:t>
            </w:r>
            <w:r w:rsidRPr="0006227E">
              <w:rPr>
                <w:rFonts w:ascii="Times New Roman" w:hAnsi="Times New Roman"/>
                <w:b/>
              </w:rPr>
              <w:t>I</w:t>
            </w:r>
            <w:r w:rsidRPr="0006227E">
              <w:rPr>
                <w:rFonts w:ascii="Times New Roman" w:hAnsi="Times New Roman"/>
                <w:b/>
                <w:vertAlign w:val="subscript"/>
              </w:rPr>
              <w:t>12</w:t>
            </w:r>
            <w:r w:rsidRPr="0006227E">
              <w:rPr>
                <w:rFonts w:ascii="Times New Roman" w:hAnsi="Times New Roman"/>
              </w:rPr>
              <w:t xml:space="preserve"> – raportul dintre numărul cadrelor didactice titulare care au dreptul de a conduce doctorat și numărul total de cadre didactice titulare,  </w:t>
            </w:r>
            <w:r w:rsidRPr="0006227E">
              <w:rPr>
                <w:rFonts w:ascii="Times New Roman" w:hAnsi="Times New Roman"/>
                <w:lang w:val="ro-MD"/>
              </w:rPr>
              <w:t xml:space="preserve"> </w:t>
            </w:r>
            <w:r w:rsidRPr="0006227E">
              <w:rPr>
                <w:rFonts w:ascii="Times New Roman" w:hAnsi="Times New Roman"/>
                <w:b/>
                <w:bCs/>
                <w:lang w:val="ro-MD"/>
              </w:rPr>
              <w:t>I</w:t>
            </w:r>
            <w:r w:rsidRPr="0006227E">
              <w:rPr>
                <w:rFonts w:ascii="Times New Roman" w:hAnsi="Times New Roman"/>
                <w:b/>
                <w:bCs/>
                <w:vertAlign w:val="subscript"/>
                <w:lang w:val="ro-MD"/>
              </w:rPr>
              <w:t>13</w:t>
            </w:r>
            <w:r w:rsidRPr="0006227E">
              <w:rPr>
                <w:rFonts w:ascii="Times New Roman" w:hAnsi="Times New Roman"/>
                <w:lang w:val="ro-MD"/>
              </w:rPr>
              <w:t xml:space="preserve"> –</w:t>
            </w:r>
            <w:r w:rsidRPr="0006227E">
              <w:rPr>
                <w:rFonts w:ascii="Times New Roman" w:hAnsi="Times New Roman"/>
              </w:rPr>
              <w:t xml:space="preserve"> raportul dintre numărul cadrelor didactice titulare </w:t>
            </w:r>
            <w:r w:rsidRPr="0006227E">
              <w:rPr>
                <w:rFonts w:ascii="Times New Roman" w:hAnsi="Times New Roman"/>
                <w:lang w:val="ro-MD"/>
              </w:rPr>
              <w:t xml:space="preserve">cu vârsta de până la 40 ani, inclusiv, </w:t>
            </w:r>
            <w:r w:rsidRPr="0006227E">
              <w:rPr>
                <w:rFonts w:ascii="Times New Roman" w:hAnsi="Times New Roman"/>
              </w:rPr>
              <w:t>și numărul total de cadre didactice titulare</w:t>
            </w:r>
            <w:r w:rsidRPr="0006227E">
              <w:rPr>
                <w:rFonts w:ascii="Times New Roman" w:hAnsi="Times New Roman"/>
                <w:lang w:val="ro-MD"/>
              </w:rPr>
              <w:t xml:space="preserve"> și </w:t>
            </w:r>
            <w:r w:rsidRPr="0006227E">
              <w:rPr>
                <w:rFonts w:ascii="Times New Roman" w:hAnsi="Times New Roman"/>
                <w:b/>
                <w:bCs/>
                <w:lang w:val="ro-MD"/>
              </w:rPr>
              <w:t>I</w:t>
            </w:r>
            <w:r w:rsidRPr="0006227E">
              <w:rPr>
                <w:rFonts w:ascii="Times New Roman" w:hAnsi="Times New Roman"/>
                <w:b/>
                <w:bCs/>
                <w:vertAlign w:val="subscript"/>
                <w:lang w:val="ro-MD"/>
              </w:rPr>
              <w:t>14</w:t>
            </w:r>
            <w:r w:rsidRPr="0006227E">
              <w:rPr>
                <w:rFonts w:ascii="Times New Roman" w:hAnsi="Times New Roman"/>
                <w:b/>
                <w:bCs/>
                <w:lang w:val="ro-MD"/>
              </w:rPr>
              <w:t xml:space="preserve"> </w:t>
            </w:r>
            <w:r w:rsidRPr="0006227E">
              <w:rPr>
                <w:rFonts w:ascii="Times New Roman" w:hAnsi="Times New Roman"/>
                <w:lang w:val="ro-MD"/>
              </w:rPr>
              <w:t>– gradul de angajare a absolvenților);</w:t>
            </w:r>
          </w:p>
          <w:p w14:paraId="5C3D2BA9"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2)</w:t>
            </w:r>
            <w:r w:rsidRPr="0006227E">
              <w:rPr>
                <w:rFonts w:ascii="Times New Roman" w:hAnsi="Times New Roman"/>
                <w:lang w:val="ro-MD"/>
              </w:rPr>
              <w:t xml:space="preserve"> cercetarea științifică universitară/performanța artistică/performanța sportivă (indicatorii </w:t>
            </w:r>
            <w:r w:rsidRPr="0006227E">
              <w:rPr>
                <w:rFonts w:ascii="Times New Roman" w:hAnsi="Times New Roman"/>
                <w:b/>
              </w:rPr>
              <w:t>I</w:t>
            </w:r>
            <w:r w:rsidRPr="0006227E">
              <w:rPr>
                <w:rFonts w:ascii="Times New Roman" w:hAnsi="Times New Roman"/>
                <w:b/>
                <w:vertAlign w:val="subscript"/>
              </w:rPr>
              <w:t>21</w:t>
            </w:r>
            <w:r w:rsidRPr="0006227E">
              <w:rPr>
                <w:rFonts w:ascii="Times New Roman" w:hAnsi="Times New Roman"/>
                <w:b/>
              </w:rPr>
              <w:t xml:space="preserve"> – </w:t>
            </w:r>
            <w:r w:rsidRPr="0006227E">
              <w:rPr>
                <w:rFonts w:ascii="Times New Roman" w:hAnsi="Times New Roman"/>
              </w:rPr>
              <w:t xml:space="preserve">calitatea resursei umane, </w:t>
            </w:r>
            <w:r w:rsidRPr="0006227E">
              <w:rPr>
                <w:rFonts w:ascii="Times New Roman" w:hAnsi="Times New Roman"/>
                <w:b/>
                <w:bCs/>
                <w:lang w:val="ro-MD"/>
              </w:rPr>
              <w:t>I</w:t>
            </w:r>
            <w:r w:rsidRPr="0006227E">
              <w:rPr>
                <w:rFonts w:ascii="Times New Roman" w:hAnsi="Times New Roman"/>
                <w:b/>
                <w:bCs/>
                <w:vertAlign w:val="subscript"/>
                <w:lang w:val="ro-MD"/>
              </w:rPr>
              <w:t>22</w:t>
            </w:r>
            <w:r w:rsidRPr="0006227E">
              <w:rPr>
                <w:rFonts w:ascii="Times New Roman" w:hAnsi="Times New Roman"/>
                <w:lang w:val="ro-MD"/>
              </w:rPr>
              <w:t xml:space="preserve"> – performanța activității științifice/performanței artistice/performanței sportive, </w:t>
            </w:r>
            <w:r w:rsidRPr="0006227E">
              <w:rPr>
                <w:rFonts w:ascii="Times New Roman" w:hAnsi="Times New Roman"/>
                <w:b/>
                <w:bCs/>
                <w:lang w:val="ro-MD"/>
              </w:rPr>
              <w:t>I</w:t>
            </w:r>
            <w:r w:rsidRPr="0006227E">
              <w:rPr>
                <w:rFonts w:ascii="Times New Roman" w:hAnsi="Times New Roman"/>
                <w:b/>
                <w:bCs/>
                <w:vertAlign w:val="subscript"/>
                <w:lang w:val="ro-MD"/>
              </w:rPr>
              <w:t>23</w:t>
            </w:r>
            <w:r w:rsidRPr="0006227E">
              <w:rPr>
                <w:rFonts w:ascii="Times New Roman" w:hAnsi="Times New Roman"/>
                <w:lang w:val="ro-MD"/>
              </w:rPr>
              <w:t xml:space="preserve"> – fonduri pentru cercetare științifică/performanța artistică/performanța sportivă atrase din proiecte naționale și internaționale și </w:t>
            </w:r>
            <w:r w:rsidRPr="0006227E">
              <w:rPr>
                <w:rFonts w:ascii="Times New Roman" w:hAnsi="Times New Roman"/>
                <w:b/>
                <w:bCs/>
                <w:lang w:val="ro-MD"/>
              </w:rPr>
              <w:t>I</w:t>
            </w:r>
            <w:r w:rsidRPr="0006227E">
              <w:rPr>
                <w:rFonts w:ascii="Times New Roman" w:hAnsi="Times New Roman"/>
                <w:b/>
                <w:bCs/>
                <w:vertAlign w:val="subscript"/>
                <w:lang w:val="ro-MD"/>
              </w:rPr>
              <w:t>24</w:t>
            </w:r>
            <w:r w:rsidRPr="0006227E">
              <w:rPr>
                <w:rFonts w:ascii="Times New Roman" w:hAnsi="Times New Roman"/>
                <w:lang w:val="ro-MD"/>
              </w:rPr>
              <w:t xml:space="preserve"> – numărul de propuneri de proiecte de cercetare depuse pentru programul de finanțare Orizont Europa în calitate de instituție coordonatoare).</w:t>
            </w:r>
          </w:p>
          <w:p w14:paraId="31C0D42D"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3)</w:t>
            </w:r>
            <w:r w:rsidRPr="0006227E">
              <w:rPr>
                <w:rFonts w:ascii="Times New Roman" w:hAnsi="Times New Roman"/>
                <w:lang w:val="ro-MD"/>
              </w:rPr>
              <w:t xml:space="preserve"> dimensiunea de internaționalizare (indicatorii </w:t>
            </w:r>
            <w:r w:rsidRPr="0006227E">
              <w:rPr>
                <w:rFonts w:ascii="Times New Roman" w:hAnsi="Times New Roman"/>
                <w:b/>
                <w:bCs/>
                <w:lang w:val="ro-MD"/>
              </w:rPr>
              <w:t>I</w:t>
            </w:r>
            <w:r w:rsidRPr="0006227E">
              <w:rPr>
                <w:rFonts w:ascii="Times New Roman" w:hAnsi="Times New Roman"/>
                <w:b/>
                <w:bCs/>
                <w:vertAlign w:val="subscript"/>
                <w:lang w:val="ro-MD"/>
              </w:rPr>
              <w:t>31</w:t>
            </w:r>
            <w:r w:rsidRPr="0006227E">
              <w:rPr>
                <w:rFonts w:ascii="Times New Roman" w:hAnsi="Times New Roman"/>
                <w:lang w:val="ro-MD"/>
              </w:rPr>
              <w:t xml:space="preserve"> – mobilități outgoing, </w:t>
            </w:r>
            <w:r w:rsidRPr="0006227E">
              <w:rPr>
                <w:rFonts w:ascii="Times New Roman" w:hAnsi="Times New Roman"/>
                <w:b/>
                <w:bCs/>
                <w:lang w:val="ro-MD"/>
              </w:rPr>
              <w:t>I</w:t>
            </w:r>
            <w:r w:rsidRPr="0006227E">
              <w:rPr>
                <w:rFonts w:ascii="Times New Roman" w:hAnsi="Times New Roman"/>
                <w:b/>
                <w:bCs/>
                <w:position w:val="2"/>
                <w:vertAlign w:val="subscript"/>
                <w:lang w:val="ro-MD"/>
              </w:rPr>
              <w:t>32</w:t>
            </w:r>
            <w:r w:rsidRPr="0006227E">
              <w:rPr>
                <w:rFonts w:ascii="Times New Roman" w:hAnsi="Times New Roman"/>
                <w:lang w:val="ro-MD"/>
              </w:rPr>
              <w:t xml:space="preserve"> – mobilități incoming, </w:t>
            </w:r>
            <w:r w:rsidRPr="0006227E">
              <w:rPr>
                <w:rFonts w:ascii="Times New Roman" w:hAnsi="Times New Roman"/>
                <w:b/>
                <w:bCs/>
                <w:lang w:val="ro-MD"/>
              </w:rPr>
              <w:t>I</w:t>
            </w:r>
            <w:r w:rsidRPr="0006227E">
              <w:rPr>
                <w:rFonts w:ascii="Times New Roman" w:hAnsi="Times New Roman"/>
                <w:b/>
                <w:bCs/>
                <w:vertAlign w:val="subscript"/>
                <w:lang w:val="ro-MD"/>
              </w:rPr>
              <w:t>33</w:t>
            </w:r>
            <w:r w:rsidRPr="0006227E">
              <w:rPr>
                <w:rFonts w:ascii="Times New Roman" w:hAnsi="Times New Roman"/>
                <w:lang w:val="ro-MD"/>
              </w:rPr>
              <w:t xml:space="preserve"> – fonduri atrase din proiecte internaționale, cu excepția celor de cercetare și </w:t>
            </w:r>
            <w:r w:rsidRPr="0006227E">
              <w:rPr>
                <w:rFonts w:ascii="Times New Roman" w:hAnsi="Times New Roman"/>
                <w:b/>
                <w:bCs/>
                <w:lang w:val="ro-MD"/>
              </w:rPr>
              <w:t>I</w:t>
            </w:r>
            <w:r w:rsidRPr="0006227E">
              <w:rPr>
                <w:rFonts w:ascii="Times New Roman" w:hAnsi="Times New Roman"/>
                <w:b/>
                <w:bCs/>
                <w:vertAlign w:val="subscript"/>
                <w:lang w:val="ro-MD"/>
              </w:rPr>
              <w:t>34</w:t>
            </w:r>
            <w:r w:rsidRPr="0006227E">
              <w:rPr>
                <w:rFonts w:ascii="Times New Roman" w:hAnsi="Times New Roman"/>
                <w:lang w:val="ro-MD"/>
              </w:rPr>
              <w:t xml:space="preserve"> – ponderea studenților străini înscriși în programe de studii); </w:t>
            </w:r>
          </w:p>
          <w:p w14:paraId="0E899D07" w14:textId="6D1446F4" w:rsidR="00FE69FE" w:rsidRPr="0006227E" w:rsidRDefault="00490CA9" w:rsidP="00490CA9">
            <w:pPr>
              <w:spacing w:line="240" w:lineRule="auto"/>
              <w:ind w:firstLine="709"/>
              <w:jc w:val="both"/>
              <w:rPr>
                <w:rFonts w:ascii="Times New Roman" w:hAnsi="Times New Roman"/>
                <w:lang w:val="ro-MD"/>
              </w:rPr>
            </w:pPr>
            <w:r w:rsidRPr="0006227E">
              <w:rPr>
                <w:rFonts w:ascii="Times New Roman" w:hAnsi="Times New Roman"/>
                <w:iCs/>
                <w:lang w:val="ro-MD"/>
              </w:rPr>
              <w:lastRenderedPageBreak/>
              <w:t>4)</w:t>
            </w:r>
            <w:r w:rsidRPr="0006227E">
              <w:rPr>
                <w:rFonts w:ascii="Times New Roman" w:hAnsi="Times New Roman"/>
                <w:lang w:val="ro-MD"/>
              </w:rPr>
              <w:t xml:space="preserve"> orientarea socială (indicatorii </w:t>
            </w:r>
            <w:r w:rsidRPr="0006227E">
              <w:rPr>
                <w:rFonts w:ascii="Times New Roman" w:hAnsi="Times New Roman"/>
                <w:b/>
              </w:rPr>
              <w:t>I</w:t>
            </w:r>
            <w:r w:rsidRPr="0006227E">
              <w:rPr>
                <w:rFonts w:ascii="Times New Roman" w:hAnsi="Times New Roman"/>
                <w:b/>
                <w:vertAlign w:val="subscript"/>
              </w:rPr>
              <w:t xml:space="preserve">41 </w:t>
            </w:r>
            <w:r w:rsidRPr="0006227E">
              <w:rPr>
                <w:rFonts w:ascii="Times New Roman" w:hAnsi="Times New Roman"/>
                <w:b/>
              </w:rPr>
              <w:t xml:space="preserve">– </w:t>
            </w:r>
            <w:r w:rsidRPr="0006227E">
              <w:rPr>
                <w:rFonts w:ascii="Times New Roman" w:hAnsi="Times New Roman"/>
              </w:rPr>
              <w:t>locuri în cămine studențești și fonduri ale instituției, altele decât cele din bugetul de stat, utilizate pentru investiții în cămine,</w:t>
            </w:r>
            <w:r w:rsidRPr="0006227E">
              <w:rPr>
                <w:rFonts w:ascii="Times New Roman" w:hAnsi="Times New Roman"/>
                <w:b/>
                <w:bCs/>
                <w:lang w:val="ro-MD"/>
              </w:rPr>
              <w:t xml:space="preserve"> </w:t>
            </w:r>
            <w:r w:rsidRPr="0006227E">
              <w:rPr>
                <w:rFonts w:ascii="Times New Roman" w:hAnsi="Times New Roman"/>
                <w:b/>
              </w:rPr>
              <w:t>I</w:t>
            </w:r>
            <w:r w:rsidRPr="0006227E">
              <w:rPr>
                <w:rFonts w:ascii="Times New Roman" w:hAnsi="Times New Roman"/>
                <w:b/>
                <w:vertAlign w:val="subscript"/>
              </w:rPr>
              <w:t xml:space="preserve">42 </w:t>
            </w:r>
            <w:r w:rsidRPr="0006227E">
              <w:rPr>
                <w:rFonts w:ascii="Times New Roman" w:hAnsi="Times New Roman"/>
                <w:b/>
              </w:rPr>
              <w:t xml:space="preserve">– </w:t>
            </w:r>
            <w:r w:rsidRPr="0006227E">
              <w:rPr>
                <w:rFonts w:ascii="Times New Roman" w:hAnsi="Times New Roman"/>
              </w:rPr>
              <w:t xml:space="preserve">fonduri ale instituției, altele decât cele din bugetul de stat, utilizate pentru burse și alte forme de sprijin pentru studenți, </w:t>
            </w:r>
            <w:r w:rsidRPr="0006227E">
              <w:rPr>
                <w:rFonts w:ascii="Times New Roman" w:hAnsi="Times New Roman"/>
                <w:b/>
                <w:bCs/>
                <w:lang w:val="ro-MD"/>
              </w:rPr>
              <w:t>I</w:t>
            </w:r>
            <w:r w:rsidRPr="0006227E">
              <w:rPr>
                <w:rFonts w:ascii="Times New Roman" w:hAnsi="Times New Roman"/>
                <w:b/>
                <w:bCs/>
                <w:vertAlign w:val="subscript"/>
                <w:lang w:val="ro-MD"/>
              </w:rPr>
              <w:t>43</w:t>
            </w:r>
            <w:r w:rsidRPr="0006227E">
              <w:rPr>
                <w:rFonts w:ascii="Times New Roman" w:hAnsi="Times New Roman"/>
                <w:lang w:val="ro-MD"/>
              </w:rPr>
              <w:t xml:space="preserve"> – fonduri utilizate de instituție pentru stimularea cadrelor didactice pentru performanță și </w:t>
            </w:r>
            <w:r w:rsidRPr="0006227E">
              <w:rPr>
                <w:rFonts w:ascii="Times New Roman" w:hAnsi="Times New Roman"/>
                <w:b/>
                <w:bCs/>
                <w:lang w:val="ro-MD"/>
              </w:rPr>
              <w:t>I</w:t>
            </w:r>
            <w:r w:rsidRPr="0006227E">
              <w:rPr>
                <w:rFonts w:ascii="Times New Roman" w:hAnsi="Times New Roman"/>
                <w:b/>
                <w:bCs/>
                <w:vertAlign w:val="subscript"/>
                <w:lang w:val="ro-MD"/>
              </w:rPr>
              <w:t>44</w:t>
            </w:r>
            <w:r w:rsidRPr="0006227E">
              <w:rPr>
                <w:rFonts w:ascii="Times New Roman" w:hAnsi="Times New Roman"/>
                <w:lang w:val="ro-MD"/>
              </w:rPr>
              <w:t xml:space="preserve"> – ponderea venitului colectat de instituție în bugetul total al instituției)”.</w:t>
            </w:r>
          </w:p>
        </w:tc>
        <w:tc>
          <w:tcPr>
            <w:tcW w:w="4928" w:type="dxa"/>
          </w:tcPr>
          <w:p w14:paraId="6DF0A6AE" w14:textId="197330E5" w:rsidR="00490CA9" w:rsidRPr="0006227E" w:rsidRDefault="00490CA9" w:rsidP="00811A26">
            <w:pPr>
              <w:spacing w:line="240" w:lineRule="auto"/>
              <w:jc w:val="both"/>
              <w:rPr>
                <w:rFonts w:ascii="Times New Roman" w:hAnsi="Times New Roman"/>
              </w:rPr>
            </w:pPr>
            <w:r w:rsidRPr="0006227E">
              <w:rPr>
                <w:rFonts w:ascii="Times New Roman" w:hAnsi="Times New Roman"/>
                <w:b/>
                <w:bCs/>
                <w:lang w:val="ro-MD"/>
              </w:rPr>
              <w:lastRenderedPageBreak/>
              <w:t>”</w:t>
            </w:r>
            <w:r w:rsidR="00811A26">
              <w:rPr>
                <w:rFonts w:ascii="Times New Roman" w:hAnsi="Times New Roman"/>
                <w:b/>
                <w:bCs/>
                <w:lang w:val="ro-MD"/>
              </w:rPr>
              <w:t>Pct.</w:t>
            </w:r>
            <w:r w:rsidRPr="0006227E">
              <w:rPr>
                <w:rFonts w:ascii="Times New Roman" w:hAnsi="Times New Roman"/>
                <w:b/>
                <w:bCs/>
                <w:lang w:val="ro-MD"/>
              </w:rPr>
              <w:t xml:space="preserve">10. </w:t>
            </w:r>
            <w:r w:rsidRPr="0006227E">
              <w:rPr>
                <w:rFonts w:ascii="Times New Roman" w:hAnsi="Times New Roman"/>
                <w:lang w:val="ro-MD"/>
              </w:rPr>
              <w:t>Alocațiile bugetare pentru finanțarea compensatorie se determină în baza indicatorilor de performanță conform următoarelor direcții distincte de activitate:</w:t>
            </w:r>
          </w:p>
          <w:p w14:paraId="443747CA"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1)</w:t>
            </w:r>
            <w:r w:rsidRPr="0006227E">
              <w:rPr>
                <w:rFonts w:ascii="Times New Roman" w:hAnsi="Times New Roman"/>
                <w:lang w:val="ro-MD"/>
              </w:rPr>
              <w:t xml:space="preserve"> procesul de predare - învățare (</w:t>
            </w:r>
            <w:r w:rsidRPr="0006227E">
              <w:rPr>
                <w:rFonts w:ascii="Times New Roman" w:hAnsi="Times New Roman"/>
              </w:rPr>
              <w:t xml:space="preserve">indicatorii </w:t>
            </w:r>
            <w:r w:rsidRPr="0006227E">
              <w:rPr>
                <w:rFonts w:ascii="Times New Roman" w:hAnsi="Times New Roman"/>
                <w:b/>
              </w:rPr>
              <w:t>I</w:t>
            </w:r>
            <w:r w:rsidRPr="0006227E">
              <w:rPr>
                <w:rFonts w:ascii="Times New Roman" w:hAnsi="Times New Roman"/>
                <w:b/>
                <w:vertAlign w:val="subscript"/>
              </w:rPr>
              <w:t xml:space="preserve">11 </w:t>
            </w:r>
            <w:r w:rsidRPr="0006227E">
              <w:rPr>
                <w:rFonts w:ascii="Times New Roman" w:hAnsi="Times New Roman"/>
                <w:b/>
              </w:rPr>
              <w:t xml:space="preserve">– </w:t>
            </w:r>
            <w:r w:rsidRPr="0006227E">
              <w:rPr>
                <w:rFonts w:ascii="Times New Roman" w:hAnsi="Times New Roman"/>
              </w:rPr>
              <w:t xml:space="preserve">raportul numărului de studenți de la ciclul de master și numărul de studenți de la ciclul de licență, </w:t>
            </w:r>
            <w:r w:rsidRPr="0006227E">
              <w:rPr>
                <w:rFonts w:ascii="Times New Roman" w:hAnsi="Times New Roman"/>
                <w:b/>
              </w:rPr>
              <w:t>I</w:t>
            </w:r>
            <w:r w:rsidRPr="0006227E">
              <w:rPr>
                <w:rFonts w:ascii="Times New Roman" w:hAnsi="Times New Roman"/>
                <w:b/>
                <w:vertAlign w:val="subscript"/>
              </w:rPr>
              <w:t>12</w:t>
            </w:r>
            <w:r w:rsidRPr="0006227E">
              <w:rPr>
                <w:rFonts w:ascii="Times New Roman" w:hAnsi="Times New Roman"/>
              </w:rPr>
              <w:t xml:space="preserve"> – raportul dintre numărul cadrelor didactice titulare care au dreptul de a conduce doctorat și numărul total de cadre didactice titulare,  </w:t>
            </w:r>
            <w:r w:rsidRPr="0006227E">
              <w:rPr>
                <w:rFonts w:ascii="Times New Roman" w:hAnsi="Times New Roman"/>
                <w:lang w:val="ro-MD"/>
              </w:rPr>
              <w:t xml:space="preserve"> </w:t>
            </w:r>
            <w:r w:rsidRPr="0006227E">
              <w:rPr>
                <w:rFonts w:ascii="Times New Roman" w:hAnsi="Times New Roman"/>
                <w:b/>
                <w:bCs/>
                <w:lang w:val="ro-MD"/>
              </w:rPr>
              <w:t>I</w:t>
            </w:r>
            <w:r w:rsidRPr="0006227E">
              <w:rPr>
                <w:rFonts w:ascii="Times New Roman" w:hAnsi="Times New Roman"/>
                <w:b/>
                <w:bCs/>
                <w:vertAlign w:val="subscript"/>
                <w:lang w:val="ro-MD"/>
              </w:rPr>
              <w:t>13</w:t>
            </w:r>
            <w:r w:rsidRPr="0006227E">
              <w:rPr>
                <w:rFonts w:ascii="Times New Roman" w:hAnsi="Times New Roman"/>
                <w:lang w:val="ro-MD"/>
              </w:rPr>
              <w:t xml:space="preserve"> –</w:t>
            </w:r>
            <w:r w:rsidRPr="0006227E">
              <w:rPr>
                <w:rFonts w:ascii="Times New Roman" w:hAnsi="Times New Roman"/>
              </w:rPr>
              <w:t xml:space="preserve"> raportul dintre numărul cadrelor didactice titulare </w:t>
            </w:r>
            <w:r w:rsidRPr="0006227E">
              <w:rPr>
                <w:rFonts w:ascii="Times New Roman" w:hAnsi="Times New Roman"/>
                <w:lang w:val="ro-MD"/>
              </w:rPr>
              <w:t xml:space="preserve">cu vârsta de până la 40 ani, inclusiv, </w:t>
            </w:r>
            <w:r w:rsidRPr="0006227E">
              <w:rPr>
                <w:rFonts w:ascii="Times New Roman" w:hAnsi="Times New Roman"/>
              </w:rPr>
              <w:t>și numărul total de cadre didactice titulare</w:t>
            </w:r>
            <w:r w:rsidRPr="0006227E">
              <w:rPr>
                <w:rFonts w:ascii="Times New Roman" w:hAnsi="Times New Roman"/>
                <w:lang w:val="ro-MD"/>
              </w:rPr>
              <w:t xml:space="preserve"> și </w:t>
            </w:r>
            <w:r w:rsidRPr="0006227E">
              <w:rPr>
                <w:rFonts w:ascii="Times New Roman" w:hAnsi="Times New Roman"/>
                <w:b/>
                <w:bCs/>
                <w:lang w:val="ro-MD"/>
              </w:rPr>
              <w:t>I</w:t>
            </w:r>
            <w:r w:rsidRPr="0006227E">
              <w:rPr>
                <w:rFonts w:ascii="Times New Roman" w:hAnsi="Times New Roman"/>
                <w:b/>
                <w:bCs/>
                <w:vertAlign w:val="subscript"/>
                <w:lang w:val="ro-MD"/>
              </w:rPr>
              <w:t>14</w:t>
            </w:r>
            <w:r w:rsidRPr="0006227E">
              <w:rPr>
                <w:rFonts w:ascii="Times New Roman" w:hAnsi="Times New Roman"/>
                <w:b/>
                <w:bCs/>
                <w:lang w:val="ro-MD"/>
              </w:rPr>
              <w:t xml:space="preserve"> </w:t>
            </w:r>
            <w:r w:rsidRPr="0006227E">
              <w:rPr>
                <w:rFonts w:ascii="Times New Roman" w:hAnsi="Times New Roman"/>
                <w:lang w:val="ro-MD"/>
              </w:rPr>
              <w:t>– gradul de angajare a absolvenților);</w:t>
            </w:r>
          </w:p>
          <w:p w14:paraId="17C9DD7D"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2)</w:t>
            </w:r>
            <w:r w:rsidRPr="0006227E">
              <w:rPr>
                <w:rFonts w:ascii="Times New Roman" w:hAnsi="Times New Roman"/>
                <w:lang w:val="ro-MD"/>
              </w:rPr>
              <w:t xml:space="preserve"> cercetarea științifică universitară/performanța artistică/performanța sportivă (indicatorii </w:t>
            </w:r>
            <w:r w:rsidRPr="0006227E">
              <w:rPr>
                <w:rFonts w:ascii="Times New Roman" w:hAnsi="Times New Roman"/>
                <w:b/>
              </w:rPr>
              <w:t>I</w:t>
            </w:r>
            <w:r w:rsidRPr="0006227E">
              <w:rPr>
                <w:rFonts w:ascii="Times New Roman" w:hAnsi="Times New Roman"/>
                <w:b/>
                <w:vertAlign w:val="subscript"/>
              </w:rPr>
              <w:t>21</w:t>
            </w:r>
            <w:r w:rsidRPr="0006227E">
              <w:rPr>
                <w:rFonts w:ascii="Times New Roman" w:hAnsi="Times New Roman"/>
                <w:b/>
              </w:rPr>
              <w:t xml:space="preserve"> – </w:t>
            </w:r>
            <w:r w:rsidRPr="0006227E">
              <w:rPr>
                <w:rFonts w:ascii="Times New Roman" w:hAnsi="Times New Roman"/>
              </w:rPr>
              <w:t xml:space="preserve">calitatea resursei umane, </w:t>
            </w:r>
            <w:r w:rsidRPr="0006227E">
              <w:rPr>
                <w:rFonts w:ascii="Times New Roman" w:hAnsi="Times New Roman"/>
                <w:b/>
                <w:bCs/>
                <w:lang w:val="ro-MD"/>
              </w:rPr>
              <w:t>I</w:t>
            </w:r>
            <w:r w:rsidRPr="0006227E">
              <w:rPr>
                <w:rFonts w:ascii="Times New Roman" w:hAnsi="Times New Roman"/>
                <w:b/>
                <w:bCs/>
                <w:vertAlign w:val="subscript"/>
                <w:lang w:val="ro-MD"/>
              </w:rPr>
              <w:t>22</w:t>
            </w:r>
            <w:r w:rsidRPr="0006227E">
              <w:rPr>
                <w:rFonts w:ascii="Times New Roman" w:hAnsi="Times New Roman"/>
                <w:lang w:val="ro-MD"/>
              </w:rPr>
              <w:t xml:space="preserve"> – performanța activității științifice/performanței artistice/performanței sportive, </w:t>
            </w:r>
            <w:r w:rsidRPr="0006227E">
              <w:rPr>
                <w:rFonts w:ascii="Times New Roman" w:hAnsi="Times New Roman"/>
                <w:b/>
                <w:bCs/>
                <w:lang w:val="ro-MD"/>
              </w:rPr>
              <w:t>I</w:t>
            </w:r>
            <w:r w:rsidRPr="0006227E">
              <w:rPr>
                <w:rFonts w:ascii="Times New Roman" w:hAnsi="Times New Roman"/>
                <w:b/>
                <w:bCs/>
                <w:vertAlign w:val="subscript"/>
                <w:lang w:val="ro-MD"/>
              </w:rPr>
              <w:t>23</w:t>
            </w:r>
            <w:r w:rsidRPr="0006227E">
              <w:rPr>
                <w:rFonts w:ascii="Times New Roman" w:hAnsi="Times New Roman"/>
                <w:lang w:val="ro-MD"/>
              </w:rPr>
              <w:t xml:space="preserve"> – fonduri pentru cercetare științifică/performanța artistică/performanța sportivă atrase din proiecte naționale și internaționale și </w:t>
            </w:r>
            <w:r w:rsidRPr="0006227E">
              <w:rPr>
                <w:rFonts w:ascii="Times New Roman" w:hAnsi="Times New Roman"/>
                <w:b/>
                <w:bCs/>
                <w:lang w:val="ro-MD"/>
              </w:rPr>
              <w:t>I</w:t>
            </w:r>
            <w:r w:rsidRPr="0006227E">
              <w:rPr>
                <w:rFonts w:ascii="Times New Roman" w:hAnsi="Times New Roman"/>
                <w:b/>
                <w:bCs/>
                <w:vertAlign w:val="subscript"/>
                <w:lang w:val="ro-MD"/>
              </w:rPr>
              <w:t>24</w:t>
            </w:r>
            <w:r w:rsidRPr="0006227E">
              <w:rPr>
                <w:rFonts w:ascii="Times New Roman" w:hAnsi="Times New Roman"/>
                <w:lang w:val="ro-MD"/>
              </w:rPr>
              <w:t xml:space="preserve"> – numărul de propuneri de proiecte de cercetare depuse pentru programul de finanțare Orizont Europa în calitate de instituție coordonatoare).</w:t>
            </w:r>
          </w:p>
          <w:p w14:paraId="3642B45D" w14:textId="77777777"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iCs/>
                <w:lang w:val="ro-MD"/>
              </w:rPr>
              <w:t>3)</w:t>
            </w:r>
            <w:r w:rsidRPr="0006227E">
              <w:rPr>
                <w:rFonts w:ascii="Times New Roman" w:hAnsi="Times New Roman"/>
                <w:lang w:val="ro-MD"/>
              </w:rPr>
              <w:t xml:space="preserve"> dimensiunea de internaționalizare (indicatorii </w:t>
            </w:r>
            <w:r w:rsidRPr="0006227E">
              <w:rPr>
                <w:rFonts w:ascii="Times New Roman" w:hAnsi="Times New Roman"/>
                <w:b/>
                <w:bCs/>
                <w:lang w:val="ro-MD"/>
              </w:rPr>
              <w:t>I</w:t>
            </w:r>
            <w:r w:rsidRPr="0006227E">
              <w:rPr>
                <w:rFonts w:ascii="Times New Roman" w:hAnsi="Times New Roman"/>
                <w:b/>
                <w:bCs/>
                <w:vertAlign w:val="subscript"/>
                <w:lang w:val="ro-MD"/>
              </w:rPr>
              <w:t>31</w:t>
            </w:r>
            <w:r w:rsidRPr="0006227E">
              <w:rPr>
                <w:rFonts w:ascii="Times New Roman" w:hAnsi="Times New Roman"/>
                <w:lang w:val="ro-MD"/>
              </w:rPr>
              <w:t xml:space="preserve"> – mobilități outgoing, </w:t>
            </w:r>
            <w:r w:rsidRPr="0006227E">
              <w:rPr>
                <w:rFonts w:ascii="Times New Roman" w:hAnsi="Times New Roman"/>
                <w:b/>
                <w:bCs/>
                <w:lang w:val="ro-MD"/>
              </w:rPr>
              <w:t>I</w:t>
            </w:r>
            <w:r w:rsidRPr="0006227E">
              <w:rPr>
                <w:rFonts w:ascii="Times New Roman" w:hAnsi="Times New Roman"/>
                <w:b/>
                <w:bCs/>
                <w:position w:val="2"/>
                <w:vertAlign w:val="subscript"/>
                <w:lang w:val="ro-MD"/>
              </w:rPr>
              <w:t>32</w:t>
            </w:r>
            <w:r w:rsidRPr="0006227E">
              <w:rPr>
                <w:rFonts w:ascii="Times New Roman" w:hAnsi="Times New Roman"/>
                <w:lang w:val="ro-MD"/>
              </w:rPr>
              <w:t xml:space="preserve"> – mobilități incoming, </w:t>
            </w:r>
            <w:r w:rsidRPr="0006227E">
              <w:rPr>
                <w:rFonts w:ascii="Times New Roman" w:hAnsi="Times New Roman"/>
                <w:b/>
                <w:bCs/>
                <w:lang w:val="ro-MD"/>
              </w:rPr>
              <w:t>I</w:t>
            </w:r>
            <w:r w:rsidRPr="0006227E">
              <w:rPr>
                <w:rFonts w:ascii="Times New Roman" w:hAnsi="Times New Roman"/>
                <w:b/>
                <w:bCs/>
                <w:vertAlign w:val="subscript"/>
                <w:lang w:val="ro-MD"/>
              </w:rPr>
              <w:t>33</w:t>
            </w:r>
            <w:r w:rsidRPr="0006227E">
              <w:rPr>
                <w:rFonts w:ascii="Times New Roman" w:hAnsi="Times New Roman"/>
                <w:lang w:val="ro-MD"/>
              </w:rPr>
              <w:t xml:space="preserve"> – fonduri atrase din proiecte internaționale, cu excepția celor de cercetare și </w:t>
            </w:r>
            <w:r w:rsidRPr="0006227E">
              <w:rPr>
                <w:rFonts w:ascii="Times New Roman" w:hAnsi="Times New Roman"/>
                <w:b/>
                <w:bCs/>
                <w:lang w:val="ro-MD"/>
              </w:rPr>
              <w:t>I</w:t>
            </w:r>
            <w:r w:rsidRPr="0006227E">
              <w:rPr>
                <w:rFonts w:ascii="Times New Roman" w:hAnsi="Times New Roman"/>
                <w:b/>
                <w:bCs/>
                <w:vertAlign w:val="subscript"/>
                <w:lang w:val="ro-MD"/>
              </w:rPr>
              <w:t>34</w:t>
            </w:r>
            <w:r w:rsidRPr="0006227E">
              <w:rPr>
                <w:rFonts w:ascii="Times New Roman" w:hAnsi="Times New Roman"/>
                <w:lang w:val="ro-MD"/>
              </w:rPr>
              <w:t xml:space="preserve"> – ponderea studenților străini înscriși în programe de studii); </w:t>
            </w:r>
          </w:p>
          <w:p w14:paraId="380E3737" w14:textId="35E3C31E" w:rsidR="00490CA9" w:rsidRPr="0006227E" w:rsidRDefault="00490CA9" w:rsidP="00490CA9">
            <w:pPr>
              <w:spacing w:line="240" w:lineRule="auto"/>
              <w:ind w:firstLine="709"/>
              <w:jc w:val="both"/>
              <w:rPr>
                <w:rFonts w:ascii="Times New Roman" w:hAnsi="Times New Roman"/>
                <w:lang w:val="ro-MD"/>
              </w:rPr>
            </w:pPr>
            <w:r w:rsidRPr="0006227E">
              <w:rPr>
                <w:rFonts w:ascii="Times New Roman" w:hAnsi="Times New Roman"/>
                <w:iCs/>
                <w:lang w:val="ro-MD"/>
              </w:rPr>
              <w:t>4)</w:t>
            </w:r>
            <w:r w:rsidRPr="0006227E">
              <w:rPr>
                <w:rFonts w:ascii="Times New Roman" w:hAnsi="Times New Roman"/>
                <w:lang w:val="ro-MD"/>
              </w:rPr>
              <w:t xml:space="preserve"> orientarea socială (indicatorii </w:t>
            </w:r>
            <w:r w:rsidRPr="0006227E">
              <w:rPr>
                <w:rFonts w:ascii="Times New Roman" w:hAnsi="Times New Roman"/>
                <w:b/>
              </w:rPr>
              <w:t>I</w:t>
            </w:r>
            <w:r w:rsidRPr="0006227E">
              <w:rPr>
                <w:rFonts w:ascii="Times New Roman" w:hAnsi="Times New Roman"/>
                <w:b/>
                <w:vertAlign w:val="subscript"/>
              </w:rPr>
              <w:t xml:space="preserve">41 </w:t>
            </w:r>
            <w:r w:rsidRPr="0006227E">
              <w:rPr>
                <w:rFonts w:ascii="Times New Roman" w:hAnsi="Times New Roman"/>
                <w:b/>
              </w:rPr>
              <w:t xml:space="preserve">– </w:t>
            </w:r>
            <w:r w:rsidRPr="0006227E">
              <w:rPr>
                <w:rFonts w:ascii="Times New Roman" w:hAnsi="Times New Roman"/>
              </w:rPr>
              <w:t>locuri în cămine studențești și fonduri ale instituției, altele decât cele din bugetul de stat, utilizate pentru investiții în cămine,</w:t>
            </w:r>
            <w:r w:rsidRPr="0006227E">
              <w:rPr>
                <w:rFonts w:ascii="Times New Roman" w:hAnsi="Times New Roman"/>
                <w:b/>
                <w:bCs/>
                <w:lang w:val="ro-MD"/>
              </w:rPr>
              <w:t xml:space="preserve"> </w:t>
            </w:r>
            <w:r w:rsidRPr="0006227E">
              <w:rPr>
                <w:rFonts w:ascii="Times New Roman" w:hAnsi="Times New Roman"/>
                <w:b/>
              </w:rPr>
              <w:t>I</w:t>
            </w:r>
            <w:r w:rsidRPr="0006227E">
              <w:rPr>
                <w:rFonts w:ascii="Times New Roman" w:hAnsi="Times New Roman"/>
                <w:b/>
                <w:vertAlign w:val="subscript"/>
              </w:rPr>
              <w:t xml:space="preserve">42 </w:t>
            </w:r>
            <w:r w:rsidRPr="0006227E">
              <w:rPr>
                <w:rFonts w:ascii="Times New Roman" w:hAnsi="Times New Roman"/>
                <w:b/>
              </w:rPr>
              <w:t xml:space="preserve">– </w:t>
            </w:r>
            <w:r w:rsidRPr="0006227E">
              <w:rPr>
                <w:rFonts w:ascii="Times New Roman" w:hAnsi="Times New Roman"/>
              </w:rPr>
              <w:t xml:space="preserve">fonduri ale instituției, altele decât cele din bugetul de stat, utilizate pentru burse și alte forme de sprijin pentru studenți, </w:t>
            </w:r>
            <w:r w:rsidRPr="0006227E">
              <w:rPr>
                <w:rFonts w:ascii="Times New Roman" w:hAnsi="Times New Roman"/>
                <w:b/>
                <w:bCs/>
                <w:lang w:val="ro-MD"/>
              </w:rPr>
              <w:t>I</w:t>
            </w:r>
            <w:r w:rsidRPr="0006227E">
              <w:rPr>
                <w:rFonts w:ascii="Times New Roman" w:hAnsi="Times New Roman"/>
                <w:b/>
                <w:bCs/>
                <w:vertAlign w:val="subscript"/>
                <w:lang w:val="ro-MD"/>
              </w:rPr>
              <w:t>43</w:t>
            </w:r>
            <w:r w:rsidRPr="0006227E">
              <w:rPr>
                <w:rFonts w:ascii="Times New Roman" w:hAnsi="Times New Roman"/>
                <w:lang w:val="ro-MD"/>
              </w:rPr>
              <w:t xml:space="preserve"> – fonduri utilizate de instituție pentru stimularea cadrelor didactice pentru </w:t>
            </w:r>
            <w:r w:rsidRPr="0006227E">
              <w:rPr>
                <w:rFonts w:ascii="Times New Roman" w:hAnsi="Times New Roman"/>
                <w:lang w:val="ro-MD"/>
              </w:rPr>
              <w:lastRenderedPageBreak/>
              <w:t xml:space="preserve">performanță și </w:t>
            </w:r>
            <w:r w:rsidRPr="0006227E">
              <w:rPr>
                <w:rFonts w:ascii="Times New Roman" w:hAnsi="Times New Roman"/>
                <w:b/>
                <w:bCs/>
                <w:lang w:val="ro-MD"/>
              </w:rPr>
              <w:t>I</w:t>
            </w:r>
            <w:r w:rsidRPr="0006227E">
              <w:rPr>
                <w:rFonts w:ascii="Times New Roman" w:hAnsi="Times New Roman"/>
                <w:b/>
                <w:bCs/>
                <w:vertAlign w:val="subscript"/>
                <w:lang w:val="ro-MD"/>
              </w:rPr>
              <w:t>44</w:t>
            </w:r>
            <w:r w:rsidRPr="0006227E">
              <w:rPr>
                <w:rFonts w:ascii="Times New Roman" w:hAnsi="Times New Roman"/>
                <w:lang w:val="ro-MD"/>
              </w:rPr>
              <w:t xml:space="preserve"> – ponderea venitului colectat de instituție în bugetul total al instituției)”.</w:t>
            </w:r>
          </w:p>
          <w:p w14:paraId="5059CC3D" w14:textId="77777777" w:rsidR="00FE69FE" w:rsidRPr="0006227E" w:rsidRDefault="00FE69FE" w:rsidP="00FE69FE">
            <w:pPr>
              <w:spacing w:after="0" w:line="240" w:lineRule="auto"/>
              <w:jc w:val="both"/>
              <w:rPr>
                <w:rFonts w:ascii="Times New Roman" w:hAnsi="Times New Roman"/>
                <w:lang w:val="ro-MD"/>
              </w:rPr>
            </w:pPr>
          </w:p>
        </w:tc>
      </w:tr>
      <w:tr w:rsidR="00FE69FE" w:rsidRPr="0006227E" w14:paraId="17D93C14" w14:textId="77777777" w:rsidTr="0006227E">
        <w:trPr>
          <w:trHeight w:val="2258"/>
        </w:trPr>
        <w:tc>
          <w:tcPr>
            <w:tcW w:w="738" w:type="dxa"/>
          </w:tcPr>
          <w:p w14:paraId="39B93E6C" w14:textId="3B6B6901" w:rsidR="00FE69FE" w:rsidRPr="0006227E" w:rsidRDefault="00DC5707" w:rsidP="00FE69FE">
            <w:pPr>
              <w:spacing w:after="0" w:line="240" w:lineRule="auto"/>
              <w:jc w:val="both"/>
              <w:rPr>
                <w:rFonts w:ascii="Times New Roman" w:hAnsi="Times New Roman"/>
                <w:lang w:val="ro-MD"/>
              </w:rPr>
            </w:pPr>
            <w:r>
              <w:rPr>
                <w:rFonts w:ascii="Times New Roman" w:hAnsi="Times New Roman"/>
                <w:lang w:val="ro-MD"/>
              </w:rPr>
              <w:lastRenderedPageBreak/>
              <w:t xml:space="preserve">      6.</w:t>
            </w:r>
            <w:bookmarkStart w:id="0" w:name="_GoBack"/>
            <w:bookmarkEnd w:id="0"/>
          </w:p>
        </w:tc>
        <w:tc>
          <w:tcPr>
            <w:tcW w:w="4151" w:type="dxa"/>
          </w:tcPr>
          <w:p w14:paraId="129C7C45" w14:textId="6963F99A" w:rsidR="00FE69FE" w:rsidRPr="0006227E" w:rsidRDefault="00DC5707" w:rsidP="00FE69FE">
            <w:pPr>
              <w:spacing w:after="0" w:line="240" w:lineRule="auto"/>
              <w:jc w:val="both"/>
              <w:rPr>
                <w:rFonts w:ascii="Times New Roman" w:hAnsi="Times New Roman"/>
                <w:lang w:val="ro-MD"/>
              </w:rPr>
            </w:pPr>
            <w:r>
              <w:rPr>
                <w:rFonts w:ascii="Times New Roman" w:hAnsi="Times New Roman"/>
                <w:lang w:val="ro-MD"/>
              </w:rPr>
              <w:t>-</w:t>
            </w:r>
          </w:p>
        </w:tc>
        <w:tc>
          <w:tcPr>
            <w:tcW w:w="4500" w:type="dxa"/>
          </w:tcPr>
          <w:p w14:paraId="47D2DCF2" w14:textId="77777777" w:rsidR="00490CA9" w:rsidRPr="0006227E" w:rsidRDefault="00FE69FE" w:rsidP="00490CA9">
            <w:pPr>
              <w:spacing w:line="240" w:lineRule="auto"/>
              <w:ind w:firstLine="709"/>
              <w:jc w:val="both"/>
              <w:rPr>
                <w:rFonts w:ascii="Times New Roman" w:hAnsi="Times New Roman"/>
                <w:lang w:val="ro-MD"/>
              </w:rPr>
            </w:pPr>
            <w:r w:rsidRPr="0006227E">
              <w:rPr>
                <w:rFonts w:ascii="Times New Roman" w:hAnsi="Times New Roman"/>
                <w:lang w:val="ro-MD"/>
              </w:rPr>
              <w:t xml:space="preserve">Un nou punct cu următorul cuprins: </w:t>
            </w:r>
          </w:p>
          <w:p w14:paraId="18581E0A" w14:textId="0305E523" w:rsidR="006F1D02" w:rsidRPr="0006227E" w:rsidRDefault="00FE69FE" w:rsidP="0006227E">
            <w:pPr>
              <w:spacing w:line="240" w:lineRule="auto"/>
              <w:ind w:firstLine="709"/>
              <w:jc w:val="both"/>
              <w:rPr>
                <w:rFonts w:ascii="Times New Roman" w:hAnsi="Times New Roman"/>
                <w:lang w:val="ro-MD"/>
              </w:rPr>
            </w:pPr>
            <w:r w:rsidRPr="0006227E">
              <w:rPr>
                <w:rFonts w:ascii="Times New Roman" w:hAnsi="Times New Roman"/>
                <w:lang w:val="ro-MD"/>
              </w:rPr>
              <w:t xml:space="preserve">„ </w:t>
            </w:r>
            <w:r w:rsidR="00490CA9" w:rsidRPr="0006227E">
              <w:rPr>
                <w:rFonts w:ascii="Times New Roman" w:hAnsi="Times New Roman"/>
                <w:b/>
                <w:lang w:val="ro-MD"/>
              </w:rPr>
              <w:t>10</w:t>
            </w:r>
            <w:r w:rsidR="00490CA9" w:rsidRPr="0006227E">
              <w:rPr>
                <w:rFonts w:ascii="Times New Roman" w:hAnsi="Times New Roman"/>
                <w:b/>
                <w:vertAlign w:val="superscript"/>
                <w:lang w:val="ro-MD"/>
              </w:rPr>
              <w:t>1</w:t>
            </w:r>
            <w:r w:rsidR="00490CA9" w:rsidRPr="0006227E">
              <w:rPr>
                <w:rFonts w:ascii="Times New Roman" w:hAnsi="Times New Roman"/>
                <w:lang w:val="ro-MD"/>
              </w:rPr>
              <w:t xml:space="preserve">. Alocațiile bugetare pentru indicatorii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21</w:t>
            </w:r>
            <w:r w:rsidR="00490CA9" w:rsidRPr="0006227E">
              <w:rPr>
                <w:rFonts w:ascii="Times New Roman" w:hAnsi="Times New Roman"/>
                <w:lang w:val="ro-MD"/>
              </w:rPr>
              <w:t xml:space="preserve">,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22</w:t>
            </w:r>
            <w:r w:rsidR="00490CA9" w:rsidRPr="0006227E">
              <w:rPr>
                <w:rFonts w:ascii="Times New Roman" w:hAnsi="Times New Roman"/>
                <w:lang w:val="ro-MD"/>
              </w:rPr>
              <w:t xml:space="preserve">,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 xml:space="preserve">23 </w:t>
            </w:r>
            <w:r w:rsidR="00490CA9" w:rsidRPr="0006227E">
              <w:rPr>
                <w:rFonts w:ascii="Times New Roman" w:hAnsi="Times New Roman"/>
                <w:lang w:val="ro-MD"/>
              </w:rPr>
              <w:t xml:space="preserve">și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 xml:space="preserve">24 </w:t>
            </w:r>
            <w:r w:rsidR="00490CA9" w:rsidRPr="0006227E">
              <w:rPr>
                <w:rFonts w:ascii="Times New Roman" w:hAnsi="Times New Roman"/>
                <w:lang w:val="ro-MD"/>
              </w:rPr>
              <w:t xml:space="preserve">reprezintă </w:t>
            </w:r>
            <w:r w:rsidR="00BE2929">
              <w:rPr>
                <w:rFonts w:ascii="Times New Roman" w:hAnsi="Times New Roman"/>
                <w:lang w:val="ro-MD"/>
              </w:rPr>
              <w:t>mijloace financiare</w:t>
            </w:r>
            <w:r w:rsidR="00490CA9" w:rsidRPr="0006227E">
              <w:rPr>
                <w:rFonts w:ascii="Times New Roman" w:hAnsi="Times New Roman"/>
                <w:lang w:val="ro-MD"/>
              </w:rPr>
              <w:t xml:space="preserve"> cu destinație specială fiind utilizate de instituțiile de învățământ superior pentru stimularea cadrelor didactice pentru performanța obținută.”.</w:t>
            </w:r>
          </w:p>
        </w:tc>
        <w:tc>
          <w:tcPr>
            <w:tcW w:w="4928" w:type="dxa"/>
          </w:tcPr>
          <w:p w14:paraId="0785173D" w14:textId="737347F1" w:rsidR="00FE69FE" w:rsidRPr="0006227E" w:rsidRDefault="00FE69FE" w:rsidP="00DC5707">
            <w:pPr>
              <w:spacing w:line="240" w:lineRule="auto"/>
              <w:jc w:val="both"/>
              <w:rPr>
                <w:rFonts w:ascii="Times New Roman" w:hAnsi="Times New Roman"/>
                <w:lang w:val="ro-MD"/>
              </w:rPr>
            </w:pPr>
            <w:r w:rsidRPr="0006227E">
              <w:rPr>
                <w:rFonts w:ascii="Times New Roman" w:hAnsi="Times New Roman"/>
                <w:lang w:val="ro-MD"/>
              </w:rPr>
              <w:t xml:space="preserve"> </w:t>
            </w:r>
            <w:r w:rsidR="00490CA9" w:rsidRPr="0006227E">
              <w:rPr>
                <w:rFonts w:ascii="Times New Roman" w:hAnsi="Times New Roman"/>
                <w:lang w:val="ro-MD"/>
              </w:rPr>
              <w:t xml:space="preserve">„ </w:t>
            </w:r>
            <w:r w:rsidR="00811A26" w:rsidRPr="00811A26">
              <w:rPr>
                <w:rFonts w:ascii="Times New Roman" w:hAnsi="Times New Roman"/>
                <w:b/>
                <w:lang w:val="ro-MD"/>
              </w:rPr>
              <w:t xml:space="preserve">Pct. </w:t>
            </w:r>
            <w:r w:rsidR="00490CA9" w:rsidRPr="00811A26">
              <w:rPr>
                <w:rFonts w:ascii="Times New Roman" w:hAnsi="Times New Roman"/>
                <w:b/>
                <w:lang w:val="ro-MD"/>
              </w:rPr>
              <w:t>10</w:t>
            </w:r>
            <w:r w:rsidR="00490CA9" w:rsidRPr="00811A26">
              <w:rPr>
                <w:rFonts w:ascii="Times New Roman" w:hAnsi="Times New Roman"/>
                <w:b/>
                <w:vertAlign w:val="superscript"/>
                <w:lang w:val="ro-MD"/>
              </w:rPr>
              <w:t>1</w:t>
            </w:r>
            <w:r w:rsidR="00490CA9" w:rsidRPr="00811A26">
              <w:rPr>
                <w:rFonts w:ascii="Times New Roman" w:hAnsi="Times New Roman"/>
                <w:b/>
                <w:lang w:val="ro-MD"/>
              </w:rPr>
              <w:t>.</w:t>
            </w:r>
            <w:r w:rsidR="00490CA9" w:rsidRPr="0006227E">
              <w:rPr>
                <w:rFonts w:ascii="Times New Roman" w:hAnsi="Times New Roman"/>
                <w:lang w:val="ro-MD"/>
              </w:rPr>
              <w:t xml:space="preserve"> Alocațiile bugetare pentru indicatorii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21</w:t>
            </w:r>
            <w:r w:rsidR="00490CA9" w:rsidRPr="0006227E">
              <w:rPr>
                <w:rFonts w:ascii="Times New Roman" w:hAnsi="Times New Roman"/>
                <w:lang w:val="ro-MD"/>
              </w:rPr>
              <w:t xml:space="preserve">,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22</w:t>
            </w:r>
            <w:r w:rsidR="00490CA9" w:rsidRPr="0006227E">
              <w:rPr>
                <w:rFonts w:ascii="Times New Roman" w:hAnsi="Times New Roman"/>
                <w:lang w:val="ro-MD"/>
              </w:rPr>
              <w:t xml:space="preserve">,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 xml:space="preserve">23 </w:t>
            </w:r>
            <w:r w:rsidR="00490CA9" w:rsidRPr="0006227E">
              <w:rPr>
                <w:rFonts w:ascii="Times New Roman" w:hAnsi="Times New Roman"/>
                <w:lang w:val="ro-MD"/>
              </w:rPr>
              <w:t xml:space="preserve">și </w:t>
            </w:r>
            <w:r w:rsidR="00490CA9" w:rsidRPr="0006227E">
              <w:rPr>
                <w:rFonts w:ascii="Times New Roman" w:hAnsi="Times New Roman"/>
                <w:b/>
                <w:bCs/>
                <w:lang w:val="ro-MD"/>
              </w:rPr>
              <w:t>I</w:t>
            </w:r>
            <w:r w:rsidR="00490CA9" w:rsidRPr="0006227E">
              <w:rPr>
                <w:rFonts w:ascii="Times New Roman" w:hAnsi="Times New Roman"/>
                <w:b/>
                <w:bCs/>
                <w:vertAlign w:val="subscript"/>
                <w:lang w:val="ro-MD"/>
              </w:rPr>
              <w:t xml:space="preserve">24 </w:t>
            </w:r>
            <w:r w:rsidR="00490CA9" w:rsidRPr="0006227E">
              <w:rPr>
                <w:rFonts w:ascii="Times New Roman" w:hAnsi="Times New Roman"/>
                <w:lang w:val="ro-MD"/>
              </w:rPr>
              <w:t>reprezintă fondul de finanțare cu destinație specială fiind utilizate de instituțiile de învățământ superior pentru stimularea cadrelor didactice pentru performanța obținută”.</w:t>
            </w:r>
          </w:p>
        </w:tc>
      </w:tr>
      <w:tr w:rsidR="00840B13" w:rsidRPr="0006227E" w14:paraId="3848CB07" w14:textId="77777777" w:rsidTr="0006227E">
        <w:trPr>
          <w:trHeight w:val="2258"/>
        </w:trPr>
        <w:tc>
          <w:tcPr>
            <w:tcW w:w="738" w:type="dxa"/>
          </w:tcPr>
          <w:p w14:paraId="0B24979B" w14:textId="01AE0CB8" w:rsidR="00840B13" w:rsidRPr="00557E07" w:rsidRDefault="00840B13" w:rsidP="00161FBA">
            <w:pPr>
              <w:pStyle w:val="a4"/>
              <w:numPr>
                <w:ilvl w:val="0"/>
                <w:numId w:val="2"/>
              </w:numPr>
              <w:spacing w:after="0" w:line="240" w:lineRule="auto"/>
              <w:jc w:val="both"/>
              <w:rPr>
                <w:rFonts w:ascii="Times New Roman" w:hAnsi="Times New Roman"/>
                <w:lang w:val="ro-MD"/>
              </w:rPr>
            </w:pPr>
          </w:p>
        </w:tc>
        <w:tc>
          <w:tcPr>
            <w:tcW w:w="4151" w:type="dxa"/>
          </w:tcPr>
          <w:p w14:paraId="15D8BB4D" w14:textId="0837BFC7" w:rsidR="00840B13" w:rsidRPr="00840B13" w:rsidRDefault="00840B13" w:rsidP="00F314A5">
            <w:pPr>
              <w:tabs>
                <w:tab w:val="left" w:pos="900"/>
                <w:tab w:val="left" w:pos="993"/>
                <w:tab w:val="left" w:pos="1260"/>
              </w:tabs>
              <w:spacing w:line="240" w:lineRule="auto"/>
              <w:jc w:val="both"/>
              <w:rPr>
                <w:rFonts w:ascii="Times New Roman" w:hAnsi="Times New Roman"/>
                <w:lang w:val="ro-MD"/>
              </w:rPr>
            </w:pPr>
            <w:r>
              <w:rPr>
                <w:rFonts w:ascii="Times New Roman" w:hAnsi="Times New Roman"/>
                <w:lang w:val="ro-MD"/>
              </w:rPr>
              <w:t xml:space="preserve">Pct. 11. </w:t>
            </w:r>
            <w:r w:rsidRPr="00840B13">
              <w:rPr>
                <w:rFonts w:ascii="Times New Roman" w:hAnsi="Times New Roman"/>
                <w:lang w:val="ro-MD"/>
              </w:rPr>
              <w:t xml:space="preserve">Tipurile și ponderile indicatorilor de performanță pentru finanțarea compensatorie, precum și modul de calcul al acestora, inclusiv procedura de determinare a alocațiilor bugetare indirecte, se aprobă anual prin ordin al  ministrului educației, culturii și cercetării, în baza deciziei unei comisii constituite din reprezentanți ai Ministerului Educației, Culturii și Cercetării, Ministerului Sănătății, Muncii și Protecției Sociale, Ministerului Agriculturii, Dezvoltării Regionale și Mediului, Ministerului </w:t>
            </w:r>
            <w:proofErr w:type="spellStart"/>
            <w:r w:rsidRPr="00840B13">
              <w:rPr>
                <w:rFonts w:ascii="Times New Roman" w:hAnsi="Times New Roman"/>
                <w:lang w:val="ro-MD"/>
              </w:rPr>
              <w:t>Finanţelor</w:t>
            </w:r>
            <w:proofErr w:type="spellEnd"/>
            <w:r w:rsidRPr="00840B13">
              <w:rPr>
                <w:rFonts w:ascii="Times New Roman" w:hAnsi="Times New Roman"/>
                <w:lang w:val="ro-MD"/>
              </w:rPr>
              <w:t xml:space="preserve">, Cancelariei de Stat și ai instituțiilor publice de învățământ superior cu autonomie financiară. </w:t>
            </w:r>
          </w:p>
        </w:tc>
        <w:tc>
          <w:tcPr>
            <w:tcW w:w="4500" w:type="dxa"/>
          </w:tcPr>
          <w:p w14:paraId="435F9E6C" w14:textId="63DF9E9E" w:rsidR="00F314A5" w:rsidRPr="00F314A5" w:rsidRDefault="00F314A5" w:rsidP="00F314A5">
            <w:pPr>
              <w:spacing w:line="240" w:lineRule="auto"/>
              <w:jc w:val="both"/>
              <w:rPr>
                <w:rFonts w:ascii="Times New Roman" w:hAnsi="Times New Roman"/>
                <w:color w:val="333333"/>
                <w:shd w:val="clear" w:color="auto" w:fill="FFFFFF"/>
                <w:lang w:val="ro-MD"/>
              </w:rPr>
            </w:pPr>
            <w:r>
              <w:rPr>
                <w:rFonts w:ascii="Times New Roman" w:hAnsi="Times New Roman"/>
                <w:lang w:val="ro-MD"/>
              </w:rPr>
              <w:t xml:space="preserve">La pct. 11 </w:t>
            </w:r>
            <w:r w:rsidRPr="00F314A5">
              <w:rPr>
                <w:rFonts w:ascii="Times New Roman" w:hAnsi="Times New Roman"/>
                <w:lang w:val="ro-MD"/>
              </w:rPr>
              <w:t>textul „</w:t>
            </w:r>
            <w:r w:rsidRPr="00F314A5">
              <w:rPr>
                <w:rFonts w:ascii="Times New Roman" w:hAnsi="Times New Roman"/>
              </w:rPr>
              <w:t>se aprobă anual prin ordin al  ministrului educației, culturii și cercetării, în baza deciziei unei comisii constituite din reprezentanți ai Ministerului Educației, Culturii și Cercetării, Ministerului Sănătății, Muncii și Protecției Sociale, Ministerului Agriculturii, Dezvoltării Regionale și Mediului, Ministerului Finanțelor, Cancelariei de Stat</w:t>
            </w:r>
            <w:r w:rsidRPr="00F314A5">
              <w:rPr>
                <w:rFonts w:ascii="Times New Roman" w:hAnsi="Times New Roman"/>
                <w:color w:val="333333"/>
                <w:shd w:val="clear" w:color="auto" w:fill="FFFFFF"/>
                <w:lang w:val="ro-MD"/>
              </w:rPr>
              <w:t xml:space="preserve">” </w:t>
            </w:r>
            <w:r w:rsidRPr="00F314A5">
              <w:rPr>
                <w:rFonts w:ascii="Times New Roman" w:hAnsi="Times New Roman"/>
                <w:lang w:val="ro-MD"/>
              </w:rPr>
              <w:t>se substituie cu textul „</w:t>
            </w:r>
            <w:r w:rsidRPr="00F314A5">
              <w:rPr>
                <w:rFonts w:ascii="Times New Roman" w:hAnsi="Times New Roman"/>
              </w:rPr>
              <w:t>se aprobă prin ordin al  ministrului educației și cercetării, în baza deciziei unei comisii constituite din reprezentanți ai Ministerului Educației și Cercetării, Ministerului Sănătății, Ministerului Culturii, Ministerului Finanțelor</w:t>
            </w:r>
            <w:r w:rsidRPr="00F314A5">
              <w:rPr>
                <w:rFonts w:ascii="Times New Roman" w:hAnsi="Times New Roman"/>
                <w:lang w:val="ro-MD"/>
              </w:rPr>
              <w:t>”.</w:t>
            </w:r>
          </w:p>
          <w:p w14:paraId="36962FF9" w14:textId="77777777" w:rsidR="00840B13" w:rsidRPr="0006227E" w:rsidRDefault="00840B13" w:rsidP="00490CA9">
            <w:pPr>
              <w:spacing w:line="240" w:lineRule="auto"/>
              <w:ind w:firstLine="709"/>
              <w:jc w:val="both"/>
              <w:rPr>
                <w:rFonts w:ascii="Times New Roman" w:hAnsi="Times New Roman"/>
                <w:lang w:val="ro-MD"/>
              </w:rPr>
            </w:pPr>
          </w:p>
        </w:tc>
        <w:tc>
          <w:tcPr>
            <w:tcW w:w="4928" w:type="dxa"/>
          </w:tcPr>
          <w:p w14:paraId="3ABB235F" w14:textId="35E3BA19" w:rsidR="00840B13" w:rsidRPr="0006227E" w:rsidRDefault="00923C36" w:rsidP="00D522DC">
            <w:pPr>
              <w:spacing w:line="240" w:lineRule="auto"/>
              <w:jc w:val="both"/>
              <w:rPr>
                <w:rFonts w:ascii="Times New Roman" w:hAnsi="Times New Roman"/>
                <w:lang w:val="ro-MD"/>
              </w:rPr>
            </w:pPr>
            <w:r>
              <w:rPr>
                <w:rFonts w:ascii="Times New Roman" w:hAnsi="Times New Roman"/>
                <w:lang w:val="ro-MD"/>
              </w:rPr>
              <w:t>„</w:t>
            </w:r>
            <w:r w:rsidRPr="00811A26">
              <w:rPr>
                <w:rFonts w:ascii="Times New Roman" w:hAnsi="Times New Roman"/>
                <w:b/>
                <w:lang w:val="ro-MD"/>
              </w:rPr>
              <w:t>Pct. 11</w:t>
            </w:r>
            <w:r>
              <w:rPr>
                <w:rFonts w:ascii="Times New Roman" w:hAnsi="Times New Roman"/>
                <w:lang w:val="ro-MD"/>
              </w:rPr>
              <w:t xml:space="preserve">. </w:t>
            </w:r>
            <w:r w:rsidRPr="00840B13">
              <w:rPr>
                <w:rFonts w:ascii="Times New Roman" w:hAnsi="Times New Roman"/>
                <w:lang w:val="ro-MD"/>
              </w:rPr>
              <w:t>Tipurile și ponderile indicatorilor de performanță pentru finanțarea compensatorie, precum și modul de calcul al acestora, inclusiv procedura de determinare a alocațiilor bugetare indirecte,</w:t>
            </w:r>
            <w:r w:rsidRPr="00F314A5">
              <w:rPr>
                <w:rFonts w:ascii="Times New Roman" w:hAnsi="Times New Roman"/>
              </w:rPr>
              <w:t xml:space="preserve"> </w:t>
            </w:r>
            <w:r w:rsidRPr="00F314A5">
              <w:rPr>
                <w:rFonts w:ascii="Times New Roman" w:hAnsi="Times New Roman"/>
              </w:rPr>
              <w:t>se aprobă prin ordin al  ministrului educației și cercetării, în baza deciziei unei comisii constituite din reprezentanți ai Ministerului Educației și Cercetării, Ministerului Sănătății, Ministerului Culturii, Ministerului Finanțelor</w:t>
            </w:r>
            <w:r>
              <w:rPr>
                <w:rFonts w:ascii="Times New Roman" w:hAnsi="Times New Roman"/>
              </w:rPr>
              <w:t xml:space="preserve"> </w:t>
            </w:r>
            <w:r w:rsidRPr="00840B13">
              <w:rPr>
                <w:rFonts w:ascii="Times New Roman" w:hAnsi="Times New Roman"/>
                <w:lang w:val="ro-MD"/>
              </w:rPr>
              <w:t>și ai instituțiilor publice de învățământ superior cu autonomie financiară</w:t>
            </w:r>
            <w:r>
              <w:rPr>
                <w:rFonts w:ascii="Times New Roman" w:hAnsi="Times New Roman"/>
                <w:lang w:val="ro-MD"/>
              </w:rPr>
              <w:t>”</w:t>
            </w:r>
            <w:r w:rsidRPr="00840B13">
              <w:rPr>
                <w:rFonts w:ascii="Times New Roman" w:hAnsi="Times New Roman"/>
                <w:lang w:val="ro-MD"/>
              </w:rPr>
              <w:t>.</w:t>
            </w:r>
          </w:p>
        </w:tc>
      </w:tr>
      <w:tr w:rsidR="005F4F8A" w:rsidRPr="0006227E" w14:paraId="6749B74C" w14:textId="77777777" w:rsidTr="0006227E">
        <w:trPr>
          <w:trHeight w:val="2258"/>
        </w:trPr>
        <w:tc>
          <w:tcPr>
            <w:tcW w:w="738" w:type="dxa"/>
          </w:tcPr>
          <w:p w14:paraId="3B1F6CD6" w14:textId="31EEC2DA" w:rsidR="005F4F8A" w:rsidRPr="00557E07" w:rsidRDefault="005F4F8A" w:rsidP="00161FBA">
            <w:pPr>
              <w:pStyle w:val="a4"/>
              <w:numPr>
                <w:ilvl w:val="0"/>
                <w:numId w:val="2"/>
              </w:numPr>
              <w:spacing w:after="0" w:line="240" w:lineRule="auto"/>
              <w:jc w:val="both"/>
              <w:rPr>
                <w:rFonts w:ascii="Times New Roman" w:hAnsi="Times New Roman"/>
                <w:lang w:val="ro-MD"/>
              </w:rPr>
            </w:pPr>
          </w:p>
        </w:tc>
        <w:tc>
          <w:tcPr>
            <w:tcW w:w="4151" w:type="dxa"/>
          </w:tcPr>
          <w:p w14:paraId="3F9F2CAD" w14:textId="18F91AB5" w:rsidR="005F4F8A" w:rsidRPr="005F4F8A" w:rsidRDefault="005F4F8A" w:rsidP="005F4F8A">
            <w:pPr>
              <w:tabs>
                <w:tab w:val="left" w:pos="900"/>
                <w:tab w:val="left" w:pos="1260"/>
              </w:tabs>
              <w:spacing w:line="240" w:lineRule="auto"/>
              <w:jc w:val="both"/>
              <w:rPr>
                <w:rFonts w:ascii="Times New Roman" w:hAnsi="Times New Roman"/>
              </w:rPr>
            </w:pPr>
            <w:r>
              <w:rPr>
                <w:rFonts w:ascii="Times New Roman" w:hAnsi="Times New Roman"/>
              </w:rPr>
              <w:t xml:space="preserve">Pct. 14. </w:t>
            </w:r>
            <w:r w:rsidRPr="005F4F8A">
              <w:rPr>
                <w:rFonts w:ascii="Times New Roman" w:hAnsi="Times New Roman"/>
              </w:rPr>
              <w:t xml:space="preserve">Onorarea obligațiunilor stipulate în contractele anuale de finanțare a instituțiilor publice de învățământ superior este supusă controlului periodic efectuat de Ministerul Educației, Culturii și Cercetării, Ministerul Sănătății, Muncii și Protecției Sociale, Ministerul Agriculturii, Dezvoltării Regionale și Mediului și Cancelaria de Stat. </w:t>
            </w:r>
          </w:p>
        </w:tc>
        <w:tc>
          <w:tcPr>
            <w:tcW w:w="4500" w:type="dxa"/>
          </w:tcPr>
          <w:p w14:paraId="09E94685" w14:textId="559851A4" w:rsidR="00ED15CF" w:rsidRDefault="00ED15CF" w:rsidP="00ED15CF">
            <w:pPr>
              <w:spacing w:line="240" w:lineRule="auto"/>
              <w:jc w:val="both"/>
              <w:rPr>
                <w:rFonts w:ascii="Georgia" w:hAnsi="Georgia"/>
                <w:color w:val="333333"/>
                <w:shd w:val="clear" w:color="auto" w:fill="FFFFFF"/>
                <w:lang w:val="ro-MD"/>
              </w:rPr>
            </w:pPr>
            <w:r>
              <w:rPr>
                <w:rFonts w:ascii="Times New Roman" w:hAnsi="Times New Roman"/>
                <w:lang w:val="ro-MD"/>
              </w:rPr>
              <w:t xml:space="preserve">La pct. 14 </w:t>
            </w:r>
            <w:r w:rsidRPr="00ED15CF">
              <w:rPr>
                <w:rFonts w:ascii="Times New Roman" w:hAnsi="Times New Roman"/>
                <w:lang w:val="ro-MD"/>
              </w:rPr>
              <w:t>textul „</w:t>
            </w:r>
            <w:r w:rsidRPr="00ED15CF">
              <w:rPr>
                <w:rFonts w:ascii="Times New Roman" w:hAnsi="Times New Roman"/>
              </w:rPr>
              <w:t>Ministerul Educației, Culturii și Cercetării, Ministerul Sănătății, Muncii și Protecției Sociale, Ministerul Agriculturii, Dezvoltării Regionale și Mediului și Cancelaria de Stat</w:t>
            </w:r>
            <w:r w:rsidRPr="00ED15CF">
              <w:rPr>
                <w:rFonts w:ascii="Times New Roman" w:hAnsi="Times New Roman"/>
                <w:color w:val="333333"/>
                <w:shd w:val="clear" w:color="auto" w:fill="FFFFFF"/>
                <w:lang w:val="ro-MD"/>
              </w:rPr>
              <w:t xml:space="preserve">” </w:t>
            </w:r>
            <w:r w:rsidRPr="00ED15CF">
              <w:rPr>
                <w:rFonts w:ascii="Times New Roman" w:hAnsi="Times New Roman"/>
                <w:lang w:val="ro-MD"/>
              </w:rPr>
              <w:t>se substituie cu textul „Ministerul Educației și Cercetării,</w:t>
            </w:r>
            <w:r w:rsidRPr="00ED15CF">
              <w:rPr>
                <w:rFonts w:ascii="Times New Roman" w:hAnsi="Times New Roman"/>
                <w:color w:val="333333"/>
                <w:shd w:val="clear" w:color="auto" w:fill="FFFFFF"/>
              </w:rPr>
              <w:t xml:space="preserve"> Ministerul Sănătății și Ministerul Culturii</w:t>
            </w:r>
            <w:r w:rsidRPr="00135D9E">
              <w:rPr>
                <w:sz w:val="24"/>
                <w:szCs w:val="24"/>
                <w:lang w:val="ro-MD"/>
              </w:rPr>
              <w:t>”</w:t>
            </w:r>
            <w:r>
              <w:rPr>
                <w:sz w:val="24"/>
                <w:szCs w:val="24"/>
                <w:lang w:val="ro-MD"/>
              </w:rPr>
              <w:t>.</w:t>
            </w:r>
          </w:p>
          <w:p w14:paraId="5881C801" w14:textId="77777777" w:rsidR="005F4F8A" w:rsidRDefault="005F4F8A" w:rsidP="00F314A5">
            <w:pPr>
              <w:spacing w:line="240" w:lineRule="auto"/>
              <w:jc w:val="both"/>
              <w:rPr>
                <w:rFonts w:ascii="Times New Roman" w:hAnsi="Times New Roman"/>
                <w:lang w:val="ro-MD"/>
              </w:rPr>
            </w:pPr>
          </w:p>
        </w:tc>
        <w:tc>
          <w:tcPr>
            <w:tcW w:w="4928" w:type="dxa"/>
          </w:tcPr>
          <w:p w14:paraId="05E2C26E" w14:textId="375E9FBA" w:rsidR="005F4F8A" w:rsidRDefault="00B27FD3" w:rsidP="00B27FD3">
            <w:pPr>
              <w:spacing w:line="240" w:lineRule="auto"/>
              <w:jc w:val="both"/>
              <w:rPr>
                <w:rFonts w:ascii="Times New Roman" w:hAnsi="Times New Roman"/>
                <w:lang w:val="ro-MD"/>
              </w:rPr>
            </w:pPr>
            <w:r w:rsidRPr="00811A26">
              <w:rPr>
                <w:rFonts w:ascii="Times New Roman" w:hAnsi="Times New Roman"/>
                <w:b/>
              </w:rPr>
              <w:t>„</w:t>
            </w:r>
            <w:r w:rsidRPr="00811A26">
              <w:rPr>
                <w:rFonts w:ascii="Times New Roman" w:hAnsi="Times New Roman"/>
                <w:b/>
              </w:rPr>
              <w:t>Pct. 14.</w:t>
            </w:r>
            <w:r>
              <w:rPr>
                <w:rFonts w:ascii="Times New Roman" w:hAnsi="Times New Roman"/>
              </w:rPr>
              <w:t xml:space="preserve"> </w:t>
            </w:r>
            <w:r w:rsidRPr="005F4F8A">
              <w:rPr>
                <w:rFonts w:ascii="Times New Roman" w:hAnsi="Times New Roman"/>
              </w:rPr>
              <w:t xml:space="preserve">Onorarea obligațiunilor stipulate în contractele anuale de finanțare a instituțiilor publice de învățământ superior este supusă controlului periodic efectuat de </w:t>
            </w:r>
            <w:r w:rsidRPr="00ED15CF">
              <w:rPr>
                <w:rFonts w:ascii="Times New Roman" w:hAnsi="Times New Roman"/>
                <w:lang w:val="ro-MD"/>
              </w:rPr>
              <w:t>Ministerul Educației și Cercetării,</w:t>
            </w:r>
            <w:r w:rsidRPr="00ED15CF">
              <w:rPr>
                <w:rFonts w:ascii="Times New Roman" w:hAnsi="Times New Roman"/>
                <w:color w:val="333333"/>
                <w:shd w:val="clear" w:color="auto" w:fill="FFFFFF"/>
              </w:rPr>
              <w:t xml:space="preserve"> Ministerul Sănătății și Ministerul Culturii</w:t>
            </w:r>
            <w:r>
              <w:rPr>
                <w:rFonts w:ascii="Times New Roman" w:hAnsi="Times New Roman"/>
              </w:rPr>
              <w:t>”</w:t>
            </w:r>
            <w:r w:rsidRPr="005F4F8A">
              <w:rPr>
                <w:rFonts w:ascii="Times New Roman" w:hAnsi="Times New Roman"/>
              </w:rPr>
              <w:t>.</w:t>
            </w:r>
          </w:p>
        </w:tc>
      </w:tr>
      <w:tr w:rsidR="006F1D02" w:rsidRPr="0006227E" w14:paraId="295C64AB" w14:textId="77777777" w:rsidTr="00450B92">
        <w:trPr>
          <w:trHeight w:val="636"/>
        </w:trPr>
        <w:tc>
          <w:tcPr>
            <w:tcW w:w="738" w:type="dxa"/>
          </w:tcPr>
          <w:p w14:paraId="3E9B55A5" w14:textId="79771627" w:rsidR="006F1D02" w:rsidRPr="00557E07" w:rsidRDefault="006F1D02" w:rsidP="00161FBA">
            <w:pPr>
              <w:pStyle w:val="a4"/>
              <w:numPr>
                <w:ilvl w:val="0"/>
                <w:numId w:val="2"/>
              </w:numPr>
              <w:spacing w:after="0" w:line="240" w:lineRule="auto"/>
              <w:jc w:val="both"/>
              <w:rPr>
                <w:rFonts w:ascii="Times New Roman" w:hAnsi="Times New Roman"/>
                <w:lang w:val="ro-MD"/>
              </w:rPr>
            </w:pPr>
          </w:p>
        </w:tc>
        <w:tc>
          <w:tcPr>
            <w:tcW w:w="4151" w:type="dxa"/>
          </w:tcPr>
          <w:p w14:paraId="68316378" w14:textId="3E770055" w:rsidR="006F1D02" w:rsidRPr="0006227E" w:rsidRDefault="006F1D02" w:rsidP="006F1D02">
            <w:pPr>
              <w:spacing w:after="0" w:line="240" w:lineRule="auto"/>
              <w:jc w:val="both"/>
              <w:rPr>
                <w:rFonts w:ascii="Times New Roman" w:hAnsi="Times New Roman"/>
                <w:lang w:val="ro-MD"/>
              </w:rPr>
            </w:pPr>
            <w:r w:rsidRPr="0006227E">
              <w:rPr>
                <w:rFonts w:ascii="Times New Roman" w:hAnsi="Times New Roman"/>
                <w:lang w:val="ro-MD"/>
              </w:rPr>
              <w:t xml:space="preserve">Pct. 16. Finanțarea complementară include cheltuieli pentru îmbunătățirea  condițiilor de cazare în cămine, modernizarea bazei materiale și didactice, dotarea cu calculatoare/softuri/utilaje, acoperirea unor </w:t>
            </w:r>
            <w:r w:rsidRPr="0006227E">
              <w:rPr>
                <w:rFonts w:ascii="Times New Roman" w:hAnsi="Times New Roman"/>
                <w:lang w:val="ro-MD"/>
              </w:rPr>
              <w:lastRenderedPageBreak/>
              <w:t>cheltuieli specifice universităților regionale.  Aceasta se va realiza în baza unui regulament aprobat prin Ordin al Ministrului educației și cercetării.</w:t>
            </w:r>
          </w:p>
        </w:tc>
        <w:tc>
          <w:tcPr>
            <w:tcW w:w="4500" w:type="dxa"/>
          </w:tcPr>
          <w:p w14:paraId="7E80A894" w14:textId="54493892" w:rsidR="00490CA9" w:rsidRPr="0006227E" w:rsidRDefault="00490CA9" w:rsidP="00490CA9">
            <w:pPr>
              <w:spacing w:line="240" w:lineRule="auto"/>
              <w:ind w:firstLine="709"/>
              <w:jc w:val="both"/>
              <w:rPr>
                <w:rFonts w:ascii="Times New Roman" w:hAnsi="Times New Roman"/>
              </w:rPr>
            </w:pPr>
            <w:r w:rsidRPr="0006227E">
              <w:rPr>
                <w:rFonts w:ascii="Times New Roman" w:hAnsi="Times New Roman"/>
                <w:lang w:val="ro-MD"/>
              </w:rPr>
              <w:lastRenderedPageBreak/>
              <w:t>„</w:t>
            </w:r>
            <w:r w:rsidRPr="0006227E">
              <w:rPr>
                <w:rFonts w:ascii="Times New Roman" w:hAnsi="Times New Roman"/>
                <w:b/>
                <w:bCs/>
                <w:lang w:val="ro-MD"/>
              </w:rPr>
              <w:t xml:space="preserve">16. </w:t>
            </w:r>
            <w:r w:rsidRPr="0006227E">
              <w:rPr>
                <w:rFonts w:ascii="Times New Roman" w:eastAsia="Times New Roman" w:hAnsi="Times New Roman"/>
                <w:lang w:val="ro-MD"/>
              </w:rPr>
              <w:t xml:space="preserve">Finanțarea complementară include cheltuieli pentru îmbunătățirea condițiilor de cazare în cămine, modernizarea bazei materiale și didactice, dotarea cu calculatoare/softuri/utilaje, acoperirea unor </w:t>
            </w:r>
            <w:r w:rsidRPr="0006227E">
              <w:rPr>
                <w:rFonts w:ascii="Times New Roman" w:eastAsia="Times New Roman" w:hAnsi="Times New Roman"/>
                <w:lang w:val="ro-MD"/>
              </w:rPr>
              <w:lastRenderedPageBreak/>
              <w:t>cheltuieli specifice universităților regionale, finanțarea unor proiecte specifice de dezvoltare instituțională. Cel mult 20% din finanțarea complementară vor fi aprobate de fondator pentru o</w:t>
            </w:r>
            <w:r w:rsidRPr="0006227E">
              <w:rPr>
                <w:rFonts w:ascii="Times New Roman" w:hAnsi="Times New Roman"/>
                <w:lang w:val="ro-MD"/>
              </w:rPr>
              <w:t>rganizarea de evenimente naționale privind asigurarea calității învățământului superior, transformarea și digitalizarea învățământului superior, organizarea concursurilor naționale pentru stimularea performanței cadrelor didactice și a studenților, stimularea creativității și inovației în învățământul superior</w:t>
            </w:r>
            <w:r w:rsidRPr="0006227E">
              <w:rPr>
                <w:rFonts w:ascii="Times New Roman" w:hAnsi="Times New Roman"/>
                <w:b/>
                <w:bCs/>
                <w:lang w:val="ro-MD"/>
              </w:rPr>
              <w:t>”.</w:t>
            </w:r>
          </w:p>
          <w:p w14:paraId="49C1EC34" w14:textId="28D025DC" w:rsidR="006F1D02" w:rsidRPr="0006227E" w:rsidRDefault="006F1D02" w:rsidP="006F1D02">
            <w:pPr>
              <w:spacing w:after="0" w:line="240" w:lineRule="auto"/>
              <w:jc w:val="both"/>
              <w:rPr>
                <w:rFonts w:ascii="Times New Roman" w:hAnsi="Times New Roman"/>
              </w:rPr>
            </w:pPr>
          </w:p>
        </w:tc>
        <w:tc>
          <w:tcPr>
            <w:tcW w:w="4928" w:type="dxa"/>
          </w:tcPr>
          <w:p w14:paraId="3F447DCE" w14:textId="570B95A1" w:rsidR="00490CA9" w:rsidRPr="0006227E" w:rsidRDefault="006F1D02" w:rsidP="00811A26">
            <w:pPr>
              <w:spacing w:line="240" w:lineRule="auto"/>
              <w:jc w:val="both"/>
              <w:rPr>
                <w:rFonts w:ascii="Times New Roman" w:hAnsi="Times New Roman"/>
              </w:rPr>
            </w:pPr>
            <w:r w:rsidRPr="0006227E">
              <w:rPr>
                <w:rFonts w:ascii="Times New Roman" w:hAnsi="Times New Roman"/>
                <w:lang w:val="ro-MD"/>
              </w:rPr>
              <w:lastRenderedPageBreak/>
              <w:t>„</w:t>
            </w:r>
            <w:r w:rsidR="00811A26" w:rsidRPr="00811A26">
              <w:rPr>
                <w:rFonts w:ascii="Times New Roman" w:hAnsi="Times New Roman"/>
                <w:b/>
                <w:lang w:val="ro-MD"/>
              </w:rPr>
              <w:t xml:space="preserve">Pct. </w:t>
            </w:r>
            <w:r w:rsidR="00490CA9" w:rsidRPr="00811A26">
              <w:rPr>
                <w:rFonts w:ascii="Times New Roman" w:hAnsi="Times New Roman"/>
                <w:b/>
                <w:bCs/>
                <w:lang w:val="ro-MD"/>
              </w:rPr>
              <w:t>16</w:t>
            </w:r>
            <w:r w:rsidR="00490CA9" w:rsidRPr="0006227E">
              <w:rPr>
                <w:rFonts w:ascii="Times New Roman" w:hAnsi="Times New Roman"/>
                <w:b/>
                <w:bCs/>
                <w:lang w:val="ro-MD"/>
              </w:rPr>
              <w:t xml:space="preserve">. </w:t>
            </w:r>
            <w:r w:rsidR="00490CA9" w:rsidRPr="0006227E">
              <w:rPr>
                <w:rFonts w:ascii="Times New Roman" w:eastAsia="Times New Roman" w:hAnsi="Times New Roman"/>
                <w:lang w:val="ro-MD"/>
              </w:rPr>
              <w:t xml:space="preserve">Finanțarea complementară include cheltuieli pentru îmbunătățirea condițiilor de cazare în cămine, modernizarea bazei materiale și didactice, dotarea cu calculatoare/softuri/utilaje, acoperirea unor cheltuieli specifice universităților regionale, finanțarea unor </w:t>
            </w:r>
            <w:r w:rsidR="00490CA9" w:rsidRPr="0006227E">
              <w:rPr>
                <w:rFonts w:ascii="Times New Roman" w:eastAsia="Times New Roman" w:hAnsi="Times New Roman"/>
                <w:lang w:val="ro-MD"/>
              </w:rPr>
              <w:lastRenderedPageBreak/>
              <w:t>proiecte specifice de dezvoltare instituțională. Cel mult 20% din finanțarea complementară vor fi aprobate de fondator pentru o</w:t>
            </w:r>
            <w:r w:rsidR="00490CA9" w:rsidRPr="0006227E">
              <w:rPr>
                <w:rFonts w:ascii="Times New Roman" w:hAnsi="Times New Roman"/>
                <w:lang w:val="ro-MD"/>
              </w:rPr>
              <w:t>rganizarea de evenimente naționale privind asigurarea calității învățământului superior, transformarea și digitalizarea învățământului superior, organizarea concursurilor naționale pentru stimularea performanței cadrelor didactice și a studenților, stimularea creativității și inovației în învățământul superior</w:t>
            </w:r>
            <w:r w:rsidR="00490CA9" w:rsidRPr="0006227E">
              <w:rPr>
                <w:rFonts w:ascii="Times New Roman" w:hAnsi="Times New Roman"/>
                <w:b/>
                <w:bCs/>
                <w:lang w:val="ro-MD"/>
              </w:rPr>
              <w:t>”.</w:t>
            </w:r>
          </w:p>
          <w:p w14:paraId="2F8F592A" w14:textId="419B0AE6" w:rsidR="006F1D02" w:rsidRPr="0006227E" w:rsidRDefault="006F1D02" w:rsidP="006F1D02">
            <w:pPr>
              <w:spacing w:after="0" w:line="240" w:lineRule="auto"/>
              <w:jc w:val="both"/>
              <w:rPr>
                <w:rFonts w:ascii="Times New Roman" w:hAnsi="Times New Roman"/>
              </w:rPr>
            </w:pPr>
          </w:p>
        </w:tc>
      </w:tr>
    </w:tbl>
    <w:p w14:paraId="0057345D" w14:textId="77777777" w:rsidR="00FE0103" w:rsidRPr="00FE69FE" w:rsidRDefault="00FE0103" w:rsidP="00FE69FE">
      <w:pPr>
        <w:spacing w:after="0" w:line="240" w:lineRule="auto"/>
        <w:jc w:val="both"/>
        <w:rPr>
          <w:rFonts w:ascii="Times New Roman" w:hAnsi="Times New Roman"/>
          <w:lang w:val="ro-MD"/>
        </w:rPr>
      </w:pPr>
    </w:p>
    <w:sectPr w:rsidR="00FE0103" w:rsidRPr="00FE69FE" w:rsidSect="00D120F1">
      <w:footerReference w:type="even" r:id="rId8"/>
      <w:footerReference w:type="default" r:id="rId9"/>
      <w:pgSz w:w="16838" w:h="11906" w:orient="landscape"/>
      <w:pgMar w:top="426" w:right="1440" w:bottom="426"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3729B" w14:textId="77777777" w:rsidR="00161FBA" w:rsidRDefault="00161FBA">
      <w:r>
        <w:separator/>
      </w:r>
    </w:p>
  </w:endnote>
  <w:endnote w:type="continuationSeparator" w:id="0">
    <w:p w14:paraId="05AD4A84" w14:textId="77777777" w:rsidR="00161FBA" w:rsidRDefault="001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12315" w14:textId="77777777" w:rsidR="007A5B46" w:rsidRDefault="007A5B46" w:rsidP="005E59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5BAF5A" w14:textId="77777777" w:rsidR="007A5B46" w:rsidRDefault="007A5B46" w:rsidP="00245D8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1D7B" w14:textId="1CE746F0" w:rsidR="007A5B46" w:rsidRDefault="007A5B46" w:rsidP="005E59C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C5707">
      <w:rPr>
        <w:rStyle w:val="a7"/>
        <w:noProof/>
      </w:rPr>
      <w:t>6</w:t>
    </w:r>
    <w:r>
      <w:rPr>
        <w:rStyle w:val="a7"/>
      </w:rPr>
      <w:fldChar w:fldCharType="end"/>
    </w:r>
  </w:p>
  <w:p w14:paraId="211BC8D5" w14:textId="77777777" w:rsidR="007A5B46" w:rsidRDefault="007A5B46" w:rsidP="00245D8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05F83" w14:textId="77777777" w:rsidR="00161FBA" w:rsidRDefault="00161FBA">
      <w:r>
        <w:separator/>
      </w:r>
    </w:p>
  </w:footnote>
  <w:footnote w:type="continuationSeparator" w:id="0">
    <w:p w14:paraId="2ADB3448" w14:textId="77777777" w:rsidR="00161FBA" w:rsidRDefault="00161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A38D2"/>
    <w:multiLevelType w:val="hybridMultilevel"/>
    <w:tmpl w:val="33E2EF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2218C6"/>
    <w:multiLevelType w:val="hybridMultilevel"/>
    <w:tmpl w:val="7A36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22"/>
    <w:rsid w:val="000001E9"/>
    <w:rsid w:val="000048DE"/>
    <w:rsid w:val="00004B0A"/>
    <w:rsid w:val="00006A8E"/>
    <w:rsid w:val="00007F30"/>
    <w:rsid w:val="00010834"/>
    <w:rsid w:val="000242B1"/>
    <w:rsid w:val="000302BB"/>
    <w:rsid w:val="00033788"/>
    <w:rsid w:val="000343B1"/>
    <w:rsid w:val="000352C4"/>
    <w:rsid w:val="00043414"/>
    <w:rsid w:val="00045352"/>
    <w:rsid w:val="000466E2"/>
    <w:rsid w:val="00046799"/>
    <w:rsid w:val="000468E4"/>
    <w:rsid w:val="00050A1D"/>
    <w:rsid w:val="0006102A"/>
    <w:rsid w:val="0006227E"/>
    <w:rsid w:val="0006232F"/>
    <w:rsid w:val="000636C8"/>
    <w:rsid w:val="0006494B"/>
    <w:rsid w:val="000670EE"/>
    <w:rsid w:val="00072069"/>
    <w:rsid w:val="00072A08"/>
    <w:rsid w:val="000761C9"/>
    <w:rsid w:val="000812FF"/>
    <w:rsid w:val="00082AAB"/>
    <w:rsid w:val="0008602C"/>
    <w:rsid w:val="00087A64"/>
    <w:rsid w:val="000900CF"/>
    <w:rsid w:val="00092394"/>
    <w:rsid w:val="00093E9F"/>
    <w:rsid w:val="00094FDB"/>
    <w:rsid w:val="000963AE"/>
    <w:rsid w:val="000A2C6E"/>
    <w:rsid w:val="000A3010"/>
    <w:rsid w:val="000C5E69"/>
    <w:rsid w:val="000C64A9"/>
    <w:rsid w:val="000D1A09"/>
    <w:rsid w:val="000D223C"/>
    <w:rsid w:val="000D5CD9"/>
    <w:rsid w:val="000E59EF"/>
    <w:rsid w:val="000F1799"/>
    <w:rsid w:val="000F1A77"/>
    <w:rsid w:val="001020D7"/>
    <w:rsid w:val="00102B0D"/>
    <w:rsid w:val="00104467"/>
    <w:rsid w:val="001053E4"/>
    <w:rsid w:val="00106320"/>
    <w:rsid w:val="00110AE2"/>
    <w:rsid w:val="00110F1C"/>
    <w:rsid w:val="00111DEE"/>
    <w:rsid w:val="00115046"/>
    <w:rsid w:val="001176A7"/>
    <w:rsid w:val="001221F0"/>
    <w:rsid w:val="0013057B"/>
    <w:rsid w:val="00136D85"/>
    <w:rsid w:val="00146F08"/>
    <w:rsid w:val="00151EB1"/>
    <w:rsid w:val="00154FA5"/>
    <w:rsid w:val="00156CF8"/>
    <w:rsid w:val="00161EBC"/>
    <w:rsid w:val="00161FBA"/>
    <w:rsid w:val="00162235"/>
    <w:rsid w:val="00167D67"/>
    <w:rsid w:val="00171C26"/>
    <w:rsid w:val="00183ECF"/>
    <w:rsid w:val="00184040"/>
    <w:rsid w:val="0018453E"/>
    <w:rsid w:val="00184F27"/>
    <w:rsid w:val="001861B4"/>
    <w:rsid w:val="00191BB3"/>
    <w:rsid w:val="001941D6"/>
    <w:rsid w:val="00195B1A"/>
    <w:rsid w:val="00197911"/>
    <w:rsid w:val="001A6EC9"/>
    <w:rsid w:val="001B00CE"/>
    <w:rsid w:val="001B1A3D"/>
    <w:rsid w:val="001B3179"/>
    <w:rsid w:val="001B5CFB"/>
    <w:rsid w:val="001B76C6"/>
    <w:rsid w:val="001C1168"/>
    <w:rsid w:val="001C4DEA"/>
    <w:rsid w:val="001C6359"/>
    <w:rsid w:val="001E20D0"/>
    <w:rsid w:val="001E61E9"/>
    <w:rsid w:val="001E6E3F"/>
    <w:rsid w:val="001F0473"/>
    <w:rsid w:val="001F1271"/>
    <w:rsid w:val="001F1AE0"/>
    <w:rsid w:val="001F2E2D"/>
    <w:rsid w:val="00202910"/>
    <w:rsid w:val="0020655F"/>
    <w:rsid w:val="00211F1A"/>
    <w:rsid w:val="002176F7"/>
    <w:rsid w:val="002203D3"/>
    <w:rsid w:val="00220470"/>
    <w:rsid w:val="00222AA2"/>
    <w:rsid w:val="002232AD"/>
    <w:rsid w:val="00225D67"/>
    <w:rsid w:val="00226CC9"/>
    <w:rsid w:val="002277C8"/>
    <w:rsid w:val="00235F39"/>
    <w:rsid w:val="002430ED"/>
    <w:rsid w:val="00245D8F"/>
    <w:rsid w:val="002533ED"/>
    <w:rsid w:val="00271B70"/>
    <w:rsid w:val="00273EF1"/>
    <w:rsid w:val="00282924"/>
    <w:rsid w:val="00284715"/>
    <w:rsid w:val="0028475E"/>
    <w:rsid w:val="002869C3"/>
    <w:rsid w:val="00287C1D"/>
    <w:rsid w:val="00297083"/>
    <w:rsid w:val="00297810"/>
    <w:rsid w:val="00297971"/>
    <w:rsid w:val="002A3C1A"/>
    <w:rsid w:val="002B39F5"/>
    <w:rsid w:val="002B3B37"/>
    <w:rsid w:val="002B3DD7"/>
    <w:rsid w:val="002B6B27"/>
    <w:rsid w:val="002B7DF2"/>
    <w:rsid w:val="002C1A8D"/>
    <w:rsid w:val="002C3C21"/>
    <w:rsid w:val="002C4B72"/>
    <w:rsid w:val="002C617D"/>
    <w:rsid w:val="002D01B9"/>
    <w:rsid w:val="002D16D5"/>
    <w:rsid w:val="002D1A76"/>
    <w:rsid w:val="002D245F"/>
    <w:rsid w:val="002D3DA8"/>
    <w:rsid w:val="002D400B"/>
    <w:rsid w:val="002D44C7"/>
    <w:rsid w:val="002D55AD"/>
    <w:rsid w:val="002E0585"/>
    <w:rsid w:val="002E1E9C"/>
    <w:rsid w:val="002E2F84"/>
    <w:rsid w:val="002E3BEE"/>
    <w:rsid w:val="002E704C"/>
    <w:rsid w:val="002F1662"/>
    <w:rsid w:val="002F1B2C"/>
    <w:rsid w:val="002F5BC6"/>
    <w:rsid w:val="002F623E"/>
    <w:rsid w:val="002F685D"/>
    <w:rsid w:val="00302C22"/>
    <w:rsid w:val="003046D1"/>
    <w:rsid w:val="00305AED"/>
    <w:rsid w:val="00312300"/>
    <w:rsid w:val="00320F1C"/>
    <w:rsid w:val="00321911"/>
    <w:rsid w:val="00331CAA"/>
    <w:rsid w:val="00333340"/>
    <w:rsid w:val="0033707A"/>
    <w:rsid w:val="003417DC"/>
    <w:rsid w:val="0034283A"/>
    <w:rsid w:val="00342DAE"/>
    <w:rsid w:val="00343090"/>
    <w:rsid w:val="00343150"/>
    <w:rsid w:val="00343E2F"/>
    <w:rsid w:val="00347267"/>
    <w:rsid w:val="0035181C"/>
    <w:rsid w:val="00354A6D"/>
    <w:rsid w:val="003622EB"/>
    <w:rsid w:val="00363816"/>
    <w:rsid w:val="0036674A"/>
    <w:rsid w:val="003756F8"/>
    <w:rsid w:val="00376D31"/>
    <w:rsid w:val="00383332"/>
    <w:rsid w:val="00385F03"/>
    <w:rsid w:val="00393DC4"/>
    <w:rsid w:val="00393FF6"/>
    <w:rsid w:val="003A271D"/>
    <w:rsid w:val="003A56B9"/>
    <w:rsid w:val="003B16F9"/>
    <w:rsid w:val="003B41FD"/>
    <w:rsid w:val="003B46B3"/>
    <w:rsid w:val="003B57A5"/>
    <w:rsid w:val="003C17A9"/>
    <w:rsid w:val="003D1F0B"/>
    <w:rsid w:val="003E0428"/>
    <w:rsid w:val="003F3E41"/>
    <w:rsid w:val="003F62D3"/>
    <w:rsid w:val="00401B87"/>
    <w:rsid w:val="0040409D"/>
    <w:rsid w:val="0041028D"/>
    <w:rsid w:val="00420950"/>
    <w:rsid w:val="00421C9C"/>
    <w:rsid w:val="00422475"/>
    <w:rsid w:val="0042527A"/>
    <w:rsid w:val="00431DAB"/>
    <w:rsid w:val="00432B23"/>
    <w:rsid w:val="00433AD6"/>
    <w:rsid w:val="00436221"/>
    <w:rsid w:val="00437B16"/>
    <w:rsid w:val="00440ABF"/>
    <w:rsid w:val="00441280"/>
    <w:rsid w:val="004438D2"/>
    <w:rsid w:val="00443CC3"/>
    <w:rsid w:val="0044463E"/>
    <w:rsid w:val="00444BDA"/>
    <w:rsid w:val="00445A77"/>
    <w:rsid w:val="0044621A"/>
    <w:rsid w:val="00446927"/>
    <w:rsid w:val="00447BCF"/>
    <w:rsid w:val="00447E25"/>
    <w:rsid w:val="00450B92"/>
    <w:rsid w:val="00450C68"/>
    <w:rsid w:val="00451799"/>
    <w:rsid w:val="004537F3"/>
    <w:rsid w:val="00455CF1"/>
    <w:rsid w:val="00461C9A"/>
    <w:rsid w:val="00466D04"/>
    <w:rsid w:val="0046713E"/>
    <w:rsid w:val="00473F7A"/>
    <w:rsid w:val="004810EA"/>
    <w:rsid w:val="00490CA9"/>
    <w:rsid w:val="004913AF"/>
    <w:rsid w:val="00491882"/>
    <w:rsid w:val="00492F25"/>
    <w:rsid w:val="00493512"/>
    <w:rsid w:val="00493F28"/>
    <w:rsid w:val="00494DC3"/>
    <w:rsid w:val="0049588D"/>
    <w:rsid w:val="004960DC"/>
    <w:rsid w:val="004969DE"/>
    <w:rsid w:val="00496ED9"/>
    <w:rsid w:val="00497374"/>
    <w:rsid w:val="004A1595"/>
    <w:rsid w:val="004A2206"/>
    <w:rsid w:val="004A2F5E"/>
    <w:rsid w:val="004A3183"/>
    <w:rsid w:val="004A3D97"/>
    <w:rsid w:val="004A59B7"/>
    <w:rsid w:val="004A5D35"/>
    <w:rsid w:val="004B1487"/>
    <w:rsid w:val="004B503A"/>
    <w:rsid w:val="004B6143"/>
    <w:rsid w:val="004C29D5"/>
    <w:rsid w:val="004C597B"/>
    <w:rsid w:val="004D098D"/>
    <w:rsid w:val="004D5059"/>
    <w:rsid w:val="004E1CBF"/>
    <w:rsid w:val="004E33E5"/>
    <w:rsid w:val="004E3870"/>
    <w:rsid w:val="004E465B"/>
    <w:rsid w:val="004E5AB5"/>
    <w:rsid w:val="004E6711"/>
    <w:rsid w:val="004F0CC9"/>
    <w:rsid w:val="004F1CC0"/>
    <w:rsid w:val="004F3216"/>
    <w:rsid w:val="004F5FB7"/>
    <w:rsid w:val="0050020D"/>
    <w:rsid w:val="00501323"/>
    <w:rsid w:val="00503543"/>
    <w:rsid w:val="00506588"/>
    <w:rsid w:val="00506D1A"/>
    <w:rsid w:val="00510189"/>
    <w:rsid w:val="0051135A"/>
    <w:rsid w:val="00515CBF"/>
    <w:rsid w:val="00526094"/>
    <w:rsid w:val="00533A0E"/>
    <w:rsid w:val="00535725"/>
    <w:rsid w:val="0053614C"/>
    <w:rsid w:val="0053781C"/>
    <w:rsid w:val="00541265"/>
    <w:rsid w:val="0054214E"/>
    <w:rsid w:val="00547867"/>
    <w:rsid w:val="00551DEA"/>
    <w:rsid w:val="005555A0"/>
    <w:rsid w:val="00557710"/>
    <w:rsid w:val="00557E07"/>
    <w:rsid w:val="00564E38"/>
    <w:rsid w:val="00565883"/>
    <w:rsid w:val="005665ED"/>
    <w:rsid w:val="005846EF"/>
    <w:rsid w:val="00584AF7"/>
    <w:rsid w:val="0058596D"/>
    <w:rsid w:val="0059035A"/>
    <w:rsid w:val="00592549"/>
    <w:rsid w:val="0059467A"/>
    <w:rsid w:val="00596673"/>
    <w:rsid w:val="005A017A"/>
    <w:rsid w:val="005A24FC"/>
    <w:rsid w:val="005A6799"/>
    <w:rsid w:val="005B41D2"/>
    <w:rsid w:val="005B498F"/>
    <w:rsid w:val="005B7A4C"/>
    <w:rsid w:val="005C00FF"/>
    <w:rsid w:val="005C1BA0"/>
    <w:rsid w:val="005C342A"/>
    <w:rsid w:val="005C5131"/>
    <w:rsid w:val="005C519C"/>
    <w:rsid w:val="005C5359"/>
    <w:rsid w:val="005C5385"/>
    <w:rsid w:val="005C6447"/>
    <w:rsid w:val="005D5A01"/>
    <w:rsid w:val="005E59C1"/>
    <w:rsid w:val="005E71CA"/>
    <w:rsid w:val="005F0ADE"/>
    <w:rsid w:val="005F3FF6"/>
    <w:rsid w:val="005F4F8A"/>
    <w:rsid w:val="005F6737"/>
    <w:rsid w:val="00602924"/>
    <w:rsid w:val="00602B0E"/>
    <w:rsid w:val="00606B62"/>
    <w:rsid w:val="00610E7C"/>
    <w:rsid w:val="00612335"/>
    <w:rsid w:val="00612E8C"/>
    <w:rsid w:val="006142C2"/>
    <w:rsid w:val="00614C38"/>
    <w:rsid w:val="00615CEE"/>
    <w:rsid w:val="00621228"/>
    <w:rsid w:val="006304B8"/>
    <w:rsid w:val="00630D24"/>
    <w:rsid w:val="00631599"/>
    <w:rsid w:val="00635C8D"/>
    <w:rsid w:val="00635D52"/>
    <w:rsid w:val="006363CA"/>
    <w:rsid w:val="00636F40"/>
    <w:rsid w:val="0063700F"/>
    <w:rsid w:val="00640D22"/>
    <w:rsid w:val="0064162A"/>
    <w:rsid w:val="006443FC"/>
    <w:rsid w:val="0064449E"/>
    <w:rsid w:val="0064666F"/>
    <w:rsid w:val="0064725F"/>
    <w:rsid w:val="00647B22"/>
    <w:rsid w:val="00647D8F"/>
    <w:rsid w:val="006524B0"/>
    <w:rsid w:val="00657948"/>
    <w:rsid w:val="00662933"/>
    <w:rsid w:val="006643CF"/>
    <w:rsid w:val="00665C3A"/>
    <w:rsid w:val="006665D6"/>
    <w:rsid w:val="006711BD"/>
    <w:rsid w:val="00674852"/>
    <w:rsid w:val="0067698C"/>
    <w:rsid w:val="00681D54"/>
    <w:rsid w:val="00687095"/>
    <w:rsid w:val="00687339"/>
    <w:rsid w:val="00687AD5"/>
    <w:rsid w:val="00687D89"/>
    <w:rsid w:val="00692291"/>
    <w:rsid w:val="00694EEF"/>
    <w:rsid w:val="00697348"/>
    <w:rsid w:val="00697BDE"/>
    <w:rsid w:val="00697EBB"/>
    <w:rsid w:val="006A2FC8"/>
    <w:rsid w:val="006A3327"/>
    <w:rsid w:val="006A5F00"/>
    <w:rsid w:val="006B317B"/>
    <w:rsid w:val="006C322E"/>
    <w:rsid w:val="006D3C10"/>
    <w:rsid w:val="006D4C0B"/>
    <w:rsid w:val="006D7E19"/>
    <w:rsid w:val="006E0C1C"/>
    <w:rsid w:val="006E4595"/>
    <w:rsid w:val="006E53A0"/>
    <w:rsid w:val="006F1D02"/>
    <w:rsid w:val="006F2857"/>
    <w:rsid w:val="006F7543"/>
    <w:rsid w:val="00706AC0"/>
    <w:rsid w:val="00707840"/>
    <w:rsid w:val="007173FE"/>
    <w:rsid w:val="00721F5C"/>
    <w:rsid w:val="007229D1"/>
    <w:rsid w:val="007240AF"/>
    <w:rsid w:val="0072481E"/>
    <w:rsid w:val="00724E4B"/>
    <w:rsid w:val="00727866"/>
    <w:rsid w:val="00730744"/>
    <w:rsid w:val="007319BE"/>
    <w:rsid w:val="0073436F"/>
    <w:rsid w:val="00740F83"/>
    <w:rsid w:val="00742B30"/>
    <w:rsid w:val="007432B3"/>
    <w:rsid w:val="00745839"/>
    <w:rsid w:val="0074634E"/>
    <w:rsid w:val="0075223A"/>
    <w:rsid w:val="0075413C"/>
    <w:rsid w:val="00754EE8"/>
    <w:rsid w:val="00756240"/>
    <w:rsid w:val="00764C35"/>
    <w:rsid w:val="00765EDF"/>
    <w:rsid w:val="00767C89"/>
    <w:rsid w:val="00772364"/>
    <w:rsid w:val="00780A8D"/>
    <w:rsid w:val="0078395D"/>
    <w:rsid w:val="00792D00"/>
    <w:rsid w:val="00793C72"/>
    <w:rsid w:val="007A303C"/>
    <w:rsid w:val="007A3663"/>
    <w:rsid w:val="007A5B46"/>
    <w:rsid w:val="007B0E23"/>
    <w:rsid w:val="007B184F"/>
    <w:rsid w:val="007B272F"/>
    <w:rsid w:val="007B58CC"/>
    <w:rsid w:val="007C4925"/>
    <w:rsid w:val="007C6DD6"/>
    <w:rsid w:val="007D48C8"/>
    <w:rsid w:val="007D69E4"/>
    <w:rsid w:val="007E5674"/>
    <w:rsid w:val="007F1FCC"/>
    <w:rsid w:val="007F24B7"/>
    <w:rsid w:val="007F2800"/>
    <w:rsid w:val="00801F55"/>
    <w:rsid w:val="00802146"/>
    <w:rsid w:val="008063EC"/>
    <w:rsid w:val="00806B04"/>
    <w:rsid w:val="00811A26"/>
    <w:rsid w:val="00812F31"/>
    <w:rsid w:val="0082094D"/>
    <w:rsid w:val="00820DDE"/>
    <w:rsid w:val="008212E4"/>
    <w:rsid w:val="00823343"/>
    <w:rsid w:val="00834EB0"/>
    <w:rsid w:val="008363E3"/>
    <w:rsid w:val="00836AA8"/>
    <w:rsid w:val="00840B13"/>
    <w:rsid w:val="008411E4"/>
    <w:rsid w:val="008457B8"/>
    <w:rsid w:val="0085372F"/>
    <w:rsid w:val="00854237"/>
    <w:rsid w:val="00861B2E"/>
    <w:rsid w:val="00861CDC"/>
    <w:rsid w:val="00865798"/>
    <w:rsid w:val="00867216"/>
    <w:rsid w:val="0087068C"/>
    <w:rsid w:val="0087333D"/>
    <w:rsid w:val="00876B61"/>
    <w:rsid w:val="0088024D"/>
    <w:rsid w:val="00880704"/>
    <w:rsid w:val="00880740"/>
    <w:rsid w:val="00887931"/>
    <w:rsid w:val="008903D9"/>
    <w:rsid w:val="00891F6B"/>
    <w:rsid w:val="00897822"/>
    <w:rsid w:val="008A040A"/>
    <w:rsid w:val="008A0E95"/>
    <w:rsid w:val="008A0F6B"/>
    <w:rsid w:val="008A1E5A"/>
    <w:rsid w:val="008A6957"/>
    <w:rsid w:val="008A6F98"/>
    <w:rsid w:val="008B021F"/>
    <w:rsid w:val="008B165D"/>
    <w:rsid w:val="008B3099"/>
    <w:rsid w:val="008C1392"/>
    <w:rsid w:val="008C3090"/>
    <w:rsid w:val="008D4422"/>
    <w:rsid w:val="008D61B8"/>
    <w:rsid w:val="008E478C"/>
    <w:rsid w:val="008E6241"/>
    <w:rsid w:val="008F06F0"/>
    <w:rsid w:val="008F162F"/>
    <w:rsid w:val="008F24F7"/>
    <w:rsid w:val="008F66AD"/>
    <w:rsid w:val="00900F01"/>
    <w:rsid w:val="009015D8"/>
    <w:rsid w:val="009024EC"/>
    <w:rsid w:val="00905C08"/>
    <w:rsid w:val="00916AD6"/>
    <w:rsid w:val="00922073"/>
    <w:rsid w:val="00923C36"/>
    <w:rsid w:val="009243E6"/>
    <w:rsid w:val="00925121"/>
    <w:rsid w:val="00927134"/>
    <w:rsid w:val="00930556"/>
    <w:rsid w:val="00933270"/>
    <w:rsid w:val="00934B67"/>
    <w:rsid w:val="00935BDB"/>
    <w:rsid w:val="0094059E"/>
    <w:rsid w:val="00941D4F"/>
    <w:rsid w:val="00942A9B"/>
    <w:rsid w:val="009519EC"/>
    <w:rsid w:val="009543E7"/>
    <w:rsid w:val="009567B4"/>
    <w:rsid w:val="00957F97"/>
    <w:rsid w:val="00960FE7"/>
    <w:rsid w:val="0096207D"/>
    <w:rsid w:val="009642B4"/>
    <w:rsid w:val="00972761"/>
    <w:rsid w:val="00973239"/>
    <w:rsid w:val="009743FB"/>
    <w:rsid w:val="009773D9"/>
    <w:rsid w:val="00982160"/>
    <w:rsid w:val="0098261A"/>
    <w:rsid w:val="00984916"/>
    <w:rsid w:val="00984DBE"/>
    <w:rsid w:val="00985D93"/>
    <w:rsid w:val="009868B0"/>
    <w:rsid w:val="009903E3"/>
    <w:rsid w:val="00991900"/>
    <w:rsid w:val="009924B4"/>
    <w:rsid w:val="009926DF"/>
    <w:rsid w:val="00996A86"/>
    <w:rsid w:val="00996EA5"/>
    <w:rsid w:val="00997A99"/>
    <w:rsid w:val="009A1BE4"/>
    <w:rsid w:val="009A1C80"/>
    <w:rsid w:val="009A3488"/>
    <w:rsid w:val="009A3713"/>
    <w:rsid w:val="009A37BE"/>
    <w:rsid w:val="009A4C06"/>
    <w:rsid w:val="009B2575"/>
    <w:rsid w:val="009B29EA"/>
    <w:rsid w:val="009B4206"/>
    <w:rsid w:val="009B50B5"/>
    <w:rsid w:val="009B62AB"/>
    <w:rsid w:val="009B66AA"/>
    <w:rsid w:val="009D0645"/>
    <w:rsid w:val="009D116F"/>
    <w:rsid w:val="009D356A"/>
    <w:rsid w:val="009D54F5"/>
    <w:rsid w:val="009D6824"/>
    <w:rsid w:val="009E0240"/>
    <w:rsid w:val="009E02DA"/>
    <w:rsid w:val="009E5ACD"/>
    <w:rsid w:val="009F210A"/>
    <w:rsid w:val="009F2FE3"/>
    <w:rsid w:val="009F41ED"/>
    <w:rsid w:val="00A01AC8"/>
    <w:rsid w:val="00A02EFF"/>
    <w:rsid w:val="00A05E84"/>
    <w:rsid w:val="00A07E25"/>
    <w:rsid w:val="00A2501B"/>
    <w:rsid w:val="00A31092"/>
    <w:rsid w:val="00A347DD"/>
    <w:rsid w:val="00A3552B"/>
    <w:rsid w:val="00A363B2"/>
    <w:rsid w:val="00A40541"/>
    <w:rsid w:val="00A413BE"/>
    <w:rsid w:val="00A42F12"/>
    <w:rsid w:val="00A4520C"/>
    <w:rsid w:val="00A5436D"/>
    <w:rsid w:val="00A543C0"/>
    <w:rsid w:val="00A644BE"/>
    <w:rsid w:val="00A65DB4"/>
    <w:rsid w:val="00A7246C"/>
    <w:rsid w:val="00A73F62"/>
    <w:rsid w:val="00A818C5"/>
    <w:rsid w:val="00A82538"/>
    <w:rsid w:val="00A83BF8"/>
    <w:rsid w:val="00A86733"/>
    <w:rsid w:val="00A93F97"/>
    <w:rsid w:val="00A97593"/>
    <w:rsid w:val="00AB1F0F"/>
    <w:rsid w:val="00AB35C7"/>
    <w:rsid w:val="00AC0ACF"/>
    <w:rsid w:val="00AC17FE"/>
    <w:rsid w:val="00AC40F7"/>
    <w:rsid w:val="00AC72ED"/>
    <w:rsid w:val="00AD1E69"/>
    <w:rsid w:val="00AD56A5"/>
    <w:rsid w:val="00AD6425"/>
    <w:rsid w:val="00AD6494"/>
    <w:rsid w:val="00AD69F6"/>
    <w:rsid w:val="00AD6D8D"/>
    <w:rsid w:val="00AE1334"/>
    <w:rsid w:val="00AE2310"/>
    <w:rsid w:val="00AE2465"/>
    <w:rsid w:val="00AE5802"/>
    <w:rsid w:val="00AE6009"/>
    <w:rsid w:val="00AE60E6"/>
    <w:rsid w:val="00AE73A0"/>
    <w:rsid w:val="00AE7EBF"/>
    <w:rsid w:val="00AF3E43"/>
    <w:rsid w:val="00B00036"/>
    <w:rsid w:val="00B0063C"/>
    <w:rsid w:val="00B01187"/>
    <w:rsid w:val="00B01EA3"/>
    <w:rsid w:val="00B037E1"/>
    <w:rsid w:val="00B043EC"/>
    <w:rsid w:val="00B06589"/>
    <w:rsid w:val="00B1074B"/>
    <w:rsid w:val="00B15188"/>
    <w:rsid w:val="00B229F2"/>
    <w:rsid w:val="00B2408B"/>
    <w:rsid w:val="00B268AF"/>
    <w:rsid w:val="00B273B3"/>
    <w:rsid w:val="00B2741E"/>
    <w:rsid w:val="00B27FD3"/>
    <w:rsid w:val="00B30647"/>
    <w:rsid w:val="00B3237D"/>
    <w:rsid w:val="00B334DF"/>
    <w:rsid w:val="00B365A4"/>
    <w:rsid w:val="00B37F8B"/>
    <w:rsid w:val="00B42152"/>
    <w:rsid w:val="00B42873"/>
    <w:rsid w:val="00B441B2"/>
    <w:rsid w:val="00B44EF6"/>
    <w:rsid w:val="00B50C66"/>
    <w:rsid w:val="00B51F7D"/>
    <w:rsid w:val="00B56E9F"/>
    <w:rsid w:val="00B657DB"/>
    <w:rsid w:val="00B67008"/>
    <w:rsid w:val="00B70778"/>
    <w:rsid w:val="00B74668"/>
    <w:rsid w:val="00B80B73"/>
    <w:rsid w:val="00B91888"/>
    <w:rsid w:val="00B93708"/>
    <w:rsid w:val="00B93822"/>
    <w:rsid w:val="00B93C81"/>
    <w:rsid w:val="00BA0B5A"/>
    <w:rsid w:val="00BA2890"/>
    <w:rsid w:val="00BA33A7"/>
    <w:rsid w:val="00BB0BCB"/>
    <w:rsid w:val="00BB33EC"/>
    <w:rsid w:val="00BB6B19"/>
    <w:rsid w:val="00BC4D85"/>
    <w:rsid w:val="00BC5680"/>
    <w:rsid w:val="00BC7156"/>
    <w:rsid w:val="00BD37DC"/>
    <w:rsid w:val="00BD3E8A"/>
    <w:rsid w:val="00BD5D4F"/>
    <w:rsid w:val="00BE2929"/>
    <w:rsid w:val="00BE2FB6"/>
    <w:rsid w:val="00BE3D0F"/>
    <w:rsid w:val="00BE5740"/>
    <w:rsid w:val="00BE656A"/>
    <w:rsid w:val="00BF2EE2"/>
    <w:rsid w:val="00BF3700"/>
    <w:rsid w:val="00BF398C"/>
    <w:rsid w:val="00BF68DA"/>
    <w:rsid w:val="00C047DE"/>
    <w:rsid w:val="00C05B24"/>
    <w:rsid w:val="00C0734E"/>
    <w:rsid w:val="00C076F3"/>
    <w:rsid w:val="00C10225"/>
    <w:rsid w:val="00C11CF6"/>
    <w:rsid w:val="00C11F20"/>
    <w:rsid w:val="00C147D9"/>
    <w:rsid w:val="00C1594D"/>
    <w:rsid w:val="00C15D45"/>
    <w:rsid w:val="00C223F8"/>
    <w:rsid w:val="00C226BE"/>
    <w:rsid w:val="00C2523D"/>
    <w:rsid w:val="00C254E6"/>
    <w:rsid w:val="00C26F7B"/>
    <w:rsid w:val="00C27BCA"/>
    <w:rsid w:val="00C323EB"/>
    <w:rsid w:val="00C33E1B"/>
    <w:rsid w:val="00C37FCD"/>
    <w:rsid w:val="00C401A3"/>
    <w:rsid w:val="00C40882"/>
    <w:rsid w:val="00C41933"/>
    <w:rsid w:val="00C53728"/>
    <w:rsid w:val="00C5412C"/>
    <w:rsid w:val="00C64614"/>
    <w:rsid w:val="00C65AFA"/>
    <w:rsid w:val="00C84A58"/>
    <w:rsid w:val="00C93526"/>
    <w:rsid w:val="00CA00B3"/>
    <w:rsid w:val="00CA05E6"/>
    <w:rsid w:val="00CA2C89"/>
    <w:rsid w:val="00CA4846"/>
    <w:rsid w:val="00CB0004"/>
    <w:rsid w:val="00CB48A5"/>
    <w:rsid w:val="00CB63C3"/>
    <w:rsid w:val="00CC096C"/>
    <w:rsid w:val="00CC0A7C"/>
    <w:rsid w:val="00CC63F7"/>
    <w:rsid w:val="00CC7B94"/>
    <w:rsid w:val="00CC7D4B"/>
    <w:rsid w:val="00CD1814"/>
    <w:rsid w:val="00CD589F"/>
    <w:rsid w:val="00CE4514"/>
    <w:rsid w:val="00CE6852"/>
    <w:rsid w:val="00CF1536"/>
    <w:rsid w:val="00CF4FA4"/>
    <w:rsid w:val="00D041E4"/>
    <w:rsid w:val="00D04693"/>
    <w:rsid w:val="00D0664F"/>
    <w:rsid w:val="00D120F1"/>
    <w:rsid w:val="00D12D33"/>
    <w:rsid w:val="00D14414"/>
    <w:rsid w:val="00D16E5C"/>
    <w:rsid w:val="00D17C62"/>
    <w:rsid w:val="00D21134"/>
    <w:rsid w:val="00D2737E"/>
    <w:rsid w:val="00D27B93"/>
    <w:rsid w:val="00D30C37"/>
    <w:rsid w:val="00D32E27"/>
    <w:rsid w:val="00D331C9"/>
    <w:rsid w:val="00D33635"/>
    <w:rsid w:val="00D425C6"/>
    <w:rsid w:val="00D4525C"/>
    <w:rsid w:val="00D506BB"/>
    <w:rsid w:val="00D51285"/>
    <w:rsid w:val="00D51C98"/>
    <w:rsid w:val="00D522DC"/>
    <w:rsid w:val="00D52CD0"/>
    <w:rsid w:val="00D52E5E"/>
    <w:rsid w:val="00D530AF"/>
    <w:rsid w:val="00D54867"/>
    <w:rsid w:val="00D6750C"/>
    <w:rsid w:val="00D71E90"/>
    <w:rsid w:val="00D76F21"/>
    <w:rsid w:val="00D807BE"/>
    <w:rsid w:val="00D826A5"/>
    <w:rsid w:val="00D87DEF"/>
    <w:rsid w:val="00D90B4D"/>
    <w:rsid w:val="00D91B6D"/>
    <w:rsid w:val="00D94A82"/>
    <w:rsid w:val="00D94C00"/>
    <w:rsid w:val="00D96184"/>
    <w:rsid w:val="00DA0726"/>
    <w:rsid w:val="00DB2318"/>
    <w:rsid w:val="00DB6AB7"/>
    <w:rsid w:val="00DB711E"/>
    <w:rsid w:val="00DB7ED6"/>
    <w:rsid w:val="00DC476C"/>
    <w:rsid w:val="00DC4C1C"/>
    <w:rsid w:val="00DC5707"/>
    <w:rsid w:val="00DD11BF"/>
    <w:rsid w:val="00DD2564"/>
    <w:rsid w:val="00DD3D15"/>
    <w:rsid w:val="00DD3F0A"/>
    <w:rsid w:val="00DD614A"/>
    <w:rsid w:val="00DD688B"/>
    <w:rsid w:val="00DE5B01"/>
    <w:rsid w:val="00DE5F5F"/>
    <w:rsid w:val="00DF59B5"/>
    <w:rsid w:val="00E00F52"/>
    <w:rsid w:val="00E00F6A"/>
    <w:rsid w:val="00E01042"/>
    <w:rsid w:val="00E015A6"/>
    <w:rsid w:val="00E02127"/>
    <w:rsid w:val="00E024B9"/>
    <w:rsid w:val="00E04948"/>
    <w:rsid w:val="00E06ED3"/>
    <w:rsid w:val="00E1007C"/>
    <w:rsid w:val="00E11AD8"/>
    <w:rsid w:val="00E24108"/>
    <w:rsid w:val="00E267F2"/>
    <w:rsid w:val="00E327D2"/>
    <w:rsid w:val="00E3312A"/>
    <w:rsid w:val="00E42006"/>
    <w:rsid w:val="00E44133"/>
    <w:rsid w:val="00E4431A"/>
    <w:rsid w:val="00E45D29"/>
    <w:rsid w:val="00E46C4B"/>
    <w:rsid w:val="00E51E09"/>
    <w:rsid w:val="00E6134F"/>
    <w:rsid w:val="00E62FB7"/>
    <w:rsid w:val="00E6479E"/>
    <w:rsid w:val="00E7027A"/>
    <w:rsid w:val="00E71973"/>
    <w:rsid w:val="00E731AB"/>
    <w:rsid w:val="00E74DCC"/>
    <w:rsid w:val="00E7716D"/>
    <w:rsid w:val="00E771DF"/>
    <w:rsid w:val="00E7768C"/>
    <w:rsid w:val="00E85F9E"/>
    <w:rsid w:val="00E9236A"/>
    <w:rsid w:val="00E92CCD"/>
    <w:rsid w:val="00EA6BC1"/>
    <w:rsid w:val="00EB0758"/>
    <w:rsid w:val="00EB2161"/>
    <w:rsid w:val="00EB3A21"/>
    <w:rsid w:val="00EB5714"/>
    <w:rsid w:val="00EB66CF"/>
    <w:rsid w:val="00EB79A9"/>
    <w:rsid w:val="00EC172D"/>
    <w:rsid w:val="00EC24BE"/>
    <w:rsid w:val="00EC735B"/>
    <w:rsid w:val="00ED15CF"/>
    <w:rsid w:val="00ED50CB"/>
    <w:rsid w:val="00ED751B"/>
    <w:rsid w:val="00EE0008"/>
    <w:rsid w:val="00EE115F"/>
    <w:rsid w:val="00EE3151"/>
    <w:rsid w:val="00EE39A4"/>
    <w:rsid w:val="00EF0095"/>
    <w:rsid w:val="00EF14BE"/>
    <w:rsid w:val="00EF3FB8"/>
    <w:rsid w:val="00EF52DD"/>
    <w:rsid w:val="00EF5C76"/>
    <w:rsid w:val="00EF5ED4"/>
    <w:rsid w:val="00EF602A"/>
    <w:rsid w:val="00EF7B1D"/>
    <w:rsid w:val="00F0101A"/>
    <w:rsid w:val="00F02BAE"/>
    <w:rsid w:val="00F031C2"/>
    <w:rsid w:val="00F07F84"/>
    <w:rsid w:val="00F1019F"/>
    <w:rsid w:val="00F101FF"/>
    <w:rsid w:val="00F10D95"/>
    <w:rsid w:val="00F10DA8"/>
    <w:rsid w:val="00F11A49"/>
    <w:rsid w:val="00F12A75"/>
    <w:rsid w:val="00F159A0"/>
    <w:rsid w:val="00F16D84"/>
    <w:rsid w:val="00F171D8"/>
    <w:rsid w:val="00F17589"/>
    <w:rsid w:val="00F27B74"/>
    <w:rsid w:val="00F314A5"/>
    <w:rsid w:val="00F32022"/>
    <w:rsid w:val="00F3493F"/>
    <w:rsid w:val="00F358EC"/>
    <w:rsid w:val="00F374FF"/>
    <w:rsid w:val="00F42C4E"/>
    <w:rsid w:val="00F43019"/>
    <w:rsid w:val="00F43519"/>
    <w:rsid w:val="00F45184"/>
    <w:rsid w:val="00F4577C"/>
    <w:rsid w:val="00F56287"/>
    <w:rsid w:val="00F563BB"/>
    <w:rsid w:val="00F5655A"/>
    <w:rsid w:val="00F57D55"/>
    <w:rsid w:val="00F57E42"/>
    <w:rsid w:val="00F62B55"/>
    <w:rsid w:val="00F637C5"/>
    <w:rsid w:val="00F653F7"/>
    <w:rsid w:val="00F67896"/>
    <w:rsid w:val="00F7194A"/>
    <w:rsid w:val="00F727C3"/>
    <w:rsid w:val="00F81C05"/>
    <w:rsid w:val="00F826C6"/>
    <w:rsid w:val="00F8444A"/>
    <w:rsid w:val="00F8730C"/>
    <w:rsid w:val="00F87F39"/>
    <w:rsid w:val="00FA3B9A"/>
    <w:rsid w:val="00FB3B8E"/>
    <w:rsid w:val="00FB4FCC"/>
    <w:rsid w:val="00FC1862"/>
    <w:rsid w:val="00FC1B34"/>
    <w:rsid w:val="00FC300C"/>
    <w:rsid w:val="00FC3CAB"/>
    <w:rsid w:val="00FD0965"/>
    <w:rsid w:val="00FD4F80"/>
    <w:rsid w:val="00FD6F02"/>
    <w:rsid w:val="00FD7014"/>
    <w:rsid w:val="00FE0024"/>
    <w:rsid w:val="00FE0103"/>
    <w:rsid w:val="00FE0B6B"/>
    <w:rsid w:val="00FE38E9"/>
    <w:rsid w:val="00FE482B"/>
    <w:rsid w:val="00FE69FE"/>
    <w:rsid w:val="00FE7593"/>
    <w:rsid w:val="00FF2045"/>
    <w:rsid w:val="00FF2562"/>
    <w:rsid w:val="00FF54BA"/>
    <w:rsid w:val="00FF65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5B04B"/>
  <w15:chartTrackingRefBased/>
  <w15:docId w15:val="{4B9D6983-26CB-48CB-98EC-8053376F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C0B"/>
    <w:pPr>
      <w:spacing w:after="200" w:line="276" w:lineRule="auto"/>
    </w:pPr>
    <w:rPr>
      <w:sz w:val="22"/>
      <w:szCs w:val="22"/>
      <w:lang w:eastAsia="zh-CN"/>
    </w:rPr>
  </w:style>
  <w:style w:type="paragraph" w:styleId="1">
    <w:name w:val="heading 1"/>
    <w:basedOn w:val="a"/>
    <w:next w:val="a"/>
    <w:link w:val="10"/>
    <w:qFormat/>
    <w:locked/>
    <w:rsid w:val="009642B4"/>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locked/>
    <w:rsid w:val="00EF52DD"/>
    <w:pPr>
      <w:keepNext/>
      <w:spacing w:after="0" w:line="240" w:lineRule="auto"/>
      <w:jc w:val="right"/>
      <w:outlineLvl w:val="1"/>
    </w:pPr>
    <w:rPr>
      <w:rFonts w:ascii="Times New Roman" w:eastAsia="Times New Roman" w:hAnsi="Times New Roman"/>
      <w:sz w:val="28"/>
      <w:szCs w:val="20"/>
      <w:lang w:eastAsia="en-US"/>
    </w:rPr>
  </w:style>
  <w:style w:type="paragraph" w:styleId="3">
    <w:name w:val="heading 3"/>
    <w:basedOn w:val="a"/>
    <w:next w:val="a"/>
    <w:link w:val="30"/>
    <w:semiHidden/>
    <w:unhideWhenUsed/>
    <w:qFormat/>
    <w:locked/>
    <w:rsid w:val="00767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nhideWhenUsed/>
    <w:qFormat/>
    <w:locked/>
    <w:rsid w:val="00161EBC"/>
    <w:pPr>
      <w:keepNext/>
      <w:spacing w:before="240" w:after="60"/>
      <w:outlineLvl w:val="3"/>
    </w:pPr>
    <w:rPr>
      <w:rFonts w:eastAsia="Times New Roman"/>
      <w:b/>
      <w:bCs/>
      <w:sz w:val="28"/>
      <w:szCs w:val="28"/>
    </w:rPr>
  </w:style>
  <w:style w:type="paragraph" w:styleId="7">
    <w:name w:val="heading 7"/>
    <w:basedOn w:val="a"/>
    <w:next w:val="a"/>
    <w:link w:val="70"/>
    <w:unhideWhenUsed/>
    <w:qFormat/>
    <w:locked/>
    <w:rsid w:val="008A040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3822"/>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List Paragraph 1,List Paragraph1"/>
    <w:basedOn w:val="a"/>
    <w:link w:val="a5"/>
    <w:qFormat/>
    <w:rsid w:val="00B93822"/>
    <w:pPr>
      <w:ind w:left="720"/>
      <w:contextualSpacing/>
    </w:pPr>
  </w:style>
  <w:style w:type="paragraph" w:styleId="a6">
    <w:name w:val="footer"/>
    <w:basedOn w:val="a"/>
    <w:rsid w:val="00245D8F"/>
    <w:pPr>
      <w:tabs>
        <w:tab w:val="center" w:pos="4677"/>
        <w:tab w:val="right" w:pos="9355"/>
      </w:tabs>
    </w:pPr>
  </w:style>
  <w:style w:type="character" w:styleId="a7">
    <w:name w:val="page number"/>
    <w:basedOn w:val="a0"/>
    <w:rsid w:val="00245D8F"/>
  </w:style>
  <w:style w:type="character" w:customStyle="1" w:styleId="apple-converted-space">
    <w:name w:val="apple-converted-space"/>
    <w:rsid w:val="00DB7ED6"/>
  </w:style>
  <w:style w:type="character" w:styleId="a8">
    <w:name w:val="Strong"/>
    <w:uiPriority w:val="22"/>
    <w:qFormat/>
    <w:locked/>
    <w:rsid w:val="00DB7ED6"/>
    <w:rPr>
      <w:b/>
      <w:bCs/>
    </w:rPr>
  </w:style>
  <w:style w:type="character" w:customStyle="1" w:styleId="docheader">
    <w:name w:val="doc_header"/>
    <w:rsid w:val="00DB7ED6"/>
  </w:style>
  <w:style w:type="paragraph" w:styleId="a9">
    <w:name w:val="Balloon Text"/>
    <w:basedOn w:val="a"/>
    <w:link w:val="aa"/>
    <w:rsid w:val="00CC7B94"/>
    <w:pPr>
      <w:spacing w:after="0" w:line="240" w:lineRule="auto"/>
    </w:pPr>
    <w:rPr>
      <w:rFonts w:ascii="Tahoma" w:hAnsi="Tahoma"/>
      <w:sz w:val="16"/>
      <w:szCs w:val="16"/>
      <w:lang w:val="x-none" w:eastAsia="x-none"/>
    </w:rPr>
  </w:style>
  <w:style w:type="character" w:customStyle="1" w:styleId="aa">
    <w:name w:val="Текст выноски Знак"/>
    <w:link w:val="a9"/>
    <w:rsid w:val="00CC7B94"/>
    <w:rPr>
      <w:rFonts w:ascii="Tahoma" w:hAnsi="Tahoma" w:cs="Tahoma"/>
      <w:sz w:val="16"/>
      <w:szCs w:val="16"/>
    </w:rPr>
  </w:style>
  <w:style w:type="paragraph" w:customStyle="1" w:styleId="Default">
    <w:name w:val="Default"/>
    <w:rsid w:val="00441280"/>
    <w:pPr>
      <w:autoSpaceDE w:val="0"/>
      <w:autoSpaceDN w:val="0"/>
      <w:adjustRightInd w:val="0"/>
    </w:pPr>
    <w:rPr>
      <w:rFonts w:ascii="Cambria" w:hAnsi="Cambria" w:cs="Cambria"/>
      <w:color w:val="000000"/>
      <w:sz w:val="24"/>
      <w:szCs w:val="24"/>
      <w:lang w:eastAsia="zh-CN"/>
    </w:rPr>
  </w:style>
  <w:style w:type="paragraph" w:styleId="ab">
    <w:name w:val="annotation text"/>
    <w:basedOn w:val="a"/>
    <w:link w:val="ac"/>
    <w:unhideWhenUsed/>
    <w:rsid w:val="00E51E09"/>
    <w:rPr>
      <w:sz w:val="20"/>
      <w:szCs w:val="20"/>
    </w:rPr>
  </w:style>
  <w:style w:type="character" w:customStyle="1" w:styleId="ac">
    <w:name w:val="Текст примечания Знак"/>
    <w:basedOn w:val="a0"/>
    <w:link w:val="ab"/>
    <w:rsid w:val="00E51E09"/>
  </w:style>
  <w:style w:type="paragraph" w:styleId="ad">
    <w:name w:val="No Spacing"/>
    <w:uiPriority w:val="1"/>
    <w:qFormat/>
    <w:rsid w:val="00C40882"/>
    <w:rPr>
      <w:sz w:val="22"/>
      <w:szCs w:val="22"/>
      <w:lang w:eastAsia="zh-CN"/>
    </w:rPr>
  </w:style>
  <w:style w:type="character" w:styleId="ae">
    <w:name w:val="Hyperlink"/>
    <w:rsid w:val="00FE0103"/>
    <w:rPr>
      <w:color w:val="0000FF"/>
      <w:u w:val="single"/>
    </w:rPr>
  </w:style>
  <w:style w:type="character" w:styleId="af">
    <w:name w:val="Emphasis"/>
    <w:uiPriority w:val="20"/>
    <w:qFormat/>
    <w:locked/>
    <w:rsid w:val="00342DAE"/>
    <w:rPr>
      <w:i/>
      <w:iCs/>
    </w:rPr>
  </w:style>
  <w:style w:type="character" w:customStyle="1" w:styleId="Bodytext10">
    <w:name w:val="Body text (10)"/>
    <w:rsid w:val="00BE3D0F"/>
    <w:rPr>
      <w:rFonts w:ascii="Times New Roman" w:hAnsi="Times New Roman" w:cs="Times New Roman"/>
      <w:color w:val="000000"/>
      <w:spacing w:val="0"/>
      <w:w w:val="100"/>
      <w:position w:val="0"/>
      <w:sz w:val="8"/>
      <w:szCs w:val="8"/>
      <w:u w:val="none"/>
      <w:lang w:val="ro-RO" w:eastAsia="ro-RO"/>
    </w:rPr>
  </w:style>
  <w:style w:type="paragraph" w:styleId="af0">
    <w:name w:val="Normal (Web)"/>
    <w:basedOn w:val="a"/>
    <w:uiPriority w:val="99"/>
    <w:unhideWhenUsed/>
    <w:rsid w:val="00C26F7B"/>
    <w:pPr>
      <w:spacing w:after="0" w:line="240" w:lineRule="auto"/>
      <w:ind w:firstLine="567"/>
      <w:jc w:val="both"/>
    </w:pPr>
    <w:rPr>
      <w:rFonts w:ascii="Times New Roman" w:eastAsia="Times New Roman" w:hAnsi="Times New Roman"/>
      <w:sz w:val="24"/>
      <w:szCs w:val="24"/>
      <w:lang w:val="ru-RU" w:eastAsia="ru-RU"/>
    </w:rPr>
  </w:style>
  <w:style w:type="paragraph" w:styleId="af1">
    <w:name w:val="footnote text"/>
    <w:basedOn w:val="a"/>
    <w:link w:val="af2"/>
    <w:rsid w:val="00C1594D"/>
    <w:rPr>
      <w:sz w:val="20"/>
      <w:szCs w:val="20"/>
    </w:rPr>
  </w:style>
  <w:style w:type="character" w:customStyle="1" w:styleId="af2">
    <w:name w:val="Текст сноски Знак"/>
    <w:link w:val="af1"/>
    <w:rsid w:val="00C1594D"/>
    <w:rPr>
      <w:lang w:val="ro-RO" w:eastAsia="zh-CN"/>
    </w:rPr>
  </w:style>
  <w:style w:type="character" w:styleId="af3">
    <w:name w:val="footnote reference"/>
    <w:rsid w:val="00C1594D"/>
    <w:rPr>
      <w:vertAlign w:val="superscript"/>
    </w:rPr>
  </w:style>
  <w:style w:type="character" w:styleId="af4">
    <w:name w:val="FollowedHyperlink"/>
    <w:rsid w:val="00AD1E69"/>
    <w:rPr>
      <w:color w:val="800080"/>
      <w:u w:val="single"/>
    </w:rPr>
  </w:style>
  <w:style w:type="paragraph" w:styleId="af5">
    <w:name w:val="header"/>
    <w:basedOn w:val="a"/>
    <w:link w:val="af6"/>
    <w:rsid w:val="00D120F1"/>
    <w:pPr>
      <w:tabs>
        <w:tab w:val="center" w:pos="4677"/>
        <w:tab w:val="right" w:pos="9355"/>
      </w:tabs>
    </w:pPr>
  </w:style>
  <w:style w:type="character" w:customStyle="1" w:styleId="af6">
    <w:name w:val="Верхний колонтитул Знак"/>
    <w:link w:val="af5"/>
    <w:rsid w:val="00D120F1"/>
    <w:rPr>
      <w:sz w:val="22"/>
      <w:szCs w:val="22"/>
      <w:lang w:val="ro-RO" w:eastAsia="zh-CN"/>
    </w:rPr>
  </w:style>
  <w:style w:type="character" w:customStyle="1" w:styleId="a5">
    <w:name w:val="Абзац списка Знак"/>
    <w:aliases w:val="List Paragraph 1 Знак,List Paragraph1 Знак"/>
    <w:link w:val="a4"/>
    <w:uiPriority w:val="34"/>
    <w:rsid w:val="001176A7"/>
    <w:rPr>
      <w:sz w:val="22"/>
      <w:szCs w:val="22"/>
      <w:lang w:val="ro-RO" w:eastAsia="zh-CN"/>
    </w:rPr>
  </w:style>
  <w:style w:type="paragraph" w:customStyle="1" w:styleId="TableParagraph">
    <w:name w:val="Table Paragraph"/>
    <w:basedOn w:val="a"/>
    <w:uiPriority w:val="1"/>
    <w:qFormat/>
    <w:rsid w:val="00631599"/>
    <w:pPr>
      <w:widowControl w:val="0"/>
      <w:spacing w:after="0" w:line="240" w:lineRule="auto"/>
    </w:pPr>
    <w:rPr>
      <w:rFonts w:eastAsia="Calibri"/>
      <w:lang w:val="en-US" w:eastAsia="en-US"/>
    </w:rPr>
  </w:style>
  <w:style w:type="character" w:customStyle="1" w:styleId="20">
    <w:name w:val="Заголовок 2 Знак"/>
    <w:link w:val="2"/>
    <w:rsid w:val="00EF52DD"/>
    <w:rPr>
      <w:rFonts w:ascii="Times New Roman" w:eastAsia="Times New Roman" w:hAnsi="Times New Roman"/>
      <w:sz w:val="28"/>
      <w:lang w:val="ro-RO"/>
    </w:rPr>
  </w:style>
  <w:style w:type="character" w:customStyle="1" w:styleId="10">
    <w:name w:val="Заголовок 1 Знак"/>
    <w:link w:val="1"/>
    <w:rsid w:val="009642B4"/>
    <w:rPr>
      <w:rFonts w:ascii="Calibri Light" w:eastAsia="Times New Roman" w:hAnsi="Calibri Light" w:cs="Times New Roman"/>
      <w:b/>
      <w:bCs/>
      <w:kern w:val="32"/>
      <w:sz w:val="32"/>
      <w:szCs w:val="32"/>
      <w:lang w:val="ro-RO" w:eastAsia="zh-CN"/>
    </w:rPr>
  </w:style>
  <w:style w:type="character" w:customStyle="1" w:styleId="40">
    <w:name w:val="Заголовок 4 Знак"/>
    <w:link w:val="4"/>
    <w:rsid w:val="00161EBC"/>
    <w:rPr>
      <w:rFonts w:ascii="Calibri" w:eastAsia="Times New Roman" w:hAnsi="Calibri" w:cs="Times New Roman"/>
      <w:b/>
      <w:bCs/>
      <w:sz w:val="28"/>
      <w:szCs w:val="28"/>
      <w:lang w:val="ro-RO" w:eastAsia="zh-CN"/>
    </w:rPr>
  </w:style>
  <w:style w:type="character" w:customStyle="1" w:styleId="70">
    <w:name w:val="Заголовок 7 Знак"/>
    <w:basedOn w:val="a0"/>
    <w:link w:val="7"/>
    <w:rsid w:val="008A040A"/>
    <w:rPr>
      <w:rFonts w:asciiTheme="majorHAnsi" w:eastAsiaTheme="majorEastAsia" w:hAnsiTheme="majorHAnsi" w:cstheme="majorBidi"/>
      <w:i/>
      <w:iCs/>
      <w:color w:val="1F3763" w:themeColor="accent1" w:themeShade="7F"/>
      <w:sz w:val="22"/>
      <w:szCs w:val="22"/>
      <w:lang w:eastAsia="zh-CN"/>
    </w:rPr>
  </w:style>
  <w:style w:type="character" w:customStyle="1" w:styleId="30">
    <w:name w:val="Заголовок 3 Знак"/>
    <w:basedOn w:val="a0"/>
    <w:link w:val="3"/>
    <w:semiHidden/>
    <w:rsid w:val="00767C89"/>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814">
      <w:bodyDiv w:val="1"/>
      <w:marLeft w:val="0"/>
      <w:marRight w:val="0"/>
      <w:marTop w:val="0"/>
      <w:marBottom w:val="0"/>
      <w:divBdr>
        <w:top w:val="none" w:sz="0" w:space="0" w:color="auto"/>
        <w:left w:val="none" w:sz="0" w:space="0" w:color="auto"/>
        <w:bottom w:val="none" w:sz="0" w:space="0" w:color="auto"/>
        <w:right w:val="none" w:sz="0" w:space="0" w:color="auto"/>
      </w:divBdr>
      <w:divsChild>
        <w:div w:id="226843916">
          <w:marLeft w:val="0"/>
          <w:marRight w:val="0"/>
          <w:marTop w:val="0"/>
          <w:marBottom w:val="0"/>
          <w:divBdr>
            <w:top w:val="none" w:sz="0" w:space="0" w:color="auto"/>
            <w:left w:val="none" w:sz="0" w:space="0" w:color="auto"/>
            <w:bottom w:val="none" w:sz="0" w:space="0" w:color="auto"/>
            <w:right w:val="none" w:sz="0" w:space="0" w:color="auto"/>
          </w:divBdr>
          <w:divsChild>
            <w:div w:id="1063675962">
              <w:marLeft w:val="0"/>
              <w:marRight w:val="0"/>
              <w:marTop w:val="0"/>
              <w:marBottom w:val="300"/>
              <w:divBdr>
                <w:top w:val="none" w:sz="0" w:space="0" w:color="auto"/>
                <w:left w:val="none" w:sz="0" w:space="0" w:color="auto"/>
                <w:bottom w:val="none" w:sz="0" w:space="0" w:color="auto"/>
                <w:right w:val="none" w:sz="0" w:space="0" w:color="auto"/>
              </w:divBdr>
            </w:div>
          </w:divsChild>
        </w:div>
        <w:div w:id="412161803">
          <w:marLeft w:val="0"/>
          <w:marRight w:val="0"/>
          <w:marTop w:val="0"/>
          <w:marBottom w:val="240"/>
          <w:divBdr>
            <w:top w:val="none" w:sz="0" w:space="0" w:color="auto"/>
            <w:left w:val="none" w:sz="0" w:space="0" w:color="auto"/>
            <w:bottom w:val="none" w:sz="0" w:space="0" w:color="auto"/>
            <w:right w:val="none" w:sz="0" w:space="0" w:color="auto"/>
          </w:divBdr>
          <w:divsChild>
            <w:div w:id="64226631">
              <w:marLeft w:val="0"/>
              <w:marRight w:val="0"/>
              <w:marTop w:val="75"/>
              <w:marBottom w:val="30"/>
              <w:divBdr>
                <w:top w:val="single" w:sz="6" w:space="0" w:color="E5E5E5"/>
                <w:left w:val="single" w:sz="6" w:space="0" w:color="E5E5E5"/>
                <w:bottom w:val="single" w:sz="6" w:space="0" w:color="E5E5E5"/>
                <w:right w:val="single" w:sz="6" w:space="0" w:color="E5E5E5"/>
              </w:divBdr>
              <w:divsChild>
                <w:div w:id="407075575">
                  <w:marLeft w:val="0"/>
                  <w:marRight w:val="0"/>
                  <w:marTop w:val="0"/>
                  <w:marBottom w:val="0"/>
                  <w:divBdr>
                    <w:top w:val="none" w:sz="0" w:space="0" w:color="auto"/>
                    <w:left w:val="none" w:sz="0" w:space="0" w:color="auto"/>
                    <w:bottom w:val="none" w:sz="0" w:space="0" w:color="auto"/>
                    <w:right w:val="none" w:sz="0" w:space="0" w:color="auto"/>
                  </w:divBdr>
                  <w:divsChild>
                    <w:div w:id="2147356493">
                      <w:marLeft w:val="0"/>
                      <w:marRight w:val="0"/>
                      <w:marTop w:val="0"/>
                      <w:marBottom w:val="0"/>
                      <w:divBdr>
                        <w:top w:val="single" w:sz="6" w:space="11" w:color="E5E5E5"/>
                        <w:left w:val="none" w:sz="0" w:space="0" w:color="auto"/>
                        <w:bottom w:val="none" w:sz="0" w:space="0" w:color="auto"/>
                        <w:right w:val="none" w:sz="0" w:space="0" w:color="auto"/>
                      </w:divBdr>
                    </w:div>
                  </w:divsChild>
                </w:div>
                <w:div w:id="414402281">
                  <w:marLeft w:val="0"/>
                  <w:marRight w:val="0"/>
                  <w:marTop w:val="0"/>
                  <w:marBottom w:val="0"/>
                  <w:divBdr>
                    <w:top w:val="none" w:sz="0" w:space="0" w:color="auto"/>
                    <w:left w:val="none" w:sz="0" w:space="0" w:color="auto"/>
                    <w:bottom w:val="none" w:sz="0" w:space="0" w:color="auto"/>
                    <w:right w:val="none" w:sz="0" w:space="0" w:color="auto"/>
                  </w:divBdr>
                </w:div>
              </w:divsChild>
            </w:div>
            <w:div w:id="235171700">
              <w:marLeft w:val="0"/>
              <w:marRight w:val="0"/>
              <w:marTop w:val="75"/>
              <w:marBottom w:val="30"/>
              <w:divBdr>
                <w:top w:val="single" w:sz="6" w:space="0" w:color="E5E5E5"/>
                <w:left w:val="single" w:sz="6" w:space="0" w:color="E5E5E5"/>
                <w:bottom w:val="single" w:sz="6" w:space="0" w:color="E5E5E5"/>
                <w:right w:val="single" w:sz="6" w:space="0" w:color="E5E5E5"/>
              </w:divBdr>
              <w:divsChild>
                <w:div w:id="1140534395">
                  <w:marLeft w:val="0"/>
                  <w:marRight w:val="0"/>
                  <w:marTop w:val="0"/>
                  <w:marBottom w:val="0"/>
                  <w:divBdr>
                    <w:top w:val="none" w:sz="0" w:space="0" w:color="auto"/>
                    <w:left w:val="none" w:sz="0" w:space="0" w:color="auto"/>
                    <w:bottom w:val="none" w:sz="0" w:space="0" w:color="auto"/>
                    <w:right w:val="none" w:sz="0" w:space="0" w:color="auto"/>
                  </w:divBdr>
                  <w:divsChild>
                    <w:div w:id="1200972622">
                      <w:marLeft w:val="0"/>
                      <w:marRight w:val="0"/>
                      <w:marTop w:val="0"/>
                      <w:marBottom w:val="0"/>
                      <w:divBdr>
                        <w:top w:val="single" w:sz="6" w:space="11" w:color="E5E5E5"/>
                        <w:left w:val="none" w:sz="0" w:space="0" w:color="auto"/>
                        <w:bottom w:val="none" w:sz="0" w:space="0" w:color="auto"/>
                        <w:right w:val="none" w:sz="0" w:space="0" w:color="auto"/>
                      </w:divBdr>
                    </w:div>
                  </w:divsChild>
                </w:div>
                <w:div w:id="1622757750">
                  <w:marLeft w:val="0"/>
                  <w:marRight w:val="0"/>
                  <w:marTop w:val="0"/>
                  <w:marBottom w:val="0"/>
                  <w:divBdr>
                    <w:top w:val="none" w:sz="0" w:space="0" w:color="auto"/>
                    <w:left w:val="none" w:sz="0" w:space="0" w:color="auto"/>
                    <w:bottom w:val="none" w:sz="0" w:space="0" w:color="auto"/>
                    <w:right w:val="none" w:sz="0" w:space="0" w:color="auto"/>
                  </w:divBdr>
                </w:div>
              </w:divsChild>
            </w:div>
            <w:div w:id="476461455">
              <w:marLeft w:val="0"/>
              <w:marRight w:val="0"/>
              <w:marTop w:val="75"/>
              <w:marBottom w:val="30"/>
              <w:divBdr>
                <w:top w:val="single" w:sz="6" w:space="0" w:color="E5E5E5"/>
                <w:left w:val="single" w:sz="6" w:space="0" w:color="E5E5E5"/>
                <w:bottom w:val="single" w:sz="6" w:space="0" w:color="E5E5E5"/>
                <w:right w:val="single" w:sz="6" w:space="0" w:color="E5E5E5"/>
              </w:divBdr>
              <w:divsChild>
                <w:div w:id="917516492">
                  <w:marLeft w:val="0"/>
                  <w:marRight w:val="0"/>
                  <w:marTop w:val="0"/>
                  <w:marBottom w:val="0"/>
                  <w:divBdr>
                    <w:top w:val="none" w:sz="0" w:space="0" w:color="auto"/>
                    <w:left w:val="none" w:sz="0" w:space="0" w:color="auto"/>
                    <w:bottom w:val="none" w:sz="0" w:space="0" w:color="auto"/>
                    <w:right w:val="none" w:sz="0" w:space="0" w:color="auto"/>
                  </w:divBdr>
                  <w:divsChild>
                    <w:div w:id="1367173082">
                      <w:marLeft w:val="0"/>
                      <w:marRight w:val="0"/>
                      <w:marTop w:val="0"/>
                      <w:marBottom w:val="0"/>
                      <w:divBdr>
                        <w:top w:val="single" w:sz="6" w:space="11" w:color="E5E5E5"/>
                        <w:left w:val="none" w:sz="0" w:space="0" w:color="auto"/>
                        <w:bottom w:val="none" w:sz="0" w:space="0" w:color="auto"/>
                        <w:right w:val="none" w:sz="0" w:space="0" w:color="auto"/>
                      </w:divBdr>
                    </w:div>
                  </w:divsChild>
                </w:div>
                <w:div w:id="1943877628">
                  <w:marLeft w:val="0"/>
                  <w:marRight w:val="0"/>
                  <w:marTop w:val="0"/>
                  <w:marBottom w:val="0"/>
                  <w:divBdr>
                    <w:top w:val="none" w:sz="0" w:space="0" w:color="auto"/>
                    <w:left w:val="none" w:sz="0" w:space="0" w:color="auto"/>
                    <w:bottom w:val="none" w:sz="0" w:space="0" w:color="auto"/>
                    <w:right w:val="none" w:sz="0" w:space="0" w:color="auto"/>
                  </w:divBdr>
                </w:div>
              </w:divsChild>
            </w:div>
            <w:div w:id="531184645">
              <w:marLeft w:val="0"/>
              <w:marRight w:val="0"/>
              <w:marTop w:val="75"/>
              <w:marBottom w:val="30"/>
              <w:divBdr>
                <w:top w:val="single" w:sz="6" w:space="0" w:color="E5E5E5"/>
                <w:left w:val="single" w:sz="6" w:space="0" w:color="E5E5E5"/>
                <w:bottom w:val="single" w:sz="6" w:space="0" w:color="E5E5E5"/>
                <w:right w:val="single" w:sz="6" w:space="0" w:color="E5E5E5"/>
              </w:divBdr>
              <w:divsChild>
                <w:div w:id="1030841838">
                  <w:marLeft w:val="0"/>
                  <w:marRight w:val="0"/>
                  <w:marTop w:val="0"/>
                  <w:marBottom w:val="0"/>
                  <w:divBdr>
                    <w:top w:val="none" w:sz="0" w:space="0" w:color="auto"/>
                    <w:left w:val="none" w:sz="0" w:space="0" w:color="auto"/>
                    <w:bottom w:val="none" w:sz="0" w:space="0" w:color="auto"/>
                    <w:right w:val="none" w:sz="0" w:space="0" w:color="auto"/>
                  </w:divBdr>
                </w:div>
                <w:div w:id="1482844348">
                  <w:marLeft w:val="0"/>
                  <w:marRight w:val="0"/>
                  <w:marTop w:val="0"/>
                  <w:marBottom w:val="0"/>
                  <w:divBdr>
                    <w:top w:val="none" w:sz="0" w:space="0" w:color="auto"/>
                    <w:left w:val="none" w:sz="0" w:space="0" w:color="auto"/>
                    <w:bottom w:val="none" w:sz="0" w:space="0" w:color="auto"/>
                    <w:right w:val="none" w:sz="0" w:space="0" w:color="auto"/>
                  </w:divBdr>
                  <w:divsChild>
                    <w:div w:id="186104645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 w:id="535049975">
              <w:marLeft w:val="0"/>
              <w:marRight w:val="0"/>
              <w:marTop w:val="0"/>
              <w:marBottom w:val="30"/>
              <w:divBdr>
                <w:top w:val="single" w:sz="6" w:space="0" w:color="E5E5E5"/>
                <w:left w:val="single" w:sz="6" w:space="0" w:color="E5E5E5"/>
                <w:bottom w:val="single" w:sz="6" w:space="0" w:color="E5E5E5"/>
                <w:right w:val="single" w:sz="6" w:space="0" w:color="E5E5E5"/>
              </w:divBdr>
              <w:divsChild>
                <w:div w:id="128012024">
                  <w:marLeft w:val="0"/>
                  <w:marRight w:val="0"/>
                  <w:marTop w:val="0"/>
                  <w:marBottom w:val="0"/>
                  <w:divBdr>
                    <w:top w:val="none" w:sz="0" w:space="0" w:color="auto"/>
                    <w:left w:val="none" w:sz="0" w:space="0" w:color="auto"/>
                    <w:bottom w:val="none" w:sz="0" w:space="0" w:color="auto"/>
                    <w:right w:val="none" w:sz="0" w:space="0" w:color="auto"/>
                  </w:divBdr>
                  <w:divsChild>
                    <w:div w:id="625624839">
                      <w:marLeft w:val="0"/>
                      <w:marRight w:val="0"/>
                      <w:marTop w:val="0"/>
                      <w:marBottom w:val="0"/>
                      <w:divBdr>
                        <w:top w:val="single" w:sz="6" w:space="11" w:color="E5E5E5"/>
                        <w:left w:val="none" w:sz="0" w:space="0" w:color="auto"/>
                        <w:bottom w:val="none" w:sz="0" w:space="0" w:color="auto"/>
                        <w:right w:val="none" w:sz="0" w:space="0" w:color="auto"/>
                      </w:divBdr>
                    </w:div>
                  </w:divsChild>
                </w:div>
                <w:div w:id="1114331043">
                  <w:marLeft w:val="0"/>
                  <w:marRight w:val="0"/>
                  <w:marTop w:val="0"/>
                  <w:marBottom w:val="0"/>
                  <w:divBdr>
                    <w:top w:val="none" w:sz="0" w:space="0" w:color="auto"/>
                    <w:left w:val="none" w:sz="0" w:space="0" w:color="auto"/>
                    <w:bottom w:val="none" w:sz="0" w:space="0" w:color="auto"/>
                    <w:right w:val="none" w:sz="0" w:space="0" w:color="auto"/>
                  </w:divBdr>
                </w:div>
              </w:divsChild>
            </w:div>
            <w:div w:id="817114164">
              <w:marLeft w:val="0"/>
              <w:marRight w:val="0"/>
              <w:marTop w:val="75"/>
              <w:marBottom w:val="30"/>
              <w:divBdr>
                <w:top w:val="single" w:sz="6" w:space="0" w:color="E5E5E5"/>
                <w:left w:val="single" w:sz="6" w:space="0" w:color="E5E5E5"/>
                <w:bottom w:val="single" w:sz="6" w:space="0" w:color="E5E5E5"/>
                <w:right w:val="single" w:sz="6" w:space="0" w:color="E5E5E5"/>
              </w:divBdr>
              <w:divsChild>
                <w:div w:id="922373692">
                  <w:marLeft w:val="0"/>
                  <w:marRight w:val="0"/>
                  <w:marTop w:val="0"/>
                  <w:marBottom w:val="0"/>
                  <w:divBdr>
                    <w:top w:val="none" w:sz="0" w:space="0" w:color="auto"/>
                    <w:left w:val="none" w:sz="0" w:space="0" w:color="auto"/>
                    <w:bottom w:val="none" w:sz="0" w:space="0" w:color="auto"/>
                    <w:right w:val="none" w:sz="0" w:space="0" w:color="auto"/>
                  </w:divBdr>
                </w:div>
                <w:div w:id="2077392382">
                  <w:marLeft w:val="0"/>
                  <w:marRight w:val="0"/>
                  <w:marTop w:val="0"/>
                  <w:marBottom w:val="0"/>
                  <w:divBdr>
                    <w:top w:val="none" w:sz="0" w:space="0" w:color="auto"/>
                    <w:left w:val="none" w:sz="0" w:space="0" w:color="auto"/>
                    <w:bottom w:val="none" w:sz="0" w:space="0" w:color="auto"/>
                    <w:right w:val="none" w:sz="0" w:space="0" w:color="auto"/>
                  </w:divBdr>
                  <w:divsChild>
                    <w:div w:id="1754356592">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 w:id="821656132">
              <w:marLeft w:val="0"/>
              <w:marRight w:val="0"/>
              <w:marTop w:val="75"/>
              <w:marBottom w:val="30"/>
              <w:divBdr>
                <w:top w:val="single" w:sz="6" w:space="0" w:color="E5E5E5"/>
                <w:left w:val="single" w:sz="6" w:space="0" w:color="E5E5E5"/>
                <w:bottom w:val="single" w:sz="6" w:space="0" w:color="E5E5E5"/>
                <w:right w:val="single" w:sz="6" w:space="0" w:color="E5E5E5"/>
              </w:divBdr>
              <w:divsChild>
                <w:div w:id="325983125">
                  <w:marLeft w:val="0"/>
                  <w:marRight w:val="0"/>
                  <w:marTop w:val="0"/>
                  <w:marBottom w:val="0"/>
                  <w:divBdr>
                    <w:top w:val="none" w:sz="0" w:space="0" w:color="auto"/>
                    <w:left w:val="none" w:sz="0" w:space="0" w:color="auto"/>
                    <w:bottom w:val="none" w:sz="0" w:space="0" w:color="auto"/>
                    <w:right w:val="none" w:sz="0" w:space="0" w:color="auto"/>
                  </w:divBdr>
                </w:div>
                <w:div w:id="492067938">
                  <w:marLeft w:val="0"/>
                  <w:marRight w:val="0"/>
                  <w:marTop w:val="0"/>
                  <w:marBottom w:val="0"/>
                  <w:divBdr>
                    <w:top w:val="none" w:sz="0" w:space="0" w:color="auto"/>
                    <w:left w:val="none" w:sz="0" w:space="0" w:color="auto"/>
                    <w:bottom w:val="none" w:sz="0" w:space="0" w:color="auto"/>
                    <w:right w:val="none" w:sz="0" w:space="0" w:color="auto"/>
                  </w:divBdr>
                  <w:divsChild>
                    <w:div w:id="1038435300">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 w:id="1564757678">
              <w:marLeft w:val="0"/>
              <w:marRight w:val="0"/>
              <w:marTop w:val="75"/>
              <w:marBottom w:val="30"/>
              <w:divBdr>
                <w:top w:val="single" w:sz="6" w:space="0" w:color="E5E5E5"/>
                <w:left w:val="single" w:sz="6" w:space="0" w:color="E5E5E5"/>
                <w:bottom w:val="single" w:sz="6" w:space="0" w:color="E5E5E5"/>
                <w:right w:val="single" w:sz="6" w:space="0" w:color="E5E5E5"/>
              </w:divBdr>
              <w:divsChild>
                <w:div w:id="749473589">
                  <w:marLeft w:val="0"/>
                  <w:marRight w:val="0"/>
                  <w:marTop w:val="0"/>
                  <w:marBottom w:val="0"/>
                  <w:divBdr>
                    <w:top w:val="none" w:sz="0" w:space="0" w:color="auto"/>
                    <w:left w:val="none" w:sz="0" w:space="0" w:color="auto"/>
                    <w:bottom w:val="none" w:sz="0" w:space="0" w:color="auto"/>
                    <w:right w:val="none" w:sz="0" w:space="0" w:color="auto"/>
                  </w:divBdr>
                </w:div>
                <w:div w:id="2023317256">
                  <w:marLeft w:val="0"/>
                  <w:marRight w:val="0"/>
                  <w:marTop w:val="0"/>
                  <w:marBottom w:val="0"/>
                  <w:divBdr>
                    <w:top w:val="none" w:sz="0" w:space="0" w:color="auto"/>
                    <w:left w:val="none" w:sz="0" w:space="0" w:color="auto"/>
                    <w:bottom w:val="none" w:sz="0" w:space="0" w:color="auto"/>
                    <w:right w:val="none" w:sz="0" w:space="0" w:color="auto"/>
                  </w:divBdr>
                  <w:divsChild>
                    <w:div w:id="165814580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 w:id="2045641792">
              <w:marLeft w:val="0"/>
              <w:marRight w:val="0"/>
              <w:marTop w:val="75"/>
              <w:marBottom w:val="30"/>
              <w:divBdr>
                <w:top w:val="single" w:sz="6" w:space="0" w:color="E5E5E5"/>
                <w:left w:val="single" w:sz="6" w:space="0" w:color="E5E5E5"/>
                <w:bottom w:val="single" w:sz="6" w:space="0" w:color="E5E5E5"/>
                <w:right w:val="single" w:sz="6" w:space="0" w:color="E5E5E5"/>
              </w:divBdr>
              <w:divsChild>
                <w:div w:id="1805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4746">
      <w:bodyDiv w:val="1"/>
      <w:marLeft w:val="0"/>
      <w:marRight w:val="0"/>
      <w:marTop w:val="0"/>
      <w:marBottom w:val="0"/>
      <w:divBdr>
        <w:top w:val="none" w:sz="0" w:space="0" w:color="auto"/>
        <w:left w:val="none" w:sz="0" w:space="0" w:color="auto"/>
        <w:bottom w:val="none" w:sz="0" w:space="0" w:color="auto"/>
        <w:right w:val="none" w:sz="0" w:space="0" w:color="auto"/>
      </w:divBdr>
    </w:div>
    <w:div w:id="207109721">
      <w:bodyDiv w:val="1"/>
      <w:marLeft w:val="0"/>
      <w:marRight w:val="0"/>
      <w:marTop w:val="0"/>
      <w:marBottom w:val="0"/>
      <w:divBdr>
        <w:top w:val="none" w:sz="0" w:space="0" w:color="auto"/>
        <w:left w:val="none" w:sz="0" w:space="0" w:color="auto"/>
        <w:bottom w:val="none" w:sz="0" w:space="0" w:color="auto"/>
        <w:right w:val="none" w:sz="0" w:space="0" w:color="auto"/>
      </w:divBdr>
    </w:div>
    <w:div w:id="218398083">
      <w:bodyDiv w:val="1"/>
      <w:marLeft w:val="0"/>
      <w:marRight w:val="0"/>
      <w:marTop w:val="0"/>
      <w:marBottom w:val="0"/>
      <w:divBdr>
        <w:top w:val="none" w:sz="0" w:space="0" w:color="auto"/>
        <w:left w:val="none" w:sz="0" w:space="0" w:color="auto"/>
        <w:bottom w:val="none" w:sz="0" w:space="0" w:color="auto"/>
        <w:right w:val="none" w:sz="0" w:space="0" w:color="auto"/>
      </w:divBdr>
    </w:div>
    <w:div w:id="226037884">
      <w:bodyDiv w:val="1"/>
      <w:marLeft w:val="0"/>
      <w:marRight w:val="0"/>
      <w:marTop w:val="0"/>
      <w:marBottom w:val="0"/>
      <w:divBdr>
        <w:top w:val="none" w:sz="0" w:space="0" w:color="auto"/>
        <w:left w:val="none" w:sz="0" w:space="0" w:color="auto"/>
        <w:bottom w:val="none" w:sz="0" w:space="0" w:color="auto"/>
        <w:right w:val="none" w:sz="0" w:space="0" w:color="auto"/>
      </w:divBdr>
    </w:div>
    <w:div w:id="239019942">
      <w:bodyDiv w:val="1"/>
      <w:marLeft w:val="0"/>
      <w:marRight w:val="0"/>
      <w:marTop w:val="0"/>
      <w:marBottom w:val="0"/>
      <w:divBdr>
        <w:top w:val="none" w:sz="0" w:space="0" w:color="auto"/>
        <w:left w:val="none" w:sz="0" w:space="0" w:color="auto"/>
        <w:bottom w:val="none" w:sz="0" w:space="0" w:color="auto"/>
        <w:right w:val="none" w:sz="0" w:space="0" w:color="auto"/>
      </w:divBdr>
    </w:div>
    <w:div w:id="314724827">
      <w:bodyDiv w:val="1"/>
      <w:marLeft w:val="0"/>
      <w:marRight w:val="0"/>
      <w:marTop w:val="0"/>
      <w:marBottom w:val="0"/>
      <w:divBdr>
        <w:top w:val="none" w:sz="0" w:space="0" w:color="auto"/>
        <w:left w:val="none" w:sz="0" w:space="0" w:color="auto"/>
        <w:bottom w:val="none" w:sz="0" w:space="0" w:color="auto"/>
        <w:right w:val="none" w:sz="0" w:space="0" w:color="auto"/>
      </w:divBdr>
    </w:div>
    <w:div w:id="340206108">
      <w:bodyDiv w:val="1"/>
      <w:marLeft w:val="0"/>
      <w:marRight w:val="0"/>
      <w:marTop w:val="0"/>
      <w:marBottom w:val="0"/>
      <w:divBdr>
        <w:top w:val="none" w:sz="0" w:space="0" w:color="auto"/>
        <w:left w:val="none" w:sz="0" w:space="0" w:color="auto"/>
        <w:bottom w:val="none" w:sz="0" w:space="0" w:color="auto"/>
        <w:right w:val="none" w:sz="0" w:space="0" w:color="auto"/>
      </w:divBdr>
    </w:div>
    <w:div w:id="347489047">
      <w:bodyDiv w:val="1"/>
      <w:marLeft w:val="0"/>
      <w:marRight w:val="0"/>
      <w:marTop w:val="0"/>
      <w:marBottom w:val="0"/>
      <w:divBdr>
        <w:top w:val="none" w:sz="0" w:space="0" w:color="auto"/>
        <w:left w:val="none" w:sz="0" w:space="0" w:color="auto"/>
        <w:bottom w:val="none" w:sz="0" w:space="0" w:color="auto"/>
        <w:right w:val="none" w:sz="0" w:space="0" w:color="auto"/>
      </w:divBdr>
    </w:div>
    <w:div w:id="379943875">
      <w:bodyDiv w:val="1"/>
      <w:marLeft w:val="0"/>
      <w:marRight w:val="0"/>
      <w:marTop w:val="0"/>
      <w:marBottom w:val="0"/>
      <w:divBdr>
        <w:top w:val="none" w:sz="0" w:space="0" w:color="auto"/>
        <w:left w:val="none" w:sz="0" w:space="0" w:color="auto"/>
        <w:bottom w:val="none" w:sz="0" w:space="0" w:color="auto"/>
        <w:right w:val="none" w:sz="0" w:space="0" w:color="auto"/>
      </w:divBdr>
    </w:div>
    <w:div w:id="486362698">
      <w:bodyDiv w:val="1"/>
      <w:marLeft w:val="0"/>
      <w:marRight w:val="0"/>
      <w:marTop w:val="0"/>
      <w:marBottom w:val="0"/>
      <w:divBdr>
        <w:top w:val="none" w:sz="0" w:space="0" w:color="auto"/>
        <w:left w:val="none" w:sz="0" w:space="0" w:color="auto"/>
        <w:bottom w:val="none" w:sz="0" w:space="0" w:color="auto"/>
        <w:right w:val="none" w:sz="0" w:space="0" w:color="auto"/>
      </w:divBdr>
    </w:div>
    <w:div w:id="522715318">
      <w:bodyDiv w:val="1"/>
      <w:marLeft w:val="0"/>
      <w:marRight w:val="0"/>
      <w:marTop w:val="0"/>
      <w:marBottom w:val="0"/>
      <w:divBdr>
        <w:top w:val="none" w:sz="0" w:space="0" w:color="auto"/>
        <w:left w:val="none" w:sz="0" w:space="0" w:color="auto"/>
        <w:bottom w:val="none" w:sz="0" w:space="0" w:color="auto"/>
        <w:right w:val="none" w:sz="0" w:space="0" w:color="auto"/>
      </w:divBdr>
    </w:div>
    <w:div w:id="739863611">
      <w:bodyDiv w:val="1"/>
      <w:marLeft w:val="0"/>
      <w:marRight w:val="0"/>
      <w:marTop w:val="0"/>
      <w:marBottom w:val="0"/>
      <w:divBdr>
        <w:top w:val="none" w:sz="0" w:space="0" w:color="auto"/>
        <w:left w:val="none" w:sz="0" w:space="0" w:color="auto"/>
        <w:bottom w:val="none" w:sz="0" w:space="0" w:color="auto"/>
        <w:right w:val="none" w:sz="0" w:space="0" w:color="auto"/>
      </w:divBdr>
    </w:div>
    <w:div w:id="762803129">
      <w:bodyDiv w:val="1"/>
      <w:marLeft w:val="0"/>
      <w:marRight w:val="0"/>
      <w:marTop w:val="0"/>
      <w:marBottom w:val="0"/>
      <w:divBdr>
        <w:top w:val="none" w:sz="0" w:space="0" w:color="auto"/>
        <w:left w:val="none" w:sz="0" w:space="0" w:color="auto"/>
        <w:bottom w:val="none" w:sz="0" w:space="0" w:color="auto"/>
        <w:right w:val="none" w:sz="0" w:space="0" w:color="auto"/>
      </w:divBdr>
    </w:div>
    <w:div w:id="893353074">
      <w:bodyDiv w:val="1"/>
      <w:marLeft w:val="0"/>
      <w:marRight w:val="0"/>
      <w:marTop w:val="0"/>
      <w:marBottom w:val="0"/>
      <w:divBdr>
        <w:top w:val="none" w:sz="0" w:space="0" w:color="auto"/>
        <w:left w:val="none" w:sz="0" w:space="0" w:color="auto"/>
        <w:bottom w:val="none" w:sz="0" w:space="0" w:color="auto"/>
        <w:right w:val="none" w:sz="0" w:space="0" w:color="auto"/>
      </w:divBdr>
    </w:div>
    <w:div w:id="935795004">
      <w:bodyDiv w:val="1"/>
      <w:marLeft w:val="0"/>
      <w:marRight w:val="0"/>
      <w:marTop w:val="0"/>
      <w:marBottom w:val="0"/>
      <w:divBdr>
        <w:top w:val="none" w:sz="0" w:space="0" w:color="auto"/>
        <w:left w:val="none" w:sz="0" w:space="0" w:color="auto"/>
        <w:bottom w:val="none" w:sz="0" w:space="0" w:color="auto"/>
        <w:right w:val="none" w:sz="0" w:space="0" w:color="auto"/>
      </w:divBdr>
    </w:div>
    <w:div w:id="944075965">
      <w:bodyDiv w:val="1"/>
      <w:marLeft w:val="0"/>
      <w:marRight w:val="0"/>
      <w:marTop w:val="0"/>
      <w:marBottom w:val="0"/>
      <w:divBdr>
        <w:top w:val="none" w:sz="0" w:space="0" w:color="auto"/>
        <w:left w:val="none" w:sz="0" w:space="0" w:color="auto"/>
        <w:bottom w:val="none" w:sz="0" w:space="0" w:color="auto"/>
        <w:right w:val="none" w:sz="0" w:space="0" w:color="auto"/>
      </w:divBdr>
    </w:div>
    <w:div w:id="944995233">
      <w:bodyDiv w:val="1"/>
      <w:marLeft w:val="0"/>
      <w:marRight w:val="0"/>
      <w:marTop w:val="0"/>
      <w:marBottom w:val="0"/>
      <w:divBdr>
        <w:top w:val="none" w:sz="0" w:space="0" w:color="auto"/>
        <w:left w:val="none" w:sz="0" w:space="0" w:color="auto"/>
        <w:bottom w:val="none" w:sz="0" w:space="0" w:color="auto"/>
        <w:right w:val="none" w:sz="0" w:space="0" w:color="auto"/>
      </w:divBdr>
    </w:div>
    <w:div w:id="1051229342">
      <w:bodyDiv w:val="1"/>
      <w:marLeft w:val="0"/>
      <w:marRight w:val="0"/>
      <w:marTop w:val="0"/>
      <w:marBottom w:val="0"/>
      <w:divBdr>
        <w:top w:val="none" w:sz="0" w:space="0" w:color="auto"/>
        <w:left w:val="none" w:sz="0" w:space="0" w:color="auto"/>
        <w:bottom w:val="none" w:sz="0" w:space="0" w:color="auto"/>
        <w:right w:val="none" w:sz="0" w:space="0" w:color="auto"/>
      </w:divBdr>
    </w:div>
    <w:div w:id="1156798204">
      <w:bodyDiv w:val="1"/>
      <w:marLeft w:val="0"/>
      <w:marRight w:val="0"/>
      <w:marTop w:val="0"/>
      <w:marBottom w:val="0"/>
      <w:divBdr>
        <w:top w:val="none" w:sz="0" w:space="0" w:color="auto"/>
        <w:left w:val="none" w:sz="0" w:space="0" w:color="auto"/>
        <w:bottom w:val="none" w:sz="0" w:space="0" w:color="auto"/>
        <w:right w:val="none" w:sz="0" w:space="0" w:color="auto"/>
      </w:divBdr>
    </w:div>
    <w:div w:id="1159157836">
      <w:bodyDiv w:val="1"/>
      <w:marLeft w:val="0"/>
      <w:marRight w:val="0"/>
      <w:marTop w:val="0"/>
      <w:marBottom w:val="0"/>
      <w:divBdr>
        <w:top w:val="none" w:sz="0" w:space="0" w:color="auto"/>
        <w:left w:val="none" w:sz="0" w:space="0" w:color="auto"/>
        <w:bottom w:val="none" w:sz="0" w:space="0" w:color="auto"/>
        <w:right w:val="none" w:sz="0" w:space="0" w:color="auto"/>
      </w:divBdr>
    </w:div>
    <w:div w:id="1303467913">
      <w:bodyDiv w:val="1"/>
      <w:marLeft w:val="0"/>
      <w:marRight w:val="0"/>
      <w:marTop w:val="0"/>
      <w:marBottom w:val="0"/>
      <w:divBdr>
        <w:top w:val="none" w:sz="0" w:space="0" w:color="auto"/>
        <w:left w:val="none" w:sz="0" w:space="0" w:color="auto"/>
        <w:bottom w:val="none" w:sz="0" w:space="0" w:color="auto"/>
        <w:right w:val="none" w:sz="0" w:space="0" w:color="auto"/>
      </w:divBdr>
    </w:div>
    <w:div w:id="1579242312">
      <w:bodyDiv w:val="1"/>
      <w:marLeft w:val="0"/>
      <w:marRight w:val="0"/>
      <w:marTop w:val="0"/>
      <w:marBottom w:val="0"/>
      <w:divBdr>
        <w:top w:val="none" w:sz="0" w:space="0" w:color="auto"/>
        <w:left w:val="none" w:sz="0" w:space="0" w:color="auto"/>
        <w:bottom w:val="none" w:sz="0" w:space="0" w:color="auto"/>
        <w:right w:val="none" w:sz="0" w:space="0" w:color="auto"/>
      </w:divBdr>
    </w:div>
    <w:div w:id="1667629345">
      <w:bodyDiv w:val="1"/>
      <w:marLeft w:val="0"/>
      <w:marRight w:val="0"/>
      <w:marTop w:val="0"/>
      <w:marBottom w:val="0"/>
      <w:divBdr>
        <w:top w:val="none" w:sz="0" w:space="0" w:color="auto"/>
        <w:left w:val="none" w:sz="0" w:space="0" w:color="auto"/>
        <w:bottom w:val="none" w:sz="0" w:space="0" w:color="auto"/>
        <w:right w:val="none" w:sz="0" w:space="0" w:color="auto"/>
      </w:divBdr>
    </w:div>
    <w:div w:id="1710179787">
      <w:bodyDiv w:val="1"/>
      <w:marLeft w:val="0"/>
      <w:marRight w:val="0"/>
      <w:marTop w:val="0"/>
      <w:marBottom w:val="0"/>
      <w:divBdr>
        <w:top w:val="none" w:sz="0" w:space="0" w:color="auto"/>
        <w:left w:val="none" w:sz="0" w:space="0" w:color="auto"/>
        <w:bottom w:val="none" w:sz="0" w:space="0" w:color="auto"/>
        <w:right w:val="none" w:sz="0" w:space="0" w:color="auto"/>
      </w:divBdr>
    </w:div>
    <w:div w:id="1733655278">
      <w:bodyDiv w:val="1"/>
      <w:marLeft w:val="0"/>
      <w:marRight w:val="0"/>
      <w:marTop w:val="0"/>
      <w:marBottom w:val="0"/>
      <w:divBdr>
        <w:top w:val="none" w:sz="0" w:space="0" w:color="auto"/>
        <w:left w:val="none" w:sz="0" w:space="0" w:color="auto"/>
        <w:bottom w:val="none" w:sz="0" w:space="0" w:color="auto"/>
        <w:right w:val="none" w:sz="0" w:space="0" w:color="auto"/>
      </w:divBdr>
    </w:div>
    <w:div w:id="1775664247">
      <w:bodyDiv w:val="1"/>
      <w:marLeft w:val="0"/>
      <w:marRight w:val="0"/>
      <w:marTop w:val="0"/>
      <w:marBottom w:val="0"/>
      <w:divBdr>
        <w:top w:val="none" w:sz="0" w:space="0" w:color="auto"/>
        <w:left w:val="none" w:sz="0" w:space="0" w:color="auto"/>
        <w:bottom w:val="none" w:sz="0" w:space="0" w:color="auto"/>
        <w:right w:val="none" w:sz="0" w:space="0" w:color="auto"/>
      </w:divBdr>
    </w:div>
    <w:div w:id="1901867018">
      <w:bodyDiv w:val="1"/>
      <w:marLeft w:val="0"/>
      <w:marRight w:val="0"/>
      <w:marTop w:val="0"/>
      <w:marBottom w:val="0"/>
      <w:divBdr>
        <w:top w:val="none" w:sz="0" w:space="0" w:color="auto"/>
        <w:left w:val="none" w:sz="0" w:space="0" w:color="auto"/>
        <w:bottom w:val="none" w:sz="0" w:space="0" w:color="auto"/>
        <w:right w:val="none" w:sz="0" w:space="0" w:color="auto"/>
      </w:divBdr>
    </w:div>
    <w:div w:id="1917323611">
      <w:bodyDiv w:val="1"/>
      <w:marLeft w:val="0"/>
      <w:marRight w:val="0"/>
      <w:marTop w:val="0"/>
      <w:marBottom w:val="0"/>
      <w:divBdr>
        <w:top w:val="none" w:sz="0" w:space="0" w:color="auto"/>
        <w:left w:val="none" w:sz="0" w:space="0" w:color="auto"/>
        <w:bottom w:val="none" w:sz="0" w:space="0" w:color="auto"/>
        <w:right w:val="none" w:sz="0" w:space="0" w:color="auto"/>
      </w:divBdr>
    </w:div>
    <w:div w:id="1944604920">
      <w:bodyDiv w:val="1"/>
      <w:marLeft w:val="0"/>
      <w:marRight w:val="0"/>
      <w:marTop w:val="0"/>
      <w:marBottom w:val="0"/>
      <w:divBdr>
        <w:top w:val="none" w:sz="0" w:space="0" w:color="auto"/>
        <w:left w:val="none" w:sz="0" w:space="0" w:color="auto"/>
        <w:bottom w:val="none" w:sz="0" w:space="0" w:color="auto"/>
        <w:right w:val="none" w:sz="0" w:space="0" w:color="auto"/>
      </w:divBdr>
    </w:div>
    <w:div w:id="1994023299">
      <w:bodyDiv w:val="1"/>
      <w:marLeft w:val="0"/>
      <w:marRight w:val="0"/>
      <w:marTop w:val="0"/>
      <w:marBottom w:val="0"/>
      <w:divBdr>
        <w:top w:val="none" w:sz="0" w:space="0" w:color="auto"/>
        <w:left w:val="none" w:sz="0" w:space="0" w:color="auto"/>
        <w:bottom w:val="none" w:sz="0" w:space="0" w:color="auto"/>
        <w:right w:val="none" w:sz="0" w:space="0" w:color="auto"/>
      </w:divBdr>
    </w:div>
    <w:div w:id="2012487309">
      <w:bodyDiv w:val="1"/>
      <w:marLeft w:val="0"/>
      <w:marRight w:val="0"/>
      <w:marTop w:val="0"/>
      <w:marBottom w:val="0"/>
      <w:divBdr>
        <w:top w:val="none" w:sz="0" w:space="0" w:color="auto"/>
        <w:left w:val="none" w:sz="0" w:space="0" w:color="auto"/>
        <w:bottom w:val="none" w:sz="0" w:space="0" w:color="auto"/>
        <w:right w:val="none" w:sz="0" w:space="0" w:color="auto"/>
      </w:divBdr>
    </w:div>
    <w:div w:id="2102870189">
      <w:bodyDiv w:val="1"/>
      <w:marLeft w:val="0"/>
      <w:marRight w:val="0"/>
      <w:marTop w:val="0"/>
      <w:marBottom w:val="0"/>
      <w:divBdr>
        <w:top w:val="none" w:sz="0" w:space="0" w:color="auto"/>
        <w:left w:val="none" w:sz="0" w:space="0" w:color="auto"/>
        <w:bottom w:val="none" w:sz="0" w:space="0" w:color="auto"/>
        <w:right w:val="none" w:sz="0" w:space="0" w:color="auto"/>
      </w:divBdr>
    </w:div>
    <w:div w:id="2114402539">
      <w:bodyDiv w:val="1"/>
      <w:marLeft w:val="0"/>
      <w:marRight w:val="0"/>
      <w:marTop w:val="0"/>
      <w:marBottom w:val="0"/>
      <w:divBdr>
        <w:top w:val="none" w:sz="0" w:space="0" w:color="auto"/>
        <w:left w:val="none" w:sz="0" w:space="0" w:color="auto"/>
        <w:bottom w:val="none" w:sz="0" w:space="0" w:color="auto"/>
        <w:right w:val="none" w:sz="0" w:space="0" w:color="auto"/>
      </w:divBdr>
    </w:div>
    <w:div w:id="21311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77DA-0318-44A7-9601-8DD6F8AD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2414</Words>
  <Characters>13764</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Propuneri pentru modificarea unor articole din Codul educaţiei</vt:lpstr>
      <vt:lpstr>Propuneri pentru modificarea unor articole din Codul educaţiei</vt:lpstr>
    </vt:vector>
  </TitlesOfParts>
  <Company/>
  <LinksUpToDate>false</LinksUpToDate>
  <CharactersWithSpaces>16146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Propuneri pentru modificarea unor articole din Codul educaţiei</dc:title>
  <dc:subject/>
  <dc:creator>Computer</dc:creator>
  <cp:keywords/>
  <cp:lastModifiedBy>MECC</cp:lastModifiedBy>
  <cp:revision>17</cp:revision>
  <cp:lastPrinted>2023-06-15T10:37:00Z</cp:lastPrinted>
  <dcterms:created xsi:type="dcterms:W3CDTF">2023-06-15T11:38:00Z</dcterms:created>
  <dcterms:modified xsi:type="dcterms:W3CDTF">2023-06-15T12:00:00Z</dcterms:modified>
</cp:coreProperties>
</file>