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60CE" w14:textId="77777777" w:rsidR="00695F95" w:rsidRPr="00D74890" w:rsidRDefault="006539BD" w:rsidP="00CC15BF">
      <w:pPr>
        <w:tabs>
          <w:tab w:val="left" w:pos="884"/>
          <w:tab w:val="left" w:pos="1196"/>
        </w:tabs>
        <w:spacing w:after="0"/>
        <w:jc w:val="center"/>
        <w:rPr>
          <w:rFonts w:ascii="Times New Roman" w:eastAsia="Times New Roman" w:hAnsi="Times New Roman" w:cs="Times New Roman"/>
          <w:b/>
          <w:bCs/>
          <w:sz w:val="24"/>
          <w:szCs w:val="24"/>
          <w:lang w:val="ro-MD"/>
        </w:rPr>
      </w:pPr>
      <w:r w:rsidRPr="00D74890">
        <w:rPr>
          <w:rFonts w:ascii="Times New Roman" w:hAnsi="Times New Roman"/>
          <w:b/>
          <w:bCs/>
          <w:sz w:val="24"/>
          <w:szCs w:val="24"/>
          <w:lang w:val="ro-MD"/>
        </w:rPr>
        <w:t>NOTĂ INFORMATIVĂ</w:t>
      </w:r>
    </w:p>
    <w:p w14:paraId="2310820C" w14:textId="40CD8565" w:rsidR="00695F95" w:rsidRPr="00D74890" w:rsidRDefault="006539BD" w:rsidP="00CC15BF">
      <w:pPr>
        <w:spacing w:after="0"/>
        <w:jc w:val="center"/>
        <w:rPr>
          <w:rFonts w:ascii="Times New Roman" w:eastAsia="Times New Roman" w:hAnsi="Times New Roman" w:cs="Times New Roman"/>
          <w:b/>
          <w:bCs/>
          <w:sz w:val="24"/>
          <w:szCs w:val="24"/>
          <w:lang w:val="ro-MD"/>
        </w:rPr>
      </w:pPr>
      <w:r w:rsidRPr="00D74890">
        <w:rPr>
          <w:rFonts w:ascii="Times New Roman" w:hAnsi="Times New Roman"/>
          <w:b/>
          <w:bCs/>
          <w:sz w:val="24"/>
          <w:szCs w:val="24"/>
          <w:lang w:val="ro-MD"/>
        </w:rPr>
        <w:t>la proiectul Hotărârii de Guvern</w:t>
      </w:r>
    </w:p>
    <w:p w14:paraId="0462454D" w14:textId="77777777" w:rsidR="002F7F25" w:rsidRPr="002F7F25" w:rsidRDefault="002F7F25" w:rsidP="002F7F25">
      <w:pPr>
        <w:pStyle w:val="Heading3"/>
        <w:spacing w:line="276" w:lineRule="auto"/>
        <w:ind w:left="0" w:right="0" w:firstLine="720"/>
        <w:rPr>
          <w:i/>
          <w:iCs/>
          <w:lang w:val="ro-MD"/>
        </w:rPr>
      </w:pPr>
      <w:r w:rsidRPr="002F7F25">
        <w:rPr>
          <w:i/>
          <w:iCs/>
          <w:lang w:val="ro-MD"/>
        </w:rPr>
        <w:t xml:space="preserve">Cu privire la modificarea Hotărârii Guvernului nr. 343/2020 Cu </w:t>
      </w:r>
      <w:r w:rsidRPr="002F7F25">
        <w:rPr>
          <w:i/>
          <w:iCs/>
          <w:color w:val="333333"/>
          <w:lang w:val="ro-RO"/>
        </w:rPr>
        <w:t>privire la</w:t>
      </w:r>
      <w:r w:rsidRPr="002F7F25">
        <w:rPr>
          <w:b w:val="0"/>
          <w:bCs w:val="0"/>
          <w:i/>
          <w:iCs/>
          <w:color w:val="333333"/>
          <w:lang w:val="ro-RO"/>
        </w:rPr>
        <w:t xml:space="preserve"> </w:t>
      </w:r>
      <w:r w:rsidRPr="002F7F25">
        <w:rPr>
          <w:i/>
          <w:iCs/>
          <w:color w:val="333333"/>
          <w:lang w:val="ro-RO"/>
        </w:rPr>
        <w:t>aprobarea Metodologiei de finanțare bugetară a instituțiilor publice de învățământ superior</w:t>
      </w:r>
      <w:r w:rsidRPr="002F7F25">
        <w:rPr>
          <w:i/>
          <w:iCs/>
          <w:lang w:val="ro-MD"/>
        </w:rPr>
        <w:t xml:space="preserve"> </w:t>
      </w:r>
    </w:p>
    <w:tbl>
      <w:tblPr>
        <w:tblStyle w:val="TableNormal1"/>
        <w:tblW w:w="99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695F95" w:rsidRPr="002F7F25" w14:paraId="0B57C1BF"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3ABA" w14:textId="77777777" w:rsidR="00695F95" w:rsidRPr="00D74890" w:rsidRDefault="006539BD" w:rsidP="00D74890">
            <w:pPr>
              <w:numPr>
                <w:ilvl w:val="3"/>
                <w:numId w:val="1"/>
              </w:numPr>
              <w:spacing w:after="0"/>
              <w:ind w:left="0" w:firstLine="0"/>
              <w:jc w:val="both"/>
              <w:rPr>
                <w:rFonts w:ascii="Times New Roman" w:hAnsi="Times New Roman"/>
                <w:b/>
                <w:bCs/>
                <w:i/>
                <w:iCs/>
                <w:sz w:val="24"/>
                <w:szCs w:val="24"/>
                <w:lang w:val="ro-MD"/>
              </w:rPr>
            </w:pPr>
            <w:r w:rsidRPr="00D74890">
              <w:rPr>
                <w:rFonts w:ascii="Times New Roman" w:hAnsi="Times New Roman"/>
                <w:b/>
                <w:bCs/>
                <w:i/>
                <w:iCs/>
                <w:sz w:val="24"/>
                <w:szCs w:val="24"/>
                <w:lang w:val="ro-MD"/>
              </w:rPr>
              <w:t xml:space="preserve"> Denumirea autorului şi, după caz, a participanților la elaborarea proiectului</w:t>
            </w:r>
          </w:p>
        </w:tc>
      </w:tr>
      <w:tr w:rsidR="00695F95" w:rsidRPr="002F7F25" w14:paraId="4DCB6B6B" w14:textId="77777777">
        <w:trPr>
          <w:trHeight w:val="6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07D80" w14:textId="4AA9E910" w:rsidR="00695F95" w:rsidRPr="00D74890" w:rsidRDefault="006539BD" w:rsidP="002F7F25">
            <w:pPr>
              <w:pStyle w:val="Heading3"/>
              <w:spacing w:line="276" w:lineRule="auto"/>
              <w:ind w:left="0" w:right="0" w:firstLine="720"/>
              <w:jc w:val="both"/>
              <w:rPr>
                <w:lang w:val="ro-MD"/>
              </w:rPr>
            </w:pPr>
            <w:r w:rsidRPr="00D74890">
              <w:rPr>
                <w:lang w:val="ro-MD"/>
              </w:rPr>
              <w:t xml:space="preserve">      </w:t>
            </w:r>
            <w:r w:rsidRPr="002F7F25">
              <w:rPr>
                <w:b w:val="0"/>
                <w:bCs w:val="0"/>
                <w:lang w:val="ro-MD"/>
              </w:rPr>
              <w:t xml:space="preserve">Proiectul Hotărârii Guvernului </w:t>
            </w:r>
            <w:r w:rsidR="002F7F25" w:rsidRPr="002F7F25">
              <w:rPr>
                <w:b w:val="0"/>
                <w:bCs w:val="0"/>
                <w:i/>
                <w:iCs/>
                <w:lang w:val="ro-MD"/>
              </w:rPr>
              <w:t xml:space="preserve">Cu privire la modificarea Hotărârii Guvernului nr. 343/2020 Cu </w:t>
            </w:r>
            <w:r w:rsidR="002F7F25" w:rsidRPr="002F7F25">
              <w:rPr>
                <w:b w:val="0"/>
                <w:bCs w:val="0"/>
                <w:i/>
                <w:iCs/>
                <w:color w:val="333333"/>
                <w:lang w:val="ro-RO"/>
              </w:rPr>
              <w:t>privire la aprobarea Metodologiei de finanțare bugetară a instituțiilor publice de învățământ superior</w:t>
            </w:r>
            <w:r w:rsidR="002F7F25" w:rsidRPr="002F7F25">
              <w:rPr>
                <w:b w:val="0"/>
                <w:bCs w:val="0"/>
                <w:lang w:val="ro-MD"/>
              </w:rPr>
              <w:t xml:space="preserve"> </w:t>
            </w:r>
            <w:r w:rsidRPr="002F7F25">
              <w:rPr>
                <w:b w:val="0"/>
                <w:bCs w:val="0"/>
                <w:lang w:val="ro-MD"/>
              </w:rPr>
              <w:t>a fost elaborat de către Ministerul Educației și Cercetării.</w:t>
            </w:r>
          </w:p>
        </w:tc>
      </w:tr>
      <w:tr w:rsidR="00695F95" w:rsidRPr="002F7F25" w14:paraId="586C17D2"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4D27F"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2. Condițiile ce au impus elaborarea proiectului de act normativ și finalitățile urmărite</w:t>
            </w:r>
          </w:p>
        </w:tc>
      </w:tr>
      <w:tr w:rsidR="00695F95" w:rsidRPr="002F7F25" w14:paraId="7446D57C" w14:textId="77777777" w:rsidTr="00924EAF">
        <w:trPr>
          <w:trHeight w:val="4183"/>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AAA48" w14:textId="77777777" w:rsidR="00695F95" w:rsidRPr="00D74890" w:rsidRDefault="006539BD" w:rsidP="00D74890">
            <w:pPr>
              <w:spacing w:after="0"/>
              <w:jc w:val="both"/>
              <w:rPr>
                <w:rFonts w:ascii="Times New Roman" w:eastAsia="Times New Roman" w:hAnsi="Times New Roman" w:cs="Times New Roman"/>
                <w:sz w:val="24"/>
                <w:szCs w:val="24"/>
                <w:lang w:val="ro-MD"/>
              </w:rPr>
            </w:pPr>
            <w:r w:rsidRPr="00CC15BF">
              <w:rPr>
                <w:rFonts w:ascii="Times New Roman" w:hAnsi="Times New Roman"/>
                <w:sz w:val="24"/>
                <w:szCs w:val="24"/>
                <w:lang w:val="ro-MD"/>
              </w:rPr>
              <w:t>Proiectul</w:t>
            </w:r>
            <w:r w:rsidRPr="00D74890">
              <w:rPr>
                <w:rFonts w:ascii="Times New Roman" w:hAnsi="Times New Roman"/>
                <w:i/>
                <w:iCs/>
                <w:sz w:val="24"/>
                <w:szCs w:val="24"/>
                <w:lang w:val="ro-MD"/>
              </w:rPr>
              <w:t xml:space="preserve"> </w:t>
            </w:r>
            <w:r w:rsidRPr="00D74890">
              <w:rPr>
                <w:rFonts w:ascii="Times New Roman" w:hAnsi="Times New Roman"/>
                <w:sz w:val="24"/>
                <w:szCs w:val="24"/>
                <w:lang w:val="ro-MD"/>
              </w:rPr>
              <w:t xml:space="preserve">rezidă din necesitatea realizării unui obiectiv strategic identificat în </w:t>
            </w:r>
            <w:r w:rsidRPr="00D74890">
              <w:rPr>
                <w:rFonts w:ascii="Times New Roman" w:hAnsi="Times New Roman"/>
                <w:b/>
                <w:bCs/>
                <w:sz w:val="24"/>
                <w:szCs w:val="24"/>
                <w:lang w:val="ro-MD"/>
              </w:rPr>
              <w:t>proiectul</w:t>
            </w:r>
            <w:r w:rsidRPr="00D74890">
              <w:rPr>
                <w:rFonts w:ascii="Times New Roman" w:hAnsi="Times New Roman"/>
                <w:sz w:val="24"/>
                <w:szCs w:val="24"/>
                <w:lang w:val="ro-MD"/>
              </w:rPr>
              <w:t xml:space="preserve"> Strategiei „Educația 2030”,  care poate fi realizat prin buna guvernare și modernizarea actului educațional și de cercetare prin asigurarea unei infrastructurii educaționale moderne, iar în acest scop sunt necesare implementarea următoarelor direcțiile prioritare de acțiune:</w:t>
            </w:r>
          </w:p>
          <w:p w14:paraId="70C36192" w14:textId="77777777" w:rsidR="00695F95" w:rsidRPr="00D74890" w:rsidRDefault="006539BD" w:rsidP="00D74890">
            <w:pPr>
              <w:pStyle w:val="ListParagraph2"/>
              <w:numPr>
                <w:ilvl w:val="0"/>
                <w:numId w:val="2"/>
              </w:numPr>
              <w:spacing w:after="0" w:line="276" w:lineRule="auto"/>
              <w:ind w:left="0" w:firstLine="0"/>
              <w:rPr>
                <w:rFonts w:ascii="Times New Roman" w:hAnsi="Times New Roman"/>
                <w:sz w:val="24"/>
                <w:szCs w:val="24"/>
                <w:lang w:val="ro-MD"/>
              </w:rPr>
            </w:pPr>
            <w:r w:rsidRPr="00D74890">
              <w:rPr>
                <w:rFonts w:ascii="Times New Roman" w:hAnsi="Times New Roman"/>
                <w:sz w:val="24"/>
                <w:szCs w:val="24"/>
                <w:lang w:val="ro-MD"/>
              </w:rPr>
              <w:t>Reformarea managementului la toate nivelurile sistemului de învățământ din perspectiva conducerii strategice, gestionării eficiente și transparente, responsabilității publice.</w:t>
            </w:r>
          </w:p>
          <w:p w14:paraId="128320F1" w14:textId="77777777" w:rsidR="00695F95" w:rsidRPr="00D74890" w:rsidRDefault="006539BD" w:rsidP="00D74890">
            <w:pPr>
              <w:pStyle w:val="ListParagraph2"/>
              <w:numPr>
                <w:ilvl w:val="0"/>
                <w:numId w:val="2"/>
              </w:numPr>
              <w:spacing w:after="0" w:line="276" w:lineRule="auto"/>
              <w:ind w:left="0" w:firstLine="0"/>
              <w:rPr>
                <w:rFonts w:ascii="Times New Roman" w:hAnsi="Times New Roman"/>
                <w:sz w:val="24"/>
                <w:szCs w:val="24"/>
                <w:lang w:val="ro-MD"/>
              </w:rPr>
            </w:pPr>
            <w:r w:rsidRPr="00D74890">
              <w:rPr>
                <w:rFonts w:ascii="Times New Roman" w:hAnsi="Times New Roman"/>
                <w:sz w:val="24"/>
                <w:szCs w:val="24"/>
                <w:lang w:val="ro-MD"/>
              </w:rPr>
              <w:t>Modernizarea infrastructurii instituțiilor de învățământ la toate nivelurile sistemului educațional.</w:t>
            </w:r>
          </w:p>
          <w:p w14:paraId="0C6E16E6" w14:textId="77777777" w:rsidR="00695F95" w:rsidRPr="00D74890" w:rsidRDefault="006539BD" w:rsidP="00D74890">
            <w:pPr>
              <w:spacing w:after="0"/>
              <w:jc w:val="both"/>
              <w:rPr>
                <w:rFonts w:ascii="Times New Roman" w:hAnsi="Times New Roman"/>
                <w:sz w:val="24"/>
                <w:szCs w:val="24"/>
                <w:lang w:val="ro-MD"/>
              </w:rPr>
            </w:pPr>
            <w:r w:rsidRPr="00D74890">
              <w:rPr>
                <w:rFonts w:ascii="Times New Roman" w:hAnsi="Times New Roman"/>
                <w:sz w:val="24"/>
                <w:szCs w:val="24"/>
                <w:lang w:val="ro-MD"/>
              </w:rPr>
              <w:t xml:space="preserve">Acestea nu pot fi realizate fără perfecționarea sistemului de finanțare a învățământului în baza dezvoltării modelului de finanțare per student echivalent și în baza stimulării indicatorilor de performanță. </w:t>
            </w:r>
          </w:p>
          <w:p w14:paraId="4B937D9D" w14:textId="2928C9FF" w:rsidR="009C69B4" w:rsidRPr="00D74890" w:rsidRDefault="009C69B4" w:rsidP="00D74890">
            <w:pPr>
              <w:spacing w:after="0"/>
              <w:jc w:val="both"/>
              <w:rPr>
                <w:sz w:val="24"/>
                <w:szCs w:val="24"/>
                <w:lang w:val="ro-MD"/>
              </w:rPr>
            </w:pPr>
            <w:r w:rsidRPr="00D74890">
              <w:rPr>
                <w:rFonts w:ascii="Times New Roman" w:hAnsi="Times New Roman"/>
                <w:sz w:val="24"/>
                <w:szCs w:val="24"/>
                <w:lang w:val="ro-MD"/>
              </w:rPr>
              <w:t xml:space="preserve">Modificările propuse  sunt rezultatul pilotării </w:t>
            </w:r>
            <w:r w:rsidR="007C1B49" w:rsidRPr="00D74890">
              <w:rPr>
                <w:rFonts w:ascii="Times New Roman" w:hAnsi="Times New Roman"/>
                <w:sz w:val="24"/>
                <w:szCs w:val="24"/>
                <w:lang w:val="ro-MD"/>
              </w:rPr>
              <w:t>Metodologiei</w:t>
            </w:r>
            <w:r w:rsidRPr="00D74890">
              <w:rPr>
                <w:rFonts w:ascii="Times New Roman" w:hAnsi="Times New Roman"/>
                <w:sz w:val="24"/>
                <w:szCs w:val="24"/>
                <w:lang w:val="ro-MD"/>
              </w:rPr>
              <w:t xml:space="preserve"> de finanțare bugetară  a </w:t>
            </w:r>
            <w:r w:rsidR="007C1B49" w:rsidRPr="00D74890">
              <w:rPr>
                <w:rFonts w:ascii="Times New Roman" w:hAnsi="Times New Roman"/>
                <w:sz w:val="24"/>
                <w:szCs w:val="24"/>
                <w:lang w:val="ro-MD"/>
              </w:rPr>
              <w:t>instituțiilor</w:t>
            </w:r>
            <w:r w:rsidRPr="00D74890">
              <w:rPr>
                <w:rFonts w:ascii="Times New Roman" w:hAnsi="Times New Roman"/>
                <w:sz w:val="24"/>
                <w:szCs w:val="24"/>
                <w:lang w:val="ro-MD"/>
              </w:rPr>
              <w:t xml:space="preserve"> de  învățământ superior publice, aprobată prin Hotărârea Guvernului 343/2020</w:t>
            </w:r>
            <w:r w:rsidR="007F39CD" w:rsidRPr="00D74890">
              <w:rPr>
                <w:rFonts w:ascii="Times New Roman" w:hAnsi="Times New Roman"/>
                <w:sz w:val="24"/>
                <w:szCs w:val="24"/>
                <w:lang w:val="ro-MD"/>
              </w:rPr>
              <w:t xml:space="preserve"> și discutate pe larg cu mediul academic în vara anului 2022.</w:t>
            </w:r>
          </w:p>
        </w:tc>
      </w:tr>
      <w:tr w:rsidR="00695F95" w:rsidRPr="002F7F25" w14:paraId="27358AE1" w14:textId="77777777">
        <w:trPr>
          <w:trHeight w:val="6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8F400"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3. Descrierea gradului de compatibilitate pentru proiectele care au ca scop armonizarea legislației naționale cu legislația Uniunii Europene</w:t>
            </w:r>
          </w:p>
        </w:tc>
      </w:tr>
      <w:tr w:rsidR="00695F95" w:rsidRPr="002F7F25" w14:paraId="27010EA9"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D9C46" w14:textId="65862D20"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sz w:val="24"/>
                <w:szCs w:val="24"/>
                <w:lang w:val="ro-MD"/>
              </w:rPr>
              <w:t>Actul normativ nu are ca scop armonizarea legislației naționale cu legislația Uniunii Europene.</w:t>
            </w:r>
          </w:p>
        </w:tc>
      </w:tr>
      <w:tr w:rsidR="00695F95" w:rsidRPr="002F7F25" w14:paraId="7853EE6D" w14:textId="77777777" w:rsidTr="002C06D5">
        <w:trPr>
          <w:trHeight w:val="412"/>
          <w:jc w:val="center"/>
        </w:trPr>
        <w:tc>
          <w:tcPr>
            <w:tcW w:w="996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30914C1" w14:textId="77777777" w:rsidR="00695F95" w:rsidRPr="00D74890" w:rsidRDefault="002C06D5" w:rsidP="00D74890">
            <w:pPr>
              <w:tabs>
                <w:tab w:val="left" w:pos="884"/>
                <w:tab w:val="left" w:pos="1196"/>
              </w:tabs>
              <w:spacing w:after="0"/>
              <w:jc w:val="both"/>
              <w:rPr>
                <w:rFonts w:ascii="Times New Roman" w:hAnsi="Times New Roman"/>
                <w:b/>
                <w:bCs/>
                <w:i/>
                <w:iCs/>
                <w:sz w:val="24"/>
                <w:szCs w:val="24"/>
                <w:lang w:val="ro-MD"/>
              </w:rPr>
            </w:pPr>
            <w:r w:rsidRPr="00D74890">
              <w:rPr>
                <w:rFonts w:ascii="Times New Roman" w:hAnsi="Times New Roman"/>
                <w:b/>
                <w:bCs/>
                <w:i/>
                <w:iCs/>
                <w:sz w:val="24"/>
                <w:szCs w:val="24"/>
                <w:lang w:val="ro-MD"/>
              </w:rPr>
              <w:t>Pri</w:t>
            </w:r>
            <w:r w:rsidR="006539BD" w:rsidRPr="00D74890">
              <w:rPr>
                <w:rFonts w:ascii="Times New Roman" w:hAnsi="Times New Roman"/>
                <w:b/>
                <w:bCs/>
                <w:i/>
                <w:iCs/>
                <w:sz w:val="24"/>
                <w:szCs w:val="24"/>
                <w:lang w:val="ro-MD"/>
              </w:rPr>
              <w:t>ncipalele prevederi ale proiectului şi evidențierea elementelor noi</w:t>
            </w:r>
          </w:p>
          <w:p w14:paraId="18ABE70B" w14:textId="77777777" w:rsidR="00924EAF" w:rsidRPr="00D74890" w:rsidRDefault="002C06D5" w:rsidP="00D74890">
            <w:pPr>
              <w:spacing w:after="0"/>
              <w:jc w:val="both"/>
              <w:rPr>
                <w:rFonts w:ascii="Times New Roman" w:hAnsi="Times New Roman"/>
                <w:sz w:val="24"/>
                <w:szCs w:val="24"/>
                <w:lang w:val="ro-MD"/>
              </w:rPr>
            </w:pPr>
            <w:r w:rsidRPr="00D74890">
              <w:rPr>
                <w:rFonts w:ascii="Times New Roman" w:hAnsi="Times New Roman"/>
                <w:sz w:val="24"/>
                <w:szCs w:val="24"/>
                <w:lang w:val="ro-MD"/>
              </w:rPr>
              <w:t>Actul normativ propus spre examinare și aprobare prevede raționalizarea corelării autonomiei</w:t>
            </w:r>
            <w:r w:rsidR="00924EAF" w:rsidRPr="00D74890">
              <w:rPr>
                <w:rFonts w:ascii="Times New Roman" w:hAnsi="Times New Roman"/>
                <w:sz w:val="24"/>
                <w:szCs w:val="24"/>
                <w:lang w:val="ro-MD"/>
              </w:rPr>
              <w:t xml:space="preserve"> universitare și eficiența utilizării fondurilor publice, măsurată în baza numărului de studenți echivalenți, indicatorilor de performanță, corelați cu realizările obiectivelor de politică publică, ce devine un imperativ în viziunea noilor sisteme moderne de finanțare.</w:t>
            </w:r>
          </w:p>
          <w:p w14:paraId="15CB4D04" w14:textId="77777777" w:rsidR="00924EAF" w:rsidRPr="00D74890" w:rsidRDefault="00924EAF" w:rsidP="00D74890">
            <w:pPr>
              <w:spacing w:after="0"/>
              <w:jc w:val="both"/>
              <w:rPr>
                <w:rFonts w:ascii="Times New Roman" w:hAnsi="Times New Roman"/>
                <w:sz w:val="24"/>
                <w:szCs w:val="24"/>
                <w:lang w:val="ro-MD"/>
              </w:rPr>
            </w:pPr>
            <w:r w:rsidRPr="00D74890">
              <w:rPr>
                <w:rFonts w:ascii="Times New Roman" w:hAnsi="Times New Roman"/>
                <w:sz w:val="24"/>
                <w:szCs w:val="24"/>
                <w:lang w:val="ro-MD"/>
              </w:rPr>
              <w:t>Proiectul prevede:</w:t>
            </w:r>
          </w:p>
          <w:p w14:paraId="335658E3" w14:textId="77777777" w:rsidR="00924EAF" w:rsidRPr="00CC15BF" w:rsidRDefault="00924EAF" w:rsidP="00D74890">
            <w:pPr>
              <w:pStyle w:val="ListParagraph"/>
              <w:numPr>
                <w:ilvl w:val="0"/>
                <w:numId w:val="5"/>
              </w:numPr>
              <w:spacing w:after="0" w:line="276" w:lineRule="auto"/>
              <w:ind w:left="0" w:firstLine="0"/>
              <w:jc w:val="both"/>
              <w:rPr>
                <w:rFonts w:ascii="Times New Roman" w:hAnsi="Times New Roman"/>
                <w:color w:val="auto"/>
                <w:sz w:val="24"/>
                <w:szCs w:val="24"/>
                <w:lang w:val="ro-MD"/>
              </w:rPr>
            </w:pPr>
            <w:r w:rsidRPr="00CC15BF">
              <w:rPr>
                <w:rFonts w:ascii="Times New Roman" w:hAnsi="Times New Roman"/>
                <w:color w:val="auto"/>
                <w:sz w:val="24"/>
                <w:szCs w:val="24"/>
                <w:lang w:val="ro-MD"/>
              </w:rPr>
              <w:t>asigurarea unei orientări mai eficiente a repartizării fondurilor de finanțare compensatorie și complementare la susținerea performanței activităților instituțiilor publice de învățământ superior;</w:t>
            </w:r>
          </w:p>
          <w:p w14:paraId="6E9C2C14" w14:textId="39E306D2" w:rsidR="002C06D5" w:rsidRPr="00D74890" w:rsidRDefault="00924EAF" w:rsidP="00D74890">
            <w:pPr>
              <w:pStyle w:val="ListParagraph"/>
              <w:numPr>
                <w:ilvl w:val="0"/>
                <w:numId w:val="5"/>
              </w:numPr>
              <w:spacing w:after="0" w:line="276" w:lineRule="auto"/>
              <w:ind w:left="0" w:firstLine="0"/>
              <w:jc w:val="both"/>
              <w:rPr>
                <w:rFonts w:ascii="Times New Roman" w:hAnsi="Times New Roman"/>
                <w:sz w:val="24"/>
                <w:szCs w:val="24"/>
                <w:lang w:val="ro-MD"/>
              </w:rPr>
            </w:pPr>
            <w:r w:rsidRPr="00CC15BF">
              <w:rPr>
                <w:rFonts w:ascii="Times New Roman" w:hAnsi="Times New Roman"/>
                <w:color w:val="auto"/>
                <w:sz w:val="24"/>
                <w:szCs w:val="24"/>
                <w:lang w:val="ro-MD"/>
              </w:rPr>
              <w:t>creșterea recunoașterii și suportului financiar al performanței resursei umane din instituțiile publice de învățământ superior.</w:t>
            </w:r>
          </w:p>
        </w:tc>
      </w:tr>
      <w:tr w:rsidR="002C06D5" w:rsidRPr="002F7F25" w14:paraId="13867745" w14:textId="77777777" w:rsidTr="007C1B49">
        <w:trPr>
          <w:trHeight w:val="4372"/>
          <w:jc w:val="center"/>
        </w:trPr>
        <w:tc>
          <w:tcPr>
            <w:tcW w:w="996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C2E87" w14:textId="0D41FFD3" w:rsidR="002C06D5" w:rsidRPr="00D74890" w:rsidRDefault="002C06D5" w:rsidP="00D74890">
            <w:pPr>
              <w:spacing w:after="0"/>
              <w:jc w:val="both"/>
              <w:rPr>
                <w:rFonts w:ascii="Times New Roman" w:hAnsi="Times New Roman"/>
                <w:sz w:val="24"/>
                <w:szCs w:val="24"/>
                <w:lang w:val="ro-MD"/>
              </w:rPr>
            </w:pPr>
            <w:r w:rsidRPr="00D74890">
              <w:rPr>
                <w:rFonts w:ascii="Times New Roman" w:hAnsi="Times New Roman"/>
                <w:sz w:val="24"/>
                <w:szCs w:val="24"/>
                <w:lang w:val="ro-MD"/>
              </w:rPr>
              <w:lastRenderedPageBreak/>
              <w:t xml:space="preserve"> Astfel, pentru susținerea performanței resursei umane se propune completarea indicatorilor de performanță pentru finanțarea </w:t>
            </w:r>
            <w:r w:rsidR="007C1B49" w:rsidRPr="00D74890">
              <w:rPr>
                <w:rFonts w:ascii="Times New Roman" w:hAnsi="Times New Roman"/>
                <w:sz w:val="24"/>
                <w:szCs w:val="24"/>
                <w:lang w:val="ro-MD"/>
              </w:rPr>
              <w:t>compensatorie</w:t>
            </w:r>
            <w:r w:rsidRPr="00D74890">
              <w:rPr>
                <w:rFonts w:ascii="Times New Roman" w:hAnsi="Times New Roman"/>
                <w:sz w:val="24"/>
                <w:szCs w:val="24"/>
                <w:lang w:val="ro-MD"/>
              </w:rPr>
              <w:t xml:space="preserve"> în număr de 1</w:t>
            </w:r>
            <w:r w:rsidR="002F7F25">
              <w:rPr>
                <w:rFonts w:ascii="Times New Roman" w:hAnsi="Times New Roman"/>
                <w:sz w:val="24"/>
                <w:szCs w:val="24"/>
                <w:lang w:val="ro-MD"/>
              </w:rPr>
              <w:t>6</w:t>
            </w:r>
            <w:r w:rsidRPr="00D74890">
              <w:rPr>
                <w:rFonts w:ascii="Times New Roman" w:hAnsi="Times New Roman"/>
                <w:sz w:val="24"/>
                <w:szCs w:val="24"/>
                <w:lang w:val="ro-MD"/>
              </w:rPr>
              <w:t xml:space="preserve">, dintre care </w:t>
            </w:r>
            <w:r w:rsidR="002F7F25">
              <w:rPr>
                <w:rFonts w:ascii="Times New Roman" w:hAnsi="Times New Roman"/>
                <w:sz w:val="24"/>
                <w:szCs w:val="24"/>
                <w:lang w:val="ro-MD"/>
              </w:rPr>
              <w:t>mai bine de 50% din indicatori</w:t>
            </w:r>
            <w:r w:rsidRPr="00D74890">
              <w:rPr>
                <w:rFonts w:ascii="Times New Roman" w:hAnsi="Times New Roman"/>
                <w:sz w:val="24"/>
                <w:szCs w:val="24"/>
                <w:lang w:val="ro-MD"/>
              </w:rPr>
              <w:t xml:space="preserve"> sunt </w:t>
            </w:r>
            <w:r w:rsidR="002F7F25">
              <w:rPr>
                <w:rFonts w:ascii="Times New Roman" w:hAnsi="Times New Roman"/>
                <w:sz w:val="24"/>
                <w:szCs w:val="24"/>
                <w:lang w:val="ro-MD"/>
              </w:rPr>
              <w:t xml:space="preserve">noi, unii </w:t>
            </w:r>
            <w:r w:rsidRPr="00D74890">
              <w:rPr>
                <w:rFonts w:ascii="Times New Roman" w:hAnsi="Times New Roman"/>
                <w:sz w:val="24"/>
                <w:szCs w:val="24"/>
                <w:lang w:val="ro-MD"/>
              </w:rPr>
              <w:t>reformulați complet</w:t>
            </w:r>
            <w:r w:rsidR="002F7F25">
              <w:rPr>
                <w:rFonts w:ascii="Times New Roman" w:hAnsi="Times New Roman"/>
                <w:sz w:val="24"/>
                <w:szCs w:val="24"/>
                <w:lang w:val="ro-MD"/>
              </w:rPr>
              <w:t>,</w:t>
            </w:r>
            <w:r w:rsidRPr="00D74890">
              <w:rPr>
                <w:rFonts w:ascii="Times New Roman" w:hAnsi="Times New Roman"/>
                <w:sz w:val="24"/>
                <w:szCs w:val="24"/>
                <w:lang w:val="ro-MD"/>
              </w:rPr>
              <w:t xml:space="preserve"> </w:t>
            </w:r>
            <w:r w:rsidR="002F7F25">
              <w:rPr>
                <w:rFonts w:ascii="Times New Roman" w:hAnsi="Times New Roman"/>
                <w:sz w:val="24"/>
                <w:szCs w:val="24"/>
                <w:lang w:val="ro-MD"/>
              </w:rPr>
              <w:t>care</w:t>
            </w:r>
            <w:r w:rsidRPr="00D74890">
              <w:rPr>
                <w:rFonts w:ascii="Times New Roman" w:hAnsi="Times New Roman"/>
                <w:sz w:val="24"/>
                <w:szCs w:val="24"/>
                <w:lang w:val="ro-MD"/>
              </w:rPr>
              <w:t xml:space="preserve"> vor ține cont de angajabiltatea </w:t>
            </w:r>
            <w:r w:rsidR="007C1B49" w:rsidRPr="00D74890">
              <w:rPr>
                <w:rFonts w:ascii="Times New Roman" w:hAnsi="Times New Roman"/>
                <w:sz w:val="24"/>
                <w:szCs w:val="24"/>
                <w:lang w:val="ro-MD"/>
              </w:rPr>
              <w:t>absolvenților</w:t>
            </w:r>
            <w:r w:rsidRPr="00D74890">
              <w:rPr>
                <w:rFonts w:ascii="Times New Roman" w:hAnsi="Times New Roman"/>
                <w:sz w:val="24"/>
                <w:szCs w:val="24"/>
                <w:lang w:val="ro-MD"/>
              </w:rPr>
              <w:t xml:space="preserve">, de </w:t>
            </w:r>
            <w:r w:rsidR="007C1B49" w:rsidRPr="00D74890">
              <w:rPr>
                <w:rFonts w:ascii="Times New Roman" w:hAnsi="Times New Roman"/>
                <w:sz w:val="24"/>
                <w:szCs w:val="24"/>
                <w:lang w:val="ro-MD"/>
              </w:rPr>
              <w:t>încadrarea</w:t>
            </w:r>
            <w:r w:rsidRPr="00D74890">
              <w:rPr>
                <w:rFonts w:ascii="Times New Roman" w:hAnsi="Times New Roman"/>
                <w:sz w:val="24"/>
                <w:szCs w:val="24"/>
                <w:lang w:val="ro-MD"/>
              </w:rPr>
              <w:t xml:space="preserve"> noilor cadre cu vârsta de până la 40 ani, numărul de propuneri de proiecte la Horizon Europe, articole cotate în reviste internaționale  etc.</w:t>
            </w:r>
          </w:p>
          <w:p w14:paraId="4E670999" w14:textId="6CA7EE12" w:rsidR="002F7F25" w:rsidRPr="002F7F25" w:rsidRDefault="002C06D5" w:rsidP="002F7F25">
            <w:pPr>
              <w:spacing w:line="240" w:lineRule="auto"/>
              <w:ind w:firstLine="709"/>
              <w:jc w:val="both"/>
              <w:rPr>
                <w:rFonts w:ascii="Times New Roman" w:hAnsi="Times New Roman" w:cs="Times New Roman"/>
                <w:color w:val="auto"/>
                <w:sz w:val="24"/>
                <w:szCs w:val="24"/>
                <w:lang w:val="en-US"/>
              </w:rPr>
            </w:pPr>
            <w:r w:rsidRPr="002F7F25">
              <w:rPr>
                <w:rFonts w:ascii="Times New Roman" w:hAnsi="Times New Roman" w:cs="Times New Roman"/>
                <w:sz w:val="24"/>
                <w:szCs w:val="24"/>
                <w:lang w:val="ro-MD"/>
              </w:rPr>
              <w:t xml:space="preserve">În ce privește finanțarea complementară, se propune orientarea acesteia în </w:t>
            </w:r>
            <w:r w:rsidR="00B31A52" w:rsidRPr="002F7F25">
              <w:rPr>
                <w:rFonts w:ascii="Times New Roman" w:hAnsi="Times New Roman" w:cs="Times New Roman"/>
                <w:sz w:val="24"/>
                <w:szCs w:val="24"/>
                <w:lang w:val="ro-MD"/>
              </w:rPr>
              <w:t>două</w:t>
            </w:r>
            <w:r w:rsidRPr="002F7F25">
              <w:rPr>
                <w:rFonts w:ascii="Times New Roman" w:hAnsi="Times New Roman" w:cs="Times New Roman"/>
                <w:sz w:val="24"/>
                <w:szCs w:val="24"/>
                <w:lang w:val="ro-MD"/>
              </w:rPr>
              <w:t xml:space="preserve"> direcții distincte: pentru finanțarea  condițiilor de cazare în cămine și investiții în baza materială a instituției,</w:t>
            </w:r>
            <w:r w:rsidR="00B31A52" w:rsidRPr="002F7F25">
              <w:rPr>
                <w:rFonts w:ascii="Times New Roman" w:hAnsi="Times New Roman" w:cs="Times New Roman"/>
                <w:sz w:val="24"/>
                <w:szCs w:val="24"/>
                <w:lang w:val="ro-MD"/>
              </w:rPr>
              <w:t xml:space="preserve"> inclisiv</w:t>
            </w:r>
            <w:r w:rsidRPr="002F7F25">
              <w:rPr>
                <w:rFonts w:ascii="Times New Roman" w:hAnsi="Times New Roman" w:cs="Times New Roman"/>
                <w:sz w:val="24"/>
                <w:szCs w:val="24"/>
                <w:lang w:val="ro-MD"/>
              </w:rPr>
              <w:t xml:space="preserve"> a unor proiecte specifice de dezvoltare instituțională și  </w:t>
            </w:r>
            <w:r w:rsidR="002F7F25" w:rsidRPr="002F7F25">
              <w:rPr>
                <w:rFonts w:ascii="Times New Roman" w:hAnsi="Times New Roman" w:cs="Times New Roman"/>
                <w:sz w:val="24"/>
                <w:szCs w:val="24"/>
                <w:lang w:val="ro-MD"/>
              </w:rPr>
              <w:t>c</w:t>
            </w:r>
            <w:r w:rsidR="002F7F25" w:rsidRPr="002F7F25">
              <w:rPr>
                <w:rFonts w:ascii="Times New Roman" w:eastAsia="Times New Roman" w:hAnsi="Times New Roman" w:cs="Times New Roman"/>
                <w:color w:val="auto"/>
                <w:sz w:val="24"/>
                <w:szCs w:val="24"/>
                <w:bdr w:val="none" w:sz="0" w:space="0" w:color="auto"/>
                <w:lang w:val="ro-MD"/>
              </w:rPr>
              <w:t>el mult 20% din finanțarea complementară vor fi aprobate de fondator pentru o</w:t>
            </w:r>
            <w:r w:rsidR="002F7F25" w:rsidRPr="002F7F25">
              <w:rPr>
                <w:rFonts w:ascii="Times New Roman" w:hAnsi="Times New Roman" w:cs="Times New Roman"/>
                <w:color w:val="auto"/>
                <w:sz w:val="24"/>
                <w:szCs w:val="24"/>
                <w:lang w:val="ro-MD"/>
              </w:rPr>
              <w:t>rganizarea de evenimente naționale privind asigurarea calității învățământului superior, transformarea și digitalizarea învățământului superior, organizarea concursurilor naționale pentru stimularea performanței cadrelor didactice și a studenților, stimularea creativității și inovației în învățământul superior</w:t>
            </w:r>
            <w:r w:rsidR="002F7F25" w:rsidRPr="002F7F25">
              <w:rPr>
                <w:rFonts w:ascii="Times New Roman" w:hAnsi="Times New Roman" w:cs="Times New Roman"/>
                <w:b/>
                <w:bCs/>
                <w:color w:val="auto"/>
                <w:sz w:val="24"/>
                <w:szCs w:val="24"/>
                <w:lang w:val="ro-MD"/>
              </w:rPr>
              <w:t>.</w:t>
            </w:r>
          </w:p>
          <w:p w14:paraId="12C2D1B5" w14:textId="3E3DB5B5" w:rsidR="002C06D5" w:rsidRPr="00D74890" w:rsidRDefault="002C06D5" w:rsidP="00D74890">
            <w:pPr>
              <w:spacing w:after="0"/>
              <w:jc w:val="both"/>
              <w:rPr>
                <w:rFonts w:ascii="Times New Roman" w:eastAsia="Times New Roman" w:hAnsi="Times New Roman" w:cs="Times New Roman"/>
                <w:sz w:val="24"/>
                <w:szCs w:val="24"/>
                <w:lang w:val="ro-MD"/>
              </w:rPr>
            </w:pPr>
            <w:r w:rsidRPr="00D74890">
              <w:rPr>
                <w:rFonts w:ascii="Times New Roman" w:hAnsi="Times New Roman"/>
                <w:sz w:val="24"/>
                <w:szCs w:val="24"/>
                <w:lang w:val="ro-MD"/>
              </w:rPr>
              <w:t>Implementarea proiectului va contribui la:</w:t>
            </w:r>
          </w:p>
          <w:p w14:paraId="56F3BBF5" w14:textId="77777777" w:rsidR="002C06D5" w:rsidRPr="00D74890" w:rsidRDefault="002C06D5" w:rsidP="00D74890">
            <w:pPr>
              <w:pStyle w:val="ListParagraph"/>
              <w:numPr>
                <w:ilvl w:val="0"/>
                <w:numId w:val="4"/>
              </w:numPr>
              <w:spacing w:after="0" w:line="276" w:lineRule="auto"/>
              <w:ind w:left="0" w:firstLine="0"/>
              <w:jc w:val="both"/>
              <w:rPr>
                <w:rFonts w:ascii="Times New Roman" w:hAnsi="Times New Roman"/>
                <w:sz w:val="24"/>
                <w:szCs w:val="24"/>
                <w:lang w:val="ro-MD"/>
              </w:rPr>
            </w:pPr>
            <w:r w:rsidRPr="00D74890">
              <w:rPr>
                <w:rFonts w:ascii="Times New Roman" w:hAnsi="Times New Roman"/>
                <w:sz w:val="24"/>
                <w:szCs w:val="24"/>
                <w:lang w:val="ro-MD"/>
              </w:rPr>
              <w:t>eficientizarea resurselor bugetare și asigurarea unor studii de calitate – un imperativ a unei universități moderne și sporirea relevanței sistemului de învățământ superior din Republica Moldova;</w:t>
            </w:r>
          </w:p>
          <w:p w14:paraId="66E5A8B8" w14:textId="1ABC46D4" w:rsidR="002C06D5" w:rsidRPr="00D74890" w:rsidRDefault="002C06D5" w:rsidP="00D74890">
            <w:pPr>
              <w:pStyle w:val="ListParagraph"/>
              <w:numPr>
                <w:ilvl w:val="0"/>
                <w:numId w:val="4"/>
              </w:numPr>
              <w:tabs>
                <w:tab w:val="left" w:pos="884"/>
                <w:tab w:val="left" w:pos="1196"/>
              </w:tabs>
              <w:spacing w:after="0" w:line="276" w:lineRule="auto"/>
              <w:ind w:left="0" w:firstLine="0"/>
              <w:jc w:val="both"/>
              <w:rPr>
                <w:rFonts w:ascii="Times New Roman" w:hAnsi="Times New Roman"/>
                <w:b/>
                <w:bCs/>
                <w:i/>
                <w:iCs/>
                <w:sz w:val="24"/>
                <w:szCs w:val="24"/>
                <w:lang w:val="ro-MD"/>
              </w:rPr>
            </w:pPr>
            <w:r w:rsidRPr="00D74890">
              <w:rPr>
                <w:rFonts w:ascii="Times New Roman" w:hAnsi="Times New Roman"/>
                <w:sz w:val="24"/>
                <w:szCs w:val="24"/>
                <w:lang w:val="ro-MD"/>
              </w:rPr>
              <w:t>asigurarea unei competiții corecte și transparente în scopul obținerii fondurilor bugetare pentru realizarea activităților educaționale și de cercetare  în instituțiile publice de învățământ superior</w:t>
            </w:r>
            <w:r w:rsidR="00924EAF" w:rsidRPr="00D74890">
              <w:rPr>
                <w:rFonts w:ascii="Times New Roman" w:hAnsi="Times New Roman"/>
                <w:sz w:val="24"/>
                <w:szCs w:val="24"/>
                <w:lang w:val="ro-MD"/>
              </w:rPr>
              <w:t>.</w:t>
            </w:r>
          </w:p>
        </w:tc>
      </w:tr>
      <w:tr w:rsidR="00695F95" w:rsidRPr="00D74890" w14:paraId="28593A41"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EB883"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5. Fundamentarea economico-financiară</w:t>
            </w:r>
          </w:p>
        </w:tc>
      </w:tr>
      <w:tr w:rsidR="00695F95" w:rsidRPr="002F7F25" w14:paraId="1F3648FB" w14:textId="77777777">
        <w:trPr>
          <w:trHeight w:val="9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CA017" w14:textId="28DE97AB" w:rsidR="00695F95" w:rsidRPr="00D74890" w:rsidRDefault="006539BD" w:rsidP="00D74890">
            <w:pPr>
              <w:pStyle w:val="NormalWeb"/>
              <w:spacing w:before="0" w:after="0" w:line="276" w:lineRule="auto"/>
              <w:jc w:val="both"/>
              <w:rPr>
                <w:lang w:val="ro-MD"/>
              </w:rPr>
            </w:pPr>
            <w:r w:rsidRPr="00D74890">
              <w:rPr>
                <w:lang w:val="ro-MD"/>
              </w:rPr>
              <w:t xml:space="preserve">Implementarea prezentului </w:t>
            </w:r>
            <w:r w:rsidRPr="00D74890">
              <w:rPr>
                <w:i/>
                <w:iCs/>
                <w:lang w:val="ro-MD"/>
              </w:rPr>
              <w:t>proiect</w:t>
            </w:r>
            <w:r w:rsidRPr="00D74890">
              <w:rPr>
                <w:lang w:val="ro-MD"/>
              </w:rPr>
              <w:t xml:space="preserve"> nu prevede surse adiționale bugetare, aceleași surse bugetare vor fi repartizate într-un mod mai eficient între universitățile publice de învățământ superior în dependență de numărul de studenți echivalenți și a indicatorilor de performanță atinși de universitate.</w:t>
            </w:r>
          </w:p>
        </w:tc>
      </w:tr>
      <w:tr w:rsidR="00695F95" w:rsidRPr="002F7F25" w14:paraId="43781886"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A88A0"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6. Modul de încorporare a actului în cadrul normativ în vigoare</w:t>
            </w:r>
          </w:p>
        </w:tc>
      </w:tr>
      <w:tr w:rsidR="00695F95" w:rsidRPr="002F7F25" w14:paraId="63B061FC"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1A192" w14:textId="18240A44" w:rsidR="00695F95" w:rsidRPr="00D74890" w:rsidRDefault="00D74890" w:rsidP="00D74890">
            <w:pPr>
              <w:tabs>
                <w:tab w:val="left" w:pos="884"/>
                <w:tab w:val="left" w:pos="1196"/>
              </w:tabs>
              <w:spacing w:after="0"/>
              <w:jc w:val="both"/>
              <w:rPr>
                <w:sz w:val="24"/>
                <w:szCs w:val="24"/>
                <w:lang w:val="ro-MD"/>
              </w:rPr>
            </w:pPr>
            <w:r w:rsidRPr="00CC15BF">
              <w:rPr>
                <w:rFonts w:ascii="Times New Roman" w:hAnsi="Times New Roman"/>
                <w:iCs/>
                <w:sz w:val="24"/>
                <w:szCs w:val="24"/>
                <w:lang w:val="ro-MD"/>
              </w:rPr>
              <w:t>Proiectul se încorporează în sistemul actelor normative și nu necesită modificarea și abrogarea actelor normative în vigoare sau adoptarea actelor normative noi.</w:t>
            </w:r>
          </w:p>
        </w:tc>
      </w:tr>
      <w:tr w:rsidR="00695F95" w:rsidRPr="002F7F25" w14:paraId="60E7DFF5"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BFBCF"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7. Avizarea şi consultarea publică a proiectului</w:t>
            </w:r>
          </w:p>
        </w:tc>
      </w:tr>
      <w:tr w:rsidR="00695F95" w:rsidRPr="002F7F25" w14:paraId="7EB29D6E" w14:textId="77777777">
        <w:trPr>
          <w:trHeight w:val="6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796D8" w14:textId="2C53BE31" w:rsidR="00695F95" w:rsidRPr="00D74890" w:rsidRDefault="009C69B4" w:rsidP="00D74890">
            <w:pPr>
              <w:tabs>
                <w:tab w:val="left" w:pos="884"/>
                <w:tab w:val="left" w:pos="1196"/>
              </w:tabs>
              <w:spacing w:after="0"/>
              <w:jc w:val="both"/>
              <w:rPr>
                <w:rFonts w:ascii="Times New Roman" w:hAnsi="Times New Roman" w:cs="Times New Roman"/>
                <w:sz w:val="24"/>
                <w:szCs w:val="24"/>
                <w:lang w:val="ro-MD"/>
              </w:rPr>
            </w:pPr>
            <w:r w:rsidRPr="00D74890">
              <w:rPr>
                <w:rFonts w:ascii="Times New Roman" w:hAnsi="Times New Roman" w:cs="Times New Roman"/>
                <w:sz w:val="24"/>
                <w:szCs w:val="24"/>
                <w:lang w:val="ro-MD"/>
              </w:rPr>
              <w:t xml:space="preserve">In scopul </w:t>
            </w:r>
            <w:r w:rsidR="007C1B49" w:rsidRPr="00D74890">
              <w:rPr>
                <w:rFonts w:ascii="Times New Roman" w:hAnsi="Times New Roman" w:cs="Times New Roman"/>
                <w:sz w:val="24"/>
                <w:szCs w:val="24"/>
                <w:lang w:val="ro-MD"/>
              </w:rPr>
              <w:t>respectării</w:t>
            </w:r>
            <w:r w:rsidRPr="00D74890">
              <w:rPr>
                <w:rFonts w:ascii="Times New Roman" w:hAnsi="Times New Roman" w:cs="Times New Roman"/>
                <w:sz w:val="24"/>
                <w:szCs w:val="24"/>
                <w:lang w:val="ro-MD"/>
              </w:rPr>
              <w:t xml:space="preserve"> prevederilor Legii nr. 239/2008 privind transparența în procesul decizional, anunțul privind elaborarea proiectului a fost plasat pe pagina web oficiala a Ministerului </w:t>
            </w:r>
            <w:r w:rsidR="007C1B49" w:rsidRPr="00D74890">
              <w:rPr>
                <w:rFonts w:ascii="Times New Roman" w:hAnsi="Times New Roman" w:cs="Times New Roman"/>
                <w:sz w:val="24"/>
                <w:szCs w:val="24"/>
                <w:lang w:val="ro-MD"/>
              </w:rPr>
              <w:t>Educației</w:t>
            </w:r>
            <w:r w:rsidRPr="00D74890">
              <w:rPr>
                <w:rFonts w:ascii="Times New Roman" w:hAnsi="Times New Roman" w:cs="Times New Roman"/>
                <w:sz w:val="24"/>
                <w:szCs w:val="24"/>
                <w:lang w:val="ro-MD"/>
              </w:rPr>
              <w:t xml:space="preserve"> și </w:t>
            </w:r>
            <w:r w:rsidR="007C1B49" w:rsidRPr="00D74890">
              <w:rPr>
                <w:rFonts w:ascii="Times New Roman" w:hAnsi="Times New Roman" w:cs="Times New Roman"/>
                <w:sz w:val="24"/>
                <w:szCs w:val="24"/>
                <w:lang w:val="ro-MD"/>
              </w:rPr>
              <w:t>Cercetării</w:t>
            </w:r>
            <w:r w:rsidRPr="00D74890">
              <w:rPr>
                <w:rFonts w:ascii="Times New Roman" w:hAnsi="Times New Roman" w:cs="Times New Roman"/>
                <w:sz w:val="24"/>
                <w:szCs w:val="24"/>
                <w:lang w:val="ro-MD"/>
              </w:rPr>
              <w:t xml:space="preserve"> www.mec.gov.md, compartimentul Transparenta decizionala </w:t>
            </w:r>
            <w:hyperlink r:id="rId7" w:history="1">
              <w:r w:rsidR="00D74890" w:rsidRPr="00A86E68">
                <w:rPr>
                  <w:rStyle w:val="Hyperlink"/>
                  <w:rFonts w:ascii="Times New Roman" w:hAnsi="Times New Roman" w:cs="Times New Roman"/>
                  <w:sz w:val="24"/>
                  <w:szCs w:val="24"/>
                  <w:lang w:val="ro-MD"/>
                </w:rPr>
                <w:t>https://particip.gov.md/ro/document/stages/proiectul-hotararii-de-guvern-pentru-modificarea-metodologiei-de-finantare-bugetara-a-institutiilor-publice-de-invatamant-superior-aprobata-prin-hotararea-guvernului-nr-3432020/10311</w:t>
              </w:r>
            </w:hyperlink>
            <w:r w:rsidR="00D74890">
              <w:rPr>
                <w:rFonts w:ascii="Times New Roman" w:hAnsi="Times New Roman" w:cs="Times New Roman"/>
                <w:sz w:val="24"/>
                <w:szCs w:val="24"/>
                <w:lang w:val="ro-MD"/>
              </w:rPr>
              <w:t xml:space="preserve"> </w:t>
            </w:r>
          </w:p>
        </w:tc>
      </w:tr>
      <w:tr w:rsidR="00695F95" w:rsidRPr="00D74890" w14:paraId="4D5DB05A"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E714F"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8. Constatările expertizei anticorupție</w:t>
            </w:r>
          </w:p>
        </w:tc>
      </w:tr>
      <w:tr w:rsidR="00695F95" w:rsidRPr="002F7F25" w14:paraId="14EA7379"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33F92"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sz w:val="24"/>
                <w:szCs w:val="24"/>
                <w:lang w:val="ro-MD"/>
              </w:rPr>
              <w:t>Proiectul nu a fost supus expertizei anticorupție.</w:t>
            </w:r>
          </w:p>
        </w:tc>
      </w:tr>
      <w:tr w:rsidR="00695F95" w:rsidRPr="00D74890" w14:paraId="58CA816B"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C9B9D"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9. Constatările expertizei de compatibilitate</w:t>
            </w:r>
          </w:p>
        </w:tc>
      </w:tr>
      <w:tr w:rsidR="00695F95" w:rsidRPr="002F7F25" w14:paraId="36689B01"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3C63A" w14:textId="2A720F48" w:rsidR="00695F95" w:rsidRPr="00D74890" w:rsidRDefault="00D74890" w:rsidP="00D74890">
            <w:pPr>
              <w:tabs>
                <w:tab w:val="left" w:pos="884"/>
                <w:tab w:val="left" w:pos="1196"/>
              </w:tabs>
              <w:spacing w:after="0"/>
              <w:jc w:val="both"/>
              <w:rPr>
                <w:sz w:val="24"/>
                <w:szCs w:val="24"/>
                <w:lang w:val="ro-MD"/>
              </w:rPr>
            </w:pPr>
            <w:r w:rsidRPr="00CC15BF">
              <w:rPr>
                <w:rFonts w:ascii="Times New Roman" w:hAnsi="Times New Roman"/>
                <w:sz w:val="24"/>
                <w:szCs w:val="24"/>
                <w:lang w:val="ro-MD"/>
              </w:rPr>
              <w:t>Proiectul nu intră în categoria actelor normative care necesită expertiza de compatibilitate cu legislația Uniunii Europene.</w:t>
            </w:r>
          </w:p>
        </w:tc>
      </w:tr>
      <w:tr w:rsidR="00695F95" w:rsidRPr="00D74890" w14:paraId="712274CE"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F399F" w14:textId="0FADEAC4"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10. Constatările expertizei juridice</w:t>
            </w:r>
          </w:p>
        </w:tc>
      </w:tr>
      <w:tr w:rsidR="00695F95" w:rsidRPr="002F7F25" w14:paraId="4C5C2D4B"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80031"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sz w:val="24"/>
                <w:szCs w:val="24"/>
                <w:lang w:val="ro-MD"/>
              </w:rPr>
              <w:lastRenderedPageBreak/>
              <w:t>Proiectul nu a fost supus expertizei juridice.</w:t>
            </w:r>
          </w:p>
        </w:tc>
      </w:tr>
      <w:tr w:rsidR="00695F95" w:rsidRPr="00D74890" w14:paraId="1C459CFC" w14:textId="77777777">
        <w:trPr>
          <w:trHeight w:val="3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279C1"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b/>
                <w:bCs/>
                <w:i/>
                <w:iCs/>
                <w:sz w:val="24"/>
                <w:szCs w:val="24"/>
                <w:lang w:val="ro-MD"/>
              </w:rPr>
              <w:t>11. Constatările altor expertize</w:t>
            </w:r>
          </w:p>
        </w:tc>
      </w:tr>
      <w:tr w:rsidR="00695F95" w:rsidRPr="002F7F25" w14:paraId="75A1062F" w14:textId="77777777">
        <w:trPr>
          <w:trHeight w:val="600"/>
          <w:jc w:val="center"/>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4280B" w14:textId="77777777" w:rsidR="00695F95" w:rsidRPr="00D74890" w:rsidRDefault="006539BD" w:rsidP="00D74890">
            <w:pPr>
              <w:tabs>
                <w:tab w:val="left" w:pos="884"/>
                <w:tab w:val="left" w:pos="1196"/>
              </w:tabs>
              <w:spacing w:after="0"/>
              <w:jc w:val="both"/>
              <w:rPr>
                <w:sz w:val="24"/>
                <w:szCs w:val="24"/>
                <w:lang w:val="ro-MD"/>
              </w:rPr>
            </w:pPr>
            <w:r w:rsidRPr="00D74890">
              <w:rPr>
                <w:rFonts w:ascii="Times New Roman" w:hAnsi="Times New Roman"/>
                <w:sz w:val="24"/>
                <w:szCs w:val="24"/>
                <w:lang w:val="ro-MD"/>
              </w:rPr>
              <w:t>Proiectul nu cade sub incidența altor expertize necesare de a fi efectuate în condițiile Legii nr.100/2017 cu privire la actele normative.</w:t>
            </w:r>
          </w:p>
        </w:tc>
      </w:tr>
    </w:tbl>
    <w:p w14:paraId="3D773142" w14:textId="77777777" w:rsidR="00695F95" w:rsidRPr="00D74890" w:rsidRDefault="00695F95" w:rsidP="00D74890">
      <w:pPr>
        <w:widowControl w:val="0"/>
        <w:spacing w:after="0"/>
        <w:jc w:val="both"/>
        <w:rPr>
          <w:rFonts w:ascii="Times New Roman" w:eastAsia="Times New Roman" w:hAnsi="Times New Roman" w:cs="Times New Roman"/>
          <w:b/>
          <w:bCs/>
          <w:sz w:val="24"/>
          <w:szCs w:val="24"/>
          <w:lang w:val="ro-MD"/>
        </w:rPr>
      </w:pPr>
    </w:p>
    <w:p w14:paraId="20A9984E" w14:textId="4005D304" w:rsidR="00695F95" w:rsidRPr="00D74890" w:rsidRDefault="00D74890" w:rsidP="00D74890">
      <w:pPr>
        <w:tabs>
          <w:tab w:val="left" w:pos="884"/>
          <w:tab w:val="left" w:pos="1196"/>
        </w:tabs>
        <w:spacing w:after="0"/>
        <w:jc w:val="both"/>
        <w:rPr>
          <w:rFonts w:ascii="Times New Roman" w:eastAsia="Times New Roman" w:hAnsi="Times New Roman" w:cs="Times New Roman"/>
          <w:b/>
          <w:bCs/>
          <w:sz w:val="24"/>
          <w:szCs w:val="24"/>
          <w:lang w:val="ro-MD"/>
        </w:rPr>
      </w:pPr>
      <w:r w:rsidRPr="00D74890">
        <w:rPr>
          <w:rFonts w:ascii="Times New Roman" w:eastAsia="Times New Roman" w:hAnsi="Times New Roman" w:cs="Times New Roman"/>
          <w:b/>
          <w:bCs/>
          <w:sz w:val="24"/>
          <w:szCs w:val="24"/>
          <w:lang w:val="ro-MD"/>
        </w:rPr>
        <w:tab/>
      </w:r>
    </w:p>
    <w:p w14:paraId="2544AE52" w14:textId="77777777" w:rsidR="00695F95" w:rsidRPr="00D74890" w:rsidRDefault="006539BD" w:rsidP="00D74890">
      <w:pPr>
        <w:tabs>
          <w:tab w:val="left" w:pos="884"/>
          <w:tab w:val="left" w:pos="1196"/>
        </w:tabs>
        <w:spacing w:after="0"/>
        <w:jc w:val="both"/>
        <w:rPr>
          <w:rFonts w:ascii="Times New Roman" w:eastAsia="Times New Roman" w:hAnsi="Times New Roman" w:cs="Times New Roman"/>
          <w:b/>
          <w:bCs/>
          <w:sz w:val="24"/>
          <w:szCs w:val="24"/>
          <w:lang w:val="ro-MD"/>
        </w:rPr>
      </w:pPr>
      <w:r w:rsidRPr="00D74890">
        <w:rPr>
          <w:rFonts w:ascii="Times New Roman" w:eastAsia="Times New Roman" w:hAnsi="Times New Roman" w:cs="Times New Roman"/>
          <w:b/>
          <w:bCs/>
          <w:sz w:val="24"/>
          <w:szCs w:val="24"/>
          <w:lang w:val="ro-MD"/>
        </w:rPr>
        <w:tab/>
        <w:t xml:space="preserve">         Ministru</w:t>
      </w:r>
      <w:r w:rsidRPr="00D74890">
        <w:rPr>
          <w:rFonts w:ascii="Times New Roman" w:eastAsia="Times New Roman" w:hAnsi="Times New Roman" w:cs="Times New Roman"/>
          <w:sz w:val="24"/>
          <w:szCs w:val="24"/>
          <w:lang w:val="ro-MD"/>
        </w:rPr>
        <w:tab/>
      </w:r>
      <w:r w:rsidRPr="00D74890">
        <w:rPr>
          <w:rFonts w:ascii="Times New Roman" w:eastAsia="Times New Roman" w:hAnsi="Times New Roman" w:cs="Times New Roman"/>
          <w:sz w:val="24"/>
          <w:szCs w:val="24"/>
          <w:lang w:val="ro-MD"/>
        </w:rPr>
        <w:tab/>
      </w:r>
      <w:r w:rsidRPr="00D74890">
        <w:rPr>
          <w:rFonts w:ascii="Times New Roman" w:eastAsia="Times New Roman" w:hAnsi="Times New Roman" w:cs="Times New Roman"/>
          <w:sz w:val="24"/>
          <w:szCs w:val="24"/>
          <w:lang w:val="ro-MD"/>
        </w:rPr>
        <w:tab/>
      </w:r>
      <w:r w:rsidRPr="00D74890">
        <w:rPr>
          <w:rFonts w:ascii="Times New Roman" w:eastAsia="Times New Roman" w:hAnsi="Times New Roman" w:cs="Times New Roman"/>
          <w:sz w:val="24"/>
          <w:szCs w:val="24"/>
          <w:lang w:val="ro-MD"/>
        </w:rPr>
        <w:tab/>
      </w:r>
      <w:r w:rsidRPr="00D74890">
        <w:rPr>
          <w:rFonts w:ascii="Times New Roman" w:eastAsia="Times New Roman" w:hAnsi="Times New Roman" w:cs="Times New Roman"/>
          <w:sz w:val="24"/>
          <w:szCs w:val="24"/>
          <w:lang w:val="ro-MD"/>
        </w:rPr>
        <w:tab/>
      </w:r>
      <w:r w:rsidRPr="00D74890">
        <w:rPr>
          <w:rFonts w:ascii="Times New Roman" w:hAnsi="Times New Roman"/>
          <w:b/>
          <w:bCs/>
          <w:sz w:val="24"/>
          <w:szCs w:val="24"/>
          <w:lang w:val="ro-MD"/>
        </w:rPr>
        <w:t>Anatolie TOPALĂ</w:t>
      </w:r>
    </w:p>
    <w:p w14:paraId="56E04C4A" w14:textId="77777777" w:rsidR="00695F95" w:rsidRPr="00D74890" w:rsidRDefault="00695F95" w:rsidP="00D74890">
      <w:pPr>
        <w:tabs>
          <w:tab w:val="left" w:pos="884"/>
          <w:tab w:val="left" w:pos="1196"/>
        </w:tabs>
        <w:spacing w:after="0"/>
        <w:jc w:val="both"/>
        <w:rPr>
          <w:rFonts w:ascii="Times New Roman" w:eastAsia="Times New Roman" w:hAnsi="Times New Roman" w:cs="Times New Roman"/>
          <w:i/>
          <w:iCs/>
          <w:sz w:val="24"/>
          <w:szCs w:val="24"/>
          <w:lang w:val="ro-MD"/>
        </w:rPr>
      </w:pPr>
    </w:p>
    <w:p w14:paraId="75DB9E2D" w14:textId="77777777" w:rsidR="00695F95" w:rsidRPr="00D74890" w:rsidRDefault="00695F95" w:rsidP="00D74890">
      <w:pPr>
        <w:tabs>
          <w:tab w:val="left" w:pos="884"/>
          <w:tab w:val="left" w:pos="1196"/>
        </w:tabs>
        <w:spacing w:after="0"/>
        <w:jc w:val="both"/>
        <w:rPr>
          <w:rFonts w:ascii="Times New Roman" w:eastAsia="Times New Roman" w:hAnsi="Times New Roman" w:cs="Times New Roman"/>
          <w:i/>
          <w:iCs/>
          <w:sz w:val="24"/>
          <w:szCs w:val="24"/>
          <w:lang w:val="ro-MD"/>
        </w:rPr>
      </w:pPr>
    </w:p>
    <w:p w14:paraId="055028C0" w14:textId="77777777" w:rsidR="00695F95" w:rsidRPr="00D74890" w:rsidRDefault="00695F95" w:rsidP="00D74890">
      <w:pPr>
        <w:tabs>
          <w:tab w:val="left" w:pos="884"/>
          <w:tab w:val="left" w:pos="1196"/>
        </w:tabs>
        <w:spacing w:after="0"/>
        <w:jc w:val="both"/>
        <w:rPr>
          <w:rFonts w:ascii="Times New Roman" w:eastAsia="Times New Roman" w:hAnsi="Times New Roman" w:cs="Times New Roman"/>
          <w:i/>
          <w:iCs/>
          <w:sz w:val="24"/>
          <w:szCs w:val="24"/>
          <w:lang w:val="ro-MD"/>
        </w:rPr>
      </w:pPr>
    </w:p>
    <w:p w14:paraId="6F37FFBA" w14:textId="77777777" w:rsidR="00695F95" w:rsidRPr="00D74890" w:rsidRDefault="00695F95" w:rsidP="00D74890">
      <w:pPr>
        <w:pStyle w:val="NoSpacing"/>
        <w:spacing w:line="276" w:lineRule="auto"/>
        <w:jc w:val="both"/>
        <w:rPr>
          <w:rFonts w:ascii="Times New Roman" w:eastAsia="Times New Roman" w:hAnsi="Times New Roman" w:cs="Times New Roman"/>
          <w:sz w:val="24"/>
          <w:szCs w:val="24"/>
          <w:lang w:val="ro-MD"/>
        </w:rPr>
      </w:pPr>
    </w:p>
    <w:p w14:paraId="525A6254" w14:textId="77777777" w:rsidR="00695F95" w:rsidRPr="00D74890" w:rsidRDefault="00695F95" w:rsidP="00D74890">
      <w:pPr>
        <w:pStyle w:val="NoSpacing"/>
        <w:spacing w:line="276" w:lineRule="auto"/>
        <w:jc w:val="both"/>
        <w:rPr>
          <w:rFonts w:ascii="Times New Roman" w:eastAsia="Times New Roman" w:hAnsi="Times New Roman" w:cs="Times New Roman"/>
          <w:sz w:val="24"/>
          <w:szCs w:val="24"/>
          <w:lang w:val="ro-MD"/>
        </w:rPr>
      </w:pPr>
    </w:p>
    <w:p w14:paraId="707B0FBF" w14:textId="77777777" w:rsidR="00695F95" w:rsidRPr="00D74890" w:rsidRDefault="00695F95" w:rsidP="00D74890">
      <w:pPr>
        <w:pStyle w:val="NoSpacing"/>
        <w:spacing w:line="276" w:lineRule="auto"/>
        <w:jc w:val="both"/>
        <w:rPr>
          <w:rFonts w:ascii="Times New Roman" w:eastAsia="Times New Roman" w:hAnsi="Times New Roman" w:cs="Times New Roman"/>
          <w:sz w:val="24"/>
          <w:szCs w:val="24"/>
          <w:lang w:val="ro-MD"/>
        </w:rPr>
      </w:pPr>
    </w:p>
    <w:p w14:paraId="3C180D6B" w14:textId="77777777" w:rsidR="00695F95" w:rsidRPr="00D74890" w:rsidRDefault="00695F95" w:rsidP="00D74890">
      <w:pPr>
        <w:pStyle w:val="NoSpacing"/>
        <w:spacing w:line="276" w:lineRule="auto"/>
        <w:jc w:val="both"/>
        <w:rPr>
          <w:rFonts w:ascii="Times New Roman" w:eastAsia="Times New Roman" w:hAnsi="Times New Roman" w:cs="Times New Roman"/>
          <w:sz w:val="24"/>
          <w:szCs w:val="24"/>
          <w:lang w:val="ro-MD"/>
        </w:rPr>
      </w:pPr>
    </w:p>
    <w:p w14:paraId="0285FC7F" w14:textId="77777777" w:rsidR="00695F95" w:rsidRPr="00D74890" w:rsidRDefault="00695F95" w:rsidP="00D74890">
      <w:pPr>
        <w:pStyle w:val="NoSpacing"/>
        <w:spacing w:line="276" w:lineRule="auto"/>
        <w:jc w:val="both"/>
        <w:rPr>
          <w:rFonts w:ascii="Times New Roman" w:eastAsia="Times New Roman" w:hAnsi="Times New Roman" w:cs="Times New Roman"/>
          <w:sz w:val="24"/>
          <w:szCs w:val="24"/>
          <w:lang w:val="ro-MD"/>
        </w:rPr>
      </w:pPr>
    </w:p>
    <w:p w14:paraId="693437CD" w14:textId="77777777" w:rsidR="00695F95" w:rsidRPr="00D74890" w:rsidRDefault="00695F95" w:rsidP="00D74890">
      <w:pPr>
        <w:pStyle w:val="NoSpacing"/>
        <w:spacing w:line="276" w:lineRule="auto"/>
        <w:jc w:val="both"/>
        <w:rPr>
          <w:rFonts w:ascii="Times New Roman" w:eastAsia="Times New Roman" w:hAnsi="Times New Roman" w:cs="Times New Roman"/>
          <w:sz w:val="24"/>
          <w:szCs w:val="24"/>
          <w:lang w:val="ro-MD"/>
        </w:rPr>
      </w:pPr>
    </w:p>
    <w:p w14:paraId="134D9F00" w14:textId="77777777" w:rsidR="00695F95" w:rsidRPr="00D74890" w:rsidRDefault="006539BD" w:rsidP="00D74890">
      <w:pPr>
        <w:pStyle w:val="NoSpacing"/>
        <w:spacing w:line="276" w:lineRule="auto"/>
        <w:jc w:val="both"/>
        <w:rPr>
          <w:rFonts w:ascii="Times New Roman" w:eastAsia="Times New Roman" w:hAnsi="Times New Roman" w:cs="Times New Roman"/>
          <w:sz w:val="16"/>
          <w:szCs w:val="16"/>
          <w:lang w:val="ro-MD"/>
        </w:rPr>
      </w:pPr>
      <w:r w:rsidRPr="00D74890">
        <w:rPr>
          <w:rFonts w:ascii="Times New Roman" w:hAnsi="Times New Roman"/>
          <w:sz w:val="16"/>
          <w:szCs w:val="16"/>
          <w:lang w:val="ro-MD"/>
        </w:rPr>
        <w:t xml:space="preserve">Ex. Luca Ala  </w:t>
      </w:r>
    </w:p>
    <w:p w14:paraId="23D98038" w14:textId="77777777" w:rsidR="00695F95" w:rsidRPr="00D74890" w:rsidRDefault="00000000" w:rsidP="00D74890">
      <w:pPr>
        <w:pStyle w:val="NoSpacing"/>
        <w:spacing w:line="276" w:lineRule="auto"/>
        <w:jc w:val="both"/>
        <w:rPr>
          <w:sz w:val="16"/>
          <w:szCs w:val="16"/>
          <w:lang w:val="ro-MD"/>
        </w:rPr>
      </w:pPr>
      <w:hyperlink r:id="rId8" w:history="1">
        <w:r w:rsidR="006539BD" w:rsidRPr="00D74890">
          <w:rPr>
            <w:rStyle w:val="Hyperlink0"/>
            <w:rFonts w:eastAsia="Arial Unicode MS" w:cs="Arial Unicode MS"/>
            <w:lang w:val="ro-MD"/>
          </w:rPr>
          <w:t>ala.luca@mec.gov.md</w:t>
        </w:r>
      </w:hyperlink>
    </w:p>
    <w:sectPr w:rsidR="00695F95" w:rsidRPr="00D74890">
      <w:headerReference w:type="default" r:id="rId9"/>
      <w:footerReference w:type="default" r:id="rId10"/>
      <w:pgSz w:w="12240" w:h="15840"/>
      <w:pgMar w:top="624" w:right="851"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63A1" w14:textId="77777777" w:rsidR="00E6778F" w:rsidRDefault="00E6778F">
      <w:pPr>
        <w:spacing w:after="0" w:line="240" w:lineRule="auto"/>
      </w:pPr>
      <w:r>
        <w:separator/>
      </w:r>
    </w:p>
  </w:endnote>
  <w:endnote w:type="continuationSeparator" w:id="0">
    <w:p w14:paraId="25FAEAD8" w14:textId="77777777" w:rsidR="00E6778F" w:rsidRDefault="00E6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EC62" w14:textId="77777777" w:rsidR="00695F95" w:rsidRDefault="00695F95">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48A2" w14:textId="77777777" w:rsidR="00E6778F" w:rsidRDefault="00E6778F">
      <w:pPr>
        <w:spacing w:after="0" w:line="240" w:lineRule="auto"/>
      </w:pPr>
      <w:r>
        <w:separator/>
      </w:r>
    </w:p>
  </w:footnote>
  <w:footnote w:type="continuationSeparator" w:id="0">
    <w:p w14:paraId="00513016" w14:textId="77777777" w:rsidR="00E6778F" w:rsidRDefault="00E67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4B6C" w14:textId="77777777" w:rsidR="00695F95" w:rsidRDefault="00695F95">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7E16"/>
    <w:multiLevelType w:val="hybridMultilevel"/>
    <w:tmpl w:val="CC7AF1D2"/>
    <w:lvl w:ilvl="0" w:tplc="B7F023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F888E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CCBCC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021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1C808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08CE3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9ADB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DA50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7AB5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4611DF"/>
    <w:multiLevelType w:val="hybridMultilevel"/>
    <w:tmpl w:val="77E61F44"/>
    <w:lvl w:ilvl="0" w:tplc="C630A390">
      <w:start w:val="1"/>
      <w:numFmt w:val="decimal"/>
      <w:lvlText w:val="(%1)"/>
      <w:lvlJc w:val="left"/>
      <w:pPr>
        <w:tabs>
          <w:tab w:val="left" w:pos="284"/>
          <w:tab w:val="left" w:pos="1196"/>
        </w:tabs>
        <w:ind w:left="818" w:hanging="458"/>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367A3B68">
      <w:start w:val="1"/>
      <w:numFmt w:val="lowerLetter"/>
      <w:lvlText w:val="%2."/>
      <w:lvlJc w:val="left"/>
      <w:pPr>
        <w:tabs>
          <w:tab w:val="left" w:pos="284"/>
          <w:tab w:val="left" w:pos="1196"/>
        </w:tabs>
        <w:ind w:left="14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8DC89D80">
      <w:start w:val="1"/>
      <w:numFmt w:val="lowerRoman"/>
      <w:lvlText w:val="%3."/>
      <w:lvlJc w:val="left"/>
      <w:pPr>
        <w:tabs>
          <w:tab w:val="left" w:pos="284"/>
          <w:tab w:val="left" w:pos="1196"/>
        </w:tabs>
        <w:ind w:left="2187" w:hanging="318"/>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A6907536">
      <w:start w:val="1"/>
      <w:numFmt w:val="decimal"/>
      <w:lvlText w:val="%4."/>
      <w:lvlJc w:val="left"/>
      <w:pPr>
        <w:tabs>
          <w:tab w:val="left" w:pos="1196"/>
        </w:tabs>
        <w:ind w:left="284" w:hanging="284"/>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152EDAE8">
      <w:start w:val="1"/>
      <w:numFmt w:val="lowerLetter"/>
      <w:lvlText w:val="%5."/>
      <w:lvlJc w:val="left"/>
      <w:pPr>
        <w:tabs>
          <w:tab w:val="left" w:pos="284"/>
          <w:tab w:val="left" w:pos="1196"/>
        </w:tabs>
        <w:ind w:left="720" w:hanging="476"/>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A24240C6">
      <w:start w:val="1"/>
      <w:numFmt w:val="lowerRoman"/>
      <w:lvlText w:val="%6."/>
      <w:lvlJc w:val="left"/>
      <w:pPr>
        <w:ind w:left="2820" w:hanging="28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7DC22112">
      <w:start w:val="1"/>
      <w:numFmt w:val="decimal"/>
      <w:lvlText w:val="%7."/>
      <w:lvlJc w:val="left"/>
      <w:pPr>
        <w:ind w:left="2880" w:hanging="28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2474C100">
      <w:start w:val="1"/>
      <w:numFmt w:val="lowerLetter"/>
      <w:lvlText w:val="%8."/>
      <w:lvlJc w:val="left"/>
      <w:pPr>
        <w:ind w:left="2880" w:hanging="28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C796706C">
      <w:start w:val="1"/>
      <w:numFmt w:val="lowerRoman"/>
      <w:lvlText w:val="%9."/>
      <w:lvlJc w:val="left"/>
      <w:pPr>
        <w:tabs>
          <w:tab w:val="left" w:pos="284"/>
        </w:tabs>
        <w:ind w:left="3600" w:hanging="282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997F35"/>
    <w:multiLevelType w:val="hybridMultilevel"/>
    <w:tmpl w:val="E218493E"/>
    <w:lvl w:ilvl="0" w:tplc="31365FA4">
      <w:start w:val="1"/>
      <w:numFmt w:val="bullet"/>
      <w:lvlText w:val="·"/>
      <w:lvlJc w:val="left"/>
      <w:pPr>
        <w:ind w:left="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06CC60">
      <w:start w:val="1"/>
      <w:numFmt w:val="bullet"/>
      <w:lvlText w:val="o"/>
      <w:lvlJc w:val="left"/>
      <w:pPr>
        <w:ind w:left="1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30D4D2">
      <w:start w:val="1"/>
      <w:numFmt w:val="bullet"/>
      <w:lvlText w:val="▪"/>
      <w:lvlJc w:val="left"/>
      <w:pPr>
        <w:ind w:left="2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02E356">
      <w:start w:val="1"/>
      <w:numFmt w:val="bullet"/>
      <w:lvlText w:val="·"/>
      <w:lvlJc w:val="left"/>
      <w:pPr>
        <w:ind w:left="3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D69888">
      <w:start w:val="1"/>
      <w:numFmt w:val="bullet"/>
      <w:lvlText w:val="o"/>
      <w:lvlJc w:val="left"/>
      <w:pPr>
        <w:ind w:left="3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809BD6">
      <w:start w:val="1"/>
      <w:numFmt w:val="bullet"/>
      <w:lvlText w:val="▪"/>
      <w:lvlJc w:val="left"/>
      <w:pPr>
        <w:ind w:left="4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E6749C">
      <w:start w:val="1"/>
      <w:numFmt w:val="bullet"/>
      <w:lvlText w:val="·"/>
      <w:lvlJc w:val="left"/>
      <w:pPr>
        <w:ind w:left="52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76C2F8">
      <w:start w:val="1"/>
      <w:numFmt w:val="bullet"/>
      <w:lvlText w:val="o"/>
      <w:lvlJc w:val="left"/>
      <w:pPr>
        <w:ind w:left="59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5226D2">
      <w:start w:val="1"/>
      <w:numFmt w:val="bullet"/>
      <w:lvlText w:val="▪"/>
      <w:lvlJc w:val="left"/>
      <w:pPr>
        <w:ind w:left="66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F064048"/>
    <w:multiLevelType w:val="hybridMultilevel"/>
    <w:tmpl w:val="85988C1E"/>
    <w:lvl w:ilvl="0" w:tplc="C5689B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EE9F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2FD3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66433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D2D4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20DEE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4D4CA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E2D5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D007D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CDB20AA"/>
    <w:multiLevelType w:val="hybridMultilevel"/>
    <w:tmpl w:val="1490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754494">
    <w:abstractNumId w:val="1"/>
  </w:num>
  <w:num w:numId="2" w16cid:durableId="337851145">
    <w:abstractNumId w:val="2"/>
  </w:num>
  <w:num w:numId="3" w16cid:durableId="1235582905">
    <w:abstractNumId w:val="3"/>
  </w:num>
  <w:num w:numId="4" w16cid:durableId="1205558888">
    <w:abstractNumId w:val="0"/>
  </w:num>
  <w:num w:numId="5" w16cid:durableId="208025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95"/>
    <w:rsid w:val="0007327F"/>
    <w:rsid w:val="001C2219"/>
    <w:rsid w:val="001F25B8"/>
    <w:rsid w:val="002C06D5"/>
    <w:rsid w:val="002F7F25"/>
    <w:rsid w:val="00395579"/>
    <w:rsid w:val="003B4849"/>
    <w:rsid w:val="00415978"/>
    <w:rsid w:val="004704A8"/>
    <w:rsid w:val="006539BD"/>
    <w:rsid w:val="00670846"/>
    <w:rsid w:val="00695F95"/>
    <w:rsid w:val="007C1B49"/>
    <w:rsid w:val="007F39CD"/>
    <w:rsid w:val="00924EAF"/>
    <w:rsid w:val="00987692"/>
    <w:rsid w:val="009C69B4"/>
    <w:rsid w:val="00A06525"/>
    <w:rsid w:val="00B31A52"/>
    <w:rsid w:val="00BE1C47"/>
    <w:rsid w:val="00CC15BF"/>
    <w:rsid w:val="00D17F21"/>
    <w:rsid w:val="00D52636"/>
    <w:rsid w:val="00D74890"/>
    <w:rsid w:val="00E6778F"/>
    <w:rsid w:val="00F867EF"/>
    <w:rsid w:val="00FB77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E66A"/>
  <w15:docId w15:val="{81575EEE-7DA1-4D12-9F2A-8620B4BD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ru-RU"/>
    </w:rPr>
  </w:style>
  <w:style w:type="paragraph" w:styleId="Heading3">
    <w:name w:val="heading 3"/>
    <w:next w:val="Normal"/>
    <w:link w:val="Heading3Char"/>
    <w:rsid w:val="002F7F25"/>
    <w:pPr>
      <w:keepNext/>
      <w:spacing w:line="240" w:lineRule="atLeast"/>
      <w:ind w:left="283" w:right="851" w:firstLine="283"/>
      <w:jc w:val="center"/>
      <w:outlineLvl w:val="2"/>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istParagraph2">
    <w:name w:val="List Paragraph2"/>
    <w:pPr>
      <w:spacing w:after="160" w:line="259" w:lineRule="auto"/>
      <w:ind w:left="708"/>
      <w:jc w:val="both"/>
    </w:pPr>
    <w:rPr>
      <w:rFonts w:ascii="Calibri" w:hAnsi="Calibri" w:cs="Arial Unicode MS"/>
      <w:color w:val="000000"/>
      <w:sz w:val="22"/>
      <w:szCs w:val="22"/>
      <w:u w:color="000000"/>
    </w:rPr>
  </w:style>
  <w:style w:type="paragraph" w:styleId="ListParagraph">
    <w:name w:val="List Paragraph"/>
    <w:pPr>
      <w:spacing w:after="160" w:line="259" w:lineRule="auto"/>
      <w:ind w:left="720"/>
    </w:pPr>
    <w:rPr>
      <w:rFonts w:ascii="Calibri" w:hAnsi="Calibri" w:cs="Arial Unicode MS"/>
      <w:color w:val="000000"/>
      <w:sz w:val="22"/>
      <w:szCs w:val="22"/>
      <w:u w:color="000000"/>
      <w:lang w:val="ru-RU"/>
    </w:rPr>
  </w:style>
  <w:style w:type="paragraph" w:styleId="NormalWeb">
    <w:name w:val="Normal (Web)"/>
    <w:pPr>
      <w:spacing w:before="100" w:after="100"/>
    </w:pPr>
    <w:rPr>
      <w:rFonts w:cs="Arial Unicode MS"/>
      <w:color w:val="000000"/>
      <w:sz w:val="24"/>
      <w:szCs w:val="24"/>
      <w:u w:color="000000"/>
      <w:lang w:val="en-US"/>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16"/>
      <w:szCs w:val="16"/>
      <w:u w:val="single" w:color="0563C1"/>
    </w:rPr>
  </w:style>
  <w:style w:type="character" w:styleId="CommentReference">
    <w:name w:val="annotation reference"/>
    <w:basedOn w:val="DefaultParagraphFont"/>
    <w:uiPriority w:val="99"/>
    <w:semiHidden/>
    <w:unhideWhenUsed/>
    <w:rsid w:val="003B4849"/>
    <w:rPr>
      <w:sz w:val="16"/>
      <w:szCs w:val="16"/>
    </w:rPr>
  </w:style>
  <w:style w:type="paragraph" w:styleId="CommentText">
    <w:name w:val="annotation text"/>
    <w:basedOn w:val="Normal"/>
    <w:link w:val="CommentTextChar"/>
    <w:uiPriority w:val="99"/>
    <w:semiHidden/>
    <w:unhideWhenUsed/>
    <w:rsid w:val="003B4849"/>
    <w:pPr>
      <w:spacing w:line="240" w:lineRule="auto"/>
    </w:pPr>
    <w:rPr>
      <w:sz w:val="20"/>
      <w:szCs w:val="20"/>
    </w:rPr>
  </w:style>
  <w:style w:type="character" w:customStyle="1" w:styleId="CommentTextChar">
    <w:name w:val="Comment Text Char"/>
    <w:basedOn w:val="DefaultParagraphFont"/>
    <w:link w:val="CommentText"/>
    <w:uiPriority w:val="99"/>
    <w:semiHidden/>
    <w:rsid w:val="003B4849"/>
    <w:rPr>
      <w:rFonts w:ascii="Calibri" w:hAnsi="Calibri" w:cs="Arial Unicode MS"/>
      <w:color w:val="000000"/>
      <w:u w:color="000000"/>
      <w:lang w:val="ru-RU"/>
    </w:rPr>
  </w:style>
  <w:style w:type="paragraph" w:styleId="CommentSubject">
    <w:name w:val="annotation subject"/>
    <w:basedOn w:val="CommentText"/>
    <w:next w:val="CommentText"/>
    <w:link w:val="CommentSubjectChar"/>
    <w:uiPriority w:val="99"/>
    <w:semiHidden/>
    <w:unhideWhenUsed/>
    <w:rsid w:val="003B4849"/>
    <w:rPr>
      <w:b/>
      <w:bCs/>
    </w:rPr>
  </w:style>
  <w:style w:type="character" w:customStyle="1" w:styleId="CommentSubjectChar">
    <w:name w:val="Comment Subject Char"/>
    <w:basedOn w:val="CommentTextChar"/>
    <w:link w:val="CommentSubject"/>
    <w:uiPriority w:val="99"/>
    <w:semiHidden/>
    <w:rsid w:val="003B4849"/>
    <w:rPr>
      <w:rFonts w:ascii="Calibri" w:hAnsi="Calibri" w:cs="Arial Unicode MS"/>
      <w:b/>
      <w:bCs/>
      <w:color w:val="000000"/>
      <w:u w:color="000000"/>
      <w:lang w:val="ru-RU"/>
    </w:rPr>
  </w:style>
  <w:style w:type="paragraph" w:styleId="BalloonText">
    <w:name w:val="Balloon Text"/>
    <w:basedOn w:val="Normal"/>
    <w:link w:val="BalloonTextChar"/>
    <w:uiPriority w:val="99"/>
    <w:semiHidden/>
    <w:unhideWhenUsed/>
    <w:rsid w:val="003B4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49"/>
    <w:rPr>
      <w:rFonts w:ascii="Segoe UI" w:hAnsi="Segoe UI" w:cs="Segoe UI"/>
      <w:color w:val="000000"/>
      <w:sz w:val="18"/>
      <w:szCs w:val="18"/>
      <w:u w:color="000000"/>
      <w:lang w:val="ru-RU"/>
    </w:rPr>
  </w:style>
  <w:style w:type="character" w:customStyle="1" w:styleId="Heading3Char">
    <w:name w:val="Heading 3 Char"/>
    <w:basedOn w:val="DefaultParagraphFont"/>
    <w:link w:val="Heading3"/>
    <w:rsid w:val="002F7F25"/>
    <w:rPr>
      <w:rFonts w:cs="Arial Unicode MS"/>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luca@mec.gov.md" TargetMode="External"/><Relationship Id="rId3" Type="http://schemas.openxmlformats.org/officeDocument/2006/relationships/settings" Target="settings.xml"/><Relationship Id="rId7" Type="http://schemas.openxmlformats.org/officeDocument/2006/relationships/hyperlink" Target="https://particip.gov.md/ro/document/stages/proiectul-hotararii-de-guvern-pentru-modificarea-metodologiei-de-finantare-bugetara-a-institutiilor-publice-de-invatamant-superior-aprobata-prin-hotararea-guvernului-nr-3432020/103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942</Words>
  <Characters>5371</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Ministerul Educatiei</cp:lastModifiedBy>
  <cp:revision>16</cp:revision>
  <cp:lastPrinted>2023-06-09T04:52:00Z</cp:lastPrinted>
  <dcterms:created xsi:type="dcterms:W3CDTF">2023-06-05T04:46:00Z</dcterms:created>
  <dcterms:modified xsi:type="dcterms:W3CDTF">2023-06-12T07:10:00Z</dcterms:modified>
</cp:coreProperties>
</file>