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276546" w:rsidTr="00467318">
        <w:tc>
          <w:tcPr>
            <w:tcW w:w="9895" w:type="dxa"/>
          </w:tcPr>
          <w:p w:rsidR="006F0D6D" w:rsidRPr="00441D89" w:rsidRDefault="00880821" w:rsidP="004673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F0D6D" w:rsidRPr="00441D89">
              <w:rPr>
                <w:rFonts w:ascii="Times New Roman" w:hAnsi="Times New Roman" w:cs="Times New Roman"/>
                <w:b/>
                <w:sz w:val="28"/>
                <w:szCs w:val="28"/>
              </w:rPr>
              <w:t>NOTĂ INFORMATIVĂ</w:t>
            </w:r>
          </w:p>
          <w:p w:rsidR="006F0D6D" w:rsidRPr="00390B6E" w:rsidRDefault="006F0D6D" w:rsidP="00390B6E">
            <w:pPr>
              <w:ind w:firstLine="709"/>
              <w:jc w:val="center"/>
              <w:rPr>
                <w:rFonts w:ascii="Times New Roman" w:hAnsi="Times New Roman" w:cs="Times New Roman"/>
                <w:b/>
                <w:sz w:val="28"/>
                <w:szCs w:val="28"/>
              </w:rPr>
            </w:pPr>
            <w:r w:rsidRPr="00441D89">
              <w:rPr>
                <w:rFonts w:ascii="Times New Roman" w:hAnsi="Times New Roman" w:cs="Times New Roman"/>
                <w:b/>
                <w:sz w:val="28"/>
                <w:szCs w:val="28"/>
              </w:rPr>
              <w:t xml:space="preserve">la proiectul Hotărârii Guvernului </w:t>
            </w:r>
            <w:r w:rsidR="00390B6E" w:rsidRPr="00390B6E">
              <w:rPr>
                <w:rFonts w:ascii="Times New Roman" w:hAnsi="Times New Roman" w:cs="Times New Roman"/>
                <w:b/>
                <w:sz w:val="28"/>
                <w:szCs w:val="28"/>
              </w:rPr>
              <w:t>cu p</w:t>
            </w:r>
            <w:r w:rsidR="00390B6E">
              <w:rPr>
                <w:rFonts w:ascii="Times New Roman" w:hAnsi="Times New Roman" w:cs="Times New Roman"/>
                <w:b/>
                <w:sz w:val="28"/>
                <w:szCs w:val="28"/>
              </w:rPr>
              <w:t xml:space="preserve">rivire la modificarea Hotărârii Guvernului nr.476/2002 </w:t>
            </w:r>
            <w:r w:rsidR="00390B6E" w:rsidRPr="00390B6E">
              <w:rPr>
                <w:rFonts w:ascii="Times New Roman" w:hAnsi="Times New Roman" w:cs="Times New Roman"/>
                <w:b/>
                <w:sz w:val="28"/>
                <w:szCs w:val="28"/>
              </w:rPr>
              <w:t>pentru aprobarea Regulamentulu</w:t>
            </w:r>
            <w:r w:rsidR="00390B6E">
              <w:rPr>
                <w:rFonts w:ascii="Times New Roman" w:hAnsi="Times New Roman" w:cs="Times New Roman"/>
                <w:b/>
                <w:sz w:val="28"/>
                <w:szCs w:val="28"/>
              </w:rPr>
              <w:t xml:space="preserve">i privind modul de transportare </w:t>
            </w:r>
            <w:r w:rsidR="00390B6E" w:rsidRPr="00390B6E">
              <w:rPr>
                <w:rFonts w:ascii="Times New Roman" w:hAnsi="Times New Roman" w:cs="Times New Roman"/>
                <w:b/>
                <w:sz w:val="28"/>
                <w:szCs w:val="28"/>
              </w:rPr>
              <w:t>a produselor petroliere importate</w:t>
            </w:r>
          </w:p>
        </w:tc>
      </w:tr>
      <w:tr w:rsidR="006F0D6D" w:rsidRPr="00276546" w:rsidTr="00467318">
        <w:tc>
          <w:tcPr>
            <w:tcW w:w="9895" w:type="dxa"/>
          </w:tcPr>
          <w:p w:rsidR="006F0D6D" w:rsidRPr="00441D89"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rPr>
            </w:pPr>
            <w:r w:rsidRPr="00441D89">
              <w:rPr>
                <w:rFonts w:ascii="Times New Roman" w:hAnsi="Times New Roman" w:cs="Times New Roman"/>
                <w:b/>
                <w:sz w:val="28"/>
                <w:szCs w:val="28"/>
              </w:rPr>
              <w:t>Denumirea autorului și, după caz, a participanților la elaborarea proiectului de act normativ</w:t>
            </w:r>
          </w:p>
        </w:tc>
      </w:tr>
      <w:tr w:rsidR="006F0D6D" w:rsidRPr="00276546" w:rsidTr="00467318">
        <w:tc>
          <w:tcPr>
            <w:tcW w:w="9895" w:type="dxa"/>
          </w:tcPr>
          <w:p w:rsidR="006F0D6D" w:rsidRPr="00441D89" w:rsidRDefault="006F0D6D" w:rsidP="00467318">
            <w:pPr>
              <w:tabs>
                <w:tab w:val="left" w:pos="452"/>
              </w:tabs>
              <w:ind w:left="27" w:firstLine="425"/>
              <w:jc w:val="both"/>
              <w:rPr>
                <w:rFonts w:ascii="Times New Roman" w:hAnsi="Times New Roman" w:cs="Times New Roman"/>
                <w:sz w:val="28"/>
                <w:szCs w:val="28"/>
              </w:rPr>
            </w:pPr>
            <w:r w:rsidRPr="00441D89">
              <w:rPr>
                <w:rFonts w:ascii="Times New Roman" w:hAnsi="Times New Roman" w:cs="Times New Roman"/>
                <w:sz w:val="28"/>
                <w:szCs w:val="28"/>
              </w:rPr>
              <w:t xml:space="preserve">Proiectul de act normativ a fost elaborat de care Ministerul Finanțelor al Republicii Moldova. </w:t>
            </w:r>
          </w:p>
        </w:tc>
      </w:tr>
      <w:tr w:rsidR="006F0D6D" w:rsidRPr="00276546" w:rsidTr="00467318">
        <w:tc>
          <w:tcPr>
            <w:tcW w:w="9895" w:type="dxa"/>
          </w:tcPr>
          <w:p w:rsidR="006F0D6D" w:rsidRPr="00441D89" w:rsidRDefault="006F0D6D" w:rsidP="00467318">
            <w:pPr>
              <w:numPr>
                <w:ilvl w:val="0"/>
                <w:numId w:val="1"/>
              </w:numPr>
              <w:tabs>
                <w:tab w:val="left" w:pos="452"/>
              </w:tabs>
              <w:ind w:left="27" w:firstLine="425"/>
              <w:contextualSpacing/>
              <w:rPr>
                <w:rFonts w:ascii="Times New Roman" w:hAnsi="Times New Roman" w:cs="Times New Roman"/>
                <w:b/>
                <w:sz w:val="28"/>
                <w:szCs w:val="28"/>
              </w:rPr>
            </w:pPr>
            <w:r w:rsidRPr="00441D89">
              <w:rPr>
                <w:rFonts w:ascii="Times New Roman" w:hAnsi="Times New Roman" w:cs="Times New Roman"/>
                <w:b/>
                <w:sz w:val="28"/>
                <w:szCs w:val="28"/>
              </w:rPr>
              <w:t>Condițiile ce au impus elaborarea proiectului de act normativ și facilitățile urmărite</w:t>
            </w:r>
          </w:p>
        </w:tc>
      </w:tr>
      <w:tr w:rsidR="006F0D6D" w:rsidRPr="00276546" w:rsidTr="00467318">
        <w:tc>
          <w:tcPr>
            <w:tcW w:w="9895" w:type="dxa"/>
          </w:tcPr>
          <w:p w:rsidR="001C0582" w:rsidRDefault="006F0D6D" w:rsidP="00EC2EF7">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Proiectul Hotărârii Guvernului a fost elaborat în scopul</w:t>
            </w:r>
            <w:r w:rsidR="00EC2EF7">
              <w:rPr>
                <w:rFonts w:ascii="Times New Roman" w:eastAsia="Times New Roman" w:hAnsi="Times New Roman" w:cs="Times New Roman"/>
                <w:sz w:val="28"/>
                <w:szCs w:val="28"/>
                <w:lang w:val="ro-MD" w:eastAsia="ru-RU"/>
              </w:rPr>
              <w:t xml:space="preserve"> asigurării transportării </w:t>
            </w:r>
            <w:r w:rsidR="001C0582">
              <w:rPr>
                <w:rFonts w:ascii="Times New Roman" w:eastAsia="Times New Roman" w:hAnsi="Times New Roman" w:cs="Times New Roman"/>
                <w:sz w:val="28"/>
                <w:szCs w:val="28"/>
                <w:lang w:val="ro-MD" w:eastAsia="ru-RU"/>
              </w:rPr>
              <w:t>produselor petroliere importate întru decongestionarea traficului în zona de frontieră, precum și asigurarea disponibilității stocurilor de produse petroliere pe piața produselor petroliere din Republica Moldova, inclusiv după expirarea stării de urgență pe întreg teritor</w:t>
            </w:r>
            <w:r w:rsidR="00AF6C1A">
              <w:rPr>
                <w:rFonts w:ascii="Times New Roman" w:eastAsia="Times New Roman" w:hAnsi="Times New Roman" w:cs="Times New Roman"/>
                <w:sz w:val="28"/>
                <w:szCs w:val="28"/>
                <w:lang w:val="ro-MD" w:eastAsia="ru-RU"/>
              </w:rPr>
              <w:t>iul Republicii Moldova declarată</w:t>
            </w:r>
            <w:r w:rsidR="001C0582">
              <w:rPr>
                <w:rFonts w:ascii="Times New Roman" w:eastAsia="Times New Roman" w:hAnsi="Times New Roman" w:cs="Times New Roman"/>
                <w:sz w:val="28"/>
                <w:szCs w:val="28"/>
                <w:lang w:val="ro-MD" w:eastAsia="ru-RU"/>
              </w:rPr>
              <w:t xml:space="preserve"> de Parlament.</w:t>
            </w:r>
          </w:p>
          <w:p w:rsidR="00EC2EF7" w:rsidRDefault="001C0582" w:rsidP="00EC2EF7">
            <w:pPr>
              <w:tabs>
                <w:tab w:val="left" w:pos="776"/>
              </w:tabs>
              <w:ind w:firstLine="517"/>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 xml:space="preserve">La momentul actual, conform prevederilor Anexei </w:t>
            </w:r>
            <w:r w:rsidRPr="001C0582">
              <w:rPr>
                <w:rFonts w:ascii="Times New Roman" w:eastAsia="Times New Roman" w:hAnsi="Times New Roman" w:cs="Times New Roman"/>
                <w:i/>
                <w:sz w:val="28"/>
                <w:szCs w:val="28"/>
                <w:lang w:val="ro-MD" w:eastAsia="ru-RU"/>
              </w:rPr>
              <w:t xml:space="preserve">„Lista punctelor vamale de trecere a produselor petroliere importate” </w:t>
            </w:r>
            <w:r>
              <w:rPr>
                <w:rFonts w:ascii="Times New Roman" w:eastAsia="Times New Roman" w:hAnsi="Times New Roman" w:cs="Times New Roman"/>
                <w:sz w:val="28"/>
                <w:szCs w:val="28"/>
                <w:lang w:val="ro-MD" w:eastAsia="ru-RU"/>
              </w:rPr>
              <w:t xml:space="preserve">la Hotărârea Guvernului nr.476/2002 privind modul de transportare a produselor petroliere importate, se permite importul produselor petroliere pe cale ferată prin punctele de trecere la introducerea pe teritoriul vamal al Republicii Moldova: Ocnița, Cuciurgan, Etulia, Giurgiulești și Ungheni, și prin intermediul mijloacelor de transport auto, se permite doar prin punctele de trecere a frontierei: </w:t>
            </w:r>
            <w:r w:rsidRPr="001C0582">
              <w:rPr>
                <w:rFonts w:ascii="Times New Roman" w:eastAsia="Times New Roman" w:hAnsi="Times New Roman" w:cs="Times New Roman"/>
                <w:sz w:val="28"/>
                <w:szCs w:val="28"/>
                <w:lang w:val="ro-MD" w:eastAsia="ru-RU"/>
              </w:rPr>
              <w:t>Leuşeni–Albiţa, Tudora–Starokazacie, Otaci–Moghiliov–Podolski şi Pervomaisk–Cuciurgan.</w:t>
            </w:r>
          </w:p>
          <w:p w:rsidR="006F0D6D" w:rsidRPr="00441D89" w:rsidRDefault="002F6103" w:rsidP="00301BFF">
            <w:pPr>
              <w:tabs>
                <w:tab w:val="left" w:pos="776"/>
              </w:tabs>
              <w:ind w:firstLine="51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MD" w:eastAsia="ru-RU"/>
              </w:rPr>
              <w:t xml:space="preserve">Totodată, doar pe parcursul stării de urgență, prin derogare de la prevederile </w:t>
            </w:r>
            <w:r w:rsidRPr="002F6103">
              <w:rPr>
                <w:rFonts w:ascii="Times New Roman" w:eastAsia="Times New Roman" w:hAnsi="Times New Roman" w:cs="Times New Roman"/>
                <w:sz w:val="28"/>
                <w:szCs w:val="28"/>
                <w:lang w:eastAsia="ru-RU"/>
              </w:rPr>
              <w:t>Regulamentului privind modul de transportare a produselor petroliere importate</w:t>
            </w:r>
            <w:r>
              <w:rPr>
                <w:rFonts w:ascii="Times New Roman" w:eastAsia="Times New Roman" w:hAnsi="Times New Roman" w:cs="Times New Roman"/>
                <w:sz w:val="28"/>
                <w:szCs w:val="28"/>
                <w:lang w:eastAsia="ru-RU"/>
              </w:rPr>
              <w:t xml:space="preserve">, aprobat prin </w:t>
            </w:r>
            <w:r>
              <w:rPr>
                <w:rFonts w:ascii="Times New Roman" w:eastAsia="Times New Roman" w:hAnsi="Times New Roman" w:cs="Times New Roman"/>
                <w:sz w:val="28"/>
                <w:szCs w:val="28"/>
                <w:lang w:val="ro-MD" w:eastAsia="ru-RU"/>
              </w:rPr>
              <w:t xml:space="preserve">Hotărârea Guvernului nr.476/2002, în conformitate cu prevederile Dispoziției Comisiei pentru Situații Excepționale (CSE) nr.29 din 28 iunie 2022 (pct.4.1) se permite importul pe teritoriul vamal al Republicii Moldova a produselor petroliere prin intermediul mijloacelor de transport auto, și prin punctele de trecere a frontierei de stat Giurgiulești-Galați, Cahul-Oancea, Sculeni-Sculeni, și în conformitate cu prevederile Dispoziției CSE nr.53 din 05 decembrie 2022 (pct.6), se permite importul pe teritoriul vamal al Republicii Moldova a păcurii </w:t>
            </w:r>
            <w:r w:rsidRPr="00426953">
              <w:rPr>
                <w:rFonts w:ascii="Times New Roman" w:hAnsi="Times New Roman" w:cs="Times New Roman"/>
                <w:bCs/>
                <w:sz w:val="28"/>
                <w:szCs w:val="28"/>
              </w:rPr>
              <w:t>clasificate la pozițiile tarifare 271019510, 271019620– 271019680 și 271020310–271020390 achiziționate de SA „Termoelectrica”, inclusiv importate de către alți agenți economici în favoarea SA „Termoelectrica” și în baza contractelor de achiziții confirmate de către aceasta, cu mijloace de transport auto, inclusiv prin punctele de trecere a frontierei de stat moldo-ucrainene Mirnoe-Tabaki, Vulcănești</w:t>
            </w:r>
            <w:r>
              <w:rPr>
                <w:rFonts w:ascii="Times New Roman" w:hAnsi="Times New Roman" w:cs="Times New Roman"/>
                <w:bCs/>
                <w:sz w:val="28"/>
                <w:szCs w:val="28"/>
              </w:rPr>
              <w:t>-</w:t>
            </w:r>
            <w:r w:rsidRPr="00426953">
              <w:rPr>
                <w:rFonts w:ascii="Times New Roman" w:hAnsi="Times New Roman" w:cs="Times New Roman"/>
                <w:bCs/>
                <w:sz w:val="28"/>
                <w:szCs w:val="28"/>
              </w:rPr>
              <w:t>Vinogradovka și Giurgiulești-Reni.</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b/>
                <w:sz w:val="28"/>
                <w:szCs w:val="28"/>
                <w:lang w:eastAsia="ru-RU"/>
              </w:rPr>
              <w:t>3.</w:t>
            </w:r>
            <w:r w:rsidRPr="00441D89">
              <w:rPr>
                <w:rFonts w:ascii="Times New Roman" w:eastAsia="Times New Roman" w:hAnsi="Times New Roman" w:cs="Times New Roman"/>
                <w:sz w:val="28"/>
                <w:szCs w:val="28"/>
                <w:lang w:eastAsia="ru-RU"/>
              </w:rPr>
              <w:t xml:space="preserve"> </w:t>
            </w:r>
            <w:r w:rsidRPr="00441D89">
              <w:rPr>
                <w:rFonts w:ascii="Times New Roman" w:hAnsi="Times New Roman" w:cs="Times New Roman"/>
                <w:b/>
                <w:sz w:val="28"/>
                <w:szCs w:val="28"/>
              </w:rPr>
              <w:t>Descrierea gradului de compatibilitate pentru proiectele care au ca scop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sz w:val="28"/>
                <w:szCs w:val="28"/>
                <w:lang w:eastAsia="ru-RU"/>
              </w:rPr>
              <w:t>Prezentul proiect de hotărâre nu transpune legislația Uniunii Europene</w:t>
            </w:r>
          </w:p>
        </w:tc>
      </w:tr>
      <w:tr w:rsidR="006F0D6D" w:rsidRPr="00276546" w:rsidTr="00467318">
        <w:tc>
          <w:tcPr>
            <w:tcW w:w="9895" w:type="dxa"/>
          </w:tcPr>
          <w:p w:rsidR="006F0D6D"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4. Principalele prevederi ale proiectului de act normative și evidențierea elementelor noi</w:t>
            </w:r>
          </w:p>
          <w:p w:rsidR="006624CF" w:rsidRDefault="002C2D61" w:rsidP="00467318">
            <w:pPr>
              <w:tabs>
                <w:tab w:val="left" w:pos="776"/>
              </w:tabs>
              <w:ind w:firstLine="517"/>
              <w:jc w:val="both"/>
              <w:rPr>
                <w:rFonts w:ascii="Times New Roman" w:hAnsi="Times New Roman" w:cs="Times New Roman"/>
                <w:sz w:val="28"/>
                <w:szCs w:val="28"/>
              </w:rPr>
            </w:pPr>
            <w:r w:rsidRPr="002C2D61">
              <w:rPr>
                <w:rFonts w:ascii="Times New Roman" w:hAnsi="Times New Roman" w:cs="Times New Roman"/>
                <w:sz w:val="28"/>
                <w:szCs w:val="28"/>
              </w:rPr>
              <w:t xml:space="preserve">Proiectul prevede </w:t>
            </w:r>
            <w:r w:rsidR="006624CF">
              <w:rPr>
                <w:rFonts w:ascii="Times New Roman" w:hAnsi="Times New Roman" w:cs="Times New Roman"/>
                <w:sz w:val="28"/>
                <w:szCs w:val="28"/>
              </w:rPr>
              <w:t>o nouă redacție a Anexei la Hotărârea</w:t>
            </w:r>
            <w:r>
              <w:rPr>
                <w:rFonts w:ascii="Times New Roman" w:hAnsi="Times New Roman" w:cs="Times New Roman"/>
                <w:sz w:val="28"/>
                <w:szCs w:val="28"/>
              </w:rPr>
              <w:t xml:space="preserve"> Guvernului </w:t>
            </w:r>
            <w:r>
              <w:rPr>
                <w:rFonts w:ascii="Times New Roman" w:eastAsia="Times New Roman" w:hAnsi="Times New Roman" w:cs="Times New Roman"/>
                <w:sz w:val="28"/>
                <w:szCs w:val="28"/>
                <w:lang w:val="ro-MD" w:eastAsia="ru-RU"/>
              </w:rPr>
              <w:t>nr.476/2002</w:t>
            </w:r>
            <w:r w:rsidRPr="00390B6E">
              <w:rPr>
                <w:rFonts w:ascii="Times New Roman" w:hAnsi="Times New Roman" w:cs="Times New Roman"/>
                <w:b/>
                <w:sz w:val="28"/>
                <w:szCs w:val="28"/>
              </w:rPr>
              <w:t xml:space="preserve"> </w:t>
            </w:r>
            <w:r w:rsidRPr="002C2D61">
              <w:rPr>
                <w:rFonts w:ascii="Times New Roman" w:hAnsi="Times New Roman" w:cs="Times New Roman"/>
                <w:sz w:val="28"/>
                <w:szCs w:val="28"/>
              </w:rPr>
              <w:t>pentru aprobarea Regulamentului privind modul de transportare a produselor petroliere importate</w:t>
            </w:r>
            <w:r w:rsidR="006624CF">
              <w:rPr>
                <w:rFonts w:ascii="Times New Roman" w:hAnsi="Times New Roman" w:cs="Times New Roman"/>
                <w:sz w:val="28"/>
                <w:szCs w:val="28"/>
              </w:rPr>
              <w:t>, care divizează punctele vamale de trecere a produselor petroliere în puncte de trecere pe cale ferată, pe cale rutieră și pe cale navală.</w:t>
            </w:r>
          </w:p>
          <w:p w:rsidR="006624CF" w:rsidRDefault="006624CF" w:rsidP="00467318">
            <w:pPr>
              <w:tabs>
                <w:tab w:val="left" w:pos="776"/>
              </w:tabs>
              <w:ind w:firstLine="517"/>
              <w:jc w:val="both"/>
              <w:rPr>
                <w:rFonts w:ascii="Times New Roman" w:hAnsi="Times New Roman" w:cs="Times New Roman"/>
                <w:sz w:val="28"/>
                <w:szCs w:val="28"/>
              </w:rPr>
            </w:pPr>
            <w:r>
              <w:rPr>
                <w:rFonts w:ascii="Times New Roman" w:hAnsi="Times New Roman" w:cs="Times New Roman"/>
                <w:sz w:val="28"/>
                <w:szCs w:val="28"/>
              </w:rPr>
              <w:lastRenderedPageBreak/>
              <w:t>Totodată, aceasta se completează cu punctele de trecere a frontierei prevăzute în Dispozițiile CSE nr.29 din 28.06.2022 (pct.4) și nr.53 din 05.12.2022 (pct.6):</w:t>
            </w:r>
          </w:p>
          <w:p w:rsidR="006624CF" w:rsidRPr="006624CF" w:rsidRDefault="006624CF" w:rsidP="006624CF">
            <w:pPr>
              <w:pStyle w:val="ListParagraph"/>
              <w:numPr>
                <w:ilvl w:val="0"/>
                <w:numId w:val="3"/>
              </w:numPr>
              <w:tabs>
                <w:tab w:val="left" w:pos="517"/>
              </w:tabs>
              <w:ind w:left="0" w:firstLine="457"/>
              <w:jc w:val="both"/>
              <w:rPr>
                <w:rFonts w:ascii="Times New Roman" w:hAnsi="Times New Roman" w:cs="Times New Roman"/>
                <w:sz w:val="28"/>
                <w:szCs w:val="28"/>
              </w:rPr>
            </w:pPr>
            <w:r w:rsidRPr="006624CF">
              <w:rPr>
                <w:rFonts w:ascii="Times New Roman" w:hAnsi="Times New Roman" w:cs="Times New Roman"/>
                <w:sz w:val="28"/>
                <w:szCs w:val="28"/>
                <w:lang w:val="ro-MD"/>
              </w:rPr>
              <w:t>puncte de trecere a frontierei de stat moldo – române: Giurgi</w:t>
            </w:r>
            <w:r w:rsidR="00F153B1">
              <w:rPr>
                <w:rFonts w:ascii="Times New Roman" w:hAnsi="Times New Roman" w:cs="Times New Roman"/>
                <w:sz w:val="28"/>
                <w:szCs w:val="28"/>
                <w:lang w:val="ro-MD"/>
              </w:rPr>
              <w:t>ulești-Galați, Cahul-Oancea, Scu</w:t>
            </w:r>
            <w:bookmarkStart w:id="0" w:name="_GoBack"/>
            <w:bookmarkEnd w:id="0"/>
            <w:r w:rsidRPr="006624CF">
              <w:rPr>
                <w:rFonts w:ascii="Times New Roman" w:hAnsi="Times New Roman" w:cs="Times New Roman"/>
                <w:sz w:val="28"/>
                <w:szCs w:val="28"/>
                <w:lang w:val="ro-MD"/>
              </w:rPr>
              <w:t>leni-Sculeni</w:t>
            </w:r>
            <w:r>
              <w:rPr>
                <w:rFonts w:ascii="Times New Roman" w:hAnsi="Times New Roman" w:cs="Times New Roman"/>
                <w:sz w:val="28"/>
                <w:szCs w:val="28"/>
                <w:lang w:val="ro-MD"/>
              </w:rPr>
              <w:t>;</w:t>
            </w:r>
          </w:p>
          <w:p w:rsidR="006624CF" w:rsidRPr="006624CF" w:rsidRDefault="006624CF" w:rsidP="006624CF">
            <w:pPr>
              <w:pStyle w:val="ListParagraph"/>
              <w:numPr>
                <w:ilvl w:val="0"/>
                <w:numId w:val="3"/>
              </w:numPr>
              <w:tabs>
                <w:tab w:val="left" w:pos="517"/>
              </w:tabs>
              <w:ind w:left="0" w:firstLine="457"/>
              <w:jc w:val="both"/>
              <w:rPr>
                <w:rFonts w:ascii="Times New Roman" w:hAnsi="Times New Roman" w:cs="Times New Roman"/>
                <w:sz w:val="28"/>
                <w:szCs w:val="28"/>
              </w:rPr>
            </w:pPr>
            <w:r>
              <w:rPr>
                <w:rFonts w:ascii="Times New Roman" w:hAnsi="Times New Roman" w:cs="Times New Roman"/>
                <w:sz w:val="28"/>
                <w:szCs w:val="28"/>
                <w:lang w:val="ro-MD"/>
              </w:rPr>
              <w:t>puncte de trecere a frontierei de stat</w:t>
            </w:r>
            <w:r w:rsidRPr="00426953">
              <w:rPr>
                <w:rFonts w:ascii="Times New Roman" w:hAnsi="Times New Roman" w:cs="Times New Roman"/>
                <w:bCs/>
                <w:sz w:val="28"/>
                <w:szCs w:val="28"/>
              </w:rPr>
              <w:t xml:space="preserve"> moldo-ucrainene</w:t>
            </w:r>
            <w:r>
              <w:rPr>
                <w:rFonts w:ascii="Times New Roman" w:hAnsi="Times New Roman" w:cs="Times New Roman"/>
                <w:bCs/>
                <w:sz w:val="28"/>
                <w:szCs w:val="28"/>
              </w:rPr>
              <w:t>:</w:t>
            </w:r>
            <w:r w:rsidRPr="00426953">
              <w:rPr>
                <w:rFonts w:ascii="Times New Roman" w:hAnsi="Times New Roman" w:cs="Times New Roman"/>
                <w:bCs/>
                <w:sz w:val="28"/>
                <w:szCs w:val="28"/>
              </w:rPr>
              <w:t xml:space="preserve"> Mirnoe-Tabaki, Vulcănești</w:t>
            </w:r>
            <w:r>
              <w:rPr>
                <w:rFonts w:ascii="Times New Roman" w:hAnsi="Times New Roman" w:cs="Times New Roman"/>
                <w:bCs/>
                <w:sz w:val="28"/>
                <w:szCs w:val="28"/>
              </w:rPr>
              <w:t>-</w:t>
            </w:r>
            <w:r w:rsidRPr="00426953">
              <w:rPr>
                <w:rFonts w:ascii="Times New Roman" w:hAnsi="Times New Roman" w:cs="Times New Roman"/>
                <w:bCs/>
                <w:sz w:val="28"/>
                <w:szCs w:val="28"/>
              </w:rPr>
              <w:t>Vi</w:t>
            </w:r>
            <w:r>
              <w:rPr>
                <w:rFonts w:ascii="Times New Roman" w:hAnsi="Times New Roman" w:cs="Times New Roman"/>
                <w:bCs/>
                <w:sz w:val="28"/>
                <w:szCs w:val="28"/>
              </w:rPr>
              <w:t>nogradovka și Giurgiulești-Reni.</w:t>
            </w:r>
          </w:p>
          <w:p w:rsidR="006624CF" w:rsidRDefault="006624CF" w:rsidP="006624CF">
            <w:pPr>
              <w:pStyle w:val="ListParagraph"/>
              <w:tabs>
                <w:tab w:val="left" w:pos="1166"/>
              </w:tabs>
              <w:ind w:left="0" w:firstLine="599"/>
              <w:jc w:val="both"/>
              <w:rPr>
                <w:rFonts w:ascii="Times New Roman" w:hAnsi="Times New Roman" w:cs="Times New Roman"/>
                <w:bCs/>
                <w:sz w:val="28"/>
                <w:szCs w:val="28"/>
              </w:rPr>
            </w:pPr>
            <w:r>
              <w:rPr>
                <w:rFonts w:ascii="Times New Roman" w:hAnsi="Times New Roman" w:cs="Times New Roman"/>
                <w:bCs/>
                <w:sz w:val="28"/>
                <w:szCs w:val="28"/>
              </w:rPr>
              <w:t>Mai mult ca atât, Anexa se completează cu următoarele puncte de trecere a frontierei de stat:</w:t>
            </w:r>
          </w:p>
          <w:p w:rsidR="006624CF" w:rsidRPr="006624CF" w:rsidRDefault="006624CF" w:rsidP="006624CF">
            <w:pPr>
              <w:pStyle w:val="ListParagraph"/>
              <w:numPr>
                <w:ilvl w:val="0"/>
                <w:numId w:val="2"/>
              </w:numPr>
              <w:tabs>
                <w:tab w:val="left" w:pos="517"/>
              </w:tabs>
              <w:ind w:hanging="420"/>
              <w:jc w:val="both"/>
              <w:rPr>
                <w:rFonts w:ascii="Times New Roman" w:hAnsi="Times New Roman" w:cs="Times New Roman"/>
                <w:sz w:val="28"/>
                <w:szCs w:val="28"/>
              </w:rPr>
            </w:pPr>
            <w:r>
              <w:rPr>
                <w:rFonts w:ascii="Times New Roman" w:hAnsi="Times New Roman" w:cs="Times New Roman"/>
                <w:sz w:val="28"/>
                <w:szCs w:val="28"/>
                <w:lang w:val="ro-MD"/>
              </w:rPr>
              <w:t>Basarabeasca (PVFI, feroviar)-Serpneovoe1</w:t>
            </w:r>
            <w:r w:rsidR="00AD1B15">
              <w:rPr>
                <w:rFonts w:ascii="Times New Roman" w:hAnsi="Times New Roman" w:cs="Times New Roman"/>
                <w:sz w:val="28"/>
                <w:szCs w:val="28"/>
                <w:lang w:val="ro-MD"/>
              </w:rPr>
              <w:t>(pe cale ferată)</w:t>
            </w:r>
            <w:r>
              <w:rPr>
                <w:rFonts w:ascii="Times New Roman" w:hAnsi="Times New Roman" w:cs="Times New Roman"/>
                <w:sz w:val="28"/>
                <w:szCs w:val="28"/>
                <w:lang w:val="ro-MD"/>
              </w:rPr>
              <w:t>;</w:t>
            </w:r>
          </w:p>
          <w:p w:rsidR="002C2D61" w:rsidRPr="00AD1B15" w:rsidRDefault="006624CF" w:rsidP="00AD1B15">
            <w:pPr>
              <w:pStyle w:val="ListParagraph"/>
              <w:numPr>
                <w:ilvl w:val="0"/>
                <w:numId w:val="2"/>
              </w:numPr>
              <w:tabs>
                <w:tab w:val="left" w:pos="517"/>
              </w:tabs>
              <w:ind w:left="0" w:firstLine="457"/>
              <w:jc w:val="both"/>
              <w:rPr>
                <w:rFonts w:ascii="Times New Roman" w:hAnsi="Times New Roman" w:cs="Times New Roman"/>
                <w:sz w:val="28"/>
                <w:szCs w:val="28"/>
              </w:rPr>
            </w:pPr>
            <w:r w:rsidRPr="006624CF">
              <w:rPr>
                <w:rFonts w:ascii="Times New Roman" w:hAnsi="Times New Roman" w:cs="Times New Roman"/>
                <w:sz w:val="28"/>
                <w:szCs w:val="28"/>
                <w:lang w:val="ro-MD"/>
              </w:rPr>
              <w:t xml:space="preserve">„Giurgiulești-Port” </w:t>
            </w:r>
            <w:r w:rsidRPr="006624CF">
              <w:rPr>
                <w:rFonts w:ascii="Times New Roman" w:hAnsi="Times New Roman" w:cs="Times New Roman"/>
                <w:bCs/>
                <w:sz w:val="28"/>
                <w:szCs w:val="28"/>
                <w:lang w:val="ro-MD"/>
              </w:rPr>
              <w:t>în perimetrele Portului Internațional Liber „Giurgiulești” cu statut internațional în regim de lucru non-stop pentru trafic naval de pasageri, bagaje, mărfuri și alte bunuri</w:t>
            </w:r>
            <w:r w:rsidR="00AD1B15">
              <w:rPr>
                <w:rFonts w:ascii="Times New Roman" w:hAnsi="Times New Roman" w:cs="Times New Roman"/>
                <w:bCs/>
                <w:sz w:val="28"/>
                <w:szCs w:val="28"/>
                <w:lang w:val="ro-MD"/>
              </w:rPr>
              <w:t xml:space="preserve"> </w:t>
            </w:r>
            <w:r w:rsidR="006622BA">
              <w:rPr>
                <w:rFonts w:ascii="Times New Roman" w:hAnsi="Times New Roman" w:cs="Times New Roman"/>
                <w:bCs/>
                <w:sz w:val="28"/>
                <w:szCs w:val="28"/>
                <w:lang w:val="ro-MD"/>
              </w:rPr>
              <w:t xml:space="preserve">în baza Hotărârii Guvernului nr.1027/2005 cu privire la deschiderea portului internațional de trecere a frontierei de stat „Giurgiulești-Port” prin care să fie permise operațiunile de import, export și tranzit a produselor petroliere </w:t>
            </w:r>
            <w:r w:rsidR="00AD1B15">
              <w:rPr>
                <w:rFonts w:ascii="Times New Roman" w:hAnsi="Times New Roman" w:cs="Times New Roman"/>
                <w:bCs/>
                <w:sz w:val="28"/>
                <w:szCs w:val="28"/>
                <w:lang w:val="ro-MD"/>
              </w:rPr>
              <w:t>(pe cale navală)</w:t>
            </w:r>
            <w:r w:rsidRPr="006624CF">
              <w:rPr>
                <w:rFonts w:ascii="Times New Roman" w:hAnsi="Times New Roman" w:cs="Times New Roman"/>
                <w:bCs/>
                <w:sz w:val="28"/>
                <w:szCs w:val="28"/>
                <w:lang w:val="ro-MD"/>
              </w:rPr>
              <w: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lastRenderedPageBreak/>
              <w:t>5. Fundamentarea economico-financiară</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Implementarea prezentului proiect de act normativ nu necesită cheltuieli financiare suplimentare din bugetul de stat.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t>6. Modul de încorporare a actului în cadrul normativ în vigoare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rPr>
            </w:pPr>
            <w:r w:rsidRPr="00441D89">
              <w:rPr>
                <w:rFonts w:ascii="Times New Roman" w:hAnsi="Times New Roman" w:cs="Times New Roman"/>
                <w:sz w:val="28"/>
              </w:rPr>
              <w:t xml:space="preserve"> În scopul implementării prevederilor în cauză, nu urmează a fi modificate, abrogate sau adoptate alte acte normative.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7. Avizarea și consultarea publică a proiectului de act normativ</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 xml:space="preserve">Proiectul urmează a fi avizat de către </w:t>
            </w:r>
            <w:r w:rsidR="00EC2EF7">
              <w:rPr>
                <w:rFonts w:ascii="Times New Roman" w:hAnsi="Times New Roman" w:cs="Times New Roman"/>
                <w:sz w:val="28"/>
                <w:szCs w:val="28"/>
              </w:rPr>
              <w:t xml:space="preserve">Ministerul Energiei, </w:t>
            </w:r>
            <w:r w:rsidRPr="00441D89">
              <w:rPr>
                <w:rFonts w:ascii="Times New Roman" w:hAnsi="Times New Roman" w:cs="Times New Roman"/>
                <w:sz w:val="28"/>
                <w:szCs w:val="28"/>
              </w:rPr>
              <w:t xml:space="preserve">Ministerul Infrastructurii și Dezvoltării Regionale, </w:t>
            </w:r>
            <w:r w:rsidRPr="00C90C84">
              <w:rPr>
                <w:rFonts w:ascii="Times New Roman" w:hAnsi="Times New Roman" w:cs="Times New Roman"/>
                <w:sz w:val="28"/>
                <w:szCs w:val="28"/>
              </w:rPr>
              <w:t>Ministerul Dezvoltării Economice și Digitalizării</w:t>
            </w:r>
            <w:r w:rsidRPr="00441D89">
              <w:rPr>
                <w:rFonts w:ascii="Times New Roman" w:hAnsi="Times New Roman" w:cs="Times New Roman"/>
                <w:sz w:val="28"/>
                <w:szCs w:val="28"/>
              </w:rPr>
              <w:t>, precum și supus expertizei juridice de către Ministerul Justiției și expertizei anticorupție de către Centrul Național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Pr>
                <w:rFonts w:ascii="Times New Roman" w:hAnsi="Times New Roman" w:cs="Times New Roman"/>
                <w:b/>
                <w:sz w:val="28"/>
                <w:szCs w:val="28"/>
              </w:rPr>
              <w:t>8. Constatările exper</w:t>
            </w:r>
            <w:r w:rsidRPr="00441D89">
              <w:rPr>
                <w:rFonts w:ascii="Times New Roman" w:hAnsi="Times New Roman" w:cs="Times New Roman"/>
                <w:b/>
                <w:sz w:val="28"/>
                <w:szCs w:val="28"/>
              </w:rPr>
              <w:t>tizei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Informația privind rezultatele expertizei anticorupție urmează a fi inclusă în sinteză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9. Constatările expertizei de compatibilitate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de hotărâre nu conține norme privind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10. Constatările expertizei juridice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11. Constatările altor expertize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nu cade sub incidența altor expertize necesare a fi efectuate conform prevederilor Legii nr.100/2017</w:t>
            </w:r>
            <w:r>
              <w:rPr>
                <w:rFonts w:ascii="Times New Roman" w:hAnsi="Times New Roman" w:cs="Times New Roman"/>
                <w:sz w:val="28"/>
                <w:szCs w:val="28"/>
              </w:rPr>
              <w:t xml:space="preserve"> cu privire la actele normative</w:t>
            </w:r>
            <w:r w:rsidRPr="00441D89">
              <w:rPr>
                <w:rFonts w:ascii="Times New Roman" w:hAnsi="Times New Roman" w:cs="Times New Roman"/>
                <w:sz w:val="28"/>
                <w:szCs w:val="28"/>
              </w:rPr>
              <w:t>.</w:t>
            </w:r>
          </w:p>
        </w:tc>
      </w:tr>
    </w:tbl>
    <w:p w:rsidR="00B3089F" w:rsidRDefault="006F0D6D" w:rsidP="006F0D6D">
      <w:pPr>
        <w:spacing w:after="0" w:line="240" w:lineRule="auto"/>
        <w:rPr>
          <w:rFonts w:ascii="Times New Roman" w:eastAsia="Times New Roman" w:hAnsi="Times New Roman" w:cs="Times New Roman"/>
          <w:b/>
          <w:sz w:val="28"/>
          <w:szCs w:val="28"/>
          <w:lang w:eastAsia="ru-RU"/>
        </w:rPr>
      </w:pPr>
      <w:r w:rsidRPr="0060384E">
        <w:rPr>
          <w:rFonts w:ascii="Times New Roman" w:eastAsia="Times New Roman" w:hAnsi="Times New Roman" w:cs="Times New Roman"/>
          <w:b/>
          <w:sz w:val="28"/>
          <w:szCs w:val="28"/>
          <w:lang w:eastAsia="ru-RU"/>
        </w:rPr>
        <w:t xml:space="preserve">   </w:t>
      </w:r>
    </w:p>
    <w:p w:rsidR="006F0D6D" w:rsidRDefault="006F0D6D" w:rsidP="006F0D6D">
      <w:pPr>
        <w:spacing w:after="0" w:line="240" w:lineRule="auto"/>
        <w:rPr>
          <w:rFonts w:ascii="Times New Roman" w:eastAsia="Times New Roman" w:hAnsi="Times New Roman" w:cs="Times New Roman"/>
          <w:b/>
          <w:sz w:val="28"/>
          <w:szCs w:val="28"/>
          <w:lang w:eastAsia="ru-RU"/>
        </w:rPr>
      </w:pPr>
      <w:r w:rsidRPr="0060384E">
        <w:rPr>
          <w:rFonts w:ascii="Times New Roman" w:eastAsia="Times New Roman" w:hAnsi="Times New Roman" w:cs="Times New Roman"/>
          <w:b/>
          <w:sz w:val="28"/>
          <w:szCs w:val="28"/>
          <w:lang w:eastAsia="ru-RU"/>
        </w:rPr>
        <w:t xml:space="preserve">        </w:t>
      </w:r>
    </w:p>
    <w:p w:rsidR="003A7C02" w:rsidRDefault="003A7C02" w:rsidP="006F0D6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6F0D6D" w:rsidRPr="00B3089F" w:rsidRDefault="003A7C02" w:rsidP="00B3089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eastAsia="ru-RU"/>
        </w:rPr>
        <w:t xml:space="preserve">Secretar de Stat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Olga GOLBAN</w:t>
      </w:r>
    </w:p>
    <w:p w:rsidR="00F856AE" w:rsidRDefault="003A7C02" w:rsidP="00B3089F">
      <w:pPr>
        <w:jc w:val="center"/>
      </w:pPr>
      <w:r>
        <w:t xml:space="preserve">    </w:t>
      </w:r>
    </w:p>
    <w:sectPr w:rsidR="00F856AE" w:rsidSect="00301BF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10A6F"/>
    <w:multiLevelType w:val="hybridMultilevel"/>
    <w:tmpl w:val="2AD6C8EA"/>
    <w:lvl w:ilvl="0" w:tplc="77628692">
      <w:numFmt w:val="bullet"/>
      <w:lvlText w:val="-"/>
      <w:lvlJc w:val="left"/>
      <w:pPr>
        <w:ind w:left="877" w:hanging="360"/>
      </w:pPr>
      <w:rPr>
        <w:rFonts w:ascii="Times New Roman" w:eastAsiaTheme="minorHAnsi" w:hAnsi="Times New Roman" w:cs="Times New Roman"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44F37"/>
    <w:multiLevelType w:val="hybridMultilevel"/>
    <w:tmpl w:val="7E0C0618"/>
    <w:lvl w:ilvl="0" w:tplc="A106D9C2">
      <w:start w:val="6"/>
      <w:numFmt w:val="bullet"/>
      <w:lvlText w:val="-"/>
      <w:lvlJc w:val="left"/>
      <w:pPr>
        <w:ind w:left="877" w:hanging="360"/>
      </w:pPr>
      <w:rPr>
        <w:rFonts w:ascii="Times New Roman" w:eastAsiaTheme="minorHAnsi" w:hAnsi="Times New Roman" w:cs="Times New Roman"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1C0582"/>
    <w:rsid w:val="002C2D61"/>
    <w:rsid w:val="002F6103"/>
    <w:rsid w:val="00301BFF"/>
    <w:rsid w:val="003708CB"/>
    <w:rsid w:val="00390B6E"/>
    <w:rsid w:val="003A7C02"/>
    <w:rsid w:val="006622BA"/>
    <w:rsid w:val="006624CF"/>
    <w:rsid w:val="006F0D6D"/>
    <w:rsid w:val="00834AB1"/>
    <w:rsid w:val="00880821"/>
    <w:rsid w:val="00A122C2"/>
    <w:rsid w:val="00AD1B15"/>
    <w:rsid w:val="00AF6C1A"/>
    <w:rsid w:val="00B3089F"/>
    <w:rsid w:val="00BE1BAB"/>
    <w:rsid w:val="00E37040"/>
    <w:rsid w:val="00EC2EF7"/>
    <w:rsid w:val="00F153B1"/>
    <w:rsid w:val="00F8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9688"/>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 w:type="paragraph" w:styleId="ListParagraph">
    <w:name w:val="List Paragraph"/>
    <w:basedOn w:val="Normal"/>
    <w:uiPriority w:val="34"/>
    <w:qFormat/>
    <w:rsid w:val="00EC2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11</cp:revision>
  <cp:lastPrinted>2023-06-08T06:56:00Z</cp:lastPrinted>
  <dcterms:created xsi:type="dcterms:W3CDTF">2023-03-13T09:08:00Z</dcterms:created>
  <dcterms:modified xsi:type="dcterms:W3CDTF">2023-06-20T06:40:00Z</dcterms:modified>
</cp:coreProperties>
</file>