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9E008" w14:textId="77777777" w:rsidR="007E3743" w:rsidRPr="002D2722" w:rsidRDefault="007E3743" w:rsidP="008E4894">
      <w:pPr>
        <w:tabs>
          <w:tab w:val="left" w:pos="993"/>
        </w:tabs>
        <w:ind w:left="-567" w:right="-846" w:firstLine="0"/>
        <w:jc w:val="center"/>
        <w:rPr>
          <w:sz w:val="28"/>
          <w:szCs w:val="28"/>
          <w:lang w:val="ro-RO"/>
        </w:rPr>
      </w:pPr>
      <w:r w:rsidRPr="002D2722">
        <w:rPr>
          <w:b/>
          <w:sz w:val="28"/>
          <w:szCs w:val="28"/>
          <w:lang w:val="ro-RO"/>
        </w:rPr>
        <w:t>Nota informativă</w:t>
      </w:r>
    </w:p>
    <w:p w14:paraId="6F708B3A" w14:textId="534C171E" w:rsidR="00DF299B" w:rsidRPr="002D2722" w:rsidRDefault="007E3743" w:rsidP="002D2722">
      <w:pPr>
        <w:tabs>
          <w:tab w:val="left" w:pos="284"/>
          <w:tab w:val="left" w:pos="884"/>
        </w:tabs>
        <w:ind w:left="-567" w:right="-846" w:firstLine="0"/>
        <w:rPr>
          <w:bCs/>
          <w:sz w:val="28"/>
          <w:szCs w:val="28"/>
          <w:lang w:val="ro-RO"/>
        </w:rPr>
      </w:pPr>
      <w:r w:rsidRPr="002D2722">
        <w:rPr>
          <w:b/>
          <w:sz w:val="28"/>
          <w:szCs w:val="28"/>
          <w:lang w:val="ro-RO"/>
        </w:rPr>
        <w:t xml:space="preserve">la proiectul Hotărârii </w:t>
      </w:r>
      <w:r w:rsidR="00CB367F" w:rsidRPr="002D2722">
        <w:rPr>
          <w:b/>
          <w:sz w:val="28"/>
          <w:szCs w:val="28"/>
          <w:lang w:val="ro-RO"/>
        </w:rPr>
        <w:t>Guvernului cu privire</w:t>
      </w:r>
      <w:r w:rsidR="007837B9" w:rsidRPr="002D2722">
        <w:rPr>
          <w:b/>
          <w:sz w:val="28"/>
          <w:szCs w:val="28"/>
          <w:lang w:val="ro-RO"/>
        </w:rPr>
        <w:t xml:space="preserve"> la </w:t>
      </w:r>
      <w:r w:rsidR="00EB5658" w:rsidRPr="002D2722">
        <w:rPr>
          <w:b/>
          <w:sz w:val="28"/>
          <w:szCs w:val="28"/>
          <w:lang w:val="ro-RO"/>
        </w:rPr>
        <w:t xml:space="preserve">modificarea </w:t>
      </w:r>
      <w:r w:rsidR="00966308" w:rsidRPr="002D2722">
        <w:rPr>
          <w:b/>
          <w:sz w:val="28"/>
          <w:szCs w:val="28"/>
          <w:lang w:val="ro-RO"/>
        </w:rPr>
        <w:t>unor Hotărâri ale Guvernului</w:t>
      </w:r>
    </w:p>
    <w:tbl>
      <w:tblPr>
        <w:tblW w:w="5583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0"/>
      </w:tblGrid>
      <w:tr w:rsidR="00DA0993" w:rsidRPr="002D2722" w14:paraId="7A6B15F8" w14:textId="77777777" w:rsidTr="00CA47FF">
        <w:tc>
          <w:tcPr>
            <w:tcW w:w="5000" w:type="pct"/>
          </w:tcPr>
          <w:p w14:paraId="306DABF8" w14:textId="77777777" w:rsidR="00DA0993" w:rsidRPr="002D2722" w:rsidRDefault="00DA0993" w:rsidP="00426EAF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241"/>
              </w:tabs>
              <w:ind w:left="0" w:firstLine="0"/>
              <w:jc w:val="left"/>
              <w:rPr>
                <w:b/>
                <w:sz w:val="28"/>
                <w:szCs w:val="28"/>
                <w:lang w:val="ro-RO"/>
              </w:rPr>
            </w:pPr>
            <w:r w:rsidRPr="002D2722">
              <w:rPr>
                <w:b/>
                <w:sz w:val="28"/>
                <w:szCs w:val="28"/>
                <w:lang w:val="ro-RO"/>
              </w:rPr>
              <w:t>Denumirea autorului și după caz a participanților la elaborarea proiectului.</w:t>
            </w:r>
          </w:p>
        </w:tc>
      </w:tr>
      <w:tr w:rsidR="00DA0993" w:rsidRPr="002D2722" w14:paraId="4278DE84" w14:textId="77777777" w:rsidTr="00CA47FF">
        <w:tc>
          <w:tcPr>
            <w:tcW w:w="5000" w:type="pct"/>
          </w:tcPr>
          <w:p w14:paraId="7936B2DE" w14:textId="3785B340" w:rsidR="00CA47FF" w:rsidRPr="002D2722" w:rsidRDefault="00DA0993" w:rsidP="00FD7E25">
            <w:pPr>
              <w:tabs>
                <w:tab w:val="left" w:pos="884"/>
                <w:tab w:val="left" w:pos="1196"/>
              </w:tabs>
              <w:ind w:firstLine="0"/>
              <w:rPr>
                <w:sz w:val="28"/>
                <w:szCs w:val="28"/>
                <w:lang w:val="ro-RO"/>
              </w:rPr>
            </w:pPr>
            <w:r w:rsidRPr="002D2722">
              <w:rPr>
                <w:sz w:val="28"/>
                <w:szCs w:val="28"/>
                <w:lang w:val="ro-RO"/>
              </w:rPr>
              <w:t xml:space="preserve">Proiectul </w:t>
            </w:r>
            <w:r w:rsidR="002C53B3" w:rsidRPr="002D2722">
              <w:rPr>
                <w:sz w:val="28"/>
                <w:szCs w:val="28"/>
                <w:lang w:val="ro-RO"/>
              </w:rPr>
              <w:t xml:space="preserve">Hotărârii Guvernului cu privire la modificarea unor hotărâri ale Guvernului </w:t>
            </w:r>
            <w:r w:rsidRPr="002D2722">
              <w:rPr>
                <w:sz w:val="28"/>
                <w:szCs w:val="28"/>
                <w:lang w:val="ro-RO"/>
              </w:rPr>
              <w:t>a fost elaborat de către Ministerul Educației și Cercetării.</w:t>
            </w:r>
          </w:p>
        </w:tc>
      </w:tr>
      <w:tr w:rsidR="00DA0993" w:rsidRPr="002D2722" w14:paraId="5DD1BBBE" w14:textId="77777777" w:rsidTr="00CA47FF">
        <w:tc>
          <w:tcPr>
            <w:tcW w:w="5000" w:type="pct"/>
          </w:tcPr>
          <w:p w14:paraId="31FD4F23" w14:textId="77777777" w:rsidR="00DA0993" w:rsidRPr="002D2722" w:rsidRDefault="00DA0993" w:rsidP="00FD7E25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8"/>
                <w:szCs w:val="28"/>
                <w:lang w:val="ro-RO"/>
              </w:rPr>
            </w:pPr>
            <w:r w:rsidRPr="002D2722">
              <w:rPr>
                <w:b/>
                <w:sz w:val="28"/>
                <w:szCs w:val="28"/>
                <w:lang w:val="ro-RO"/>
              </w:rPr>
              <w:t>2. Condițiile ce au impus elaborarea proiectului de act normativ și finalitățile urmărite.</w:t>
            </w:r>
          </w:p>
        </w:tc>
      </w:tr>
      <w:tr w:rsidR="00DA0993" w:rsidRPr="002D2722" w14:paraId="1FF83A84" w14:textId="77777777" w:rsidTr="00CA47FF">
        <w:trPr>
          <w:trHeight w:val="693"/>
        </w:trPr>
        <w:tc>
          <w:tcPr>
            <w:tcW w:w="5000" w:type="pct"/>
          </w:tcPr>
          <w:p w14:paraId="735DEBC6" w14:textId="551B80A1" w:rsidR="002C53B3" w:rsidRPr="00E4174F" w:rsidRDefault="002C53B3" w:rsidP="00905DEE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sz w:val="28"/>
                <w:szCs w:val="28"/>
                <w:lang w:val="ro-RO"/>
              </w:rPr>
            </w:pPr>
            <w:r w:rsidRPr="00E4174F">
              <w:rPr>
                <w:sz w:val="28"/>
                <w:szCs w:val="28"/>
                <w:lang w:val="ro-RO"/>
              </w:rPr>
              <w:t>În conformitate cu recentele modificări operate la art. 34 și art. 34</w:t>
            </w:r>
            <w:r w:rsidRPr="00E4174F">
              <w:rPr>
                <w:sz w:val="28"/>
                <w:szCs w:val="28"/>
                <w:vertAlign w:val="superscript"/>
                <w:lang w:val="ro-RO"/>
              </w:rPr>
              <w:t>1</w:t>
            </w:r>
            <w:r w:rsidRPr="00E4174F">
              <w:rPr>
                <w:sz w:val="28"/>
                <w:szCs w:val="28"/>
                <w:lang w:val="ro-RO"/>
              </w:rPr>
              <w:t xml:space="preserve"> din Legea nr. 330/1999 cu privire la cultura fizică și sport,  efectuate prin:</w:t>
            </w:r>
          </w:p>
          <w:p w14:paraId="3E713111" w14:textId="5769A949" w:rsidR="002C53B3" w:rsidRPr="00E4174F" w:rsidRDefault="002C53B3" w:rsidP="00905DEE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sz w:val="28"/>
                <w:szCs w:val="28"/>
                <w:lang w:val="ro-RO"/>
              </w:rPr>
            </w:pPr>
            <w:r w:rsidRPr="00E4174F">
              <w:rPr>
                <w:sz w:val="28"/>
                <w:szCs w:val="28"/>
                <w:lang w:val="ro-RO"/>
              </w:rPr>
              <w:t>- Legea nr. 91/2023 pentru modificarea Legii nr.330/1999 cu privire la cultura fizică şi sport;</w:t>
            </w:r>
          </w:p>
          <w:p w14:paraId="0EFB2DDF" w14:textId="77777777" w:rsidR="00EB6129" w:rsidRPr="00E4174F" w:rsidRDefault="00EB6129" w:rsidP="00905DEE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sz w:val="28"/>
                <w:szCs w:val="28"/>
                <w:lang w:val="ro-RO"/>
              </w:rPr>
            </w:pPr>
            <w:r w:rsidRPr="00E4174F">
              <w:rPr>
                <w:sz w:val="28"/>
                <w:szCs w:val="28"/>
                <w:lang w:val="ro-RO"/>
              </w:rPr>
              <w:t>-</w:t>
            </w:r>
            <w:r w:rsidR="008E4918" w:rsidRPr="00E4174F">
              <w:rPr>
                <w:sz w:val="28"/>
                <w:szCs w:val="28"/>
                <w:lang w:val="ro-RO"/>
              </w:rPr>
              <w:t>Legea nr. 297/2018 pentru modificarea Legii nr.330/1999 cu privire la cultura fizică şi sport</w:t>
            </w:r>
            <w:r w:rsidR="002C53B3" w:rsidRPr="00E4174F">
              <w:rPr>
                <w:sz w:val="28"/>
                <w:szCs w:val="28"/>
                <w:lang w:val="ro-RO"/>
              </w:rPr>
              <w:t>,</w:t>
            </w:r>
            <w:r w:rsidRPr="00E4174F">
              <w:rPr>
                <w:sz w:val="28"/>
                <w:szCs w:val="28"/>
                <w:lang w:val="ro-RO"/>
              </w:rPr>
              <w:t xml:space="preserve"> </w:t>
            </w:r>
          </w:p>
          <w:p w14:paraId="5A8F16F9" w14:textId="0B9FDD58" w:rsidR="002C53B3" w:rsidRPr="00E4174F" w:rsidRDefault="002C53B3" w:rsidP="00905DEE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sz w:val="28"/>
                <w:szCs w:val="28"/>
                <w:lang w:val="ro-RO"/>
              </w:rPr>
            </w:pPr>
            <w:r w:rsidRPr="00E4174F">
              <w:rPr>
                <w:sz w:val="28"/>
                <w:szCs w:val="28"/>
                <w:lang w:val="ro-RO"/>
              </w:rPr>
              <w:t>Guvernul are sarcina de a aduce actele normative în concordanță cu dispozițiile acestora.</w:t>
            </w:r>
          </w:p>
          <w:p w14:paraId="44FB07FB" w14:textId="0257C884" w:rsidR="00AF060C" w:rsidRPr="00E4174F" w:rsidRDefault="008E4918" w:rsidP="00905DEE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sz w:val="28"/>
                <w:szCs w:val="28"/>
                <w:lang w:val="ro-RO"/>
              </w:rPr>
            </w:pPr>
            <w:r w:rsidRPr="00E4174F">
              <w:rPr>
                <w:sz w:val="28"/>
                <w:szCs w:val="28"/>
                <w:lang w:val="ro-RO"/>
              </w:rPr>
              <w:t xml:space="preserve"> </w:t>
            </w:r>
            <w:r w:rsidR="00AF060C" w:rsidRPr="00E4174F">
              <w:rPr>
                <w:sz w:val="28"/>
                <w:szCs w:val="28"/>
                <w:lang w:val="ro-RO"/>
              </w:rPr>
              <w:t xml:space="preserve">Astfel, ținând cont de modificările/completările cu privire la </w:t>
            </w:r>
            <w:r w:rsidR="00905DEE" w:rsidRPr="00E4174F">
              <w:rPr>
                <w:sz w:val="28"/>
                <w:szCs w:val="28"/>
                <w:lang w:val="ro-RO"/>
              </w:rPr>
              <w:t>măsuri</w:t>
            </w:r>
            <w:r w:rsidR="00AF060C" w:rsidRPr="00E4174F">
              <w:rPr>
                <w:sz w:val="28"/>
                <w:szCs w:val="28"/>
                <w:lang w:val="ro-RO"/>
              </w:rPr>
              <w:t>le</w:t>
            </w:r>
            <w:r w:rsidR="00905DEE" w:rsidRPr="00E4174F">
              <w:rPr>
                <w:sz w:val="28"/>
                <w:szCs w:val="28"/>
                <w:lang w:val="ro-RO"/>
              </w:rPr>
              <w:t xml:space="preserve"> de protecție socială a sportivilor de perform</w:t>
            </w:r>
            <w:r w:rsidR="00AF060C" w:rsidRPr="00E4174F">
              <w:rPr>
                <w:sz w:val="28"/>
                <w:szCs w:val="28"/>
                <w:lang w:val="ro-RO"/>
              </w:rPr>
              <w:t>anță și a antrenorilor acestora</w:t>
            </w:r>
            <w:r w:rsidR="00905DEE" w:rsidRPr="00E4174F">
              <w:rPr>
                <w:sz w:val="28"/>
                <w:szCs w:val="28"/>
                <w:lang w:val="ro-RO"/>
              </w:rPr>
              <w:t xml:space="preserve"> </w:t>
            </w:r>
            <w:r w:rsidR="00AF060C" w:rsidRPr="00E4174F">
              <w:rPr>
                <w:sz w:val="28"/>
                <w:szCs w:val="28"/>
                <w:lang w:val="ro-RO"/>
              </w:rPr>
              <w:t>se impune necesitatea ajustării a două hotărâri de Guvern.</w:t>
            </w:r>
          </w:p>
          <w:p w14:paraId="7006DA24" w14:textId="77777777" w:rsidR="00CA47FF" w:rsidRPr="00E4174F" w:rsidRDefault="00CA47FF" w:rsidP="00AF060C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sz w:val="28"/>
                <w:szCs w:val="28"/>
                <w:lang w:val="ro-RO"/>
              </w:rPr>
            </w:pPr>
          </w:p>
          <w:p w14:paraId="3B94B7B4" w14:textId="27CB2D1A" w:rsidR="00AF060C" w:rsidRPr="00E4174F" w:rsidRDefault="00AF060C" w:rsidP="00AF060C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sz w:val="28"/>
                <w:szCs w:val="28"/>
                <w:lang w:val="ro-RO"/>
              </w:rPr>
            </w:pPr>
            <w:r w:rsidRPr="00E4174F">
              <w:rPr>
                <w:sz w:val="28"/>
                <w:szCs w:val="28"/>
                <w:lang w:val="ro-RO"/>
              </w:rPr>
              <w:t>În acest sens, urmează a fi modificate:</w:t>
            </w:r>
          </w:p>
          <w:p w14:paraId="38C039D2" w14:textId="67F3F10F" w:rsidR="00AF060C" w:rsidRPr="00E4174F" w:rsidRDefault="00AF060C" w:rsidP="00AF060C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bCs/>
                <w:sz w:val="28"/>
                <w:szCs w:val="28"/>
                <w:lang w:val="ro-RO"/>
              </w:rPr>
            </w:pPr>
            <w:r w:rsidRPr="00E4174F">
              <w:rPr>
                <w:b/>
                <w:bCs/>
                <w:sz w:val="28"/>
                <w:szCs w:val="28"/>
                <w:lang w:val="ro-RO"/>
              </w:rPr>
              <w:t xml:space="preserve">1. Hotărârea Guvernului nr. 642/2019 </w:t>
            </w:r>
            <w:r w:rsidRPr="00E4174F">
              <w:rPr>
                <w:bCs/>
                <w:sz w:val="28"/>
                <w:szCs w:val="28"/>
                <w:lang w:val="ro-RO"/>
              </w:rPr>
              <w:t>pentru aprobarea Regulamentului privind modul de calcul și de plată a indemnizației viagere a antrenorilor sportivilor de performanță;</w:t>
            </w:r>
          </w:p>
          <w:p w14:paraId="0D6D9945" w14:textId="594BE16D" w:rsidR="00AF060C" w:rsidRPr="00E4174F" w:rsidRDefault="00AF060C" w:rsidP="00AF060C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bCs/>
                <w:sz w:val="28"/>
                <w:szCs w:val="28"/>
                <w:lang w:val="ro-RO"/>
              </w:rPr>
            </w:pPr>
            <w:r w:rsidRPr="00E4174F">
              <w:rPr>
                <w:b/>
                <w:bCs/>
                <w:sz w:val="28"/>
                <w:szCs w:val="28"/>
                <w:lang w:val="ro-RO"/>
              </w:rPr>
              <w:t xml:space="preserve">2. Hotărârea Guvernului nr. 917/2014 </w:t>
            </w:r>
            <w:r w:rsidRPr="00E4174F">
              <w:rPr>
                <w:bCs/>
                <w:sz w:val="28"/>
                <w:szCs w:val="28"/>
                <w:lang w:val="ro-RO"/>
              </w:rPr>
              <w:t>pentru aprobarea Regulamentului cu privire la modul de calcul și de plată a indemnizației viagere a sportivilor de performanță</w:t>
            </w:r>
            <w:r w:rsidR="00CA636B" w:rsidRPr="00E4174F">
              <w:rPr>
                <w:bCs/>
                <w:sz w:val="28"/>
                <w:szCs w:val="28"/>
                <w:lang w:val="ro-RO"/>
              </w:rPr>
              <w:t>, prin care urmează a fi reglementate:</w:t>
            </w:r>
          </w:p>
          <w:p w14:paraId="51EB78C9" w14:textId="77777777" w:rsidR="00CA47FF" w:rsidRPr="00E4174F" w:rsidRDefault="00CA47FF" w:rsidP="00AF060C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bCs/>
                <w:sz w:val="28"/>
                <w:szCs w:val="28"/>
                <w:lang w:val="ro-RO"/>
              </w:rPr>
            </w:pPr>
          </w:p>
          <w:p w14:paraId="3BB71380" w14:textId="379AC9C4" w:rsidR="00CA636B" w:rsidRPr="00E4174F" w:rsidRDefault="00CA636B" w:rsidP="00CA636B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sz w:val="28"/>
                <w:szCs w:val="28"/>
                <w:lang w:val="ro-RO"/>
              </w:rPr>
            </w:pPr>
            <w:r w:rsidRPr="00E4174F">
              <w:rPr>
                <w:b/>
                <w:bCs/>
                <w:sz w:val="28"/>
                <w:szCs w:val="28"/>
                <w:lang w:val="ro-RO"/>
              </w:rPr>
              <w:t xml:space="preserve">- </w:t>
            </w:r>
            <w:r w:rsidRPr="00E4174F">
              <w:rPr>
                <w:bCs/>
                <w:sz w:val="28"/>
                <w:szCs w:val="28"/>
                <w:lang w:val="ro-RO"/>
              </w:rPr>
              <w:t xml:space="preserve">necesitatea prezentării în mod </w:t>
            </w:r>
            <w:r w:rsidRPr="00E4174F">
              <w:rPr>
                <w:b/>
                <w:bCs/>
                <w:sz w:val="28"/>
                <w:szCs w:val="28"/>
                <w:lang w:val="ro-RO"/>
              </w:rPr>
              <w:t>obligatoriu a certificatului eliberat de Agenția Națională Antidoping</w:t>
            </w:r>
            <w:r w:rsidRPr="00E4174F">
              <w:rPr>
                <w:bCs/>
                <w:sz w:val="28"/>
                <w:szCs w:val="28"/>
                <w:lang w:val="ro-RO"/>
              </w:rPr>
              <w:t xml:space="preserve"> care confirmă lipsa sancțiunilor la dopaj </w:t>
            </w:r>
            <w:r w:rsidR="00EB6129" w:rsidRPr="00E4174F">
              <w:rPr>
                <w:bCs/>
                <w:sz w:val="28"/>
                <w:szCs w:val="28"/>
                <w:lang w:val="ro-RO"/>
              </w:rPr>
              <w:t>odată cu</w:t>
            </w:r>
            <w:r w:rsidRPr="00E4174F">
              <w:rPr>
                <w:bCs/>
                <w:sz w:val="28"/>
                <w:szCs w:val="28"/>
                <w:lang w:val="ro-RO"/>
              </w:rPr>
              <w:t xml:space="preserve"> depunerea cererii pentru indemnizația viageră,</w:t>
            </w:r>
            <w:r w:rsidRPr="00E4174F">
              <w:rPr>
                <w:sz w:val="28"/>
                <w:szCs w:val="28"/>
                <w:lang w:val="ro-RO"/>
              </w:rPr>
              <w:t xml:space="preserve"> sportivii sancționați pentru încălcarea legislației antidoping fiind privați de dreptul de a beneficia de această indemnizație;</w:t>
            </w:r>
          </w:p>
          <w:p w14:paraId="3B3792ED" w14:textId="77777777" w:rsidR="00CA636B" w:rsidRPr="00E4174F" w:rsidRDefault="00CA636B" w:rsidP="00AF060C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bCs/>
                <w:sz w:val="28"/>
                <w:szCs w:val="28"/>
                <w:lang w:val="ro-RO"/>
              </w:rPr>
            </w:pPr>
          </w:p>
          <w:p w14:paraId="220B248B" w14:textId="44176068" w:rsidR="00CA636B" w:rsidRPr="00E4174F" w:rsidRDefault="00AF060C" w:rsidP="00AF060C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bCs/>
                <w:sz w:val="28"/>
                <w:szCs w:val="28"/>
                <w:lang w:val="ro-RO"/>
              </w:rPr>
            </w:pPr>
            <w:r w:rsidRPr="00E4174F">
              <w:rPr>
                <w:bCs/>
                <w:sz w:val="28"/>
                <w:szCs w:val="28"/>
                <w:lang w:val="ro-RO"/>
              </w:rPr>
              <w:t xml:space="preserve">- </w:t>
            </w:r>
            <w:r w:rsidR="00CA636B" w:rsidRPr="00E4174F">
              <w:rPr>
                <w:bCs/>
                <w:sz w:val="28"/>
                <w:szCs w:val="28"/>
                <w:lang w:val="ro-RO"/>
              </w:rPr>
              <w:t xml:space="preserve">utilizarea datelor privind salariul mediu lunar pe economie </w:t>
            </w:r>
            <w:r w:rsidRPr="00E4174F">
              <w:rPr>
                <w:rFonts w:eastAsiaTheme="minorHAnsi"/>
                <w:bCs/>
                <w:sz w:val="24"/>
                <w:szCs w:val="24"/>
                <w:lang w:val="ro-RO"/>
              </w:rPr>
              <w:t xml:space="preserve"> </w:t>
            </w:r>
            <w:r w:rsidR="00CA636B" w:rsidRPr="00E4174F">
              <w:rPr>
                <w:sz w:val="28"/>
                <w:szCs w:val="28"/>
                <w:lang w:val="ro-RO"/>
              </w:rPr>
              <w:t xml:space="preserve">comunicate de Biroul Naţional de Statistică </w:t>
            </w:r>
            <w:r w:rsidR="00CA636B" w:rsidRPr="00E4174F">
              <w:rPr>
                <w:b/>
                <w:sz w:val="28"/>
                <w:szCs w:val="28"/>
                <w:lang w:val="ro-RO"/>
              </w:rPr>
              <w:t>pentru anul precedent</w:t>
            </w:r>
            <w:r w:rsidR="00CA636B" w:rsidRPr="00E4174F">
              <w:rPr>
                <w:sz w:val="28"/>
                <w:szCs w:val="28"/>
                <w:lang w:val="ro-RO"/>
              </w:rPr>
              <w:t xml:space="preserve"> la stabilirea cuantumului indemnizaţiei viagere, aceasta fiind </w:t>
            </w:r>
            <w:r w:rsidRPr="00E4174F">
              <w:rPr>
                <w:bCs/>
                <w:sz w:val="28"/>
                <w:szCs w:val="28"/>
                <w:lang w:val="ro-RO"/>
              </w:rPr>
              <w:t>stabil</w:t>
            </w:r>
            <w:r w:rsidR="00CA636B" w:rsidRPr="00E4174F">
              <w:rPr>
                <w:bCs/>
                <w:sz w:val="28"/>
                <w:szCs w:val="28"/>
                <w:lang w:val="ro-RO"/>
              </w:rPr>
              <w:t>ită</w:t>
            </w:r>
            <w:r w:rsidR="00EB6129" w:rsidRPr="00E4174F">
              <w:rPr>
                <w:bCs/>
                <w:sz w:val="28"/>
                <w:szCs w:val="28"/>
                <w:lang w:val="ro-RO"/>
              </w:rPr>
              <w:t xml:space="preserve"> în mărime procentuală, </w:t>
            </w:r>
            <w:r w:rsidRPr="00E4174F">
              <w:rPr>
                <w:bCs/>
                <w:sz w:val="28"/>
                <w:szCs w:val="28"/>
                <w:lang w:val="ro-RO"/>
              </w:rPr>
              <w:t>în funcție de nivelul performanțelor s</w:t>
            </w:r>
            <w:r w:rsidR="00CA636B" w:rsidRPr="00E4174F">
              <w:rPr>
                <w:bCs/>
                <w:sz w:val="28"/>
                <w:szCs w:val="28"/>
                <w:lang w:val="ro-RO"/>
              </w:rPr>
              <w:t>portivilor antrenați.</w:t>
            </w:r>
          </w:p>
          <w:p w14:paraId="146C7604" w14:textId="40140D46" w:rsidR="000B1C4D" w:rsidRPr="002D2722" w:rsidRDefault="00AF060C" w:rsidP="00CA636B">
            <w:pPr>
              <w:shd w:val="clear" w:color="auto" w:fill="EAF1DD" w:themeFill="accent3" w:themeFillTint="33"/>
              <w:tabs>
                <w:tab w:val="left" w:pos="284"/>
              </w:tabs>
              <w:ind w:firstLine="0"/>
              <w:rPr>
                <w:sz w:val="28"/>
                <w:szCs w:val="28"/>
                <w:lang w:val="ro-RO"/>
              </w:rPr>
            </w:pPr>
            <w:r w:rsidRPr="00E4174F">
              <w:rPr>
                <w:sz w:val="28"/>
                <w:szCs w:val="28"/>
                <w:lang w:val="ro-RO"/>
              </w:rPr>
              <w:t>Totodată, se propun a fi operate și unele modificări de ordin tehnic în actele normative nominalizate.</w:t>
            </w:r>
          </w:p>
        </w:tc>
      </w:tr>
      <w:tr w:rsidR="00DA0993" w:rsidRPr="002D2722" w14:paraId="6E2800FF" w14:textId="77777777" w:rsidTr="00CA47FF">
        <w:tc>
          <w:tcPr>
            <w:tcW w:w="5000" w:type="pct"/>
          </w:tcPr>
          <w:p w14:paraId="10E9A33C" w14:textId="77777777" w:rsidR="00DA0993" w:rsidRPr="002D2722" w:rsidRDefault="00DA0993" w:rsidP="00FD7E25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8"/>
                <w:szCs w:val="28"/>
                <w:lang w:val="ro-RO"/>
              </w:rPr>
            </w:pPr>
            <w:r w:rsidRPr="002D2722">
              <w:rPr>
                <w:b/>
                <w:sz w:val="28"/>
                <w:szCs w:val="28"/>
                <w:lang w:val="ro-RO"/>
              </w:rPr>
              <w:t>3. Descrierea gradului de compatibilitate pentru proiectele care au ca scop armonizarea legislației naționale cu legislația Uniunii Europene.</w:t>
            </w:r>
          </w:p>
        </w:tc>
      </w:tr>
      <w:tr w:rsidR="00DA0993" w:rsidRPr="002D2722" w14:paraId="1AA419C2" w14:textId="77777777" w:rsidTr="00CA47FF">
        <w:tc>
          <w:tcPr>
            <w:tcW w:w="5000" w:type="pct"/>
          </w:tcPr>
          <w:p w14:paraId="0FBB2C6D" w14:textId="77777777" w:rsidR="00DA0993" w:rsidRPr="002D2722" w:rsidRDefault="00DA0993" w:rsidP="00FD7E25">
            <w:pPr>
              <w:tabs>
                <w:tab w:val="left" w:pos="884"/>
                <w:tab w:val="left" w:pos="1196"/>
              </w:tabs>
              <w:ind w:firstLine="0"/>
              <w:rPr>
                <w:sz w:val="28"/>
                <w:szCs w:val="28"/>
                <w:lang w:val="ro-RO"/>
              </w:rPr>
            </w:pPr>
            <w:r w:rsidRPr="002D2722">
              <w:rPr>
                <w:sz w:val="28"/>
                <w:szCs w:val="28"/>
                <w:lang w:val="ro-RO"/>
              </w:rPr>
              <w:t xml:space="preserve">Proiectul nu conține norme de armonizare a legislației naționale cu legislația Uniunii Europene. </w:t>
            </w:r>
          </w:p>
        </w:tc>
      </w:tr>
      <w:tr w:rsidR="00DA0993" w:rsidRPr="002D2722" w14:paraId="6472B99D" w14:textId="77777777" w:rsidTr="00CA47FF">
        <w:trPr>
          <w:trHeight w:val="242"/>
        </w:trPr>
        <w:tc>
          <w:tcPr>
            <w:tcW w:w="5000" w:type="pct"/>
          </w:tcPr>
          <w:p w14:paraId="247CD7E2" w14:textId="77777777" w:rsidR="00DA0993" w:rsidRPr="002D2722" w:rsidRDefault="00DA0993" w:rsidP="00FD7E25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8"/>
                <w:szCs w:val="28"/>
                <w:lang w:val="ro-RO"/>
              </w:rPr>
            </w:pPr>
            <w:r w:rsidRPr="002D2722">
              <w:rPr>
                <w:b/>
                <w:sz w:val="28"/>
                <w:szCs w:val="28"/>
                <w:lang w:val="ro-RO"/>
              </w:rPr>
              <w:t>4. Principalele prevederi ale proiectului și evidențierea elementelor noi.</w:t>
            </w:r>
          </w:p>
        </w:tc>
      </w:tr>
      <w:tr w:rsidR="00DA0993" w:rsidRPr="002D2722" w14:paraId="4F18BDC6" w14:textId="77777777" w:rsidTr="00CA47FF">
        <w:trPr>
          <w:trHeight w:val="93"/>
        </w:trPr>
        <w:tc>
          <w:tcPr>
            <w:tcW w:w="5000" w:type="pct"/>
          </w:tcPr>
          <w:p w14:paraId="2134A950" w14:textId="785D82EF" w:rsidR="00F03AF6" w:rsidRPr="002D2722" w:rsidRDefault="006A47E6" w:rsidP="00FD7E25">
            <w:pPr>
              <w:ind w:firstLine="0"/>
              <w:rPr>
                <w:bCs/>
                <w:sz w:val="28"/>
                <w:szCs w:val="28"/>
                <w:lang w:val="ro-RO"/>
              </w:rPr>
            </w:pPr>
            <w:r w:rsidRPr="002D2722">
              <w:rPr>
                <w:bCs/>
                <w:sz w:val="28"/>
                <w:szCs w:val="28"/>
                <w:lang w:val="ro-RO"/>
              </w:rPr>
              <w:t>Scopul proiectului</w:t>
            </w:r>
            <w:r w:rsidR="00053300" w:rsidRPr="002D2722">
              <w:rPr>
                <w:bCs/>
                <w:sz w:val="28"/>
                <w:szCs w:val="28"/>
                <w:lang w:val="ro-RO"/>
              </w:rPr>
              <w:t xml:space="preserve"> este aducerea în concordanță </w:t>
            </w:r>
            <w:r w:rsidR="000B567E" w:rsidRPr="002D2722">
              <w:rPr>
                <w:bCs/>
                <w:sz w:val="28"/>
                <w:szCs w:val="28"/>
                <w:lang w:val="ro-RO"/>
              </w:rPr>
              <w:t>a Hotărârii Guvernului nr.642/2019 și Hotărârii Guvernului nr.917/2014 cu Legea</w:t>
            </w:r>
            <w:r w:rsidRPr="002D2722">
              <w:rPr>
                <w:bCs/>
                <w:sz w:val="28"/>
                <w:szCs w:val="28"/>
                <w:lang w:val="ro-RO"/>
              </w:rPr>
              <w:t xml:space="preserve"> nr.91/2023</w:t>
            </w:r>
            <w:r w:rsidR="00F83352" w:rsidRPr="002D2722">
              <w:rPr>
                <w:bCs/>
                <w:sz w:val="28"/>
                <w:szCs w:val="28"/>
                <w:lang w:val="ro-RO"/>
              </w:rPr>
              <w:t xml:space="preserve"> și</w:t>
            </w:r>
            <w:r w:rsidR="000B567E" w:rsidRPr="002D2722">
              <w:rPr>
                <w:bCs/>
                <w:sz w:val="28"/>
                <w:szCs w:val="28"/>
                <w:lang w:val="ro-RO"/>
              </w:rPr>
              <w:t xml:space="preserve"> Legea</w:t>
            </w:r>
            <w:r w:rsidR="004428C0" w:rsidRPr="002D2722">
              <w:rPr>
                <w:bCs/>
                <w:sz w:val="28"/>
                <w:szCs w:val="28"/>
                <w:lang w:val="ro-RO"/>
              </w:rPr>
              <w:t xml:space="preserve"> nr.297/2018</w:t>
            </w:r>
            <w:r w:rsidR="00F83352" w:rsidRPr="002D2722">
              <w:rPr>
                <w:bCs/>
                <w:sz w:val="28"/>
                <w:szCs w:val="28"/>
                <w:lang w:val="ro-RO"/>
              </w:rPr>
              <w:t>.</w:t>
            </w:r>
          </w:p>
          <w:p w14:paraId="548A03C7" w14:textId="62131E39" w:rsidR="00F83352" w:rsidRPr="002D2722" w:rsidRDefault="00125750" w:rsidP="00F83352">
            <w:pPr>
              <w:ind w:firstLine="0"/>
              <w:rPr>
                <w:bCs/>
                <w:sz w:val="28"/>
                <w:szCs w:val="28"/>
                <w:lang w:val="ro-RO"/>
              </w:rPr>
            </w:pPr>
            <w:r w:rsidRPr="002D2722">
              <w:rPr>
                <w:bCs/>
                <w:sz w:val="28"/>
                <w:szCs w:val="28"/>
                <w:lang w:val="ro-RO"/>
              </w:rPr>
              <w:lastRenderedPageBreak/>
              <w:t>Conform</w:t>
            </w:r>
            <w:r w:rsidR="00F83352" w:rsidRPr="002D2722">
              <w:rPr>
                <w:bCs/>
                <w:sz w:val="28"/>
                <w:szCs w:val="28"/>
                <w:lang w:val="ro-RO"/>
              </w:rPr>
              <w:t xml:space="preserve"> Legii nr.91/2023 a fost modificată formula de calcul la stabilirea indemnizației viagere pentru sportivii de performanță și </w:t>
            </w:r>
            <w:r w:rsidR="00552D1F" w:rsidRPr="002D2722">
              <w:rPr>
                <w:bCs/>
                <w:sz w:val="28"/>
                <w:szCs w:val="28"/>
                <w:lang w:val="ro-RO"/>
              </w:rPr>
              <w:t>a antrenorilor</w:t>
            </w:r>
            <w:r w:rsidR="00F83352" w:rsidRPr="002D2722">
              <w:rPr>
                <w:bCs/>
                <w:sz w:val="28"/>
                <w:szCs w:val="28"/>
                <w:lang w:val="ro-RO"/>
              </w:rPr>
              <w:t xml:space="preserve"> sportivilor de performanță. </w:t>
            </w:r>
            <w:r w:rsidR="0010483C" w:rsidRPr="002D2722">
              <w:rPr>
                <w:bCs/>
                <w:sz w:val="28"/>
                <w:szCs w:val="28"/>
                <w:lang w:val="ro-RO"/>
              </w:rPr>
              <w:t>De fapt, pentru a aduce în concordanță cu</w:t>
            </w:r>
            <w:r w:rsidR="00505D4E" w:rsidRPr="002D2722">
              <w:rPr>
                <w:bCs/>
                <w:sz w:val="28"/>
                <w:szCs w:val="28"/>
                <w:lang w:val="ro-RO"/>
              </w:rPr>
              <w:t xml:space="preserve"> Legea nr.91/2023</w:t>
            </w:r>
            <w:r w:rsidR="009330D9" w:rsidRPr="002D2722">
              <w:rPr>
                <w:bCs/>
                <w:sz w:val="28"/>
                <w:szCs w:val="28"/>
                <w:lang w:val="ro-RO"/>
              </w:rPr>
              <w:t>, urmează a fi modificat</w:t>
            </w:r>
            <w:r w:rsidR="00F83352" w:rsidRPr="002D2722">
              <w:rPr>
                <w:bCs/>
                <w:sz w:val="28"/>
                <w:szCs w:val="28"/>
                <w:lang w:val="ro-RO"/>
              </w:rPr>
              <w:t xml:space="preserve"> pct</w:t>
            </w:r>
            <w:r w:rsidRPr="002D2722">
              <w:rPr>
                <w:bCs/>
                <w:sz w:val="28"/>
                <w:szCs w:val="28"/>
                <w:lang w:val="ro-RO"/>
              </w:rPr>
              <w:t>.8 din</w:t>
            </w:r>
            <w:r w:rsidR="00F83352" w:rsidRPr="002D2722">
              <w:rPr>
                <w:bCs/>
                <w:sz w:val="28"/>
                <w:szCs w:val="28"/>
                <w:lang w:val="ro-RO"/>
              </w:rPr>
              <w:t xml:space="preserve"> Hotărârea Guvernului nr.642/</w:t>
            </w:r>
            <w:r w:rsidR="00444DB0" w:rsidRPr="002D2722">
              <w:rPr>
                <w:bCs/>
                <w:sz w:val="28"/>
                <w:szCs w:val="28"/>
                <w:lang w:val="ro-RO"/>
              </w:rPr>
              <w:t>2019,</w:t>
            </w:r>
            <w:r w:rsidR="009330D9" w:rsidRPr="002D2722">
              <w:rPr>
                <w:bCs/>
                <w:sz w:val="28"/>
                <w:szCs w:val="28"/>
                <w:lang w:val="ro-RO"/>
              </w:rPr>
              <w:t xml:space="preserve"> </w:t>
            </w:r>
            <w:r w:rsidR="00AC5EB1" w:rsidRPr="002D2722">
              <w:rPr>
                <w:bCs/>
                <w:sz w:val="28"/>
                <w:szCs w:val="28"/>
                <w:lang w:val="ro-RO"/>
              </w:rPr>
              <w:t>pct.10</w:t>
            </w:r>
            <w:r w:rsidR="00E927D5" w:rsidRPr="002D2722">
              <w:rPr>
                <w:bCs/>
                <w:sz w:val="28"/>
                <w:szCs w:val="28"/>
                <w:lang w:val="ro-RO"/>
              </w:rPr>
              <w:t>, pct.11 și pct.13</w:t>
            </w:r>
            <w:r w:rsidR="00AC5EB1" w:rsidRPr="002D2722">
              <w:rPr>
                <w:bCs/>
                <w:sz w:val="28"/>
                <w:szCs w:val="28"/>
                <w:lang w:val="ro-RO"/>
              </w:rPr>
              <w:t xml:space="preserve"> </w:t>
            </w:r>
            <w:r w:rsidRPr="002D2722">
              <w:rPr>
                <w:bCs/>
                <w:sz w:val="28"/>
                <w:szCs w:val="28"/>
                <w:lang w:val="ro-RO"/>
              </w:rPr>
              <w:t>din</w:t>
            </w:r>
            <w:r w:rsidR="00AC5EB1" w:rsidRPr="002D2722">
              <w:rPr>
                <w:bCs/>
                <w:sz w:val="28"/>
                <w:szCs w:val="28"/>
                <w:lang w:val="ro-RO"/>
              </w:rPr>
              <w:t xml:space="preserve"> Hotărârea Guvernului nr.917/2014.</w:t>
            </w:r>
          </w:p>
          <w:p w14:paraId="4FD51221" w14:textId="127B49BA" w:rsidR="00CB30ED" w:rsidRPr="002D2722" w:rsidRDefault="0064170C" w:rsidP="00F83352">
            <w:pPr>
              <w:ind w:firstLine="0"/>
              <w:rPr>
                <w:bCs/>
                <w:sz w:val="28"/>
                <w:szCs w:val="28"/>
                <w:lang w:val="ro-RO"/>
              </w:rPr>
            </w:pPr>
            <w:r w:rsidRPr="002D2722">
              <w:rPr>
                <w:bCs/>
                <w:sz w:val="28"/>
                <w:szCs w:val="28"/>
                <w:lang w:val="ro-RO"/>
              </w:rPr>
              <w:t>De asemenea</w:t>
            </w:r>
            <w:r w:rsidR="00CB30ED" w:rsidRPr="002D2722">
              <w:rPr>
                <w:bCs/>
                <w:sz w:val="28"/>
                <w:szCs w:val="28"/>
                <w:lang w:val="ro-RO"/>
              </w:rPr>
              <w:t>, proiectul propune modificarea pct</w:t>
            </w:r>
            <w:r w:rsidR="00125750" w:rsidRPr="002D2722">
              <w:rPr>
                <w:bCs/>
                <w:sz w:val="28"/>
                <w:szCs w:val="28"/>
                <w:lang w:val="ro-RO"/>
              </w:rPr>
              <w:t>.4 din</w:t>
            </w:r>
            <w:r w:rsidR="00CB30ED" w:rsidRPr="002D2722">
              <w:rPr>
                <w:bCs/>
                <w:sz w:val="28"/>
                <w:szCs w:val="28"/>
                <w:lang w:val="ro-RO"/>
              </w:rPr>
              <w:t xml:space="preserve"> Hotărârea Guvernului nr.917/2014, în </w:t>
            </w:r>
            <w:r w:rsidR="00936114" w:rsidRPr="002D2722">
              <w:rPr>
                <w:bCs/>
                <w:sz w:val="28"/>
                <w:szCs w:val="28"/>
                <w:lang w:val="ro-RO"/>
              </w:rPr>
              <w:t>scopul aplicării</w:t>
            </w:r>
            <w:r w:rsidR="00CB30ED" w:rsidRPr="002D2722">
              <w:rPr>
                <w:bCs/>
                <w:sz w:val="28"/>
                <w:szCs w:val="28"/>
                <w:lang w:val="ro-RO"/>
              </w:rPr>
              <w:t xml:space="preserve"> prevederii art.34 alin.(8</w:t>
            </w:r>
            <w:r w:rsidR="00936114" w:rsidRPr="002D2722">
              <w:rPr>
                <w:bCs/>
                <w:sz w:val="28"/>
                <w:szCs w:val="28"/>
                <w:lang w:val="ro-RO"/>
              </w:rPr>
              <w:t>) din Legea nr.330/1999 c</w:t>
            </w:r>
            <w:r w:rsidR="00CB30ED" w:rsidRPr="002D2722">
              <w:rPr>
                <w:bCs/>
                <w:sz w:val="28"/>
                <w:szCs w:val="28"/>
                <w:lang w:val="ro-RO"/>
              </w:rPr>
              <w:t>e stabilește că sportivii de performanță la depunerea cererii pentru indemnizație viageră vor prezenta în mod obligatoriu</w:t>
            </w:r>
            <w:r w:rsidR="007D17AF" w:rsidRPr="002D2722">
              <w:rPr>
                <w:bCs/>
                <w:sz w:val="28"/>
                <w:szCs w:val="28"/>
                <w:lang w:val="ro-RO"/>
              </w:rPr>
              <w:t xml:space="preserve"> un certificat</w:t>
            </w:r>
            <w:r w:rsidR="00CB30ED" w:rsidRPr="002D2722">
              <w:rPr>
                <w:bCs/>
                <w:sz w:val="28"/>
                <w:szCs w:val="28"/>
                <w:lang w:val="ro-RO"/>
              </w:rPr>
              <w:t xml:space="preserve"> eliberat de Agenția Națională Antidoping care confirmă li</w:t>
            </w:r>
            <w:r w:rsidR="00552D1F" w:rsidRPr="002D2722">
              <w:rPr>
                <w:bCs/>
                <w:sz w:val="28"/>
                <w:szCs w:val="28"/>
                <w:lang w:val="ro-RO"/>
              </w:rPr>
              <w:t>p</w:t>
            </w:r>
            <w:r w:rsidR="00CB30ED" w:rsidRPr="002D2722">
              <w:rPr>
                <w:bCs/>
                <w:sz w:val="28"/>
                <w:szCs w:val="28"/>
                <w:lang w:val="ro-RO"/>
              </w:rPr>
              <w:t>sa sancțiunilor la dopaj al acestora.</w:t>
            </w:r>
          </w:p>
          <w:p w14:paraId="3C256E08" w14:textId="199B9475" w:rsidR="00EB058F" w:rsidRPr="002D2722" w:rsidRDefault="00B46136" w:rsidP="00EB058F">
            <w:pPr>
              <w:ind w:firstLine="0"/>
              <w:rPr>
                <w:bCs/>
                <w:sz w:val="28"/>
                <w:szCs w:val="28"/>
                <w:lang w:val="ro-RO"/>
              </w:rPr>
            </w:pPr>
            <w:r w:rsidRPr="002D2722">
              <w:rPr>
                <w:bCs/>
                <w:sz w:val="28"/>
                <w:szCs w:val="28"/>
                <w:lang w:val="ro-RO"/>
              </w:rPr>
              <w:t>Totodată, p</w:t>
            </w:r>
            <w:r w:rsidR="00EB058F" w:rsidRPr="002D2722">
              <w:rPr>
                <w:bCs/>
                <w:sz w:val="28"/>
                <w:szCs w:val="28"/>
                <w:lang w:val="ro-RO"/>
              </w:rPr>
              <w:t>roiectul propune modificarea pct.6 și pct.39 din Hotărârea Guvernului nr.917/2014, cu includerea Comitetului Paralimpic din Republica Moldova.</w:t>
            </w:r>
          </w:p>
          <w:p w14:paraId="778F4A0D" w14:textId="52B82A4D" w:rsidR="00EB058F" w:rsidRPr="002D2722" w:rsidRDefault="00EB058F" w:rsidP="00EB058F">
            <w:pPr>
              <w:ind w:firstLine="0"/>
              <w:rPr>
                <w:bCs/>
                <w:sz w:val="28"/>
                <w:szCs w:val="28"/>
                <w:lang w:val="ro-RO"/>
              </w:rPr>
            </w:pPr>
            <w:r w:rsidRPr="002D2722">
              <w:rPr>
                <w:bCs/>
                <w:sz w:val="28"/>
                <w:szCs w:val="28"/>
                <w:lang w:val="ro-RO"/>
              </w:rPr>
              <w:t>În cont</w:t>
            </w:r>
            <w:r w:rsidR="004428C0" w:rsidRPr="002D2722">
              <w:rPr>
                <w:bCs/>
                <w:sz w:val="28"/>
                <w:szCs w:val="28"/>
                <w:lang w:val="ro-RO"/>
              </w:rPr>
              <w:t>extul asigurării concordanței</w:t>
            </w:r>
            <w:r w:rsidR="00444DB0" w:rsidRPr="002D2722">
              <w:rPr>
                <w:bCs/>
                <w:sz w:val="28"/>
                <w:szCs w:val="28"/>
                <w:lang w:val="ro-RO"/>
              </w:rPr>
              <w:t xml:space="preserve"> Legii nr.297/2018, proiectul</w:t>
            </w:r>
            <w:r w:rsidRPr="002D2722">
              <w:rPr>
                <w:bCs/>
                <w:sz w:val="28"/>
                <w:szCs w:val="28"/>
                <w:lang w:val="ro-RO"/>
              </w:rPr>
              <w:t xml:space="preserve"> propune după textul „Jocurile Olimpice” să se completeze cu cuvintele ,,sau la Jocurile Paralimpice”, iar după textul ,,probe olimpice” să se completeze cu cuvintele ,,sau la probe paralimpice”</w:t>
            </w:r>
            <w:r w:rsidR="004428C0" w:rsidRPr="002D2722">
              <w:rPr>
                <w:bCs/>
                <w:sz w:val="28"/>
                <w:szCs w:val="28"/>
                <w:lang w:val="ro-RO"/>
              </w:rPr>
              <w:t>,</w:t>
            </w:r>
            <w:r w:rsidRPr="002D2722">
              <w:rPr>
                <w:bCs/>
                <w:sz w:val="28"/>
                <w:szCs w:val="28"/>
                <w:lang w:val="ro-RO"/>
              </w:rPr>
              <w:t xml:space="preserve"> la formele gramaticale corespunzătoare.</w:t>
            </w:r>
          </w:p>
        </w:tc>
      </w:tr>
      <w:tr w:rsidR="00DA0993" w:rsidRPr="002D2722" w14:paraId="2861A37C" w14:textId="77777777" w:rsidTr="00CA47FF">
        <w:tc>
          <w:tcPr>
            <w:tcW w:w="5000" w:type="pct"/>
          </w:tcPr>
          <w:p w14:paraId="033521E3" w14:textId="77777777" w:rsidR="00DA0993" w:rsidRPr="002D2722" w:rsidRDefault="00DA0993" w:rsidP="00FD7E25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8"/>
                <w:szCs w:val="28"/>
                <w:lang w:val="ro-RO"/>
              </w:rPr>
            </w:pPr>
            <w:r w:rsidRPr="002D2722">
              <w:rPr>
                <w:b/>
                <w:sz w:val="28"/>
                <w:szCs w:val="28"/>
                <w:lang w:val="ro-RO"/>
              </w:rPr>
              <w:lastRenderedPageBreak/>
              <w:t>5. Fundamentarea economico-financiară.</w:t>
            </w:r>
          </w:p>
        </w:tc>
      </w:tr>
      <w:tr w:rsidR="00DA0993" w:rsidRPr="002D2722" w14:paraId="4C92F5E9" w14:textId="77777777" w:rsidTr="00CA47FF">
        <w:trPr>
          <w:trHeight w:val="245"/>
        </w:trPr>
        <w:tc>
          <w:tcPr>
            <w:tcW w:w="5000" w:type="pct"/>
          </w:tcPr>
          <w:p w14:paraId="6712855C" w14:textId="163239A5" w:rsidR="00DA0993" w:rsidRPr="002D2722" w:rsidRDefault="00F072CE" w:rsidP="00FD7E25">
            <w:pPr>
              <w:ind w:firstLine="0"/>
              <w:rPr>
                <w:sz w:val="28"/>
                <w:szCs w:val="28"/>
                <w:lang w:val="ro-RO"/>
              </w:rPr>
            </w:pPr>
            <w:r w:rsidRPr="002D2722">
              <w:rPr>
                <w:sz w:val="28"/>
                <w:szCs w:val="28"/>
                <w:lang w:val="ro-RO"/>
              </w:rPr>
              <w:t xml:space="preserve">Implementarea proiectului nu necesită cheltuieli bugetare suplimentare. </w:t>
            </w:r>
          </w:p>
        </w:tc>
      </w:tr>
      <w:tr w:rsidR="00DA0993" w:rsidRPr="002D2722" w14:paraId="7A95E612" w14:textId="77777777" w:rsidTr="00CA47FF">
        <w:tc>
          <w:tcPr>
            <w:tcW w:w="5000" w:type="pct"/>
          </w:tcPr>
          <w:p w14:paraId="3CF0BD2B" w14:textId="77777777" w:rsidR="00DA0993" w:rsidRPr="002D2722" w:rsidRDefault="00DA0993" w:rsidP="00FD7E25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8"/>
                <w:szCs w:val="28"/>
                <w:lang w:val="ro-RO"/>
              </w:rPr>
            </w:pPr>
            <w:r w:rsidRPr="002D2722">
              <w:rPr>
                <w:b/>
                <w:sz w:val="28"/>
                <w:szCs w:val="28"/>
                <w:lang w:val="ro-RO"/>
              </w:rPr>
              <w:t>6. Modul de încorporare a actului în cadrul normativ în vigoare.</w:t>
            </w:r>
          </w:p>
        </w:tc>
      </w:tr>
      <w:tr w:rsidR="00DA0993" w:rsidRPr="002D2722" w14:paraId="484730AA" w14:textId="77777777" w:rsidTr="00CA47FF">
        <w:trPr>
          <w:trHeight w:val="255"/>
        </w:trPr>
        <w:tc>
          <w:tcPr>
            <w:tcW w:w="5000" w:type="pct"/>
          </w:tcPr>
          <w:p w14:paraId="63A83D5E" w14:textId="77777777" w:rsidR="00DA0993" w:rsidRPr="002D2722" w:rsidRDefault="00DA0993" w:rsidP="00FD7E2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  <w:lang w:val="ro-RO"/>
              </w:rPr>
            </w:pPr>
            <w:r w:rsidRPr="002D2722">
              <w:rPr>
                <w:color w:val="000000"/>
                <w:sz w:val="28"/>
                <w:szCs w:val="28"/>
                <w:lang w:val="ro-RO"/>
              </w:rPr>
              <w:t>Proiectul se încorporează în sistemul actelor normative și nu necesită amendarea cadrului normativ.</w:t>
            </w:r>
          </w:p>
        </w:tc>
      </w:tr>
      <w:tr w:rsidR="00DA0993" w:rsidRPr="002D2722" w14:paraId="47C7A9F8" w14:textId="77777777" w:rsidTr="00CA47FF">
        <w:tc>
          <w:tcPr>
            <w:tcW w:w="5000" w:type="pct"/>
          </w:tcPr>
          <w:p w14:paraId="6E22CAB6" w14:textId="77777777" w:rsidR="00DA0993" w:rsidRPr="002D2722" w:rsidRDefault="00DA0993" w:rsidP="00FD7E25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8"/>
                <w:szCs w:val="28"/>
                <w:lang w:val="ro-RO"/>
              </w:rPr>
            </w:pPr>
            <w:r w:rsidRPr="002D2722">
              <w:rPr>
                <w:b/>
                <w:sz w:val="28"/>
                <w:szCs w:val="28"/>
                <w:lang w:val="ro-RO"/>
              </w:rPr>
              <w:t>7. Avizarea și consultarea publică a proiectului.</w:t>
            </w:r>
          </w:p>
        </w:tc>
      </w:tr>
      <w:tr w:rsidR="00DA0993" w:rsidRPr="002D2722" w14:paraId="02FEE38F" w14:textId="77777777" w:rsidTr="00CA47FF">
        <w:trPr>
          <w:trHeight w:val="553"/>
        </w:trPr>
        <w:tc>
          <w:tcPr>
            <w:tcW w:w="5000" w:type="pct"/>
          </w:tcPr>
          <w:p w14:paraId="18A2C2C1" w14:textId="7FC02868" w:rsidR="000A1CDC" w:rsidRPr="002D2722" w:rsidRDefault="000210CA" w:rsidP="003A73F2">
            <w:pPr>
              <w:tabs>
                <w:tab w:val="left" w:pos="884"/>
                <w:tab w:val="left" w:pos="1196"/>
              </w:tabs>
              <w:ind w:firstLine="0"/>
              <w:rPr>
                <w:sz w:val="28"/>
                <w:szCs w:val="28"/>
                <w:lang w:val="ro-RO"/>
              </w:rPr>
            </w:pPr>
            <w:r w:rsidRPr="002D2722">
              <w:rPr>
                <w:sz w:val="28"/>
                <w:szCs w:val="28"/>
                <w:lang w:val="ro-RO"/>
              </w:rPr>
              <w:t>În</w:t>
            </w:r>
            <w:r w:rsidR="00DC3804" w:rsidRPr="002D2722">
              <w:rPr>
                <w:sz w:val="28"/>
                <w:szCs w:val="28"/>
                <w:lang w:val="ro-RO"/>
              </w:rPr>
              <w:t xml:space="preserve"> scopul respectării</w:t>
            </w:r>
            <w:r w:rsidR="003A73F2" w:rsidRPr="002D2722">
              <w:rPr>
                <w:sz w:val="28"/>
                <w:szCs w:val="28"/>
                <w:lang w:val="ro-RO"/>
              </w:rPr>
              <w:t xml:space="preserve"> </w:t>
            </w:r>
            <w:r w:rsidR="00E272D0" w:rsidRPr="002D2722">
              <w:rPr>
                <w:sz w:val="28"/>
                <w:szCs w:val="28"/>
                <w:lang w:val="ro-RO"/>
              </w:rPr>
              <w:t>Legii nr.239/2008</w:t>
            </w:r>
            <w:r w:rsidRPr="002D2722">
              <w:rPr>
                <w:sz w:val="28"/>
                <w:szCs w:val="28"/>
                <w:lang w:val="ro-RO"/>
              </w:rPr>
              <w:t xml:space="preserve"> </w:t>
            </w:r>
            <w:r w:rsidR="003A73F2" w:rsidRPr="002D2722">
              <w:rPr>
                <w:sz w:val="28"/>
                <w:szCs w:val="28"/>
                <w:lang w:val="ro-RO"/>
              </w:rPr>
              <w:t xml:space="preserve">privind transparența </w:t>
            </w:r>
            <w:r w:rsidR="006723D2" w:rsidRPr="002D2722">
              <w:rPr>
                <w:sz w:val="28"/>
                <w:szCs w:val="28"/>
                <w:lang w:val="ro-RO"/>
              </w:rPr>
              <w:t xml:space="preserve">în procesul </w:t>
            </w:r>
            <w:r w:rsidR="003A73F2" w:rsidRPr="002D2722">
              <w:rPr>
                <w:sz w:val="28"/>
                <w:szCs w:val="28"/>
                <w:lang w:val="ro-RO"/>
              </w:rPr>
              <w:t xml:space="preserve">decizional, proiectul a fost plasat spre consultări publice pe pagina web a Ministerului Educației și Cercetării, </w:t>
            </w:r>
            <w:r w:rsidRPr="002D2722">
              <w:rPr>
                <w:sz w:val="28"/>
                <w:szCs w:val="28"/>
                <w:lang w:val="ro-RO"/>
              </w:rPr>
              <w:t xml:space="preserve">la secțiunea Transparența decizională </w:t>
            </w:r>
            <w:r w:rsidR="003A73F2" w:rsidRPr="002D2722">
              <w:rPr>
                <w:sz w:val="28"/>
                <w:szCs w:val="28"/>
                <w:lang w:val="ro-RO"/>
              </w:rPr>
              <w:t xml:space="preserve">și pe portalul guvernamental </w:t>
            </w:r>
            <w:hyperlink r:id="rId6" w:history="1">
              <w:r w:rsidR="003A73F2" w:rsidRPr="002D2722">
                <w:rPr>
                  <w:rStyle w:val="a4"/>
                  <w:sz w:val="28"/>
                  <w:szCs w:val="28"/>
                  <w:lang w:val="ro-RO"/>
                </w:rPr>
                <w:t>www.particip.gov.md</w:t>
              </w:r>
            </w:hyperlink>
            <w:r w:rsidR="00D8313A" w:rsidRPr="002D2722">
              <w:rPr>
                <w:sz w:val="28"/>
                <w:szCs w:val="28"/>
                <w:lang w:val="ro-RO"/>
              </w:rPr>
              <w:t>, fiind accesibil la următorul link</w:t>
            </w:r>
            <w:r w:rsidR="00DF299B" w:rsidRPr="002D2722">
              <w:rPr>
                <w:sz w:val="28"/>
                <w:szCs w:val="28"/>
                <w:lang w:val="ro-RO"/>
              </w:rPr>
              <w:t>:</w:t>
            </w:r>
            <w:r w:rsidR="00D8313A" w:rsidRPr="002D2722">
              <w:rPr>
                <w:sz w:val="28"/>
                <w:szCs w:val="28"/>
                <w:lang w:val="ro-RO"/>
              </w:rPr>
              <w:t xml:space="preserve"> </w:t>
            </w:r>
            <w:hyperlink r:id="rId7" w:history="1">
              <w:r w:rsidR="000A1CDC" w:rsidRPr="002D2722">
                <w:rPr>
                  <w:rStyle w:val="a4"/>
                  <w:sz w:val="28"/>
                  <w:szCs w:val="28"/>
                  <w:lang w:val="ro-RO"/>
                </w:rPr>
                <w:t>https://particip.gov.md/ro/document/stages/*/10540</w:t>
              </w:r>
            </w:hyperlink>
            <w:r w:rsidR="000A1CDC" w:rsidRPr="002D2722">
              <w:rPr>
                <w:sz w:val="28"/>
                <w:szCs w:val="28"/>
                <w:lang w:val="ro-RO"/>
              </w:rPr>
              <w:t xml:space="preserve"> </w:t>
            </w:r>
          </w:p>
          <w:p w14:paraId="421A38B9" w14:textId="485629EA" w:rsidR="00DA0993" w:rsidRPr="002D2722" w:rsidRDefault="000210CA" w:rsidP="003A73F2">
            <w:pPr>
              <w:tabs>
                <w:tab w:val="left" w:pos="884"/>
                <w:tab w:val="left" w:pos="1196"/>
              </w:tabs>
              <w:ind w:firstLine="0"/>
              <w:rPr>
                <w:sz w:val="28"/>
                <w:szCs w:val="28"/>
                <w:lang w:val="ro-RO"/>
              </w:rPr>
            </w:pPr>
            <w:r w:rsidRPr="002D2722">
              <w:rPr>
                <w:sz w:val="28"/>
                <w:szCs w:val="28"/>
                <w:lang w:val="ro-RO"/>
              </w:rPr>
              <w:t>Proiect</w:t>
            </w:r>
            <w:r w:rsidR="00F029DF" w:rsidRPr="002D2722">
              <w:rPr>
                <w:sz w:val="28"/>
                <w:szCs w:val="28"/>
                <w:lang w:val="ro-RO"/>
              </w:rPr>
              <w:t>ul va fi</w:t>
            </w:r>
            <w:r w:rsidR="000042CC" w:rsidRPr="002D2722">
              <w:rPr>
                <w:sz w:val="28"/>
                <w:szCs w:val="28"/>
                <w:lang w:val="ro-RO"/>
              </w:rPr>
              <w:t xml:space="preserve"> </w:t>
            </w:r>
            <w:r w:rsidR="00F029DF" w:rsidRPr="002D2722">
              <w:rPr>
                <w:sz w:val="28"/>
                <w:szCs w:val="28"/>
                <w:lang w:val="ro-RO"/>
              </w:rPr>
              <w:t xml:space="preserve">supus procedurii de </w:t>
            </w:r>
            <w:r w:rsidR="0026242D" w:rsidRPr="002D2722">
              <w:rPr>
                <w:sz w:val="28"/>
                <w:szCs w:val="28"/>
                <w:lang w:val="ro-RO"/>
              </w:rPr>
              <w:t>avizare în conformitate cu prevederile Legii nr.100/2017 privind actele normative</w:t>
            </w:r>
            <w:r w:rsidRPr="002D2722">
              <w:rPr>
                <w:sz w:val="28"/>
                <w:szCs w:val="28"/>
                <w:lang w:val="ro-RO"/>
              </w:rPr>
              <w:t>.</w:t>
            </w:r>
          </w:p>
        </w:tc>
      </w:tr>
      <w:tr w:rsidR="00DA0993" w:rsidRPr="002D2722" w14:paraId="69F5983B" w14:textId="77777777" w:rsidTr="00CA47FF">
        <w:tc>
          <w:tcPr>
            <w:tcW w:w="5000" w:type="pct"/>
          </w:tcPr>
          <w:p w14:paraId="076C89F8" w14:textId="77777777" w:rsidR="00DA0993" w:rsidRPr="002D2722" w:rsidRDefault="00DA0993" w:rsidP="00FD7E25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8"/>
                <w:szCs w:val="28"/>
                <w:lang w:val="ro-RO"/>
              </w:rPr>
            </w:pPr>
            <w:r w:rsidRPr="002D2722">
              <w:rPr>
                <w:b/>
                <w:sz w:val="28"/>
                <w:szCs w:val="28"/>
                <w:lang w:val="ro-RO"/>
              </w:rPr>
              <w:t>8. Constatările expertizei anticorupție.</w:t>
            </w:r>
          </w:p>
        </w:tc>
      </w:tr>
      <w:tr w:rsidR="00DA0993" w:rsidRPr="002D2722" w14:paraId="172202E2" w14:textId="77777777" w:rsidTr="00CA47FF">
        <w:tc>
          <w:tcPr>
            <w:tcW w:w="5000" w:type="pct"/>
          </w:tcPr>
          <w:p w14:paraId="0DDDF58E" w14:textId="6AA38E23" w:rsidR="00DA0993" w:rsidRPr="002D2722" w:rsidRDefault="00A92E86" w:rsidP="00966308">
            <w:pPr>
              <w:tabs>
                <w:tab w:val="left" w:pos="884"/>
                <w:tab w:val="left" w:pos="1196"/>
              </w:tabs>
              <w:ind w:firstLine="0"/>
              <w:rPr>
                <w:sz w:val="28"/>
                <w:szCs w:val="28"/>
                <w:lang w:val="ro-RO"/>
              </w:rPr>
            </w:pPr>
            <w:r w:rsidRPr="002D2722">
              <w:rPr>
                <w:sz w:val="28"/>
                <w:szCs w:val="28"/>
                <w:lang w:val="ro-RO"/>
              </w:rPr>
              <w:t>Proiectul va fi supus expertizei anticorupție.</w:t>
            </w:r>
          </w:p>
        </w:tc>
      </w:tr>
      <w:tr w:rsidR="00DA0993" w:rsidRPr="002D2722" w14:paraId="2992E97D" w14:textId="77777777" w:rsidTr="00CA47FF">
        <w:tc>
          <w:tcPr>
            <w:tcW w:w="5000" w:type="pct"/>
          </w:tcPr>
          <w:p w14:paraId="0ED557B8" w14:textId="77777777" w:rsidR="00DA0993" w:rsidRPr="002D2722" w:rsidRDefault="00DA0993" w:rsidP="00FD7E25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8"/>
                <w:szCs w:val="28"/>
                <w:lang w:val="ro-RO"/>
              </w:rPr>
            </w:pPr>
            <w:r w:rsidRPr="002D2722">
              <w:rPr>
                <w:b/>
                <w:sz w:val="28"/>
                <w:szCs w:val="28"/>
                <w:lang w:val="ro-RO"/>
              </w:rPr>
              <w:t>9. Constatările expertizei de compatibilitate.</w:t>
            </w:r>
          </w:p>
        </w:tc>
      </w:tr>
      <w:tr w:rsidR="00DA0993" w:rsidRPr="002D2722" w14:paraId="14AA1658" w14:textId="77777777" w:rsidTr="00CA47FF">
        <w:trPr>
          <w:trHeight w:val="566"/>
        </w:trPr>
        <w:tc>
          <w:tcPr>
            <w:tcW w:w="5000" w:type="pct"/>
          </w:tcPr>
          <w:p w14:paraId="04142A5E" w14:textId="77777777" w:rsidR="00DA0993" w:rsidRPr="002D2722" w:rsidRDefault="00DA0993" w:rsidP="0010483C">
            <w:pPr>
              <w:tabs>
                <w:tab w:val="left" w:pos="884"/>
                <w:tab w:val="left" w:pos="1196"/>
              </w:tabs>
              <w:ind w:firstLine="0"/>
              <w:rPr>
                <w:sz w:val="28"/>
                <w:szCs w:val="28"/>
                <w:lang w:val="ro-RO"/>
              </w:rPr>
            </w:pPr>
            <w:r w:rsidRPr="002D2722">
              <w:rPr>
                <w:sz w:val="28"/>
                <w:szCs w:val="28"/>
                <w:lang w:val="ro-RO"/>
              </w:rPr>
              <w:t>Proiectul nu necesită efectuarea expertizei de compatibilitate, dat fiind faptul că proiectul nu reprezintă relevanță UE.</w:t>
            </w:r>
          </w:p>
        </w:tc>
      </w:tr>
      <w:tr w:rsidR="00DA0993" w:rsidRPr="002D2722" w14:paraId="7FA1F3DC" w14:textId="77777777" w:rsidTr="00CA47FF">
        <w:tc>
          <w:tcPr>
            <w:tcW w:w="5000" w:type="pct"/>
          </w:tcPr>
          <w:p w14:paraId="5C27D84D" w14:textId="77777777" w:rsidR="00DA0993" w:rsidRPr="002D2722" w:rsidRDefault="00DA0993" w:rsidP="00FD7E25">
            <w:pPr>
              <w:tabs>
                <w:tab w:val="left" w:pos="884"/>
                <w:tab w:val="left" w:pos="1196"/>
              </w:tabs>
              <w:ind w:firstLine="0"/>
              <w:rPr>
                <w:b/>
                <w:sz w:val="28"/>
                <w:szCs w:val="28"/>
                <w:lang w:val="ro-RO"/>
              </w:rPr>
            </w:pPr>
            <w:r w:rsidRPr="002D2722">
              <w:rPr>
                <w:b/>
                <w:sz w:val="28"/>
                <w:szCs w:val="28"/>
                <w:lang w:val="ro-RO"/>
              </w:rPr>
              <w:t>10. Constatările expertizei juridice.</w:t>
            </w:r>
          </w:p>
        </w:tc>
      </w:tr>
      <w:tr w:rsidR="00DA0993" w:rsidRPr="002D2722" w14:paraId="61AD7A2A" w14:textId="77777777" w:rsidTr="00CA47FF">
        <w:tc>
          <w:tcPr>
            <w:tcW w:w="5000" w:type="pct"/>
          </w:tcPr>
          <w:p w14:paraId="031542BA" w14:textId="367F77A4" w:rsidR="00DA0993" w:rsidRPr="002D2722" w:rsidRDefault="003103EB" w:rsidP="00FD7E25">
            <w:pPr>
              <w:ind w:firstLine="0"/>
              <w:rPr>
                <w:sz w:val="28"/>
                <w:szCs w:val="28"/>
                <w:lang w:val="ro-RO"/>
              </w:rPr>
            </w:pPr>
            <w:r w:rsidRPr="002D2722">
              <w:rPr>
                <w:sz w:val="28"/>
                <w:szCs w:val="28"/>
                <w:lang w:val="ro-RO"/>
              </w:rPr>
              <w:t xml:space="preserve">Proiectul </w:t>
            </w:r>
            <w:r w:rsidR="00A92E86" w:rsidRPr="002D2722">
              <w:rPr>
                <w:sz w:val="28"/>
                <w:szCs w:val="28"/>
                <w:lang w:val="ro-RO"/>
              </w:rPr>
              <w:t>va fi</w:t>
            </w:r>
            <w:r w:rsidR="00DA0993" w:rsidRPr="002D2722">
              <w:rPr>
                <w:sz w:val="28"/>
                <w:szCs w:val="28"/>
                <w:lang w:val="ro-RO"/>
              </w:rPr>
              <w:t xml:space="preserve"> supus expertizei juridice.</w:t>
            </w:r>
          </w:p>
        </w:tc>
      </w:tr>
      <w:tr w:rsidR="00DA0993" w:rsidRPr="002D2722" w14:paraId="12DE01DB" w14:textId="77777777" w:rsidTr="00CA47FF">
        <w:tc>
          <w:tcPr>
            <w:tcW w:w="5000" w:type="pct"/>
          </w:tcPr>
          <w:p w14:paraId="5734779F" w14:textId="77777777" w:rsidR="00DA0993" w:rsidRPr="002D2722" w:rsidRDefault="00DA0993" w:rsidP="00FD7E25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2D2722">
              <w:rPr>
                <w:b/>
                <w:sz w:val="28"/>
                <w:szCs w:val="28"/>
                <w:lang w:val="ro-RO"/>
              </w:rPr>
              <w:t>11. Constatările altor expertize.</w:t>
            </w:r>
          </w:p>
        </w:tc>
      </w:tr>
      <w:tr w:rsidR="00DA0993" w:rsidRPr="002D2722" w14:paraId="326144F1" w14:textId="77777777" w:rsidTr="00CA47FF">
        <w:tc>
          <w:tcPr>
            <w:tcW w:w="5000" w:type="pct"/>
          </w:tcPr>
          <w:p w14:paraId="69F9E208" w14:textId="3098C20A" w:rsidR="00DA0993" w:rsidRPr="002D2722" w:rsidRDefault="00DA0993" w:rsidP="00FD7E25">
            <w:pPr>
              <w:ind w:firstLine="0"/>
              <w:rPr>
                <w:sz w:val="28"/>
                <w:szCs w:val="28"/>
                <w:lang w:val="ro-RO"/>
              </w:rPr>
            </w:pPr>
            <w:r w:rsidRPr="002D2722">
              <w:rPr>
                <w:sz w:val="28"/>
                <w:szCs w:val="28"/>
                <w:lang w:val="ro-RO"/>
              </w:rPr>
              <w:t xml:space="preserve">Proiectul nu </w:t>
            </w:r>
            <w:r w:rsidR="000042CC" w:rsidRPr="002D2722">
              <w:rPr>
                <w:sz w:val="28"/>
                <w:szCs w:val="28"/>
                <w:lang w:val="ro-RO"/>
              </w:rPr>
              <w:t xml:space="preserve">a fost </w:t>
            </w:r>
            <w:r w:rsidRPr="002D2722">
              <w:rPr>
                <w:sz w:val="28"/>
                <w:szCs w:val="28"/>
                <w:lang w:val="ro-RO"/>
              </w:rPr>
              <w:t>supus altor expertize.</w:t>
            </w:r>
          </w:p>
        </w:tc>
      </w:tr>
    </w:tbl>
    <w:p w14:paraId="2BD7A16F" w14:textId="1F4B29B9" w:rsidR="00DF299B" w:rsidRPr="002D2722" w:rsidRDefault="00DF299B" w:rsidP="00CE2B20">
      <w:pPr>
        <w:ind w:firstLine="0"/>
        <w:rPr>
          <w:sz w:val="24"/>
          <w:szCs w:val="24"/>
          <w:lang w:val="ro-RO"/>
        </w:rPr>
      </w:pPr>
    </w:p>
    <w:p w14:paraId="37E882CE" w14:textId="6494B388" w:rsidR="003E4FF1" w:rsidRPr="002D2722" w:rsidRDefault="007E3743" w:rsidP="00D217ED">
      <w:pPr>
        <w:ind w:left="-567" w:right="-988" w:firstLine="0"/>
        <w:jc w:val="center"/>
        <w:rPr>
          <w:b/>
          <w:sz w:val="28"/>
          <w:szCs w:val="28"/>
          <w:lang w:val="ro-RO"/>
        </w:rPr>
      </w:pPr>
      <w:r w:rsidRPr="002D2722">
        <w:rPr>
          <w:b/>
          <w:sz w:val="28"/>
          <w:szCs w:val="28"/>
          <w:lang w:val="ro-RO"/>
        </w:rPr>
        <w:t>Ministru</w:t>
      </w:r>
      <w:r w:rsidR="00E96D97" w:rsidRPr="002D2722">
        <w:rPr>
          <w:b/>
          <w:sz w:val="28"/>
          <w:szCs w:val="28"/>
          <w:lang w:val="ro-RO"/>
        </w:rPr>
        <w:t xml:space="preserve">          </w:t>
      </w:r>
      <w:r w:rsidR="00F17E77" w:rsidRPr="002D2722">
        <w:rPr>
          <w:b/>
          <w:sz w:val="28"/>
          <w:szCs w:val="28"/>
          <w:lang w:val="ro-RO"/>
        </w:rPr>
        <w:t xml:space="preserve">                          </w:t>
      </w:r>
      <w:r w:rsidR="00E96D97" w:rsidRPr="002D2722">
        <w:rPr>
          <w:b/>
          <w:sz w:val="28"/>
          <w:szCs w:val="28"/>
          <w:lang w:val="ro-RO"/>
        </w:rPr>
        <w:t>Anatolie Topală</w:t>
      </w:r>
    </w:p>
    <w:p w14:paraId="517F382B" w14:textId="2B2347ED" w:rsidR="00E4174F" w:rsidRPr="002D2722" w:rsidRDefault="00E4174F" w:rsidP="00CE2B20">
      <w:pPr>
        <w:ind w:firstLine="0"/>
        <w:rPr>
          <w:i/>
          <w:lang w:val="ro-RO"/>
        </w:rPr>
      </w:pPr>
      <w:bookmarkStart w:id="0" w:name="_GoBack"/>
      <w:bookmarkEnd w:id="0"/>
    </w:p>
    <w:p w14:paraId="58626DDB" w14:textId="2F4EB964" w:rsidR="00F96288" w:rsidRPr="00E4174F" w:rsidRDefault="00F96288" w:rsidP="00E4174F">
      <w:pPr>
        <w:ind w:left="-284" w:firstLine="0"/>
        <w:rPr>
          <w:i/>
          <w:sz w:val="22"/>
          <w:szCs w:val="22"/>
          <w:lang w:val="ro-RO"/>
        </w:rPr>
      </w:pPr>
      <w:r w:rsidRPr="00E4174F">
        <w:rPr>
          <w:i/>
          <w:sz w:val="22"/>
          <w:szCs w:val="22"/>
          <w:lang w:val="ro-RO"/>
        </w:rPr>
        <w:t xml:space="preserve">Ex: </w:t>
      </w:r>
      <w:r w:rsidR="008A6012" w:rsidRPr="00E4174F">
        <w:rPr>
          <w:i/>
          <w:sz w:val="22"/>
          <w:szCs w:val="22"/>
          <w:lang w:val="ro-RO"/>
        </w:rPr>
        <w:t>Ion Iacub,</w:t>
      </w:r>
    </w:p>
    <w:p w14:paraId="531D43B9" w14:textId="77777777" w:rsidR="007E3743" w:rsidRPr="00E4174F" w:rsidRDefault="00714855" w:rsidP="00E4174F">
      <w:pPr>
        <w:ind w:left="-284" w:firstLine="0"/>
        <w:rPr>
          <w:i/>
          <w:sz w:val="22"/>
          <w:szCs w:val="22"/>
          <w:lang w:val="ro-RO"/>
        </w:rPr>
      </w:pPr>
      <w:r w:rsidRPr="00E4174F">
        <w:rPr>
          <w:i/>
          <w:sz w:val="22"/>
          <w:szCs w:val="22"/>
          <w:lang w:val="ro-RO"/>
        </w:rPr>
        <w:t>Tel:022-250-459</w:t>
      </w:r>
    </w:p>
    <w:sectPr w:rsidR="007E3743" w:rsidRPr="00E4174F" w:rsidSect="00CE2B20">
      <w:pgSz w:w="12240" w:h="15840"/>
      <w:pgMar w:top="568" w:right="1440" w:bottom="18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2B3"/>
    <w:multiLevelType w:val="hybridMultilevel"/>
    <w:tmpl w:val="E460CE4C"/>
    <w:lvl w:ilvl="0" w:tplc="F32A49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F15CB"/>
    <w:multiLevelType w:val="hybridMultilevel"/>
    <w:tmpl w:val="05A0269E"/>
    <w:lvl w:ilvl="0" w:tplc="84F87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2509F"/>
    <w:multiLevelType w:val="hybridMultilevel"/>
    <w:tmpl w:val="AA8AEF5E"/>
    <w:lvl w:ilvl="0" w:tplc="3E2805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FE5D5C"/>
    <w:multiLevelType w:val="hybridMultilevel"/>
    <w:tmpl w:val="4AF6502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8F7E5C"/>
    <w:multiLevelType w:val="hybridMultilevel"/>
    <w:tmpl w:val="61C403DC"/>
    <w:lvl w:ilvl="0" w:tplc="62282292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FA105B"/>
    <w:multiLevelType w:val="hybridMultilevel"/>
    <w:tmpl w:val="7324CC5C"/>
    <w:lvl w:ilvl="0" w:tplc="D314423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B4075F"/>
    <w:multiLevelType w:val="hybridMultilevel"/>
    <w:tmpl w:val="D9F88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EA07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23891"/>
    <w:multiLevelType w:val="hybridMultilevel"/>
    <w:tmpl w:val="D168306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9C3786"/>
    <w:multiLevelType w:val="hybridMultilevel"/>
    <w:tmpl w:val="4AF6502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B24664"/>
    <w:multiLevelType w:val="hybridMultilevel"/>
    <w:tmpl w:val="F26A8726"/>
    <w:lvl w:ilvl="0" w:tplc="607612A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972D17"/>
    <w:multiLevelType w:val="hybridMultilevel"/>
    <w:tmpl w:val="D168306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8E2A0A"/>
    <w:multiLevelType w:val="hybridMultilevel"/>
    <w:tmpl w:val="000642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F26DE9"/>
    <w:multiLevelType w:val="hybridMultilevel"/>
    <w:tmpl w:val="33522F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065A4"/>
    <w:multiLevelType w:val="hybridMultilevel"/>
    <w:tmpl w:val="2DC4326A"/>
    <w:lvl w:ilvl="0" w:tplc="D314423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5B43CD"/>
    <w:multiLevelType w:val="hybridMultilevel"/>
    <w:tmpl w:val="486CC69C"/>
    <w:lvl w:ilvl="0" w:tplc="8DCEA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25186"/>
    <w:multiLevelType w:val="hybridMultilevel"/>
    <w:tmpl w:val="1C4E3A30"/>
    <w:lvl w:ilvl="0" w:tplc="AB36A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7464B1"/>
    <w:multiLevelType w:val="hybridMultilevel"/>
    <w:tmpl w:val="D54A20FA"/>
    <w:lvl w:ilvl="0" w:tplc="A042A4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0C28A1"/>
    <w:multiLevelType w:val="hybridMultilevel"/>
    <w:tmpl w:val="910E6A86"/>
    <w:lvl w:ilvl="0" w:tplc="542217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C2D9E"/>
    <w:multiLevelType w:val="hybridMultilevel"/>
    <w:tmpl w:val="DA2E9A68"/>
    <w:lvl w:ilvl="0" w:tplc="6B10B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B20F2"/>
    <w:multiLevelType w:val="hybridMultilevel"/>
    <w:tmpl w:val="11D80C7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96427D"/>
    <w:multiLevelType w:val="hybridMultilevel"/>
    <w:tmpl w:val="D5828B76"/>
    <w:lvl w:ilvl="0" w:tplc="EF925E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5A448C"/>
    <w:multiLevelType w:val="hybridMultilevel"/>
    <w:tmpl w:val="184A1630"/>
    <w:lvl w:ilvl="0" w:tplc="9AA8AD72">
      <w:start w:val="1"/>
      <w:numFmt w:val="decimal"/>
      <w:lvlText w:val="%1."/>
      <w:lvlJc w:val="left"/>
      <w:pPr>
        <w:ind w:left="1560" w:hanging="8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EB5656"/>
    <w:multiLevelType w:val="hybridMultilevel"/>
    <w:tmpl w:val="2B7C999A"/>
    <w:lvl w:ilvl="0" w:tplc="14E614A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71A0F"/>
    <w:multiLevelType w:val="hybridMultilevel"/>
    <w:tmpl w:val="CB7E2DEE"/>
    <w:lvl w:ilvl="0" w:tplc="6B10BD0A">
      <w:start w:val="2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7E4C74FB"/>
    <w:multiLevelType w:val="hybridMultilevel"/>
    <w:tmpl w:val="299CB5C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8E50FE"/>
    <w:multiLevelType w:val="hybridMultilevel"/>
    <w:tmpl w:val="1C4E3A30"/>
    <w:lvl w:ilvl="0" w:tplc="AB36A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1"/>
  </w:num>
  <w:num w:numId="4">
    <w:abstractNumId w:val="20"/>
  </w:num>
  <w:num w:numId="5">
    <w:abstractNumId w:val="17"/>
  </w:num>
  <w:num w:numId="6">
    <w:abstractNumId w:val="14"/>
  </w:num>
  <w:num w:numId="7">
    <w:abstractNumId w:val="12"/>
  </w:num>
  <w:num w:numId="8">
    <w:abstractNumId w:val="5"/>
  </w:num>
  <w:num w:numId="9">
    <w:abstractNumId w:val="2"/>
  </w:num>
  <w:num w:numId="10">
    <w:abstractNumId w:val="13"/>
  </w:num>
  <w:num w:numId="11">
    <w:abstractNumId w:val="4"/>
  </w:num>
  <w:num w:numId="12">
    <w:abstractNumId w:val="19"/>
  </w:num>
  <w:num w:numId="13">
    <w:abstractNumId w:val="25"/>
  </w:num>
  <w:num w:numId="14">
    <w:abstractNumId w:val="8"/>
  </w:num>
  <w:num w:numId="15">
    <w:abstractNumId w:val="3"/>
  </w:num>
  <w:num w:numId="16">
    <w:abstractNumId w:val="11"/>
  </w:num>
  <w:num w:numId="17">
    <w:abstractNumId w:val="7"/>
  </w:num>
  <w:num w:numId="18">
    <w:abstractNumId w:val="10"/>
  </w:num>
  <w:num w:numId="19">
    <w:abstractNumId w:val="6"/>
  </w:num>
  <w:num w:numId="20">
    <w:abstractNumId w:val="9"/>
  </w:num>
  <w:num w:numId="21">
    <w:abstractNumId w:val="16"/>
  </w:num>
  <w:num w:numId="22">
    <w:abstractNumId w:val="18"/>
  </w:num>
  <w:num w:numId="23">
    <w:abstractNumId w:val="22"/>
  </w:num>
  <w:num w:numId="24">
    <w:abstractNumId w:val="1"/>
  </w:num>
  <w:num w:numId="25">
    <w:abstractNumId w:val="24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5A"/>
    <w:rsid w:val="000028A0"/>
    <w:rsid w:val="000042CC"/>
    <w:rsid w:val="000108B4"/>
    <w:rsid w:val="000210CA"/>
    <w:rsid w:val="0002752C"/>
    <w:rsid w:val="00043BAB"/>
    <w:rsid w:val="00043DB0"/>
    <w:rsid w:val="00046D63"/>
    <w:rsid w:val="000476EE"/>
    <w:rsid w:val="00053300"/>
    <w:rsid w:val="00053982"/>
    <w:rsid w:val="000569F9"/>
    <w:rsid w:val="000736BB"/>
    <w:rsid w:val="00074DA1"/>
    <w:rsid w:val="00076426"/>
    <w:rsid w:val="00077C7D"/>
    <w:rsid w:val="00083F26"/>
    <w:rsid w:val="00085AB8"/>
    <w:rsid w:val="00090B1C"/>
    <w:rsid w:val="000928A0"/>
    <w:rsid w:val="000A1CDC"/>
    <w:rsid w:val="000A4399"/>
    <w:rsid w:val="000A67C7"/>
    <w:rsid w:val="000B1C4D"/>
    <w:rsid w:val="000B567E"/>
    <w:rsid w:val="000C0B60"/>
    <w:rsid w:val="000C41D8"/>
    <w:rsid w:val="000C5700"/>
    <w:rsid w:val="000C5C42"/>
    <w:rsid w:val="000C6FC9"/>
    <w:rsid w:val="000D1779"/>
    <w:rsid w:val="000D7E79"/>
    <w:rsid w:val="000E4AE5"/>
    <w:rsid w:val="000E6D90"/>
    <w:rsid w:val="000F5D27"/>
    <w:rsid w:val="0010483C"/>
    <w:rsid w:val="001054C6"/>
    <w:rsid w:val="001078DA"/>
    <w:rsid w:val="00110F8B"/>
    <w:rsid w:val="001111D9"/>
    <w:rsid w:val="00120B46"/>
    <w:rsid w:val="00123565"/>
    <w:rsid w:val="00124BBA"/>
    <w:rsid w:val="00125750"/>
    <w:rsid w:val="00134418"/>
    <w:rsid w:val="00140471"/>
    <w:rsid w:val="00163379"/>
    <w:rsid w:val="00172119"/>
    <w:rsid w:val="00190A3D"/>
    <w:rsid w:val="001940A3"/>
    <w:rsid w:val="001A37AC"/>
    <w:rsid w:val="001A501B"/>
    <w:rsid w:val="001B001D"/>
    <w:rsid w:val="001B385E"/>
    <w:rsid w:val="001B5F7B"/>
    <w:rsid w:val="001B7E45"/>
    <w:rsid w:val="001D210E"/>
    <w:rsid w:val="001D229E"/>
    <w:rsid w:val="001D5FA2"/>
    <w:rsid w:val="001E2D65"/>
    <w:rsid w:val="001E3422"/>
    <w:rsid w:val="00200FB2"/>
    <w:rsid w:val="00204D23"/>
    <w:rsid w:val="00221C32"/>
    <w:rsid w:val="00227DD2"/>
    <w:rsid w:val="00231503"/>
    <w:rsid w:val="0023275A"/>
    <w:rsid w:val="002351A6"/>
    <w:rsid w:val="00237B03"/>
    <w:rsid w:val="0024584E"/>
    <w:rsid w:val="00245D02"/>
    <w:rsid w:val="00245F0D"/>
    <w:rsid w:val="00253497"/>
    <w:rsid w:val="0026242D"/>
    <w:rsid w:val="002639E3"/>
    <w:rsid w:val="002714FB"/>
    <w:rsid w:val="00285CD5"/>
    <w:rsid w:val="00290884"/>
    <w:rsid w:val="00290FD1"/>
    <w:rsid w:val="00294CE1"/>
    <w:rsid w:val="002976FF"/>
    <w:rsid w:val="002A0570"/>
    <w:rsid w:val="002B4649"/>
    <w:rsid w:val="002C039C"/>
    <w:rsid w:val="002C2A95"/>
    <w:rsid w:val="002C53B3"/>
    <w:rsid w:val="002D1FF7"/>
    <w:rsid w:val="002D2722"/>
    <w:rsid w:val="002D4614"/>
    <w:rsid w:val="002D6823"/>
    <w:rsid w:val="002E5157"/>
    <w:rsid w:val="002F199E"/>
    <w:rsid w:val="003103EB"/>
    <w:rsid w:val="00313874"/>
    <w:rsid w:val="00324C73"/>
    <w:rsid w:val="0033338A"/>
    <w:rsid w:val="00343AE0"/>
    <w:rsid w:val="00345339"/>
    <w:rsid w:val="00352127"/>
    <w:rsid w:val="0035487C"/>
    <w:rsid w:val="00385F49"/>
    <w:rsid w:val="003A0EDD"/>
    <w:rsid w:val="003A1D46"/>
    <w:rsid w:val="003A6140"/>
    <w:rsid w:val="003A73F2"/>
    <w:rsid w:val="003E1405"/>
    <w:rsid w:val="003E43EF"/>
    <w:rsid w:val="003E4FF1"/>
    <w:rsid w:val="003F0881"/>
    <w:rsid w:val="003F0E25"/>
    <w:rsid w:val="003F2800"/>
    <w:rsid w:val="00401EB6"/>
    <w:rsid w:val="004053D7"/>
    <w:rsid w:val="0041086E"/>
    <w:rsid w:val="00422568"/>
    <w:rsid w:val="00426EAF"/>
    <w:rsid w:val="0043554C"/>
    <w:rsid w:val="004428C0"/>
    <w:rsid w:val="00442E74"/>
    <w:rsid w:val="00444DB0"/>
    <w:rsid w:val="0044594B"/>
    <w:rsid w:val="00447EE9"/>
    <w:rsid w:val="00450D19"/>
    <w:rsid w:val="00451CC8"/>
    <w:rsid w:val="00460EA6"/>
    <w:rsid w:val="00465FC4"/>
    <w:rsid w:val="00471EB1"/>
    <w:rsid w:val="004731A2"/>
    <w:rsid w:val="0047632F"/>
    <w:rsid w:val="00484026"/>
    <w:rsid w:val="004A6229"/>
    <w:rsid w:val="004B01C2"/>
    <w:rsid w:val="004C4341"/>
    <w:rsid w:val="004D02E8"/>
    <w:rsid w:val="004D4075"/>
    <w:rsid w:val="004E00AF"/>
    <w:rsid w:val="004E0283"/>
    <w:rsid w:val="004E1C88"/>
    <w:rsid w:val="004E1E20"/>
    <w:rsid w:val="004E4F1E"/>
    <w:rsid w:val="004F3858"/>
    <w:rsid w:val="004F636C"/>
    <w:rsid w:val="00504410"/>
    <w:rsid w:val="0050496F"/>
    <w:rsid w:val="0050585D"/>
    <w:rsid w:val="00505D4E"/>
    <w:rsid w:val="00510A13"/>
    <w:rsid w:val="00511A6C"/>
    <w:rsid w:val="00512B16"/>
    <w:rsid w:val="00520E53"/>
    <w:rsid w:val="005242F7"/>
    <w:rsid w:val="00525046"/>
    <w:rsid w:val="0053426F"/>
    <w:rsid w:val="00536019"/>
    <w:rsid w:val="0054424D"/>
    <w:rsid w:val="00547DB2"/>
    <w:rsid w:val="00552D1F"/>
    <w:rsid w:val="00567630"/>
    <w:rsid w:val="00567B99"/>
    <w:rsid w:val="00572683"/>
    <w:rsid w:val="00573F20"/>
    <w:rsid w:val="0058260F"/>
    <w:rsid w:val="00583ECA"/>
    <w:rsid w:val="00583EF3"/>
    <w:rsid w:val="0058495A"/>
    <w:rsid w:val="005904C5"/>
    <w:rsid w:val="005930D6"/>
    <w:rsid w:val="005A25FB"/>
    <w:rsid w:val="005C330A"/>
    <w:rsid w:val="005D1412"/>
    <w:rsid w:val="005D3021"/>
    <w:rsid w:val="005D6628"/>
    <w:rsid w:val="005E435D"/>
    <w:rsid w:val="005E4847"/>
    <w:rsid w:val="005E5137"/>
    <w:rsid w:val="005F1A3A"/>
    <w:rsid w:val="005F5988"/>
    <w:rsid w:val="00616D8D"/>
    <w:rsid w:val="00622141"/>
    <w:rsid w:val="0063341B"/>
    <w:rsid w:val="00633CC9"/>
    <w:rsid w:val="0064170C"/>
    <w:rsid w:val="006437D6"/>
    <w:rsid w:val="006462DF"/>
    <w:rsid w:val="00650F3D"/>
    <w:rsid w:val="0065545D"/>
    <w:rsid w:val="00656D70"/>
    <w:rsid w:val="006723D2"/>
    <w:rsid w:val="00676E23"/>
    <w:rsid w:val="006A1438"/>
    <w:rsid w:val="006A1BB8"/>
    <w:rsid w:val="006A47E6"/>
    <w:rsid w:val="006A4EDE"/>
    <w:rsid w:val="006B4BE5"/>
    <w:rsid w:val="006B740A"/>
    <w:rsid w:val="006C172E"/>
    <w:rsid w:val="006C48FB"/>
    <w:rsid w:val="006C521E"/>
    <w:rsid w:val="006C5227"/>
    <w:rsid w:val="006C7039"/>
    <w:rsid w:val="006D1704"/>
    <w:rsid w:val="006E69B3"/>
    <w:rsid w:val="006F6439"/>
    <w:rsid w:val="00704317"/>
    <w:rsid w:val="00705D44"/>
    <w:rsid w:val="00714855"/>
    <w:rsid w:val="00721423"/>
    <w:rsid w:val="00723B7D"/>
    <w:rsid w:val="00732A4A"/>
    <w:rsid w:val="00747433"/>
    <w:rsid w:val="00747F00"/>
    <w:rsid w:val="007507B2"/>
    <w:rsid w:val="00752D94"/>
    <w:rsid w:val="00764595"/>
    <w:rsid w:val="00772563"/>
    <w:rsid w:val="00772703"/>
    <w:rsid w:val="007837B9"/>
    <w:rsid w:val="0078482E"/>
    <w:rsid w:val="007B1353"/>
    <w:rsid w:val="007B6F37"/>
    <w:rsid w:val="007D17AF"/>
    <w:rsid w:val="007D1880"/>
    <w:rsid w:val="007D4948"/>
    <w:rsid w:val="007D5481"/>
    <w:rsid w:val="007E3743"/>
    <w:rsid w:val="007F6DC6"/>
    <w:rsid w:val="00803249"/>
    <w:rsid w:val="008066B0"/>
    <w:rsid w:val="00806CC3"/>
    <w:rsid w:val="00807F08"/>
    <w:rsid w:val="0081237B"/>
    <w:rsid w:val="0081353F"/>
    <w:rsid w:val="0082637A"/>
    <w:rsid w:val="00833509"/>
    <w:rsid w:val="00847969"/>
    <w:rsid w:val="008508F0"/>
    <w:rsid w:val="0085566F"/>
    <w:rsid w:val="0086265B"/>
    <w:rsid w:val="00863E5F"/>
    <w:rsid w:val="0086469B"/>
    <w:rsid w:val="0086754B"/>
    <w:rsid w:val="0088729C"/>
    <w:rsid w:val="008876EC"/>
    <w:rsid w:val="00887C15"/>
    <w:rsid w:val="008926ED"/>
    <w:rsid w:val="00892989"/>
    <w:rsid w:val="00892DEE"/>
    <w:rsid w:val="008A6012"/>
    <w:rsid w:val="008B7F67"/>
    <w:rsid w:val="008C264D"/>
    <w:rsid w:val="008C4223"/>
    <w:rsid w:val="008C4702"/>
    <w:rsid w:val="008D57D0"/>
    <w:rsid w:val="008D7B73"/>
    <w:rsid w:val="008D7C05"/>
    <w:rsid w:val="008E4894"/>
    <w:rsid w:val="008E4918"/>
    <w:rsid w:val="008E71BB"/>
    <w:rsid w:val="008E7231"/>
    <w:rsid w:val="008F677C"/>
    <w:rsid w:val="00900778"/>
    <w:rsid w:val="00903D19"/>
    <w:rsid w:val="00905DEE"/>
    <w:rsid w:val="00907471"/>
    <w:rsid w:val="00910EE9"/>
    <w:rsid w:val="00913D31"/>
    <w:rsid w:val="009144FE"/>
    <w:rsid w:val="0092128E"/>
    <w:rsid w:val="00921342"/>
    <w:rsid w:val="00931302"/>
    <w:rsid w:val="009317F2"/>
    <w:rsid w:val="009330D9"/>
    <w:rsid w:val="00934363"/>
    <w:rsid w:val="00936114"/>
    <w:rsid w:val="00941239"/>
    <w:rsid w:val="00941A85"/>
    <w:rsid w:val="00956E54"/>
    <w:rsid w:val="00966308"/>
    <w:rsid w:val="00967FEB"/>
    <w:rsid w:val="00970752"/>
    <w:rsid w:val="00970875"/>
    <w:rsid w:val="00974CC1"/>
    <w:rsid w:val="009770FA"/>
    <w:rsid w:val="00977A0F"/>
    <w:rsid w:val="00980AB2"/>
    <w:rsid w:val="009A7E7A"/>
    <w:rsid w:val="009B01A3"/>
    <w:rsid w:val="009B0D08"/>
    <w:rsid w:val="009C3DC7"/>
    <w:rsid w:val="009D4D95"/>
    <w:rsid w:val="009E43D5"/>
    <w:rsid w:val="009F23DB"/>
    <w:rsid w:val="009F4B5B"/>
    <w:rsid w:val="009F5C06"/>
    <w:rsid w:val="00A15D6A"/>
    <w:rsid w:val="00A22B42"/>
    <w:rsid w:val="00A26B07"/>
    <w:rsid w:val="00A36FFE"/>
    <w:rsid w:val="00A41449"/>
    <w:rsid w:val="00A4375B"/>
    <w:rsid w:val="00A46066"/>
    <w:rsid w:val="00A479B0"/>
    <w:rsid w:val="00A50903"/>
    <w:rsid w:val="00A50C05"/>
    <w:rsid w:val="00A55C4B"/>
    <w:rsid w:val="00A56E11"/>
    <w:rsid w:val="00A60888"/>
    <w:rsid w:val="00A639D7"/>
    <w:rsid w:val="00A72C61"/>
    <w:rsid w:val="00A81178"/>
    <w:rsid w:val="00A83526"/>
    <w:rsid w:val="00A87D6D"/>
    <w:rsid w:val="00A92E86"/>
    <w:rsid w:val="00A94716"/>
    <w:rsid w:val="00AC5EB1"/>
    <w:rsid w:val="00AC61BF"/>
    <w:rsid w:val="00AC7E01"/>
    <w:rsid w:val="00AD2872"/>
    <w:rsid w:val="00AD39A2"/>
    <w:rsid w:val="00AD3F76"/>
    <w:rsid w:val="00AD5CA5"/>
    <w:rsid w:val="00AD6E5C"/>
    <w:rsid w:val="00AE3651"/>
    <w:rsid w:val="00AF060C"/>
    <w:rsid w:val="00AF1FD6"/>
    <w:rsid w:val="00AF34C0"/>
    <w:rsid w:val="00AF673F"/>
    <w:rsid w:val="00B03940"/>
    <w:rsid w:val="00B12FB3"/>
    <w:rsid w:val="00B14527"/>
    <w:rsid w:val="00B42B9D"/>
    <w:rsid w:val="00B4579C"/>
    <w:rsid w:val="00B46136"/>
    <w:rsid w:val="00B468A2"/>
    <w:rsid w:val="00B561A3"/>
    <w:rsid w:val="00B5724E"/>
    <w:rsid w:val="00B72347"/>
    <w:rsid w:val="00B75D37"/>
    <w:rsid w:val="00B86858"/>
    <w:rsid w:val="00B90D61"/>
    <w:rsid w:val="00B91749"/>
    <w:rsid w:val="00B94141"/>
    <w:rsid w:val="00B94EB6"/>
    <w:rsid w:val="00B952B8"/>
    <w:rsid w:val="00B961E7"/>
    <w:rsid w:val="00B97C98"/>
    <w:rsid w:val="00BA1285"/>
    <w:rsid w:val="00BA4C8C"/>
    <w:rsid w:val="00BC7A9B"/>
    <w:rsid w:val="00BD63AB"/>
    <w:rsid w:val="00BD711E"/>
    <w:rsid w:val="00BE04C2"/>
    <w:rsid w:val="00BE193E"/>
    <w:rsid w:val="00BE3CAB"/>
    <w:rsid w:val="00BE662C"/>
    <w:rsid w:val="00BF5C53"/>
    <w:rsid w:val="00BF6CFF"/>
    <w:rsid w:val="00C00943"/>
    <w:rsid w:val="00C07289"/>
    <w:rsid w:val="00C13627"/>
    <w:rsid w:val="00C21DE1"/>
    <w:rsid w:val="00C22167"/>
    <w:rsid w:val="00C27716"/>
    <w:rsid w:val="00C27E93"/>
    <w:rsid w:val="00C34E30"/>
    <w:rsid w:val="00C408FA"/>
    <w:rsid w:val="00C52FF5"/>
    <w:rsid w:val="00C5497D"/>
    <w:rsid w:val="00C60A8C"/>
    <w:rsid w:val="00C63505"/>
    <w:rsid w:val="00C6728B"/>
    <w:rsid w:val="00C8349F"/>
    <w:rsid w:val="00C844CD"/>
    <w:rsid w:val="00C85043"/>
    <w:rsid w:val="00C94C17"/>
    <w:rsid w:val="00C95A56"/>
    <w:rsid w:val="00CA0B15"/>
    <w:rsid w:val="00CA47FF"/>
    <w:rsid w:val="00CA636B"/>
    <w:rsid w:val="00CB30ED"/>
    <w:rsid w:val="00CB367F"/>
    <w:rsid w:val="00CB589B"/>
    <w:rsid w:val="00CC5C8B"/>
    <w:rsid w:val="00CD1897"/>
    <w:rsid w:val="00CE2B20"/>
    <w:rsid w:val="00CE49F3"/>
    <w:rsid w:val="00CE7D6F"/>
    <w:rsid w:val="00CF05EB"/>
    <w:rsid w:val="00CF1B82"/>
    <w:rsid w:val="00D058AE"/>
    <w:rsid w:val="00D06BB3"/>
    <w:rsid w:val="00D0712F"/>
    <w:rsid w:val="00D17525"/>
    <w:rsid w:val="00D217ED"/>
    <w:rsid w:val="00D21FBA"/>
    <w:rsid w:val="00D30F65"/>
    <w:rsid w:val="00D431A1"/>
    <w:rsid w:val="00D52E2B"/>
    <w:rsid w:val="00D530AA"/>
    <w:rsid w:val="00D53F90"/>
    <w:rsid w:val="00D562C3"/>
    <w:rsid w:val="00D65BA0"/>
    <w:rsid w:val="00D70E3D"/>
    <w:rsid w:val="00D74881"/>
    <w:rsid w:val="00D7537C"/>
    <w:rsid w:val="00D764A5"/>
    <w:rsid w:val="00D805D6"/>
    <w:rsid w:val="00D8313A"/>
    <w:rsid w:val="00D83466"/>
    <w:rsid w:val="00D839F5"/>
    <w:rsid w:val="00D84562"/>
    <w:rsid w:val="00D84D33"/>
    <w:rsid w:val="00D957C2"/>
    <w:rsid w:val="00DA0993"/>
    <w:rsid w:val="00DA3FD2"/>
    <w:rsid w:val="00DC0F9C"/>
    <w:rsid w:val="00DC3804"/>
    <w:rsid w:val="00DD2883"/>
    <w:rsid w:val="00DE2947"/>
    <w:rsid w:val="00DE2CB6"/>
    <w:rsid w:val="00DE7607"/>
    <w:rsid w:val="00DF299B"/>
    <w:rsid w:val="00E01044"/>
    <w:rsid w:val="00E1335A"/>
    <w:rsid w:val="00E13F06"/>
    <w:rsid w:val="00E272D0"/>
    <w:rsid w:val="00E4174F"/>
    <w:rsid w:val="00E66A50"/>
    <w:rsid w:val="00E66E12"/>
    <w:rsid w:val="00E75658"/>
    <w:rsid w:val="00E7752E"/>
    <w:rsid w:val="00E818B5"/>
    <w:rsid w:val="00E927D5"/>
    <w:rsid w:val="00E93D3D"/>
    <w:rsid w:val="00E96D97"/>
    <w:rsid w:val="00EA527D"/>
    <w:rsid w:val="00EB01F3"/>
    <w:rsid w:val="00EB058F"/>
    <w:rsid w:val="00EB1217"/>
    <w:rsid w:val="00EB1A19"/>
    <w:rsid w:val="00EB5658"/>
    <w:rsid w:val="00EB6129"/>
    <w:rsid w:val="00EC75C6"/>
    <w:rsid w:val="00EE3A9A"/>
    <w:rsid w:val="00F029DF"/>
    <w:rsid w:val="00F03AF6"/>
    <w:rsid w:val="00F06B9C"/>
    <w:rsid w:val="00F06C3C"/>
    <w:rsid w:val="00F072CE"/>
    <w:rsid w:val="00F11DFC"/>
    <w:rsid w:val="00F15A72"/>
    <w:rsid w:val="00F17E77"/>
    <w:rsid w:val="00F20CCF"/>
    <w:rsid w:val="00F24204"/>
    <w:rsid w:val="00F40F0C"/>
    <w:rsid w:val="00F44735"/>
    <w:rsid w:val="00F449D6"/>
    <w:rsid w:val="00F473D4"/>
    <w:rsid w:val="00F50526"/>
    <w:rsid w:val="00F52F4F"/>
    <w:rsid w:val="00F63D44"/>
    <w:rsid w:val="00F678F5"/>
    <w:rsid w:val="00F72BDE"/>
    <w:rsid w:val="00F81749"/>
    <w:rsid w:val="00F83352"/>
    <w:rsid w:val="00F91ACB"/>
    <w:rsid w:val="00F96288"/>
    <w:rsid w:val="00FA038A"/>
    <w:rsid w:val="00FA20BB"/>
    <w:rsid w:val="00FB1040"/>
    <w:rsid w:val="00FB3132"/>
    <w:rsid w:val="00FC13DB"/>
    <w:rsid w:val="00FC218F"/>
    <w:rsid w:val="00FD0DF4"/>
    <w:rsid w:val="00FD7E25"/>
    <w:rsid w:val="00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D5F1"/>
  <w15:docId w15:val="{45893DF4-A0B0-4917-82E6-90393FEA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6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6D9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4579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object">
    <w:name w:val="object"/>
    <w:basedOn w:val="a0"/>
    <w:rsid w:val="00B4579C"/>
  </w:style>
  <w:style w:type="paragraph" w:styleId="a6">
    <w:name w:val="Balloon Text"/>
    <w:basedOn w:val="a"/>
    <w:link w:val="a7"/>
    <w:uiPriority w:val="99"/>
    <w:semiHidden/>
    <w:unhideWhenUsed/>
    <w:rsid w:val="00DA09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0993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DF2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rticip.gov.md/ro/document/stages/*/105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6A905-A86F-4BCE-B38B-CE5D785A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4547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MEC</cp:lastModifiedBy>
  <cp:revision>2</cp:revision>
  <cp:lastPrinted>2023-06-15T07:33:00Z</cp:lastPrinted>
  <dcterms:created xsi:type="dcterms:W3CDTF">2023-06-15T10:31:00Z</dcterms:created>
  <dcterms:modified xsi:type="dcterms:W3CDTF">2023-06-15T10:31:00Z</dcterms:modified>
</cp:coreProperties>
</file>