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D54" w:rsidRPr="00F973FA" w:rsidRDefault="007F0D54" w:rsidP="007F0D5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F973F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SINTEZA</w:t>
      </w:r>
    </w:p>
    <w:p w:rsidR="00A81516" w:rsidRPr="00F973FA" w:rsidRDefault="00DE083A" w:rsidP="00A81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F973F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o</w:t>
      </w:r>
      <w:r w:rsidR="007F0D54" w:rsidRPr="00F973FA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biecțiilor și propunerilor/recomandărilor la proiectul</w:t>
      </w:r>
      <w:r w:rsidR="007F0D54" w:rsidRPr="00F973FA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3148AE" w:rsidRPr="00F973FA">
        <w:rPr>
          <w:rFonts w:ascii="Times New Roman" w:hAnsi="Times New Roman" w:cs="Times New Roman"/>
          <w:b/>
          <w:sz w:val="24"/>
          <w:szCs w:val="24"/>
          <w:lang w:val="ro-RO"/>
        </w:rPr>
        <w:t>Legii pentru modificarea unor acte normative (ajustarea cadrului normativ din domeniul dreptului de autor și drepturilor conexe)</w:t>
      </w:r>
    </w:p>
    <w:p w:rsidR="007F0D54" w:rsidRPr="00F973FA" w:rsidRDefault="007F0D54" w:rsidP="007F0D5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tbl>
      <w:tblPr>
        <w:tblStyle w:val="TableGrid"/>
        <w:tblW w:w="10060" w:type="dxa"/>
        <w:tblInd w:w="0" w:type="dxa"/>
        <w:tblLook w:val="04A0" w:firstRow="1" w:lastRow="0" w:firstColumn="1" w:lastColumn="0" w:noHBand="0" w:noVBand="1"/>
      </w:tblPr>
      <w:tblGrid>
        <w:gridCol w:w="1603"/>
        <w:gridCol w:w="4231"/>
        <w:gridCol w:w="4226"/>
      </w:tblGrid>
      <w:tr w:rsidR="007F0D54" w:rsidRPr="00F973FA" w:rsidTr="00BC5613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54" w:rsidRPr="00F973FA" w:rsidRDefault="007F0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Autorităţile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54" w:rsidRPr="00F973FA" w:rsidRDefault="007F0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Obiecţii şi propuneri</w:t>
            </w:r>
          </w:p>
          <w:p w:rsidR="007F0D54" w:rsidRPr="00F973FA" w:rsidRDefault="007F0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54" w:rsidRPr="00F973FA" w:rsidRDefault="007F0D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Argumente</w:t>
            </w:r>
          </w:p>
        </w:tc>
      </w:tr>
      <w:tr w:rsidR="003148AE" w:rsidRPr="00F973FA" w:rsidTr="00BC5613">
        <w:trPr>
          <w:trHeight w:val="84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AE" w:rsidRPr="00F973FA" w:rsidRDefault="003148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BD19AA" w:rsidRPr="00F973FA" w:rsidRDefault="00BD19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7A4025" w:rsidRPr="004A0A2B" w:rsidRDefault="007A4025" w:rsidP="007A40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4025" w:rsidRPr="00F973FA" w:rsidRDefault="007A4025" w:rsidP="007A40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Asociația</w:t>
            </w:r>
            <w:proofErr w:type="spellEnd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Națională</w:t>
            </w:r>
            <w:proofErr w:type="spellEnd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Companiilor</w:t>
            </w:r>
            <w:proofErr w:type="spellEnd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Domeniul</w:t>
            </w:r>
            <w:proofErr w:type="spellEnd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TIC </w:t>
            </w:r>
          </w:p>
          <w:p w:rsidR="007A4025" w:rsidRPr="00F973FA" w:rsidRDefault="007A4025" w:rsidP="007A40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025" w:rsidRPr="004A0A2B" w:rsidRDefault="007A4025" w:rsidP="007A40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4025" w:rsidRPr="00F973FA" w:rsidRDefault="007A4025" w:rsidP="007A40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Asociația</w:t>
            </w:r>
            <w:proofErr w:type="spellEnd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Patronală</w:t>
            </w:r>
            <w:proofErr w:type="spellEnd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„Camera de </w:t>
            </w:r>
            <w:proofErr w:type="spellStart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Comerț</w:t>
            </w:r>
            <w:proofErr w:type="spellEnd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Americană</w:t>
            </w:r>
            <w:proofErr w:type="spellEnd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din Moldova” </w:t>
            </w:r>
          </w:p>
          <w:p w:rsidR="007A4025" w:rsidRPr="00F973FA" w:rsidRDefault="007A4025" w:rsidP="007A40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025" w:rsidRPr="004A0A2B" w:rsidRDefault="007A4025" w:rsidP="007A40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4025" w:rsidRPr="00F973FA" w:rsidRDefault="007A4025" w:rsidP="007A40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Asociați</w:t>
            </w:r>
            <w:proofErr w:type="spellEnd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a</w:t>
            </w:r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Investitorilor</w:t>
            </w:r>
            <w:proofErr w:type="spellEnd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Străini</w:t>
            </w:r>
            <w:proofErr w:type="spellEnd"/>
            <w:r w:rsidRPr="00F973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A4025" w:rsidRPr="00F973FA" w:rsidRDefault="007A4025" w:rsidP="007A402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  <w:p w:rsidR="007A4025" w:rsidRPr="00F973FA" w:rsidRDefault="007A4025" w:rsidP="007A40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nr. 574</w:t>
            </w:r>
          </w:p>
          <w:p w:rsidR="00BD19AA" w:rsidRPr="00F973FA" w:rsidRDefault="00BD19AA" w:rsidP="007A40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27.04.2023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AE" w:rsidRPr="00F973FA" w:rsidRDefault="003148AE" w:rsidP="007A40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Prin proiectul de lege menţionat mai sus, s-a propus, printre altele, modificarea Legii nr. 230/2022 în ceea ce priveşte lista echipamentelor şi suporturilor materiale la importul cărora se percepe remuneraţia compensatorie pentru copia privată, conform art. 71.</w:t>
            </w:r>
          </w:p>
          <w:p w:rsidR="003148AE" w:rsidRPr="00F973FA" w:rsidRDefault="003148AE" w:rsidP="007A40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La poziţia 4 “Smartphone”, se propune înlocuirea codului 8517 12 000 cu codurile 8517 13 000 şi 8517 14 000. În opinia asociațiilor, includerea codului 8517 14 000 este neîntemeiată, din următoarele motive. </w:t>
            </w:r>
          </w:p>
          <w:p w:rsidR="003148AE" w:rsidRPr="00F973FA" w:rsidRDefault="003148AE" w:rsidP="007A40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În versiunea anterioară a Nomenclaturii, atât telefoanele inteligente (smartphone), cât și celelalte tipuri de telefoane pentru rețeaua de telefonie mobilă</w:t>
            </w:r>
            <w:r w:rsidR="002F2A6E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,</w:t>
            </w: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="002F2A6E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e</w:t>
            </w: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rau incluse într-o singură categorie</w:t>
            </w:r>
            <w:r w:rsidR="00DC2B5C" w:rsidRPr="00F973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, sub un singur cod tarifar:</w:t>
            </w: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292"/>
              <w:gridCol w:w="2713"/>
            </w:tblGrid>
            <w:tr w:rsidR="00DC2B5C" w:rsidRPr="00F973FA" w:rsidTr="00DC2B5C">
              <w:tc>
                <w:tcPr>
                  <w:tcW w:w="1298" w:type="dxa"/>
                </w:tcPr>
                <w:p w:rsidR="00DC2B5C" w:rsidRPr="00F973FA" w:rsidRDefault="00DC2B5C" w:rsidP="00DC2B5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F973F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8517 12 000</w:t>
                  </w:r>
                </w:p>
              </w:tc>
              <w:tc>
                <w:tcPr>
                  <w:tcW w:w="2728" w:type="dxa"/>
                </w:tcPr>
                <w:p w:rsidR="00DC2B5C" w:rsidRPr="00F973FA" w:rsidRDefault="00DC2B5C" w:rsidP="00DC2B5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F973F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Telefoane pentru rețeaua de telefonie mobilă și pentru alte rețele fără fir</w:t>
                  </w:r>
                </w:p>
              </w:tc>
            </w:tr>
          </w:tbl>
          <w:p w:rsidR="003148AE" w:rsidRPr="00F973FA" w:rsidRDefault="00DC2B5C" w:rsidP="00DC2B5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noua versiune a Nomenclaturii, această categorie a fost divizată în două categrii distincte:</w:t>
            </w: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293"/>
              <w:gridCol w:w="2712"/>
            </w:tblGrid>
            <w:tr w:rsidR="00DC2B5C" w:rsidRPr="00F973FA" w:rsidTr="00B8041A">
              <w:tc>
                <w:tcPr>
                  <w:tcW w:w="1298" w:type="dxa"/>
                </w:tcPr>
                <w:p w:rsidR="00DC2B5C" w:rsidRPr="00F973FA" w:rsidRDefault="00DC2B5C" w:rsidP="00DC2B5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F973F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8517 13 000</w:t>
                  </w:r>
                </w:p>
              </w:tc>
              <w:tc>
                <w:tcPr>
                  <w:tcW w:w="2728" w:type="dxa"/>
                </w:tcPr>
                <w:p w:rsidR="00DC2B5C" w:rsidRPr="00F973FA" w:rsidRDefault="00DC2B5C" w:rsidP="00DC2B5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F973F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Telefoane inteligente</w:t>
                  </w:r>
                </w:p>
              </w:tc>
            </w:tr>
            <w:tr w:rsidR="00DC2B5C" w:rsidRPr="00F973FA" w:rsidTr="00B8041A">
              <w:tc>
                <w:tcPr>
                  <w:tcW w:w="1298" w:type="dxa"/>
                </w:tcPr>
                <w:p w:rsidR="00DC2B5C" w:rsidRPr="00F973FA" w:rsidRDefault="00DC2B5C" w:rsidP="00DC2B5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F973F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8517 14 000</w:t>
                  </w:r>
                </w:p>
              </w:tc>
              <w:tc>
                <w:tcPr>
                  <w:tcW w:w="2728" w:type="dxa"/>
                </w:tcPr>
                <w:p w:rsidR="00DC2B5C" w:rsidRPr="00F973FA" w:rsidRDefault="00DC2B5C" w:rsidP="00DC2B5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 w:rsidRPr="00F973FA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Alte aparate telefonice pentru rețeaua de telefonie mobilă și pentru alte rețele fără fir</w:t>
                  </w:r>
                </w:p>
              </w:tc>
            </w:tr>
          </w:tbl>
          <w:p w:rsidR="00DC2B5C" w:rsidRPr="00F973FA" w:rsidRDefault="008D3BC1" w:rsidP="00DC2B5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Însă, deoarece poziția 4 din anexa la Legea nr. 230/2022 făcea referin</w:t>
            </w:r>
            <w:r w:rsidR="00FA371B"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ță exclusive la smartphone, în noua redacție a anexei, această poziție trebuie să includ</w:t>
            </w:r>
            <w:r w:rsidR="002F2A6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 w:rsidR="00FA371B"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doar codul 8517 13 000, atribuit telefoanelor inteligente.</w:t>
            </w:r>
          </w:p>
          <w:p w:rsidR="00FA371B" w:rsidRPr="00F973FA" w:rsidRDefault="00FA371B" w:rsidP="00DC2B5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Decizia de a exclude de la plata remunerației compensatorii alte telefoane mobile, care nu sunt telefoanele inteligente, este justificată, deoarece:</w:t>
            </w:r>
          </w:p>
          <w:p w:rsidR="00FA371B" w:rsidRPr="00F973FA" w:rsidRDefault="00FA371B" w:rsidP="00CF2E8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0" w:firstLine="169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Aceste telefoane nu au, de regulă, acces la internet pentru a descărca muzică sau filme;</w:t>
            </w:r>
          </w:p>
          <w:p w:rsidR="00FA371B" w:rsidRPr="00F973FA" w:rsidRDefault="00FA371B" w:rsidP="00CF2E8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0" w:firstLine="169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orice caz, au o memorie internă mic</w:t>
            </w:r>
            <w:r w:rsidR="002F2A6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pe care nu pot stoca filme, iar muzică – doar câteva melodii;</w:t>
            </w:r>
          </w:p>
          <w:p w:rsidR="00FA371B" w:rsidRPr="00F973FA" w:rsidRDefault="00FA371B" w:rsidP="00CF2E8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0" w:firstLine="169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Dacă au slot de cartel de memorie, pe acesta deja se plătește remunerație compensator</w:t>
            </w:r>
            <w:r w:rsidR="002F2A6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ie</w:t>
            </w: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aceasta nu trebuie dublată.</w:t>
            </w:r>
          </w:p>
          <w:p w:rsidR="00FA371B" w:rsidRPr="00F973FA" w:rsidRDefault="00FA371B" w:rsidP="00FA37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acest context, solicit respectuos excluderea din art. VIII al proiectului a referinței la codul „8517 14 000”.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E3" w:rsidRPr="00F973FA" w:rsidRDefault="008F61E3" w:rsidP="008F61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Nu se acceptă.</w:t>
            </w:r>
          </w:p>
          <w:p w:rsidR="008F61E3" w:rsidRPr="00F973FA" w:rsidRDefault="00DD6E53" w:rsidP="00AA1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menționat că, î</w:t>
            </w:r>
            <w:r w:rsidR="008F61E3"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 procesul avizării proiectului de act normativ cu autoritățile interesate, Ministerul Dezvoltării Economice și Digitaliz</w:t>
            </w: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ării, în calitate de autoritate care își exercită funcțiile </w:t>
            </w:r>
            <w:r w:rsidR="00AA1E3F"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</w:t>
            </w: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domeniile precum reglementarea mediului de afaceri, tehnologia informației</w:t>
            </w:r>
            <w:r w:rsidR="00AA1E3F"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politicilor în domeniul comunicațiilor electronice</w:t>
            </w: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nu a avut careva obiecții sau propuneri pe marginea amendamentelor în raport cu poziția 4 din anexa la Legea nr. 230/2022 privind dreptul de autor și drepturile conexe. </w:t>
            </w:r>
          </w:p>
          <w:p w:rsidR="00AA1E3F" w:rsidRPr="00F973FA" w:rsidRDefault="00AA1E3F" w:rsidP="00AA1E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0224A" w:rsidRPr="00F973FA" w:rsidTr="00BC5613">
        <w:trPr>
          <w:trHeight w:val="84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A" w:rsidRPr="00F973FA" w:rsidRDefault="00902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Centrul de armonizare a legislației</w:t>
            </w:r>
          </w:p>
          <w:p w:rsidR="0090224A" w:rsidRPr="00F973FA" w:rsidRDefault="00902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90224A" w:rsidRPr="00F973FA" w:rsidRDefault="009022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nr. 31/02-69-4837</w:t>
            </w:r>
          </w:p>
          <w:p w:rsidR="0090224A" w:rsidRPr="00F973FA" w:rsidRDefault="00902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05.05.2023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A" w:rsidRPr="00F973FA" w:rsidRDefault="0090224A" w:rsidP="009022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Din perspectiva analizei de compatibilitate, prezintă relevanță modificările operate pentru Legea nr. 62/2022 cu privire la publicitate și Legea nr. 230/2022 privind dreptul de autor și drepturile conexe, în măsura în care acestea sunt acte naționale armonizate cu legislația Uniunii Europene.</w:t>
            </w:r>
          </w:p>
          <w:p w:rsidR="0090224A" w:rsidRPr="00F973FA" w:rsidRDefault="0090224A" w:rsidP="009022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Astfel, ca urmare a analizei propunerilor de modificare ale Legii nr. 62/2022 și ale Legii nr. 230/2022 constată că, acestea nu afectează compatibilitatea actelor naționale cu legislația UE atinsă anterior, în măsura în care se intervine cu modificări de actualizare a referințelor, potrivit celor expuse supra.</w:t>
            </w:r>
          </w:p>
          <w:p w:rsidR="0090224A" w:rsidRPr="00F973FA" w:rsidRDefault="0090224A" w:rsidP="009022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În concluzie, în urma analizei proiectuluidin perspectiva compatibilității acestuia cu legislația UE relevantă, Centrul de armonizare a legislației, în limita competențelor sale funcționale, comunică lipsa de obiecții sau propuneri pe marginea acestuia.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4A" w:rsidRPr="00F973FA" w:rsidRDefault="009022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</w:tr>
      <w:tr w:rsidR="00852E27" w:rsidRPr="002F2A6E" w:rsidTr="00BC5613">
        <w:trPr>
          <w:trHeight w:val="841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27" w:rsidRPr="00F973FA" w:rsidRDefault="00852E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Ministerul Culturii</w:t>
            </w:r>
          </w:p>
          <w:p w:rsidR="00852E27" w:rsidRPr="00F973FA" w:rsidRDefault="00852E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852E27" w:rsidRPr="00F973FA" w:rsidRDefault="00852E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nr. 04/1-09/1112</w:t>
            </w:r>
          </w:p>
          <w:p w:rsidR="00852E27" w:rsidRPr="00F973FA" w:rsidRDefault="00852E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05.05.2023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27" w:rsidRPr="00F973FA" w:rsidRDefault="00852E27" w:rsidP="00852E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limitele соmреtепțеlоr funcționale, соmuпiсă lipsa de obiecții și рrорunеri.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27" w:rsidRPr="00F973FA" w:rsidRDefault="00852E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</w:tr>
      <w:tr w:rsidR="00AF0110" w:rsidRPr="00F973FA" w:rsidTr="00BC5613">
        <w:trPr>
          <w:trHeight w:val="112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10" w:rsidRPr="00F973FA" w:rsidRDefault="00AF0110" w:rsidP="00AF0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Centrul Național Anticorupție</w:t>
            </w:r>
          </w:p>
          <w:p w:rsidR="00AF0110" w:rsidRPr="00F973FA" w:rsidRDefault="00AF0110" w:rsidP="00AF0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AF0110" w:rsidRPr="00F973FA" w:rsidRDefault="00AF0110" w:rsidP="00AF01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nr. 06/2/7330</w:t>
            </w:r>
          </w:p>
          <w:p w:rsidR="00AF0110" w:rsidRPr="00F973FA" w:rsidRDefault="00AF0110" w:rsidP="00AF01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11.05.2023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10" w:rsidRPr="00F973FA" w:rsidRDefault="00AF0110" w:rsidP="00BD19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În conformitate cu prevederile art. 25 alin. (1), alin. (3) lit. a), art. 28 alin. (4) al Legii integrității nr. 82/2017, expertiza anticorupție, în calitate de măsură de control a integrității în sectorul public, se va efectua doar asupra proiectului definitivat în baza propunerilor și </w:t>
            </w: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lastRenderedPageBreak/>
              <w:t>obiecțiilor expuse în procesul de avizare și/sau consultare a părților interesate.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10" w:rsidRPr="00F973FA" w:rsidRDefault="00AF01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</w:tr>
      <w:tr w:rsidR="00AF0110" w:rsidRPr="00F973FA" w:rsidTr="00BC5613">
        <w:trPr>
          <w:trHeight w:val="112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10" w:rsidRPr="00F973FA" w:rsidRDefault="00AF01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FA">
              <w:rPr>
                <w:rFonts w:ascii="Times New Roman" w:hAnsi="Times New Roman" w:cs="Times New Roman"/>
                <w:b/>
                <w:sz w:val="24"/>
                <w:szCs w:val="24"/>
              </w:rPr>
              <w:t>Consiliul</w:t>
            </w:r>
            <w:proofErr w:type="spellEnd"/>
            <w:r w:rsidRPr="00F97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F973FA">
              <w:rPr>
                <w:rFonts w:ascii="Times New Roman" w:hAnsi="Times New Roman" w:cs="Times New Roman"/>
                <w:b/>
                <w:sz w:val="24"/>
                <w:szCs w:val="24"/>
              </w:rPr>
              <w:t>mediere</w:t>
            </w:r>
            <w:proofErr w:type="spellEnd"/>
          </w:p>
          <w:p w:rsidR="00AF0110" w:rsidRPr="00F973FA" w:rsidRDefault="00AF01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0110" w:rsidRPr="00F973FA" w:rsidRDefault="00AF01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</w:t>
            </w:r>
            <w:r w:rsidRPr="00F973FA">
              <w:rPr>
                <w:rFonts w:ascii="Times New Roman" w:hAnsi="Times New Roman" w:cs="Times New Roman"/>
                <w:sz w:val="24"/>
                <w:szCs w:val="24"/>
              </w:rPr>
              <w:t>r. 05/ 32 din12.05.2023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10" w:rsidRPr="00F973FA" w:rsidRDefault="00AF0110" w:rsidP="00AF011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Susține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modificările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elaborate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cadrul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normativ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revizuit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110" w:rsidRPr="00F973FA" w:rsidRDefault="00AF01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</w:tr>
      <w:tr w:rsidR="00BC5613" w:rsidRPr="00F973FA" w:rsidTr="00BC5613">
        <w:trPr>
          <w:trHeight w:val="557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13" w:rsidRPr="00F973FA" w:rsidRDefault="00BC5613" w:rsidP="00852E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3FA">
              <w:rPr>
                <w:rFonts w:ascii="Times New Roman" w:hAnsi="Times New Roman" w:cs="Times New Roman"/>
                <w:b/>
                <w:sz w:val="24"/>
                <w:szCs w:val="24"/>
              </w:rPr>
              <w:t>Ministerul</w:t>
            </w:r>
            <w:proofErr w:type="spellEnd"/>
            <w:r w:rsidRPr="00F97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b/>
                <w:sz w:val="24"/>
                <w:szCs w:val="24"/>
              </w:rPr>
              <w:t>Justiției</w:t>
            </w:r>
            <w:proofErr w:type="spellEnd"/>
          </w:p>
          <w:p w:rsidR="00BC5613" w:rsidRPr="00F973FA" w:rsidRDefault="00BC5613" w:rsidP="00852E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5613" w:rsidRPr="00F973FA" w:rsidRDefault="00BC5613" w:rsidP="00852E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nr. 04/2-3916</w:t>
            </w:r>
          </w:p>
          <w:p w:rsidR="00BC5613" w:rsidRPr="00F973FA" w:rsidRDefault="00BC5613" w:rsidP="00852E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13.05.2023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3" w:rsidRPr="00F973FA" w:rsidRDefault="00BC5613" w:rsidP="007A40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Urmare examinării proiectului,</w:t>
            </w: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comunicăm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următoarele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BC5613" w:rsidRPr="00F973FA" w:rsidRDefault="00BC5613" w:rsidP="007A40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Obiecții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ordin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conceptual nu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avem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formulat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BC5613" w:rsidRPr="00F973FA" w:rsidRDefault="00BC5613" w:rsidP="007A40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Totodată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aferent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rigorilor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tehnică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legislativă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se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reține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BC5613" w:rsidRPr="00F973FA" w:rsidRDefault="00BC5613" w:rsidP="007A40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proiectul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Hotărârii</w:t>
            </w:r>
            <w:proofErr w:type="spellEnd"/>
            <w:r w:rsidRPr="00F973F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Guvernului</w:t>
            </w:r>
            <w:proofErr w:type="spellEnd"/>
            <w:r w:rsidRPr="00F973F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F973F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privire</w:t>
            </w:r>
            <w:proofErr w:type="spellEnd"/>
            <w:r w:rsidRPr="00F973F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F973F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aprobarea</w:t>
            </w:r>
            <w:proofErr w:type="spellEnd"/>
            <w:r w:rsidRPr="00F973F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proiectului</w:t>
            </w:r>
            <w:proofErr w:type="spellEnd"/>
            <w:r w:rsidRPr="00F973F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973F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lege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partea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dispozitivă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indica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denumirea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completă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proiectului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lege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conform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celor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propuse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completarea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final cu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textul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paranteză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„(</w:t>
            </w:r>
            <w:proofErr w:type="spellStart"/>
            <w:proofErr w:type="gram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ajustarea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cadrului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normativ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domeniul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dreptului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drepturilor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conexe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)”.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3" w:rsidRPr="00F973FA" w:rsidRDefault="00BC56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BC5613" w:rsidRPr="00F973FA" w:rsidRDefault="00BC56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BC5613" w:rsidRPr="00F973FA" w:rsidRDefault="00BC56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BC5613" w:rsidRPr="00F973FA" w:rsidRDefault="00BC56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BC5613" w:rsidRPr="00F973FA" w:rsidRDefault="00BC56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BC5613" w:rsidRPr="00F973FA" w:rsidRDefault="00BC56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BC5613" w:rsidRPr="00F973FA" w:rsidRDefault="00BC56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Se acceptă.</w:t>
            </w:r>
          </w:p>
        </w:tc>
      </w:tr>
      <w:tr w:rsidR="00BC5613" w:rsidRPr="00F973FA" w:rsidTr="00BC5613">
        <w:trPr>
          <w:trHeight w:val="2141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5613" w:rsidRPr="00F973FA" w:rsidRDefault="00BC56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3" w:rsidRPr="00F973FA" w:rsidRDefault="00BC5613" w:rsidP="00BD19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proiectul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Legii</w:t>
            </w:r>
            <w:proofErr w:type="spellEnd"/>
            <w:r w:rsidRPr="00F973F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:rsidR="00BC5613" w:rsidRPr="00F973FA" w:rsidRDefault="00BC5613" w:rsidP="00BD19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Privitor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 Art. IV,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textul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„La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articolul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noț</w:t>
            </w:r>
            <w:proofErr w:type="gram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iunea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”</w:t>
            </w:r>
            <w:proofErr w:type="spellStart"/>
            <w:proofErr w:type="gram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film” din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Legea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cinematografiei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116/2014” se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propune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ajustat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conform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rigorilor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tehnică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legislativă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substituirea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acestuia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textul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„La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noțiunea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film” din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articolul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al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Legii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cinematografiei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116/2014”.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3" w:rsidRPr="00F973FA" w:rsidRDefault="00BC56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Se acceptă.</w:t>
            </w:r>
          </w:p>
        </w:tc>
      </w:tr>
      <w:tr w:rsidR="00BC5613" w:rsidRPr="00F973FA" w:rsidTr="00BC5613">
        <w:trPr>
          <w:trHeight w:val="1390"/>
        </w:trPr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3" w:rsidRPr="00F973FA" w:rsidRDefault="00BC56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3" w:rsidRPr="00F973FA" w:rsidRDefault="00BC5613" w:rsidP="00BD19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 Art. VIII,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vizează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modificarea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anexei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F973F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Legea</w:t>
            </w:r>
            <w:proofErr w:type="spellEnd"/>
            <w:r w:rsidRPr="00F973F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nr</w:t>
            </w:r>
            <w:proofErr w:type="spellEnd"/>
            <w:r w:rsidRPr="00F973F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 230/2022</w:t>
            </w: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după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textele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poziția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1”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poziția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4”, se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completa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textul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 ,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rubrica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Coduri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”,”,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vederea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concretizării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normei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3" w:rsidRPr="00F973FA" w:rsidRDefault="00BC56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Se acceptă.</w:t>
            </w:r>
          </w:p>
        </w:tc>
      </w:tr>
      <w:tr w:rsidR="00BD19AA" w:rsidRPr="00F973FA" w:rsidTr="00BC5613">
        <w:trPr>
          <w:trHeight w:val="983"/>
        </w:trPr>
        <w:tc>
          <w:tcPr>
            <w:tcW w:w="1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AA" w:rsidRPr="00F973FA" w:rsidRDefault="00BD19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F973F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inisterul Dezvoltării Economice și Digitalizării</w:t>
            </w:r>
          </w:p>
          <w:p w:rsidR="00BD19AA" w:rsidRPr="00F973FA" w:rsidRDefault="00BD19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BD19AA" w:rsidRPr="00F973FA" w:rsidRDefault="00BD19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nr. 13/1-1356</w:t>
            </w:r>
          </w:p>
          <w:p w:rsidR="00BD19AA" w:rsidRPr="00F973FA" w:rsidRDefault="00BD19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din 16.05.2023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AA" w:rsidRPr="00F973FA" w:rsidRDefault="00BD19AA" w:rsidP="007A40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conformitate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prevederile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Legii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341/2022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pentru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modificarea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Legii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172/2014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aprobarea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Nomenclaturii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combinate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mărfurilor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precum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reieșind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structura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noii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versiuni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NCM,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toa</w:t>
            </w:r>
            <w:r w:rsidR="00BC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</w:t>
            </w:r>
            <w:proofErr w:type="spellEnd"/>
            <w:r w:rsidR="00BC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aparatele</w:t>
            </w:r>
            <w:proofErr w:type="spellEnd"/>
            <w:r w:rsidR="00BC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combinate</w:t>
            </w:r>
            <w:proofErr w:type="spellEnd"/>
            <w:r w:rsidR="00BC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cu un ap</w:t>
            </w:r>
            <w:bookmarkStart w:id="0" w:name="_GoBack"/>
            <w:bookmarkEnd w:id="0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arat de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înregistrare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sau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reproducere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sunetului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(inclusive MP3 Player),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sunt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clasificate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poziția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tarifară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HS 8527 13 000.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Astfel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la art. VIII din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proiectul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lege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sintagma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„la </w:t>
            </w:r>
            <w:proofErr w:type="spellStart"/>
            <w:r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poziția</w:t>
            </w:r>
            <w:proofErr w:type="spellEnd"/>
            <w:r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1, </w:t>
            </w:r>
            <w:proofErr w:type="spellStart"/>
            <w:r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cifrele</w:t>
            </w:r>
            <w:proofErr w:type="spellEnd"/>
            <w:r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„852713100”</w:t>
            </w: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se </w:t>
            </w:r>
            <w:proofErr w:type="spellStart"/>
            <w:r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substituie</w:t>
            </w:r>
            <w:proofErr w:type="spellEnd"/>
            <w:r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cifrele</w:t>
            </w:r>
            <w:proofErr w:type="spellEnd"/>
            <w:r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„852721200”</w:t>
            </w: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avea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următoarea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redacție</w:t>
            </w:r>
            <w:proofErr w:type="spellEnd"/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„la </w:t>
            </w:r>
            <w:proofErr w:type="spellStart"/>
            <w:r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poziția</w:t>
            </w:r>
            <w:proofErr w:type="spellEnd"/>
            <w:r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1, </w:t>
            </w:r>
            <w:proofErr w:type="spellStart"/>
            <w:r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cifrele</w:t>
            </w:r>
            <w:proofErr w:type="spellEnd"/>
            <w:r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„852713100” se </w:t>
            </w:r>
            <w:proofErr w:type="spellStart"/>
            <w:r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substituie</w:t>
            </w:r>
            <w:proofErr w:type="spellEnd"/>
            <w:r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cifrele</w:t>
            </w:r>
            <w:proofErr w:type="spellEnd"/>
            <w:r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„</w:t>
            </w:r>
            <w:r w:rsidR="0090224A"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852713000</w:t>
            </w:r>
            <w:r w:rsidRPr="00F973F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”</w:t>
            </w:r>
            <w:r w:rsidR="0090224A"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973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AA" w:rsidRPr="00F973FA" w:rsidRDefault="000D20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F973F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Se acceptă</w:t>
            </w:r>
            <w:r w:rsidR="008F61E3" w:rsidRPr="00F973FA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</w:t>
            </w:r>
          </w:p>
        </w:tc>
      </w:tr>
    </w:tbl>
    <w:p w:rsidR="00DC311C" w:rsidRPr="00F973FA" w:rsidRDefault="00DC311C" w:rsidP="00DC311C">
      <w:pPr>
        <w:rPr>
          <w:sz w:val="24"/>
          <w:szCs w:val="24"/>
          <w:lang w:val="ro-MD"/>
        </w:rPr>
      </w:pPr>
      <w:r w:rsidRPr="00F973FA">
        <w:rPr>
          <w:sz w:val="24"/>
          <w:szCs w:val="24"/>
          <w:lang w:val="ro-MD"/>
        </w:rPr>
        <w:tab/>
      </w:r>
    </w:p>
    <w:p w:rsidR="00DC311C" w:rsidRPr="00F973FA" w:rsidRDefault="00DC311C" w:rsidP="00DC311C">
      <w:pPr>
        <w:rPr>
          <w:sz w:val="24"/>
          <w:szCs w:val="24"/>
          <w:lang w:val="ro-MD"/>
        </w:rPr>
      </w:pPr>
    </w:p>
    <w:p w:rsidR="00DC311C" w:rsidRPr="00F973FA" w:rsidRDefault="00DC311C" w:rsidP="00DC311C">
      <w:pPr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F973FA">
        <w:rPr>
          <w:sz w:val="24"/>
          <w:szCs w:val="24"/>
          <w:lang w:val="ro-MD"/>
        </w:rPr>
        <w:t xml:space="preserve">               </w:t>
      </w:r>
      <w:r w:rsidRPr="00F973FA">
        <w:rPr>
          <w:rFonts w:ascii="Times New Roman" w:hAnsi="Times New Roman" w:cs="Times New Roman"/>
          <w:b/>
          <w:sz w:val="24"/>
          <w:szCs w:val="24"/>
          <w:lang w:val="ro-MD"/>
        </w:rPr>
        <w:t>Director general</w:t>
      </w:r>
      <w:r w:rsidR="004A0A2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adjunct </w:t>
      </w:r>
      <w:r w:rsidRPr="00F973FA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                                                 </w:t>
      </w:r>
      <w:r w:rsidR="004A0A2B">
        <w:rPr>
          <w:rFonts w:ascii="Times New Roman" w:hAnsi="Times New Roman" w:cs="Times New Roman"/>
          <w:b/>
          <w:sz w:val="24"/>
          <w:szCs w:val="24"/>
          <w:lang w:val="ro-MD"/>
        </w:rPr>
        <w:t>Andrei POPA</w:t>
      </w:r>
    </w:p>
    <w:p w:rsidR="00DC311C" w:rsidRPr="00F973FA" w:rsidRDefault="00DC311C" w:rsidP="00DC311C">
      <w:pPr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912074" w:rsidRPr="00F973FA" w:rsidRDefault="00912074">
      <w:pPr>
        <w:rPr>
          <w:sz w:val="24"/>
          <w:szCs w:val="24"/>
          <w:lang w:val="ro-MD"/>
        </w:rPr>
      </w:pPr>
    </w:p>
    <w:sectPr w:rsidR="00912074" w:rsidRPr="00F973FA" w:rsidSect="00DC311C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46087"/>
    <w:multiLevelType w:val="hybridMultilevel"/>
    <w:tmpl w:val="8872235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032AF"/>
    <w:multiLevelType w:val="hybridMultilevel"/>
    <w:tmpl w:val="427CE2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F55AF"/>
    <w:multiLevelType w:val="hybridMultilevel"/>
    <w:tmpl w:val="1EFE3E26"/>
    <w:lvl w:ilvl="0" w:tplc="A9908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02BA7"/>
    <w:multiLevelType w:val="hybridMultilevel"/>
    <w:tmpl w:val="9CA85988"/>
    <w:lvl w:ilvl="0" w:tplc="12BC3728">
      <w:start w:val="1"/>
      <w:numFmt w:val="decimal"/>
      <w:lvlText w:val="%1."/>
      <w:lvlJc w:val="left"/>
      <w:pPr>
        <w:ind w:left="60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D5498"/>
    <w:multiLevelType w:val="hybridMultilevel"/>
    <w:tmpl w:val="23AE13AC"/>
    <w:lvl w:ilvl="0" w:tplc="0409000B">
      <w:start w:val="1"/>
      <w:numFmt w:val="bullet"/>
      <w:lvlText w:val=""/>
      <w:lvlJc w:val="left"/>
      <w:pPr>
        <w:ind w:left="1461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cs="Wingdings" w:hint="default"/>
      </w:rPr>
    </w:lvl>
    <w:lvl w:ilvl="3" w:tplc="0818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cs="Symbol" w:hint="default"/>
      </w:rPr>
    </w:lvl>
    <w:lvl w:ilvl="4" w:tplc="0818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cs="Wingdings" w:hint="default"/>
      </w:rPr>
    </w:lvl>
    <w:lvl w:ilvl="6" w:tplc="0818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cs="Symbol" w:hint="default"/>
      </w:rPr>
    </w:lvl>
    <w:lvl w:ilvl="7" w:tplc="0818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54"/>
    <w:rsid w:val="000028B7"/>
    <w:rsid w:val="00041DFC"/>
    <w:rsid w:val="00050243"/>
    <w:rsid w:val="00055F32"/>
    <w:rsid w:val="0009795E"/>
    <w:rsid w:val="000C1216"/>
    <w:rsid w:val="000C1A8F"/>
    <w:rsid w:val="000C2526"/>
    <w:rsid w:val="000C3D73"/>
    <w:rsid w:val="000C3EC4"/>
    <w:rsid w:val="000C3EC9"/>
    <w:rsid w:val="000D208B"/>
    <w:rsid w:val="000F5FA2"/>
    <w:rsid w:val="00103A94"/>
    <w:rsid w:val="00111881"/>
    <w:rsid w:val="00122C2E"/>
    <w:rsid w:val="00154DF0"/>
    <w:rsid w:val="0016487E"/>
    <w:rsid w:val="00185492"/>
    <w:rsid w:val="00194E8B"/>
    <w:rsid w:val="001C37DA"/>
    <w:rsid w:val="001D4C4C"/>
    <w:rsid w:val="001E7783"/>
    <w:rsid w:val="00225071"/>
    <w:rsid w:val="002260AD"/>
    <w:rsid w:val="00244AB1"/>
    <w:rsid w:val="00282279"/>
    <w:rsid w:val="00283697"/>
    <w:rsid w:val="002D1E9A"/>
    <w:rsid w:val="002E43D0"/>
    <w:rsid w:val="002F2A6E"/>
    <w:rsid w:val="003148AE"/>
    <w:rsid w:val="00325518"/>
    <w:rsid w:val="003375AF"/>
    <w:rsid w:val="003441AC"/>
    <w:rsid w:val="00364C85"/>
    <w:rsid w:val="003A4BA8"/>
    <w:rsid w:val="003C46B9"/>
    <w:rsid w:val="003E3E7F"/>
    <w:rsid w:val="00406890"/>
    <w:rsid w:val="00422C2E"/>
    <w:rsid w:val="00425F43"/>
    <w:rsid w:val="0044697A"/>
    <w:rsid w:val="00451187"/>
    <w:rsid w:val="00460159"/>
    <w:rsid w:val="00477A85"/>
    <w:rsid w:val="004844AD"/>
    <w:rsid w:val="00493410"/>
    <w:rsid w:val="00494C65"/>
    <w:rsid w:val="0049684E"/>
    <w:rsid w:val="00497199"/>
    <w:rsid w:val="004A0A2B"/>
    <w:rsid w:val="004A7123"/>
    <w:rsid w:val="004D325A"/>
    <w:rsid w:val="004D6548"/>
    <w:rsid w:val="00541BBE"/>
    <w:rsid w:val="00557347"/>
    <w:rsid w:val="0056502F"/>
    <w:rsid w:val="00565494"/>
    <w:rsid w:val="0058350E"/>
    <w:rsid w:val="0059695F"/>
    <w:rsid w:val="005B0943"/>
    <w:rsid w:val="005B0CE0"/>
    <w:rsid w:val="005B4ED7"/>
    <w:rsid w:val="005B5506"/>
    <w:rsid w:val="005D3F38"/>
    <w:rsid w:val="005F1B38"/>
    <w:rsid w:val="00601695"/>
    <w:rsid w:val="00612686"/>
    <w:rsid w:val="00614DE9"/>
    <w:rsid w:val="00652015"/>
    <w:rsid w:val="00657C93"/>
    <w:rsid w:val="006711F0"/>
    <w:rsid w:val="006A7B00"/>
    <w:rsid w:val="006D7F7F"/>
    <w:rsid w:val="006F4927"/>
    <w:rsid w:val="00720D46"/>
    <w:rsid w:val="00766F7A"/>
    <w:rsid w:val="00771132"/>
    <w:rsid w:val="00775085"/>
    <w:rsid w:val="007A0393"/>
    <w:rsid w:val="007A4025"/>
    <w:rsid w:val="007A5456"/>
    <w:rsid w:val="007A77A7"/>
    <w:rsid w:val="007B1C18"/>
    <w:rsid w:val="007B4AA6"/>
    <w:rsid w:val="007C0734"/>
    <w:rsid w:val="007C75ED"/>
    <w:rsid w:val="007D085B"/>
    <w:rsid w:val="007F0D54"/>
    <w:rsid w:val="007F4F6A"/>
    <w:rsid w:val="00811CE3"/>
    <w:rsid w:val="00821763"/>
    <w:rsid w:val="00846B2F"/>
    <w:rsid w:val="00846C66"/>
    <w:rsid w:val="008478B2"/>
    <w:rsid w:val="00852E27"/>
    <w:rsid w:val="00874D4C"/>
    <w:rsid w:val="00875A60"/>
    <w:rsid w:val="00880F1F"/>
    <w:rsid w:val="00884F51"/>
    <w:rsid w:val="008A7CC2"/>
    <w:rsid w:val="008D34FC"/>
    <w:rsid w:val="008D3BC1"/>
    <w:rsid w:val="008F61E3"/>
    <w:rsid w:val="0090224A"/>
    <w:rsid w:val="00902B1E"/>
    <w:rsid w:val="00912074"/>
    <w:rsid w:val="00912F4D"/>
    <w:rsid w:val="00934AA5"/>
    <w:rsid w:val="009409E2"/>
    <w:rsid w:val="00957DE4"/>
    <w:rsid w:val="00967E10"/>
    <w:rsid w:val="0097135D"/>
    <w:rsid w:val="00972ADC"/>
    <w:rsid w:val="009744C7"/>
    <w:rsid w:val="00977F69"/>
    <w:rsid w:val="00996E35"/>
    <w:rsid w:val="009D3109"/>
    <w:rsid w:val="009E0748"/>
    <w:rsid w:val="009E1925"/>
    <w:rsid w:val="00A42110"/>
    <w:rsid w:val="00A42414"/>
    <w:rsid w:val="00A46FD3"/>
    <w:rsid w:val="00A81516"/>
    <w:rsid w:val="00A9479A"/>
    <w:rsid w:val="00AA1E3F"/>
    <w:rsid w:val="00AA43CE"/>
    <w:rsid w:val="00AB6A5C"/>
    <w:rsid w:val="00AC20D3"/>
    <w:rsid w:val="00AE7275"/>
    <w:rsid w:val="00AF0110"/>
    <w:rsid w:val="00B06BD0"/>
    <w:rsid w:val="00B161D4"/>
    <w:rsid w:val="00B80591"/>
    <w:rsid w:val="00B9353C"/>
    <w:rsid w:val="00BC2E5D"/>
    <w:rsid w:val="00BC306D"/>
    <w:rsid w:val="00BC5613"/>
    <w:rsid w:val="00BD0007"/>
    <w:rsid w:val="00BD19AA"/>
    <w:rsid w:val="00C00672"/>
    <w:rsid w:val="00C11EC8"/>
    <w:rsid w:val="00C31761"/>
    <w:rsid w:val="00C44D59"/>
    <w:rsid w:val="00C811FD"/>
    <w:rsid w:val="00C8693C"/>
    <w:rsid w:val="00CA4D0B"/>
    <w:rsid w:val="00CC0468"/>
    <w:rsid w:val="00CE3A75"/>
    <w:rsid w:val="00CE49F1"/>
    <w:rsid w:val="00CF00E3"/>
    <w:rsid w:val="00CF2E85"/>
    <w:rsid w:val="00CF3073"/>
    <w:rsid w:val="00D0780E"/>
    <w:rsid w:val="00D13996"/>
    <w:rsid w:val="00D21092"/>
    <w:rsid w:val="00D277CB"/>
    <w:rsid w:val="00D81E58"/>
    <w:rsid w:val="00DA154B"/>
    <w:rsid w:val="00DA4E26"/>
    <w:rsid w:val="00DB2CB5"/>
    <w:rsid w:val="00DC2B5C"/>
    <w:rsid w:val="00DC311C"/>
    <w:rsid w:val="00DC45E2"/>
    <w:rsid w:val="00DD4530"/>
    <w:rsid w:val="00DD6E53"/>
    <w:rsid w:val="00DE083A"/>
    <w:rsid w:val="00DF7850"/>
    <w:rsid w:val="00E05FCD"/>
    <w:rsid w:val="00E0666B"/>
    <w:rsid w:val="00E13782"/>
    <w:rsid w:val="00E1391A"/>
    <w:rsid w:val="00E36567"/>
    <w:rsid w:val="00E47321"/>
    <w:rsid w:val="00E5013E"/>
    <w:rsid w:val="00E5082A"/>
    <w:rsid w:val="00E538B5"/>
    <w:rsid w:val="00E615AA"/>
    <w:rsid w:val="00E85B15"/>
    <w:rsid w:val="00E964EF"/>
    <w:rsid w:val="00EA086D"/>
    <w:rsid w:val="00EB1FCC"/>
    <w:rsid w:val="00EC6A5D"/>
    <w:rsid w:val="00ED35B1"/>
    <w:rsid w:val="00F05D99"/>
    <w:rsid w:val="00F33FF0"/>
    <w:rsid w:val="00F74405"/>
    <w:rsid w:val="00F973FA"/>
    <w:rsid w:val="00FA371B"/>
    <w:rsid w:val="00FB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B98C"/>
  <w15:chartTrackingRefBased/>
  <w15:docId w15:val="{FF790A86-B00D-4BA0-A864-1BA9CCC7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D5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0D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207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712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5B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4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F8C8-3645-4339-95BB-CD021857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Colsatschi Dorina</dc:creator>
  <cp:keywords/>
  <dc:description/>
  <cp:lastModifiedBy>Vataman Doina</cp:lastModifiedBy>
  <cp:revision>15</cp:revision>
  <cp:lastPrinted>2022-04-05T08:54:00Z</cp:lastPrinted>
  <dcterms:created xsi:type="dcterms:W3CDTF">2023-05-03T06:58:00Z</dcterms:created>
  <dcterms:modified xsi:type="dcterms:W3CDTF">2023-06-14T11:54:00Z</dcterms:modified>
</cp:coreProperties>
</file>