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AD" w:rsidRDefault="00817BAD" w:rsidP="002B417F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86FEB" w:rsidRPr="002B1B1F" w:rsidRDefault="00486FEB" w:rsidP="002B417F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B1B1F">
        <w:rPr>
          <w:rFonts w:ascii="Times New Roman" w:hAnsi="Times New Roman" w:cs="Times New Roman"/>
          <w:b/>
          <w:sz w:val="27"/>
          <w:szCs w:val="27"/>
        </w:rPr>
        <w:t>Notă informativă</w:t>
      </w:r>
    </w:p>
    <w:p w:rsidR="00A30B52" w:rsidRPr="00DE79CC" w:rsidRDefault="00A30B52" w:rsidP="00DE79CC">
      <w:pPr>
        <w:tabs>
          <w:tab w:val="left" w:pos="884"/>
          <w:tab w:val="left" w:pos="1196"/>
        </w:tabs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21F18">
        <w:rPr>
          <w:rFonts w:ascii="Times New Roman" w:hAnsi="Times New Roman"/>
          <w:b/>
          <w:sz w:val="27"/>
          <w:szCs w:val="27"/>
        </w:rPr>
        <w:t xml:space="preserve">modificarea Hotărârii Guvernului nr. </w:t>
      </w:r>
      <w:r w:rsidR="00DE79CC">
        <w:rPr>
          <w:rFonts w:ascii="Times New Roman" w:hAnsi="Times New Roman"/>
          <w:b/>
          <w:sz w:val="27"/>
          <w:szCs w:val="27"/>
        </w:rPr>
        <w:t>16</w:t>
      </w:r>
      <w:r w:rsidRPr="00821F18">
        <w:rPr>
          <w:rFonts w:ascii="Times New Roman" w:hAnsi="Times New Roman"/>
          <w:b/>
          <w:sz w:val="27"/>
          <w:szCs w:val="27"/>
        </w:rPr>
        <w:t xml:space="preserve">/2009 cu privire la aprobarea </w:t>
      </w:r>
      <w:r w:rsidR="00DE79CC" w:rsidRPr="006E176B">
        <w:rPr>
          <w:rFonts w:ascii="Times New Roman" w:hAnsi="Times New Roman" w:cs="Times New Roman"/>
          <w:b/>
          <w:sz w:val="27"/>
          <w:szCs w:val="27"/>
        </w:rPr>
        <w:t>Cerințelor „Produsele pe bază de grăsimi vegetale”</w:t>
      </w:r>
    </w:p>
    <w:tbl>
      <w:tblPr>
        <w:tblStyle w:val="a5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8A26FE" w:rsidRPr="008E3470" w:rsidTr="00DE79CC">
        <w:tc>
          <w:tcPr>
            <w:tcW w:w="9356" w:type="dxa"/>
          </w:tcPr>
          <w:p w:rsidR="008A26FE" w:rsidRPr="00821F18" w:rsidRDefault="00B404B6" w:rsidP="00DE79CC">
            <w:pPr>
              <w:pStyle w:val="aa"/>
              <w:numPr>
                <w:ilvl w:val="0"/>
                <w:numId w:val="9"/>
              </w:numPr>
              <w:tabs>
                <w:tab w:val="left" w:pos="317"/>
              </w:tabs>
              <w:spacing w:after="0"/>
              <w:ind w:left="0" w:firstLine="0"/>
            </w:pPr>
            <w:r w:rsidRPr="00DE79CC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Denumirea autorului </w:t>
            </w:r>
            <w:r w:rsidR="00DE79CC" w:rsidRPr="00DE79CC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și</w:t>
            </w:r>
            <w:r w:rsidRPr="00DE79CC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, după caz, a </w:t>
            </w:r>
            <w:r w:rsidR="00A30B52" w:rsidRPr="00DE79CC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participanților</w:t>
            </w:r>
            <w:r w:rsidRPr="00DE79CC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 la elaborarea proiectului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4F1C6C" w:rsidP="00821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Ministerul Agricu</w:t>
            </w:r>
            <w:r w:rsidR="00DE79CC">
              <w:rPr>
                <w:rFonts w:ascii="Times New Roman" w:hAnsi="Times New Roman" w:cs="Times New Roman"/>
                <w:sz w:val="27"/>
                <w:szCs w:val="27"/>
              </w:rPr>
              <w:t>lturii și Industriei Alimentare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B404B6" w:rsidP="00DE79C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t>Condițiile ce au impus elaborarea proiectului de act normativ și finalitățile urmărite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B5783" w:rsidRDefault="008B5783" w:rsidP="005E2C61">
            <w:pPr>
              <w:pStyle w:val="a3"/>
              <w:ind w:firstLine="567"/>
              <w:jc w:val="both"/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</w:pP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Ca urmare a modificărilor operate</w:t>
            </w:r>
            <w:r w:rsidR="002B1427"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la unele acte normative: </w:t>
            </w:r>
            <w:r w:rsidRPr="00A559AF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Legii nr. 420 2006 privind activitatea de reglementare tehnică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Legii 10/2009 privind supravegherea de stat a sănătății publice precum 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>și abrogării unor acte normative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precum Legea 78/2004 privind produsele alimentare, </w:t>
            </w:r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Legea 113/2012 cu privire la stabilirea principiilor </w:t>
            </w:r>
            <w:proofErr w:type="spellStart"/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şi</w:t>
            </w:r>
            <w:proofErr w:type="spellEnd"/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 </w:t>
            </w:r>
            <w:r w:rsidR="000D21C1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cerințelor</w:t>
            </w:r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generale ale </w:t>
            </w:r>
            <w:r w:rsidR="000D21C1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legislației</w:t>
            </w:r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privind </w:t>
            </w:r>
            <w:r w:rsidR="000D21C1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siguranța</w:t>
            </w:r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alimentelor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</w:t>
            </w:r>
            <w:r w:rsid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Legea</w:t>
            </w:r>
            <w:r w:rsidRPr="00EE20ED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nr. 186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/</w:t>
            </w:r>
            <w:r w:rsidRPr="00EE20ED">
              <w:rPr>
                <w:rStyle w:val="2"/>
                <w:rFonts w:eastAsiaTheme="majorEastAsia"/>
                <w:color w:val="auto"/>
                <w:sz w:val="27"/>
                <w:szCs w:val="27"/>
              </w:rPr>
              <w:t>2003 cu privire la evaluarea conformității produselor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</w:t>
            </w:r>
            <w:r w:rsidRPr="00EE20ED">
              <w:rPr>
                <w:rStyle w:val="2"/>
                <w:rFonts w:eastAsiaTheme="majorEastAsia"/>
                <w:color w:val="auto"/>
                <w:sz w:val="27"/>
                <w:szCs w:val="27"/>
              </w:rPr>
              <w:t>Nomenclatorul produselor din domeniul reglementat, supuse certificării conformității obligatorii, aprobat pri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n Hotărârea Guvernului nr. 1469/</w:t>
            </w:r>
            <w:r w:rsidRPr="00EE20ED">
              <w:rPr>
                <w:rStyle w:val="2"/>
                <w:rFonts w:eastAsiaTheme="majorEastAsia"/>
                <w:color w:val="auto"/>
                <w:sz w:val="27"/>
                <w:szCs w:val="27"/>
              </w:rPr>
              <w:t>2004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</w:t>
            </w:r>
            <w:r w:rsidRPr="00A559AF">
              <w:rPr>
                <w:rStyle w:val="2"/>
                <w:rFonts w:eastAsiaTheme="majorEastAsia"/>
                <w:color w:val="auto"/>
                <w:sz w:val="27"/>
                <w:szCs w:val="27"/>
              </w:rPr>
              <w:t>Hotărârii Guvernului nr. 384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/2010 </w:t>
            </w:r>
            <w:r w:rsidRPr="00A559AF">
              <w:rPr>
                <w:rStyle w:val="2"/>
                <w:rFonts w:eastAsiaTheme="majorEastAsia"/>
                <w:color w:val="auto"/>
                <w:sz w:val="27"/>
                <w:szCs w:val="27"/>
              </w:rPr>
              <w:t>„Cu privire la Serviciul de Supraveghere de Stat a Sănătății Publice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,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din partea mediului de afaceri și a Agenției Naționale pentru Siguranța Alimentelor, în adresa Ministerului au fost înainte solicitări privind revizuirea 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Hotărârii Guvernului </w:t>
            </w:r>
            <w:r w:rsidRPr="008E3470">
              <w:rPr>
                <w:rFonts w:ascii="Times New Roman" w:hAnsi="Times New Roman" w:cs="Times New Roman"/>
                <w:sz w:val="27"/>
                <w:szCs w:val="27"/>
              </w:rPr>
              <w:t>nr.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>/2009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c</w:t>
            </w:r>
            <w:r w:rsidRPr="008B5783">
              <w:rPr>
                <w:rStyle w:val="2"/>
                <w:rFonts w:eastAsiaTheme="majorEastAsia"/>
                <w:color w:val="auto"/>
                <w:sz w:val="27"/>
                <w:szCs w:val="27"/>
              </w:rPr>
              <w:t>u privire la aprobarea Reglementării tehnice „Produse pe bază de grăsimi vegetale”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, în vederea</w:t>
            </w:r>
            <w:r w:rsidR="002B1427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aduce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rii</w:t>
            </w:r>
            <w:r w:rsidR="002B1427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în concordanță actul normativ, 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cu prevederile actuale</w:t>
            </w:r>
            <w:r w:rsidR="002B1427"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>.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B404B6" w:rsidP="00DE79CC">
            <w:pPr>
              <w:pStyle w:val="aa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B404B6" w:rsidP="00EE20ED">
            <w:pPr>
              <w:pStyle w:val="a3"/>
              <w:spacing w:after="240"/>
              <w:ind w:firstLine="567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sz w:val="27"/>
                <w:szCs w:val="27"/>
              </w:rPr>
              <w:t xml:space="preserve">Proiectul nominalizat 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>transpune</w:t>
            </w:r>
            <w:r w:rsidR="00AC794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5E2C61">
              <w:rPr>
                <w:rFonts w:ascii="Times New Roman" w:eastAsia="Times New Roman" w:hAnsi="Times New Roman" w:cs="Times New Roman"/>
                <w:sz w:val="27"/>
                <w:szCs w:val="27"/>
              </w:rPr>
              <w:t>parțial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Anexa VII, partea VII</w:t>
            </w:r>
            <w:r w:rsidR="00EE20ED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p</w:t>
            </w:r>
            <w:r w:rsidR="00EE20E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ct. 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>I</w:t>
            </w:r>
            <w:r w:rsidR="00EE20ED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al șaselea paragraf</w:t>
            </w:r>
            <w:r w:rsidR="00EE20ED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litera (a)</w:t>
            </w:r>
            <w:r w:rsidR="00EE20E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>la din Regulamentul (UE) nr. 1308/2013 al Parlamentului European și al Consiliului din 17 decembrie 2013 de instituire a unei organizări comune a piețelor produselor agricole și de abrogare a Regulamentelor (CEE) nr. 922/72, (CEE) nr. 234/79, (CE) nr. 1037/2001 și (CE) nr. 1234/2007 ale Consiliului (JO L 347, 20.12.2013, p. 671-854)</w:t>
            </w:r>
            <w:r w:rsidR="008B5783">
              <w:rPr>
                <w:rFonts w:ascii="Times New Roman" w:eastAsia="Times New Roman" w:hAnsi="Times New Roman" w:cs="Times New Roman"/>
                <w:sz w:val="27"/>
                <w:szCs w:val="27"/>
              </w:rPr>
              <w:t>, precum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și</w:t>
            </w:r>
            <w:r w:rsidR="008B578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art. 2 și Anexa nr. II din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Regulamentul (CE) nr. 445/2007 al Comisiei din 23 aprilie 2007 de stabilire a anumitor norme de aplicare a Regulamentului (CE) nr. 2991/94 al Consiliului de stabilire a standardelor pentru grăsimile tartinabile și a Regulamentului (CEE) nr. 1898/87 al Consiliului privind protecția denumirilor laptelui și produselor lactate folosite pentru comercializare.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B404B6" w:rsidP="00DE79C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t>Principalele prevederi ale proiectului și evidențierea elementelor noi</w:t>
            </w:r>
          </w:p>
        </w:tc>
      </w:tr>
      <w:tr w:rsidR="008A26FE" w:rsidRPr="008E3470" w:rsidTr="00DE79CC">
        <w:trPr>
          <w:trHeight w:val="2542"/>
        </w:trPr>
        <w:tc>
          <w:tcPr>
            <w:tcW w:w="9356" w:type="dxa"/>
          </w:tcPr>
          <w:p w:rsidR="00D17A35" w:rsidRDefault="008B5783" w:rsidP="00D17A35">
            <w:pPr>
              <w:pStyle w:val="a3"/>
              <w:ind w:firstLine="567"/>
              <w:jc w:val="both"/>
              <w:rPr>
                <w:rStyle w:val="2"/>
                <w:rFonts w:eastAsiaTheme="majorEastAsia"/>
                <w:color w:val="auto"/>
                <w:sz w:val="27"/>
                <w:szCs w:val="27"/>
              </w:rPr>
            </w:pP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Ca urmare a modificării și </w:t>
            </w:r>
            <w:r w:rsidR="00D17A35">
              <w:rPr>
                <w:rStyle w:val="2"/>
                <w:rFonts w:eastAsiaTheme="majorEastAsia"/>
                <w:color w:val="auto"/>
                <w:sz w:val="27"/>
                <w:szCs w:val="27"/>
              </w:rPr>
              <w:t>abrogării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actelor normative </w:t>
            </w:r>
            <w:r w:rsidR="00D17A35">
              <w:rPr>
                <w:rStyle w:val="2"/>
                <w:rFonts w:eastAsiaTheme="majorEastAsia"/>
                <w:color w:val="auto"/>
                <w:sz w:val="27"/>
                <w:szCs w:val="27"/>
              </w:rPr>
              <w:t>menționate la pct. 2, actele abrogate la care se face referință în textul  Reglementării Tehnice „</w:t>
            </w:r>
            <w:r w:rsidR="00D17A35" w:rsidRPr="008B5783">
              <w:rPr>
                <w:rStyle w:val="2"/>
                <w:rFonts w:eastAsiaTheme="majorEastAsia"/>
                <w:color w:val="auto"/>
                <w:sz w:val="27"/>
                <w:szCs w:val="27"/>
              </w:rPr>
              <w:t>Produse pe bază de grăsimi vegetale</w:t>
            </w:r>
            <w:r w:rsidR="00D17A3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”, aprobată prin Hotărârea Guvernului nr. 16/2009 urmează a fi substituite cu actele normative in vigoare: Legea 78/2004 </w:t>
            </w:r>
            <w:r w:rsid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și Legea 113/2012 </w:t>
            </w:r>
            <w:r w:rsidR="00D17A35">
              <w:rPr>
                <w:rStyle w:val="2"/>
                <w:rFonts w:eastAsiaTheme="majorEastAsia"/>
                <w:color w:val="auto"/>
                <w:sz w:val="27"/>
                <w:szCs w:val="27"/>
              </w:rPr>
              <w:t>urmează a fi substituit</w:t>
            </w:r>
            <w:r w:rsid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e</w:t>
            </w:r>
            <w:r w:rsidR="00D17A35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cu Legea 306/2018 privind siguranța </w:t>
            </w:r>
            <w:r w:rsid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alimentelor. Totodată, ca urmare a modificării Legii 420/2006, prin excluderea produselor alimentare din domeniul reglementat, termenul de „</w:t>
            </w:r>
            <w:r w:rsidR="00AC7944">
              <w:rPr>
                <w:rStyle w:val="2"/>
                <w:rFonts w:eastAsiaTheme="majorEastAsia"/>
                <w:i/>
                <w:color w:val="auto"/>
                <w:sz w:val="27"/>
                <w:szCs w:val="27"/>
              </w:rPr>
              <w:t xml:space="preserve">Reglementare” </w:t>
            </w:r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în tot textul actului normativ</w:t>
            </w:r>
            <w:r w:rsidR="00AC7944">
              <w:rPr>
                <w:rStyle w:val="2"/>
                <w:rFonts w:eastAsiaTheme="majorEastAsia"/>
                <w:i/>
                <w:color w:val="auto"/>
                <w:sz w:val="27"/>
                <w:szCs w:val="27"/>
              </w:rPr>
              <w:t xml:space="preserve">, </w:t>
            </w:r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urmează a fi </w:t>
            </w:r>
            <w:r w:rsid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substituit cu termenul „</w:t>
            </w:r>
            <w:r w:rsidR="00AC7944" w:rsidRPr="00AC7944">
              <w:rPr>
                <w:rStyle w:val="2"/>
                <w:rFonts w:eastAsiaTheme="majorEastAsia"/>
                <w:i/>
                <w:color w:val="auto"/>
                <w:sz w:val="27"/>
                <w:szCs w:val="27"/>
              </w:rPr>
              <w:t>Cerințe</w:t>
            </w:r>
            <w:r w:rsid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”.</w:t>
            </w:r>
          </w:p>
          <w:p w:rsidR="00AC7944" w:rsidRPr="00C37520" w:rsidRDefault="00AC7944" w:rsidP="00D17A35">
            <w:pPr>
              <w:pStyle w:val="a3"/>
              <w:ind w:firstLine="567"/>
              <w:jc w:val="both"/>
              <w:rPr>
                <w:rStyle w:val="2"/>
                <w:rFonts w:eastAsiaTheme="majorEastAsia"/>
                <w:color w:val="auto"/>
                <w:sz w:val="27"/>
                <w:szCs w:val="27"/>
              </w:rPr>
            </w:pP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Reglementarea tehnică „Prod</w:t>
            </w:r>
            <w:r w:rsidR="00C3752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use pe bază de grăsimi vegetale” transpune parțial </w:t>
            </w:r>
            <w:r w:rsidR="00C37520" w:rsidRPr="00C3752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prevederile din Anexa XV la Regulamentul (CE) nr. 1234/2007 al Consiliului din 22 octombrie 2007 de instituire a unei organizări comune a </w:t>
            </w:r>
            <w:r w:rsidR="005E2C61" w:rsidRPr="00C37520">
              <w:rPr>
                <w:rStyle w:val="2"/>
                <w:rFonts w:eastAsiaTheme="majorEastAsia"/>
                <w:color w:val="auto"/>
                <w:sz w:val="27"/>
                <w:szCs w:val="27"/>
              </w:rPr>
              <w:t>piețelor</w:t>
            </w:r>
            <w:r w:rsidR="00C37520" w:rsidRPr="00C3752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agricole </w:t>
            </w:r>
            <w:proofErr w:type="spellStart"/>
            <w:r w:rsidR="00C37520" w:rsidRPr="00C37520">
              <w:rPr>
                <w:rStyle w:val="2"/>
                <w:rFonts w:eastAsiaTheme="majorEastAsia"/>
                <w:color w:val="auto"/>
                <w:sz w:val="27"/>
                <w:szCs w:val="27"/>
              </w:rPr>
              <w:t>şi</w:t>
            </w:r>
            <w:proofErr w:type="spellEnd"/>
            <w:r w:rsidR="00C37520" w:rsidRPr="00C3752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privind </w:t>
            </w:r>
            <w:r w:rsidR="005E2C61" w:rsidRPr="00C37520">
              <w:rPr>
                <w:rStyle w:val="2"/>
                <w:rFonts w:eastAsiaTheme="majorEastAsia"/>
                <w:color w:val="auto"/>
                <w:sz w:val="27"/>
                <w:szCs w:val="27"/>
              </w:rPr>
              <w:lastRenderedPageBreak/>
              <w:t>dispozițiile</w:t>
            </w:r>
            <w:r w:rsidR="00C37520" w:rsidRPr="00C3752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specifice referitoare la anumite produse agricole („Regulamentul unic OCP”), publicat în Jurnalul Oficial al Uniunii Europene  (JO L 29</w:t>
            </w:r>
            <w:r w:rsidR="00C3752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9, 16 noiembrie 2007, p. 1-149), care a fost abrogat prin </w:t>
            </w:r>
            <w:r w:rsidR="00C37520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>Regulamentul (UE) nr. 1308/2013 al Parlamentului European și al Consiliului din 17 decembrie 2013 de instituire a unei organizări comune a piețelor produselor agricole și de abrogare a Regulamentelor (CEE) nr. 922/72, (CEE) nr. 234/79, (CE) nr. 1037/2001 și (CE) nr. 1234/2007 ale Consiliului (JO L 347, 20.12.2013, p. 671-854)</w:t>
            </w:r>
            <w:r w:rsidR="005E2C61">
              <w:rPr>
                <w:rFonts w:ascii="Times New Roman" w:eastAsia="Times New Roman" w:hAnsi="Times New Roman" w:cs="Times New Roman"/>
                <w:sz w:val="27"/>
                <w:szCs w:val="27"/>
              </w:rPr>
              <w:t>, modificat ultima dată în anul 2021. Astfel apare necesitare de actualizare a clauzei de armonizare.</w:t>
            </w:r>
          </w:p>
          <w:p w:rsidR="008A26FE" w:rsidRPr="00821F18" w:rsidRDefault="005E2C61" w:rsidP="00C15DEB">
            <w:pPr>
              <w:pStyle w:val="a3"/>
              <w:ind w:firstLine="567"/>
              <w:jc w:val="both"/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</w:pPr>
            <w:r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  <w:t xml:space="preserve">Totodată, se va completa domeniul de acțiune a </w:t>
            </w:r>
            <w:r w:rsidR="00C15DEB"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  <w:t xml:space="preserve">reglementării , </w:t>
            </w:r>
            <w:r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  <w:t>prin completarea cu codul tarifar pentru maioneză, care</w:t>
            </w:r>
            <w:r w:rsidR="008D1FD6"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  <w:t xml:space="preserve"> actualmente</w:t>
            </w:r>
            <w:r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  <w:t xml:space="preserve"> nu se regăsește în </w:t>
            </w:r>
            <w:r w:rsidR="008D1FD6"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  <w:t xml:space="preserve">actul normativ și creează dificultăți pentru inspectorii Agenției Naționale pentru Siguranța Alimentelor el etapa </w:t>
            </w:r>
            <w:r w:rsidR="00C15DEB"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  <w:t>d</w:t>
            </w:r>
            <w:r w:rsidR="008D1FD6"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  <w:t xml:space="preserve">e verificare a corespunderii produsului cu cerințele prescrise. </w:t>
            </w:r>
          </w:p>
        </w:tc>
      </w:tr>
      <w:tr w:rsidR="008A26FE" w:rsidRPr="008E3470" w:rsidTr="00DE79CC">
        <w:trPr>
          <w:trHeight w:val="426"/>
        </w:trPr>
        <w:tc>
          <w:tcPr>
            <w:tcW w:w="9356" w:type="dxa"/>
            <w:vAlign w:val="center"/>
          </w:tcPr>
          <w:p w:rsidR="008A26FE" w:rsidRPr="00821F18" w:rsidRDefault="007B777A" w:rsidP="00DE79C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Fundamentarea </w:t>
            </w:r>
            <w:proofErr w:type="spellStart"/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t>economico</w:t>
            </w:r>
            <w:proofErr w:type="spellEnd"/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t>-financiară</w:t>
            </w:r>
          </w:p>
        </w:tc>
      </w:tr>
      <w:tr w:rsidR="008A26FE" w:rsidRPr="008E3470" w:rsidTr="00DE79CC">
        <w:trPr>
          <w:trHeight w:val="702"/>
        </w:trPr>
        <w:tc>
          <w:tcPr>
            <w:tcW w:w="9356" w:type="dxa"/>
          </w:tcPr>
          <w:p w:rsidR="008A26FE" w:rsidRPr="00821F18" w:rsidRDefault="007B777A" w:rsidP="000D21C1">
            <w:pPr>
              <w:pStyle w:val="a3"/>
              <w:ind w:left="34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sz w:val="27"/>
                <w:szCs w:val="27"/>
              </w:rPr>
              <w:t>Implementarea acestui proiect nu necesită alocarea resurselor financiare suplimentare de la bugetul de stat</w:t>
            </w:r>
            <w:r w:rsidR="008D1FD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035CE3">
              <w:rPr>
                <w:rFonts w:ascii="Times New Roman" w:hAnsi="Times New Roman" w:cs="Times New Roman"/>
                <w:sz w:val="27"/>
                <w:szCs w:val="27"/>
              </w:rPr>
              <w:t>întrucât A</w:t>
            </w:r>
            <w:r w:rsidR="000D21C1">
              <w:rPr>
                <w:rFonts w:ascii="Times New Roman" w:hAnsi="Times New Roman" w:cs="Times New Roman"/>
                <w:sz w:val="27"/>
                <w:szCs w:val="27"/>
              </w:rPr>
              <w:t>genția Națională pentru siguranța alimentelor</w:t>
            </w:r>
            <w:r w:rsidR="00035CE3">
              <w:rPr>
                <w:rFonts w:ascii="Times New Roman" w:hAnsi="Times New Roman" w:cs="Times New Roman"/>
                <w:sz w:val="27"/>
                <w:szCs w:val="27"/>
              </w:rPr>
              <w:t xml:space="preserve"> planifică anual controalele oficiale, precum și mijloacele financiare pentru efectuarea acestora</w:t>
            </w:r>
            <w:r w:rsidRPr="008E347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A26FE" w:rsidRPr="008E3470" w:rsidTr="00DE79CC">
        <w:trPr>
          <w:trHeight w:val="472"/>
        </w:trPr>
        <w:tc>
          <w:tcPr>
            <w:tcW w:w="9356" w:type="dxa"/>
            <w:vAlign w:val="center"/>
          </w:tcPr>
          <w:p w:rsidR="008A26FE" w:rsidRPr="00821F18" w:rsidRDefault="007B777A" w:rsidP="00DE79C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t>Modul de încorporare a actului în cadrul normativ în vigoare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7B777A" w:rsidP="00035CE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742EF">
              <w:rPr>
                <w:rFonts w:ascii="Times New Roman" w:hAnsi="Times New Roman" w:cs="Times New Roman"/>
                <w:sz w:val="27"/>
                <w:szCs w:val="27"/>
              </w:rPr>
              <w:t xml:space="preserve">Proiectul este elaborat </w:t>
            </w:r>
            <w:r w:rsidR="00035CE3">
              <w:rPr>
                <w:rFonts w:ascii="Times New Roman" w:hAnsi="Times New Roman" w:cs="Times New Roman"/>
                <w:sz w:val="27"/>
                <w:szCs w:val="27"/>
              </w:rPr>
              <w:t>în vederea aduceri în concordanță a cadrului normativ și nu prevede modificarea sau abrogarea altor  acte normative</w:t>
            </w:r>
          </w:p>
        </w:tc>
      </w:tr>
      <w:tr w:rsidR="008A26FE" w:rsidRPr="008E3470" w:rsidTr="00DE79CC">
        <w:trPr>
          <w:trHeight w:val="459"/>
        </w:trPr>
        <w:tc>
          <w:tcPr>
            <w:tcW w:w="9356" w:type="dxa"/>
            <w:vAlign w:val="center"/>
          </w:tcPr>
          <w:p w:rsidR="008A26FE" w:rsidRPr="00821F18" w:rsidRDefault="007B777A" w:rsidP="00DE79CC">
            <w:pPr>
              <w:pStyle w:val="aa"/>
              <w:numPr>
                <w:ilvl w:val="0"/>
                <w:numId w:val="8"/>
              </w:numPr>
              <w:tabs>
                <w:tab w:val="left" w:pos="34"/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Avizarea </w:t>
            </w:r>
            <w:proofErr w:type="spellStart"/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>şi</w:t>
            </w:r>
            <w:proofErr w:type="spellEnd"/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consultarea publică a proiectului</w:t>
            </w:r>
          </w:p>
        </w:tc>
      </w:tr>
      <w:tr w:rsidR="008A26FE" w:rsidRPr="008E3470" w:rsidTr="00DE79CC">
        <w:tc>
          <w:tcPr>
            <w:tcW w:w="9356" w:type="dxa"/>
          </w:tcPr>
          <w:p w:rsidR="007B777A" w:rsidRPr="006860DF" w:rsidRDefault="007B777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bookmarkStart w:id="0" w:name="_GoBack"/>
            <w:r w:rsidRPr="006860D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În conformitate cu art. 32 din Legea nr. 100/2017 cu privire la actele normative, anunțul privind inițierea elaborării proiectului de act normativ a fost plasat pe              </w:t>
            </w:r>
            <w:r w:rsidR="00035CE3" w:rsidRPr="006860D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   pagina web</w:t>
            </w:r>
            <w:r w:rsidR="006860DF" w:rsidRPr="006860D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a Ministerului și pe portalul</w:t>
            </w:r>
            <w:r w:rsidR="00035CE3" w:rsidRPr="006860D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particip.gov.md</w:t>
            </w:r>
            <w:r w:rsidRPr="006860D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</w:p>
          <w:p w:rsidR="008A26FE" w:rsidRPr="006860DF" w:rsidRDefault="007B777A" w:rsidP="006860D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C00000"/>
                <w:sz w:val="27"/>
                <w:szCs w:val="27"/>
                <w:lang w:eastAsia="ro-RO"/>
              </w:rPr>
            </w:pPr>
            <w:r w:rsidRPr="006860DF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Analiza Impactului de Reglementare a fost transmisă pentru examinare și opinie către Agenția Națională pentru Siguranța Alimentelor și Asociațiilor de producători agricoli prin </w:t>
            </w:r>
            <w:r w:rsidR="00035CE3" w:rsidRPr="006860DF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email. </w:t>
            </w:r>
            <w:r w:rsidRPr="006860DF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Totodată, documentul a fost plasat </w:t>
            </w:r>
            <w:r w:rsidR="00035CE3" w:rsidRPr="006860DF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și pe pagina web a Ministerului</w:t>
            </w:r>
            <w:r w:rsidR="006860DF" w:rsidRPr="006860DF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.</w:t>
            </w:r>
            <w:r w:rsidRPr="006860DF">
              <w:rPr>
                <w:rStyle w:val="a6"/>
                <w:rFonts w:ascii="Times New Roman" w:eastAsia="Times New Roman" w:hAnsi="Times New Roman" w:cs="Times New Roman"/>
                <w:color w:val="auto"/>
                <w:sz w:val="27"/>
                <w:szCs w:val="27"/>
                <w:u w:val="none"/>
                <w:lang w:eastAsia="ro-RO"/>
              </w:rPr>
              <w:t xml:space="preserve"> </w:t>
            </w:r>
            <w:bookmarkEnd w:id="0"/>
          </w:p>
        </w:tc>
      </w:tr>
      <w:tr w:rsidR="00D371A8" w:rsidRPr="008E3470" w:rsidTr="00DE79CC">
        <w:tc>
          <w:tcPr>
            <w:tcW w:w="9356" w:type="dxa"/>
          </w:tcPr>
          <w:p w:rsidR="00D371A8" w:rsidRPr="00DE79CC" w:rsidRDefault="00D371A8" w:rsidP="00DE79CC">
            <w:pPr>
              <w:pStyle w:val="aa"/>
              <w:numPr>
                <w:ilvl w:val="0"/>
                <w:numId w:val="8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79CC">
              <w:rPr>
                <w:rFonts w:ascii="Times New Roman" w:hAnsi="Times New Roman" w:cs="Times New Roman"/>
                <w:b/>
                <w:sz w:val="27"/>
                <w:szCs w:val="27"/>
              </w:rPr>
              <w:t>Constatările expertizei anticorupție</w:t>
            </w:r>
          </w:p>
        </w:tc>
      </w:tr>
      <w:tr w:rsidR="00D371A8" w:rsidRPr="008E3470" w:rsidTr="00DE79CC">
        <w:tc>
          <w:tcPr>
            <w:tcW w:w="9356" w:type="dxa"/>
          </w:tcPr>
          <w:p w:rsidR="00D371A8" w:rsidRPr="00821F18" w:rsidRDefault="00D371A8" w:rsidP="00035CE3">
            <w:pPr>
              <w:tabs>
                <w:tab w:val="left" w:pos="884"/>
                <w:tab w:val="left" w:pos="119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În temeiul art. 34 </w:t>
            </w:r>
            <w:proofErr w:type="spellStart"/>
            <w:r w:rsidRPr="00821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şi</w:t>
            </w:r>
            <w:proofErr w:type="spellEnd"/>
            <w:r w:rsidRPr="00821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35 din Legea nr. 100/2017 cu privire la actele normative, proiectul </w:t>
            </w:r>
            <w:r w:rsidR="00035CE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urmează a fi</w:t>
            </w:r>
            <w:r w:rsidRPr="00821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supus expertizei anticorupție,</w:t>
            </w:r>
            <w:r w:rsidR="00E53DA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D371A8" w:rsidRPr="008E3470" w:rsidTr="00DE79CC">
        <w:tc>
          <w:tcPr>
            <w:tcW w:w="9356" w:type="dxa"/>
          </w:tcPr>
          <w:p w:rsidR="00D371A8" w:rsidRPr="00821F18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>9. Constatările expertizei de compatibilitate</w:t>
            </w:r>
          </w:p>
        </w:tc>
      </w:tr>
      <w:tr w:rsidR="00D371A8" w:rsidRPr="008E3470" w:rsidTr="00035CE3">
        <w:trPr>
          <w:trHeight w:val="231"/>
        </w:trPr>
        <w:tc>
          <w:tcPr>
            <w:tcW w:w="9356" w:type="dxa"/>
          </w:tcPr>
          <w:p w:rsidR="00D371A8" w:rsidRPr="00821F18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371A8" w:rsidRPr="008E3470" w:rsidTr="00DE79CC">
        <w:tc>
          <w:tcPr>
            <w:tcW w:w="9356" w:type="dxa"/>
          </w:tcPr>
          <w:p w:rsidR="00D371A8" w:rsidRPr="00821F18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>10. Constatările expertizei juridice</w:t>
            </w:r>
          </w:p>
        </w:tc>
      </w:tr>
      <w:tr w:rsidR="00D371A8" w:rsidRPr="008E3470" w:rsidTr="00DE79CC">
        <w:tc>
          <w:tcPr>
            <w:tcW w:w="9356" w:type="dxa"/>
          </w:tcPr>
          <w:p w:rsidR="00D371A8" w:rsidRPr="00821F18" w:rsidRDefault="00D371A8" w:rsidP="00035CE3">
            <w:pPr>
              <w:tabs>
                <w:tab w:val="left" w:pos="99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2060"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sz w:val="27"/>
                <w:szCs w:val="27"/>
              </w:rPr>
              <w:t xml:space="preserve">În temeiul art. 34 </w:t>
            </w:r>
            <w:proofErr w:type="spellStart"/>
            <w:r w:rsidRPr="00821F18">
              <w:rPr>
                <w:rFonts w:ascii="Times New Roman" w:hAnsi="Times New Roman" w:cs="Times New Roman"/>
                <w:sz w:val="27"/>
                <w:szCs w:val="27"/>
              </w:rPr>
              <w:t>şi</w:t>
            </w:r>
            <w:proofErr w:type="spellEnd"/>
            <w:r w:rsidRPr="00821F18">
              <w:rPr>
                <w:rFonts w:ascii="Times New Roman" w:hAnsi="Times New Roman" w:cs="Times New Roman"/>
                <w:sz w:val="27"/>
                <w:szCs w:val="27"/>
              </w:rPr>
              <w:t xml:space="preserve"> 37 din Legea nr. 100/2017 cu privire la actele normative, proiectul </w:t>
            </w:r>
            <w:r w:rsidR="00035CE3">
              <w:rPr>
                <w:rFonts w:ascii="Times New Roman" w:hAnsi="Times New Roman" w:cs="Times New Roman"/>
                <w:sz w:val="27"/>
                <w:szCs w:val="27"/>
              </w:rPr>
              <w:t>va fi</w:t>
            </w:r>
            <w:r w:rsidRPr="00821F18">
              <w:rPr>
                <w:rFonts w:ascii="Times New Roman" w:hAnsi="Times New Roman" w:cs="Times New Roman"/>
                <w:sz w:val="27"/>
                <w:szCs w:val="27"/>
              </w:rPr>
              <w:t xml:space="preserve"> supus expertizei juridice</w:t>
            </w:r>
            <w:r w:rsidR="00035CE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D371A8" w:rsidRPr="008E3470" w:rsidTr="00DE79CC">
        <w:tc>
          <w:tcPr>
            <w:tcW w:w="9356" w:type="dxa"/>
          </w:tcPr>
          <w:p w:rsidR="00D371A8" w:rsidRPr="00821F18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>11. Constatările altor expertize</w:t>
            </w:r>
          </w:p>
        </w:tc>
      </w:tr>
      <w:tr w:rsidR="00D371A8" w:rsidRPr="008E3470" w:rsidTr="00DE79CC">
        <w:tc>
          <w:tcPr>
            <w:tcW w:w="9356" w:type="dxa"/>
          </w:tcPr>
          <w:p w:rsidR="00D371A8" w:rsidRPr="00821F18" w:rsidRDefault="00302A18" w:rsidP="00821F1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8406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</w:p>
        </w:tc>
      </w:tr>
    </w:tbl>
    <w:p w:rsidR="00C37015" w:rsidRPr="002B1B1F" w:rsidRDefault="00C37015" w:rsidP="00821F18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C37015" w:rsidRPr="002B1B1F" w:rsidRDefault="00C37015" w:rsidP="00486FEB">
      <w:pPr>
        <w:pStyle w:val="a3"/>
        <w:ind w:firstLine="426"/>
        <w:rPr>
          <w:rFonts w:ascii="Times New Roman" w:hAnsi="Times New Roman" w:cs="Times New Roman"/>
          <w:sz w:val="27"/>
          <w:szCs w:val="27"/>
        </w:rPr>
      </w:pPr>
    </w:p>
    <w:p w:rsidR="0083664F" w:rsidRDefault="0083664F" w:rsidP="00821F18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0E6D" w:rsidRPr="00821F18" w:rsidRDefault="00C90E6D" w:rsidP="00821F18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5CE3" w:rsidRPr="00035CE3" w:rsidRDefault="00035CE3" w:rsidP="00035CE3">
      <w:pPr>
        <w:pStyle w:val="a3"/>
        <w:ind w:firstLine="426"/>
        <w:rPr>
          <w:rFonts w:ascii="Times New Roman" w:hAnsi="Times New Roman" w:cs="Times New Roman"/>
          <w:b/>
          <w:sz w:val="27"/>
          <w:szCs w:val="27"/>
        </w:rPr>
      </w:pPr>
      <w:r w:rsidRPr="00035CE3">
        <w:rPr>
          <w:rFonts w:ascii="Times New Roman" w:hAnsi="Times New Roman" w:cs="Times New Roman"/>
          <w:b/>
          <w:sz w:val="27"/>
          <w:szCs w:val="27"/>
        </w:rPr>
        <w:t>Prim-vice ministru,</w:t>
      </w:r>
    </w:p>
    <w:p w:rsidR="00035CE3" w:rsidRPr="00035CE3" w:rsidRDefault="00035CE3" w:rsidP="00035CE3">
      <w:pPr>
        <w:pStyle w:val="a3"/>
        <w:ind w:firstLine="426"/>
        <w:rPr>
          <w:rFonts w:ascii="Times New Roman" w:hAnsi="Times New Roman" w:cs="Times New Roman"/>
          <w:b/>
          <w:sz w:val="27"/>
          <w:szCs w:val="27"/>
        </w:rPr>
      </w:pPr>
      <w:r w:rsidRPr="00035CE3">
        <w:rPr>
          <w:rFonts w:ascii="Times New Roman" w:hAnsi="Times New Roman" w:cs="Times New Roman"/>
          <w:b/>
          <w:sz w:val="27"/>
          <w:szCs w:val="27"/>
        </w:rPr>
        <w:t>Ministru al agriculturii</w:t>
      </w:r>
    </w:p>
    <w:p w:rsidR="004F1C6C" w:rsidRPr="00821F18" w:rsidRDefault="00035CE3" w:rsidP="00035CE3">
      <w:pPr>
        <w:pStyle w:val="a3"/>
        <w:ind w:firstLine="426"/>
        <w:rPr>
          <w:rFonts w:ascii="Times New Roman" w:hAnsi="Times New Roman" w:cs="Times New Roman"/>
          <w:sz w:val="2"/>
          <w:szCs w:val="2"/>
          <w:lang w:val="en-US"/>
        </w:rPr>
      </w:pPr>
      <w:r w:rsidRPr="00035CE3">
        <w:rPr>
          <w:rFonts w:ascii="Times New Roman" w:hAnsi="Times New Roman" w:cs="Times New Roman"/>
          <w:b/>
          <w:sz w:val="27"/>
          <w:szCs w:val="27"/>
        </w:rPr>
        <w:t>și industriei alimentare</w:t>
      </w:r>
      <w:r w:rsidRPr="00035CE3">
        <w:rPr>
          <w:rFonts w:ascii="Times New Roman" w:hAnsi="Times New Roman" w:cs="Times New Roman"/>
          <w:b/>
          <w:sz w:val="27"/>
          <w:szCs w:val="27"/>
        </w:rPr>
        <w:tab/>
      </w:r>
      <w:r w:rsidRPr="00035CE3">
        <w:rPr>
          <w:rFonts w:ascii="Times New Roman" w:hAnsi="Times New Roman" w:cs="Times New Roman"/>
          <w:b/>
          <w:sz w:val="27"/>
          <w:szCs w:val="27"/>
        </w:rPr>
        <w:tab/>
      </w:r>
      <w:r w:rsidRPr="00035CE3">
        <w:rPr>
          <w:rFonts w:ascii="Times New Roman" w:hAnsi="Times New Roman" w:cs="Times New Roman"/>
          <w:b/>
          <w:sz w:val="27"/>
          <w:szCs w:val="27"/>
        </w:rPr>
        <w:tab/>
      </w:r>
      <w:r w:rsidRPr="00035CE3">
        <w:rPr>
          <w:rFonts w:ascii="Times New Roman" w:hAnsi="Times New Roman" w:cs="Times New Roman"/>
          <w:b/>
          <w:sz w:val="27"/>
          <w:szCs w:val="27"/>
        </w:rPr>
        <w:tab/>
        <w:t>Vladimir BOLEA</w:t>
      </w:r>
    </w:p>
    <w:p w:rsidR="0083664F" w:rsidRDefault="0083664F" w:rsidP="006774F1">
      <w:pPr>
        <w:pStyle w:val="a3"/>
        <w:ind w:firstLine="426"/>
        <w:rPr>
          <w:rFonts w:ascii="Times New Roman" w:hAnsi="Times New Roman" w:cs="Times New Roman"/>
          <w:sz w:val="16"/>
          <w:szCs w:val="16"/>
          <w:lang w:val="en-US"/>
        </w:rPr>
      </w:pPr>
    </w:p>
    <w:p w:rsidR="00C90E6D" w:rsidRDefault="00C90E6D" w:rsidP="006774F1">
      <w:pPr>
        <w:pStyle w:val="a3"/>
        <w:ind w:firstLine="426"/>
        <w:rPr>
          <w:rFonts w:ascii="Times New Roman" w:hAnsi="Times New Roman" w:cs="Times New Roman"/>
          <w:sz w:val="16"/>
          <w:szCs w:val="16"/>
          <w:lang w:val="en-US"/>
        </w:rPr>
      </w:pPr>
    </w:p>
    <w:p w:rsidR="00C90E6D" w:rsidRPr="00821F18" w:rsidRDefault="00C90E6D" w:rsidP="006774F1">
      <w:pPr>
        <w:pStyle w:val="a3"/>
        <w:ind w:firstLine="426"/>
        <w:rPr>
          <w:rFonts w:ascii="Times New Roman" w:hAnsi="Times New Roman" w:cs="Times New Roman"/>
          <w:sz w:val="16"/>
          <w:szCs w:val="16"/>
          <w:lang w:val="en-US"/>
        </w:rPr>
      </w:pPr>
    </w:p>
    <w:p w:rsidR="00821F18" w:rsidRPr="00821F18" w:rsidRDefault="00821F18" w:rsidP="006774F1">
      <w:pPr>
        <w:pStyle w:val="a3"/>
        <w:ind w:firstLine="426"/>
        <w:rPr>
          <w:rFonts w:ascii="Times New Roman" w:hAnsi="Times New Roman" w:cs="Times New Roman"/>
          <w:sz w:val="16"/>
          <w:szCs w:val="16"/>
          <w:lang w:val="en-US"/>
        </w:rPr>
      </w:pPr>
    </w:p>
    <w:p w:rsidR="006774F1" w:rsidRPr="006A5B29" w:rsidRDefault="006774F1" w:rsidP="00821F1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6A5B29">
        <w:rPr>
          <w:rFonts w:ascii="Times New Roman" w:hAnsi="Times New Roman" w:cs="Times New Roman"/>
          <w:i/>
          <w:sz w:val="20"/>
          <w:szCs w:val="20"/>
        </w:rPr>
        <w:t>Ex.: Maria Leahu,</w:t>
      </w:r>
    </w:p>
    <w:p w:rsidR="00FB5B07" w:rsidRPr="006A5B29" w:rsidRDefault="006774F1" w:rsidP="00821F18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6A5B29">
        <w:rPr>
          <w:rFonts w:ascii="Times New Roman" w:hAnsi="Times New Roman" w:cs="Times New Roman"/>
          <w:i/>
          <w:sz w:val="20"/>
          <w:szCs w:val="20"/>
        </w:rPr>
        <w:t>Tel.: 022 204 5</w:t>
      </w:r>
      <w:r w:rsidR="00035CE3">
        <w:rPr>
          <w:rFonts w:ascii="Times New Roman" w:hAnsi="Times New Roman" w:cs="Times New Roman"/>
          <w:i/>
          <w:sz w:val="20"/>
          <w:szCs w:val="20"/>
        </w:rPr>
        <w:t>40</w:t>
      </w:r>
      <w:r w:rsidR="00052A52" w:rsidRPr="006A5B29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B5B07" w:rsidRPr="006A5B29" w:rsidSect="00817BAD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3CC4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383B9A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BF502A"/>
    <w:multiLevelType w:val="hybridMultilevel"/>
    <w:tmpl w:val="7BA29868"/>
    <w:lvl w:ilvl="0" w:tplc="60700FCC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843553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1F5877"/>
    <w:multiLevelType w:val="hybridMultilevel"/>
    <w:tmpl w:val="D7FA4C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171A6"/>
    <w:multiLevelType w:val="hybridMultilevel"/>
    <w:tmpl w:val="098A4F7C"/>
    <w:lvl w:ilvl="0" w:tplc="B850548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817CB1"/>
    <w:multiLevelType w:val="hybridMultilevel"/>
    <w:tmpl w:val="58AAD444"/>
    <w:lvl w:ilvl="0" w:tplc="D15C691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D62E38"/>
    <w:multiLevelType w:val="hybridMultilevel"/>
    <w:tmpl w:val="7C822472"/>
    <w:lvl w:ilvl="0" w:tplc="5AB09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45920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EB"/>
    <w:rsid w:val="000155E2"/>
    <w:rsid w:val="00016AA5"/>
    <w:rsid w:val="00031639"/>
    <w:rsid w:val="0003270B"/>
    <w:rsid w:val="00034C9B"/>
    <w:rsid w:val="0003558E"/>
    <w:rsid w:val="00035CE3"/>
    <w:rsid w:val="00044542"/>
    <w:rsid w:val="00052A52"/>
    <w:rsid w:val="00053074"/>
    <w:rsid w:val="000978E5"/>
    <w:rsid w:val="000A3406"/>
    <w:rsid w:val="000C3060"/>
    <w:rsid w:val="000D21C1"/>
    <w:rsid w:val="000D64D4"/>
    <w:rsid w:val="000E002E"/>
    <w:rsid w:val="000E5022"/>
    <w:rsid w:val="00105262"/>
    <w:rsid w:val="0010699A"/>
    <w:rsid w:val="00110364"/>
    <w:rsid w:val="00135DD3"/>
    <w:rsid w:val="00190770"/>
    <w:rsid w:val="00191A6B"/>
    <w:rsid w:val="001A1FD3"/>
    <w:rsid w:val="001A5E50"/>
    <w:rsid w:val="001B7229"/>
    <w:rsid w:val="001D716B"/>
    <w:rsid w:val="001E0F4C"/>
    <w:rsid w:val="001E6616"/>
    <w:rsid w:val="00200CC9"/>
    <w:rsid w:val="002029FC"/>
    <w:rsid w:val="002035B2"/>
    <w:rsid w:val="00203D22"/>
    <w:rsid w:val="00212AFF"/>
    <w:rsid w:val="00251BC0"/>
    <w:rsid w:val="00253CEA"/>
    <w:rsid w:val="002652BE"/>
    <w:rsid w:val="00265C11"/>
    <w:rsid w:val="00283C2A"/>
    <w:rsid w:val="00286037"/>
    <w:rsid w:val="00293C9D"/>
    <w:rsid w:val="002B1427"/>
    <w:rsid w:val="002B1B1F"/>
    <w:rsid w:val="002B417F"/>
    <w:rsid w:val="002B6BF6"/>
    <w:rsid w:val="002C4C9D"/>
    <w:rsid w:val="00302A18"/>
    <w:rsid w:val="00304449"/>
    <w:rsid w:val="00305C2F"/>
    <w:rsid w:val="003442C2"/>
    <w:rsid w:val="003443AE"/>
    <w:rsid w:val="003519B6"/>
    <w:rsid w:val="00354205"/>
    <w:rsid w:val="00354650"/>
    <w:rsid w:val="00357054"/>
    <w:rsid w:val="00373F63"/>
    <w:rsid w:val="003936B7"/>
    <w:rsid w:val="00396A80"/>
    <w:rsid w:val="003C0EEB"/>
    <w:rsid w:val="003C3EA3"/>
    <w:rsid w:val="003D127B"/>
    <w:rsid w:val="003F5E92"/>
    <w:rsid w:val="00401DDF"/>
    <w:rsid w:val="00404DA4"/>
    <w:rsid w:val="00423BE9"/>
    <w:rsid w:val="00435AAF"/>
    <w:rsid w:val="0043721C"/>
    <w:rsid w:val="00442B64"/>
    <w:rsid w:val="00455D77"/>
    <w:rsid w:val="00461DB3"/>
    <w:rsid w:val="004742EF"/>
    <w:rsid w:val="00477ED5"/>
    <w:rsid w:val="00484DB2"/>
    <w:rsid w:val="00485C66"/>
    <w:rsid w:val="00486FEB"/>
    <w:rsid w:val="00487303"/>
    <w:rsid w:val="004C52A2"/>
    <w:rsid w:val="004F1C6C"/>
    <w:rsid w:val="00505E22"/>
    <w:rsid w:val="0051551A"/>
    <w:rsid w:val="00531757"/>
    <w:rsid w:val="00533C65"/>
    <w:rsid w:val="00552F9B"/>
    <w:rsid w:val="005570BB"/>
    <w:rsid w:val="0056775B"/>
    <w:rsid w:val="0058012A"/>
    <w:rsid w:val="00583356"/>
    <w:rsid w:val="0059069A"/>
    <w:rsid w:val="00592F8C"/>
    <w:rsid w:val="005A6C93"/>
    <w:rsid w:val="005A70E2"/>
    <w:rsid w:val="005B2FA4"/>
    <w:rsid w:val="005C4F7F"/>
    <w:rsid w:val="005D3913"/>
    <w:rsid w:val="005E2C61"/>
    <w:rsid w:val="005E2CE8"/>
    <w:rsid w:val="005F232D"/>
    <w:rsid w:val="005F345D"/>
    <w:rsid w:val="005F4DA9"/>
    <w:rsid w:val="00600FD2"/>
    <w:rsid w:val="006135A2"/>
    <w:rsid w:val="006312E9"/>
    <w:rsid w:val="00633DD2"/>
    <w:rsid w:val="006445BE"/>
    <w:rsid w:val="00651AB5"/>
    <w:rsid w:val="00674B35"/>
    <w:rsid w:val="006774F1"/>
    <w:rsid w:val="006860DF"/>
    <w:rsid w:val="0068747B"/>
    <w:rsid w:val="00694383"/>
    <w:rsid w:val="006966FD"/>
    <w:rsid w:val="006A4773"/>
    <w:rsid w:val="006A583F"/>
    <w:rsid w:val="006A5B29"/>
    <w:rsid w:val="006B64CF"/>
    <w:rsid w:val="006D1EC1"/>
    <w:rsid w:val="006E154F"/>
    <w:rsid w:val="006E619E"/>
    <w:rsid w:val="006F271A"/>
    <w:rsid w:val="00714139"/>
    <w:rsid w:val="00714EBC"/>
    <w:rsid w:val="0075681E"/>
    <w:rsid w:val="007A5C64"/>
    <w:rsid w:val="007B777A"/>
    <w:rsid w:val="007C34C7"/>
    <w:rsid w:val="007C79C0"/>
    <w:rsid w:val="007D75C9"/>
    <w:rsid w:val="007E7138"/>
    <w:rsid w:val="007E7A6F"/>
    <w:rsid w:val="007F0028"/>
    <w:rsid w:val="007F3DCB"/>
    <w:rsid w:val="007F5C63"/>
    <w:rsid w:val="007F784B"/>
    <w:rsid w:val="00801F3B"/>
    <w:rsid w:val="00816506"/>
    <w:rsid w:val="00817BAD"/>
    <w:rsid w:val="008214CC"/>
    <w:rsid w:val="00821F18"/>
    <w:rsid w:val="0083664F"/>
    <w:rsid w:val="00840FFD"/>
    <w:rsid w:val="00841E4B"/>
    <w:rsid w:val="00843CE1"/>
    <w:rsid w:val="00852165"/>
    <w:rsid w:val="00862533"/>
    <w:rsid w:val="00876D54"/>
    <w:rsid w:val="0088003E"/>
    <w:rsid w:val="00882E93"/>
    <w:rsid w:val="00883880"/>
    <w:rsid w:val="008A26FE"/>
    <w:rsid w:val="008A5B0A"/>
    <w:rsid w:val="008A7513"/>
    <w:rsid w:val="008B1819"/>
    <w:rsid w:val="008B3D9C"/>
    <w:rsid w:val="008B5783"/>
    <w:rsid w:val="008C5B79"/>
    <w:rsid w:val="008D0D76"/>
    <w:rsid w:val="008D1FD6"/>
    <w:rsid w:val="008D560C"/>
    <w:rsid w:val="008E3470"/>
    <w:rsid w:val="008F0A61"/>
    <w:rsid w:val="009007B8"/>
    <w:rsid w:val="00901294"/>
    <w:rsid w:val="00902038"/>
    <w:rsid w:val="00933BE2"/>
    <w:rsid w:val="0095752E"/>
    <w:rsid w:val="00981C5B"/>
    <w:rsid w:val="009A0E0D"/>
    <w:rsid w:val="009A2E7D"/>
    <w:rsid w:val="009B6AAD"/>
    <w:rsid w:val="009D20BD"/>
    <w:rsid w:val="009D2CA8"/>
    <w:rsid w:val="009D5F96"/>
    <w:rsid w:val="009D734B"/>
    <w:rsid w:val="009E6C16"/>
    <w:rsid w:val="009F3015"/>
    <w:rsid w:val="009F6832"/>
    <w:rsid w:val="00A23DF2"/>
    <w:rsid w:val="00A30B52"/>
    <w:rsid w:val="00A538C6"/>
    <w:rsid w:val="00A54C02"/>
    <w:rsid w:val="00A54CF6"/>
    <w:rsid w:val="00A559AF"/>
    <w:rsid w:val="00A64BF9"/>
    <w:rsid w:val="00A74930"/>
    <w:rsid w:val="00A76EC4"/>
    <w:rsid w:val="00A90F1E"/>
    <w:rsid w:val="00A9689A"/>
    <w:rsid w:val="00AA25DE"/>
    <w:rsid w:val="00AA7650"/>
    <w:rsid w:val="00AB0B42"/>
    <w:rsid w:val="00AC7944"/>
    <w:rsid w:val="00AE366D"/>
    <w:rsid w:val="00AF7676"/>
    <w:rsid w:val="00B01798"/>
    <w:rsid w:val="00B05773"/>
    <w:rsid w:val="00B119CA"/>
    <w:rsid w:val="00B404B6"/>
    <w:rsid w:val="00B506B6"/>
    <w:rsid w:val="00B717B0"/>
    <w:rsid w:val="00B75824"/>
    <w:rsid w:val="00B87A89"/>
    <w:rsid w:val="00BA1D8C"/>
    <w:rsid w:val="00BC5688"/>
    <w:rsid w:val="00BD1209"/>
    <w:rsid w:val="00BE3716"/>
    <w:rsid w:val="00C00D97"/>
    <w:rsid w:val="00C0500F"/>
    <w:rsid w:val="00C05BBC"/>
    <w:rsid w:val="00C151CE"/>
    <w:rsid w:val="00C15DEB"/>
    <w:rsid w:val="00C37015"/>
    <w:rsid w:val="00C37520"/>
    <w:rsid w:val="00C533A6"/>
    <w:rsid w:val="00C551C9"/>
    <w:rsid w:val="00C61643"/>
    <w:rsid w:val="00C70BA5"/>
    <w:rsid w:val="00C77552"/>
    <w:rsid w:val="00C77F1F"/>
    <w:rsid w:val="00C87DE8"/>
    <w:rsid w:val="00C90E6D"/>
    <w:rsid w:val="00C9635A"/>
    <w:rsid w:val="00CA11A5"/>
    <w:rsid w:val="00CE3264"/>
    <w:rsid w:val="00CE4E30"/>
    <w:rsid w:val="00CF01E2"/>
    <w:rsid w:val="00D06090"/>
    <w:rsid w:val="00D1070B"/>
    <w:rsid w:val="00D17A35"/>
    <w:rsid w:val="00D252CC"/>
    <w:rsid w:val="00D30D2C"/>
    <w:rsid w:val="00D371A8"/>
    <w:rsid w:val="00D57398"/>
    <w:rsid w:val="00D67604"/>
    <w:rsid w:val="00D72B66"/>
    <w:rsid w:val="00D76F35"/>
    <w:rsid w:val="00D856B1"/>
    <w:rsid w:val="00D8590B"/>
    <w:rsid w:val="00D92294"/>
    <w:rsid w:val="00DB20B3"/>
    <w:rsid w:val="00DB25E4"/>
    <w:rsid w:val="00DD5554"/>
    <w:rsid w:val="00DD5ED2"/>
    <w:rsid w:val="00DE6B4B"/>
    <w:rsid w:val="00DE714C"/>
    <w:rsid w:val="00DE79CC"/>
    <w:rsid w:val="00DF0C38"/>
    <w:rsid w:val="00DF5566"/>
    <w:rsid w:val="00E265EC"/>
    <w:rsid w:val="00E41F6B"/>
    <w:rsid w:val="00E43756"/>
    <w:rsid w:val="00E43BF5"/>
    <w:rsid w:val="00E46302"/>
    <w:rsid w:val="00E53DA7"/>
    <w:rsid w:val="00E65901"/>
    <w:rsid w:val="00E84C70"/>
    <w:rsid w:val="00EA5D19"/>
    <w:rsid w:val="00EB6A8A"/>
    <w:rsid w:val="00EC4F71"/>
    <w:rsid w:val="00EC614C"/>
    <w:rsid w:val="00EC649C"/>
    <w:rsid w:val="00EC6634"/>
    <w:rsid w:val="00ED2C77"/>
    <w:rsid w:val="00EE20ED"/>
    <w:rsid w:val="00EE4231"/>
    <w:rsid w:val="00EF5DDA"/>
    <w:rsid w:val="00F06E5F"/>
    <w:rsid w:val="00F07C43"/>
    <w:rsid w:val="00F23432"/>
    <w:rsid w:val="00F3249C"/>
    <w:rsid w:val="00F43C39"/>
    <w:rsid w:val="00F52246"/>
    <w:rsid w:val="00F5404A"/>
    <w:rsid w:val="00F83ACE"/>
    <w:rsid w:val="00F87C82"/>
    <w:rsid w:val="00FA18A5"/>
    <w:rsid w:val="00FA3E03"/>
    <w:rsid w:val="00FB1237"/>
    <w:rsid w:val="00FB5B07"/>
    <w:rsid w:val="00FD1DE0"/>
    <w:rsid w:val="00FE450B"/>
    <w:rsid w:val="00FE4D99"/>
    <w:rsid w:val="00FF1655"/>
    <w:rsid w:val="00FF3937"/>
    <w:rsid w:val="00FF4D6D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B0DA0-68E6-4F57-86E2-2CA5AC66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FEB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486FEB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 Spacing"/>
    <w:link w:val="a4"/>
    <w:uiPriority w:val="1"/>
    <w:qFormat/>
    <w:rsid w:val="00486FEB"/>
    <w:pPr>
      <w:spacing w:after="0" w:line="240" w:lineRule="auto"/>
    </w:pPr>
    <w:rPr>
      <w:lang w:val="ro-RO"/>
    </w:rPr>
  </w:style>
  <w:style w:type="table" w:styleId="a5">
    <w:name w:val="Table Grid"/>
    <w:basedOn w:val="a1"/>
    <w:uiPriority w:val="59"/>
    <w:rsid w:val="0048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486FEB"/>
    <w:rPr>
      <w:lang w:val="ro-RO"/>
    </w:rPr>
  </w:style>
  <w:style w:type="character" w:customStyle="1" w:styleId="2">
    <w:name w:val="Основной текст (2)"/>
    <w:basedOn w:val="a0"/>
    <w:rsid w:val="00486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docheader">
    <w:name w:val="doc_header"/>
    <w:basedOn w:val="a0"/>
    <w:rsid w:val="002B417F"/>
  </w:style>
  <w:style w:type="character" w:customStyle="1" w:styleId="1">
    <w:name w:val="Заголовок №1"/>
    <w:basedOn w:val="a0"/>
    <w:rsid w:val="007F0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o-RO" w:eastAsia="ro-RO" w:bidi="ro-RO"/>
    </w:rPr>
  </w:style>
  <w:style w:type="character" w:customStyle="1" w:styleId="20">
    <w:name w:val="Основной текст (2) + Курсив"/>
    <w:rsid w:val="005A6C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styleId="a6">
    <w:name w:val="Hyperlink"/>
    <w:basedOn w:val="a0"/>
    <w:uiPriority w:val="99"/>
    <w:unhideWhenUsed/>
    <w:rsid w:val="00C151C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14EB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1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EBC"/>
    <w:rPr>
      <w:rFonts w:ascii="Segoe UI" w:hAnsi="Segoe UI" w:cs="Segoe UI"/>
      <w:sz w:val="18"/>
      <w:szCs w:val="18"/>
      <w:lang w:val="ro-RO"/>
    </w:rPr>
  </w:style>
  <w:style w:type="paragraph" w:styleId="aa">
    <w:name w:val="List Paragraph"/>
    <w:basedOn w:val="a"/>
    <w:uiPriority w:val="34"/>
    <w:qFormat/>
    <w:rsid w:val="00AF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6FA4-A427-4CF1-A55E-4AAC5CBC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Sandu</dc:creator>
  <cp:keywords/>
  <dc:description/>
  <cp:lastModifiedBy>Maria Leahu</cp:lastModifiedBy>
  <cp:revision>2</cp:revision>
  <cp:lastPrinted>2021-12-29T05:43:00Z</cp:lastPrinted>
  <dcterms:created xsi:type="dcterms:W3CDTF">2023-05-31T19:45:00Z</dcterms:created>
  <dcterms:modified xsi:type="dcterms:W3CDTF">2023-05-31T19:45:00Z</dcterms:modified>
</cp:coreProperties>
</file>