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2D" w:rsidRPr="007C2592" w:rsidRDefault="006A0C2D" w:rsidP="00F95556">
      <w:pPr>
        <w:pStyle w:val="a6"/>
        <w:jc w:val="center"/>
        <w:rPr>
          <w:rFonts w:ascii="Times New Roman" w:hAnsi="Times New Roman"/>
          <w:b/>
          <w:sz w:val="24"/>
          <w:szCs w:val="24"/>
          <w:lang w:val="ro-MD" w:eastAsia="ru-RU"/>
        </w:rPr>
      </w:pPr>
      <w:r w:rsidRPr="007C2592">
        <w:rPr>
          <w:rFonts w:ascii="Times New Roman" w:hAnsi="Times New Roman"/>
          <w:b/>
          <w:sz w:val="24"/>
          <w:szCs w:val="24"/>
          <w:lang w:val="ro-MD" w:eastAsia="ru-RU"/>
        </w:rPr>
        <w:t>Notă informativă</w:t>
      </w:r>
    </w:p>
    <w:p w:rsidR="006A0C2D" w:rsidRPr="007C2592" w:rsidRDefault="006A0C2D" w:rsidP="00F95556">
      <w:pPr>
        <w:pBdr>
          <w:bottom w:val="single" w:sz="12" w:space="9" w:color="auto"/>
        </w:pBdr>
        <w:spacing w:after="0" w:line="240" w:lineRule="auto"/>
        <w:ind w:right="180" w:hanging="63"/>
        <w:jc w:val="center"/>
        <w:rPr>
          <w:rFonts w:ascii="Times New Roman" w:hAnsi="Times New Roman"/>
          <w:b/>
          <w:i/>
          <w:sz w:val="24"/>
          <w:szCs w:val="24"/>
          <w:lang w:val="ro-MD"/>
        </w:rPr>
      </w:pPr>
      <w:r w:rsidRPr="007C2592">
        <w:rPr>
          <w:rFonts w:ascii="Times New Roman" w:hAnsi="Times New Roman"/>
          <w:b/>
          <w:sz w:val="24"/>
          <w:szCs w:val="24"/>
          <w:lang w:val="ro-MD" w:eastAsia="ru-RU"/>
        </w:rPr>
        <w:t xml:space="preserve">la proiectul Hotărârii Guvernului </w:t>
      </w:r>
      <w:r w:rsidR="008876FF" w:rsidRPr="007C2592">
        <w:rPr>
          <w:rFonts w:ascii="Times New Roman" w:hAnsi="Times New Roman"/>
          <w:b/>
          <w:i/>
          <w:sz w:val="24"/>
          <w:szCs w:val="24"/>
          <w:lang w:val="ro-MD"/>
        </w:rPr>
        <w:t xml:space="preserve">cu privire la acordul trecerii unor bunuri din domeniul public în domeniul privat al unităților administrativ-teritoriale </w:t>
      </w:r>
    </w:p>
    <w:p w:rsidR="006A0C2D" w:rsidRPr="007C2592" w:rsidRDefault="006A0C2D" w:rsidP="00F95556">
      <w:pPr>
        <w:pStyle w:val="a6"/>
        <w:ind w:firstLine="540"/>
        <w:jc w:val="center"/>
        <w:rPr>
          <w:rFonts w:ascii="Times New Roman" w:hAnsi="Times New Roman"/>
          <w:sz w:val="24"/>
          <w:szCs w:val="24"/>
          <w:lang w:val="ro-MD" w:eastAsia="ru-RU"/>
        </w:rPr>
      </w:pPr>
    </w:p>
    <w:tbl>
      <w:tblPr>
        <w:tblW w:w="5392" w:type="pct"/>
        <w:tblCellSpacing w:w="15" w:type="dxa"/>
        <w:tblInd w:w="-284" w:type="dxa"/>
        <w:tblCellMar>
          <w:top w:w="15" w:type="dxa"/>
          <w:left w:w="15" w:type="dxa"/>
          <w:bottom w:w="15" w:type="dxa"/>
          <w:right w:w="15" w:type="dxa"/>
        </w:tblCellMar>
        <w:tblLook w:val="04A0" w:firstRow="1" w:lastRow="0" w:firstColumn="1" w:lastColumn="0" w:noHBand="0" w:noVBand="1"/>
      </w:tblPr>
      <w:tblGrid>
        <w:gridCol w:w="189"/>
        <w:gridCol w:w="9978"/>
        <w:gridCol w:w="201"/>
      </w:tblGrid>
      <w:tr w:rsidR="006A0C2D" w:rsidRPr="00440141" w:rsidTr="00F95556">
        <w:trPr>
          <w:tblCellSpacing w:w="15" w:type="dxa"/>
        </w:trPr>
        <w:tc>
          <w:tcPr>
            <w:tcW w:w="4971" w:type="pct"/>
            <w:gridSpan w:val="3"/>
            <w:tcBorders>
              <w:top w:val="nil"/>
              <w:left w:val="nil"/>
              <w:bottom w:val="nil"/>
              <w:right w:val="nil"/>
            </w:tcBorders>
            <w:tcMar>
              <w:top w:w="15" w:type="dxa"/>
              <w:left w:w="15" w:type="dxa"/>
              <w:bottom w:w="15" w:type="dxa"/>
              <w:right w:w="221" w:type="dxa"/>
            </w:tcMar>
            <w:hideMark/>
          </w:tcPr>
          <w:p w:rsidR="006A0C2D" w:rsidRPr="007C2592" w:rsidRDefault="006A0C2D" w:rsidP="00F9555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t xml:space="preserve">1. Denumirea autorului şi, după caz, a participanţilor la elaborarea proiectului. </w:t>
            </w:r>
          </w:p>
        </w:tc>
      </w:tr>
      <w:tr w:rsidR="006A0C2D" w:rsidRPr="00440141" w:rsidTr="004B4D66">
        <w:trPr>
          <w:gridBefore w:val="1"/>
          <w:gridAfter w:val="1"/>
          <w:wBefore w:w="70" w:type="pct"/>
          <w:wAfter w:w="47" w:type="pct"/>
          <w:tblCellSpacing w:w="15" w:type="dxa"/>
        </w:trPr>
        <w:tc>
          <w:tcPr>
            <w:tcW w:w="4825" w:type="pct"/>
            <w:tcBorders>
              <w:top w:val="nil"/>
              <w:left w:val="nil"/>
              <w:bottom w:val="nil"/>
              <w:right w:val="nil"/>
            </w:tcBorders>
            <w:tcMar>
              <w:top w:w="15" w:type="dxa"/>
              <w:left w:w="15" w:type="dxa"/>
              <w:bottom w:w="15" w:type="dxa"/>
              <w:right w:w="221" w:type="dxa"/>
            </w:tcMar>
            <w:hideMark/>
          </w:tcPr>
          <w:p w:rsidR="006A0C2D" w:rsidRPr="007C2592" w:rsidRDefault="006A0C2D" w:rsidP="00C15B41">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Proiectul Hotărârii Guvernului cu privire la acordul trecerii unor bunuri din domeniul public în domeniul privat al unităților administrativ-teritoriale</w:t>
            </w:r>
            <w:r w:rsidR="00F615B6" w:rsidRPr="007C2592">
              <w:rPr>
                <w:rFonts w:ascii="Times New Roman" w:hAnsi="Times New Roman"/>
                <w:noProof/>
                <w:sz w:val="24"/>
                <w:szCs w:val="24"/>
                <w:lang w:val="ro-MD" w:eastAsia="ru-RU"/>
              </w:rPr>
              <w:t xml:space="preserve"> </w:t>
            </w:r>
            <w:r w:rsidRPr="007C2592">
              <w:rPr>
                <w:rFonts w:ascii="Times New Roman" w:hAnsi="Times New Roman"/>
                <w:i/>
                <w:sz w:val="24"/>
                <w:szCs w:val="24"/>
                <w:lang w:val="ro-MD"/>
              </w:rPr>
              <w:t xml:space="preserve"> </w:t>
            </w:r>
            <w:r w:rsidRPr="007C2592">
              <w:rPr>
                <w:rFonts w:ascii="Times New Roman" w:hAnsi="Times New Roman"/>
                <w:noProof/>
                <w:sz w:val="24"/>
                <w:szCs w:val="24"/>
                <w:lang w:val="ro-MD" w:eastAsia="ru-RU"/>
              </w:rPr>
              <w:t xml:space="preserve">a fost elaborat de către Ministerul Educației și Cercetării, în baza deciziilor pozitive ale Comisiei de avizare a raportului de expertiză din </w:t>
            </w:r>
            <w:r w:rsidR="0033214C" w:rsidRPr="007C2592">
              <w:rPr>
                <w:rFonts w:ascii="Times New Roman" w:hAnsi="Times New Roman"/>
                <w:noProof/>
                <w:sz w:val="24"/>
                <w:szCs w:val="24"/>
                <w:lang w:val="ro-MD" w:eastAsia="ru-RU"/>
              </w:rPr>
              <w:t xml:space="preserve">05 ianuarie 2023, </w:t>
            </w:r>
            <w:r w:rsidR="00E86E7A" w:rsidRPr="007C2592">
              <w:rPr>
                <w:rFonts w:ascii="Times New Roman" w:hAnsi="Times New Roman"/>
                <w:noProof/>
                <w:sz w:val="24"/>
                <w:szCs w:val="24"/>
                <w:lang w:val="ro-MD" w:eastAsia="ru-RU"/>
              </w:rPr>
              <w:t>13 februarie 2023</w:t>
            </w:r>
            <w:r w:rsidR="00C15B41">
              <w:rPr>
                <w:rFonts w:ascii="Times New Roman" w:hAnsi="Times New Roman"/>
                <w:noProof/>
                <w:sz w:val="24"/>
                <w:szCs w:val="24"/>
                <w:lang w:val="ro-MD" w:eastAsia="ru-RU"/>
              </w:rPr>
              <w:t>, 27 februarie 2023 și 03 aprilie</w:t>
            </w:r>
            <w:r w:rsidR="0033214C" w:rsidRPr="007C2592">
              <w:rPr>
                <w:rFonts w:ascii="Times New Roman" w:hAnsi="Times New Roman"/>
                <w:noProof/>
                <w:sz w:val="24"/>
                <w:szCs w:val="24"/>
                <w:lang w:val="ro-MD" w:eastAsia="ru-RU"/>
              </w:rPr>
              <w:t xml:space="preserve"> 2023</w:t>
            </w:r>
            <w:r w:rsidRPr="007C2592">
              <w:rPr>
                <w:rFonts w:ascii="Times New Roman" w:hAnsi="Times New Roman"/>
                <w:sz w:val="24"/>
                <w:szCs w:val="24"/>
                <w:lang w:val="ro-MD" w:eastAsia="ru-RU"/>
              </w:rPr>
              <w:t>.</w:t>
            </w:r>
          </w:p>
        </w:tc>
      </w:tr>
      <w:tr w:rsidR="006A0C2D" w:rsidRPr="00440141" w:rsidTr="004B4D66">
        <w:trPr>
          <w:gridBefore w:val="1"/>
          <w:gridAfter w:val="1"/>
          <w:wBefore w:w="70" w:type="pct"/>
          <w:wAfter w:w="47" w:type="pct"/>
          <w:tblCellSpacing w:w="15" w:type="dxa"/>
        </w:trPr>
        <w:tc>
          <w:tcPr>
            <w:tcW w:w="4825" w:type="pct"/>
            <w:tcBorders>
              <w:top w:val="nil"/>
              <w:left w:val="nil"/>
              <w:bottom w:val="nil"/>
              <w:right w:val="nil"/>
            </w:tcBorders>
            <w:tcMar>
              <w:top w:w="15" w:type="dxa"/>
              <w:left w:w="15" w:type="dxa"/>
              <w:bottom w:w="15" w:type="dxa"/>
              <w:right w:w="221" w:type="dxa"/>
            </w:tcMar>
            <w:hideMark/>
          </w:tcPr>
          <w:p w:rsidR="006A0C2D" w:rsidRPr="007C2592" w:rsidRDefault="006A0C2D" w:rsidP="004B4D6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t>2. Condiţiile ce au impus elaborarea proiectului de act normativ şi finalităţile urmărite.</w:t>
            </w:r>
          </w:p>
        </w:tc>
      </w:tr>
      <w:tr w:rsidR="006A0C2D" w:rsidRPr="00440141" w:rsidTr="004B4D66">
        <w:trPr>
          <w:gridBefore w:val="1"/>
          <w:gridAfter w:val="1"/>
          <w:wBefore w:w="70" w:type="pct"/>
          <w:wAfter w:w="47" w:type="pct"/>
          <w:tblCellSpacing w:w="15" w:type="dxa"/>
        </w:trPr>
        <w:tc>
          <w:tcPr>
            <w:tcW w:w="4825" w:type="pct"/>
            <w:tcBorders>
              <w:top w:val="nil"/>
              <w:left w:val="nil"/>
              <w:bottom w:val="nil"/>
              <w:right w:val="nil"/>
            </w:tcBorders>
            <w:tcMar>
              <w:top w:w="15" w:type="dxa"/>
              <w:left w:w="15" w:type="dxa"/>
              <w:bottom w:w="15" w:type="dxa"/>
              <w:right w:w="221" w:type="dxa"/>
            </w:tcMar>
            <w:hideMark/>
          </w:tcPr>
          <w:p w:rsidR="006A0C2D" w:rsidRPr="007C2592" w:rsidRDefault="006A0C2D" w:rsidP="004B4D6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Articolul 146 alin.(4) al Codului educaţiei nr.152/2014, prevede că „</w:t>
            </w:r>
            <w:r w:rsidRPr="007C2592">
              <w:rPr>
                <w:rFonts w:ascii="Times New Roman" w:hAnsi="Times New Roman"/>
                <w:i/>
                <w:noProof/>
                <w:sz w:val="24"/>
                <w:szCs w:val="24"/>
                <w:lang w:val="ro-MD" w:eastAsia="ru-RU"/>
              </w:rPr>
              <w:t>transferul (trecerea) bunurilor din domeniul public al unităţii administrativ-teritoriale în domeniul privat al unităţii administrativ-teritoriale se realizează prin decizii ale consiliului satului (comunei), oraşului, raionului, municipiului, ale Adunării Populare a Găgăuziei, cu acordul prealabil al Guvernului. Transferul bunurilor din domeniul public al statului în domeniul privat al statului se realizează prin hotărâre de Guvern. Adoptarea deciziilor respective este precedată de realizarea unui raport de expertiză prin care se demonstrează încetarea necesităţii de aflare a bunurilor respective în domeniul public. Metodologia de realizare a raportului de expertiză se aprobă de Guvern</w:t>
            </w:r>
            <w:r w:rsidRPr="007C2592">
              <w:rPr>
                <w:rFonts w:ascii="Times New Roman" w:hAnsi="Times New Roman"/>
                <w:noProof/>
                <w:sz w:val="24"/>
                <w:szCs w:val="24"/>
                <w:lang w:val="ro-MD" w:eastAsia="ru-RU"/>
              </w:rPr>
              <w:t>”.</w:t>
            </w:r>
          </w:p>
          <w:p w:rsidR="006A0C2D" w:rsidRPr="007C2592" w:rsidRDefault="006A0C2D" w:rsidP="004B4D66">
            <w:pPr>
              <w:pStyle w:val="a6"/>
              <w:ind w:left="45" w:right="52" w:firstLine="540"/>
              <w:jc w:val="both"/>
              <w:rPr>
                <w:rFonts w:ascii="Times New Roman" w:hAnsi="Times New Roman"/>
                <w:i/>
                <w:noProof/>
                <w:sz w:val="24"/>
                <w:szCs w:val="24"/>
                <w:lang w:val="ro-MD" w:eastAsia="ru-RU"/>
              </w:rPr>
            </w:pPr>
            <w:r w:rsidRPr="007C2592">
              <w:rPr>
                <w:rFonts w:ascii="Times New Roman" w:hAnsi="Times New Roman"/>
                <w:noProof/>
                <w:sz w:val="24"/>
                <w:szCs w:val="24"/>
                <w:lang w:val="ro-MD" w:eastAsia="ru-RU"/>
              </w:rPr>
              <w:t xml:space="preserve">În conformitate cu Hotărârea Guvernului nr.314/2018 a fost aprobată </w:t>
            </w:r>
            <w:r w:rsidRPr="007C2592">
              <w:rPr>
                <w:rFonts w:ascii="Times New Roman" w:hAnsi="Times New Roman"/>
                <w:i/>
                <w:noProof/>
                <w:sz w:val="24"/>
                <w:szCs w:val="24"/>
                <w:lang w:val="ro-MD" w:eastAsia="ru-RU"/>
              </w:rPr>
              <w:t xml:space="preserve">Metodologia de realizare a raportului de expertiză privind încetarea necesității menținerii în domeniul public a unor bunuri imobile destinate domeniului educației </w:t>
            </w:r>
            <w:r w:rsidRPr="007C2592">
              <w:rPr>
                <w:rFonts w:ascii="Times New Roman" w:hAnsi="Times New Roman"/>
                <w:noProof/>
                <w:sz w:val="24"/>
                <w:szCs w:val="24"/>
                <w:lang w:val="ro-MD" w:eastAsia="ru-RU"/>
              </w:rPr>
              <w:t>(în continuare Metodologia)</w:t>
            </w:r>
            <w:r w:rsidRPr="007C2592">
              <w:rPr>
                <w:rFonts w:ascii="Times New Roman" w:hAnsi="Times New Roman"/>
                <w:i/>
                <w:noProof/>
                <w:sz w:val="24"/>
                <w:szCs w:val="24"/>
                <w:lang w:val="ro-MD" w:eastAsia="ru-RU"/>
              </w:rPr>
              <w:t>.</w:t>
            </w:r>
          </w:p>
          <w:p w:rsidR="006A0C2D" w:rsidRPr="007C2592" w:rsidRDefault="006A0C2D" w:rsidP="004B4D6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Potrivit pct. 17 din Metodologie „</w:t>
            </w:r>
            <w:r w:rsidRPr="007C2592">
              <w:rPr>
                <w:rFonts w:ascii="Times New Roman" w:hAnsi="Times New Roman"/>
                <w:i/>
                <w:noProof/>
                <w:sz w:val="24"/>
                <w:szCs w:val="24"/>
                <w:lang w:val="ro-MD" w:eastAsia="ru-RU"/>
              </w:rPr>
              <w:t>Comisia examinează raportul de expertiză sub aspectul plenitudinii şi corectitudinii informației prezentate de fondator. În acest sens, comisia are dreptul să solicite informații de la orice instituție sau autoritate publică în scopul verificării corectitudinii datelor indicate în raportul de expertiză</w:t>
            </w:r>
            <w:r w:rsidRPr="007C2592">
              <w:rPr>
                <w:rFonts w:ascii="Times New Roman" w:hAnsi="Times New Roman"/>
                <w:noProof/>
                <w:sz w:val="24"/>
                <w:szCs w:val="24"/>
                <w:lang w:val="ro-MD" w:eastAsia="ru-RU"/>
              </w:rPr>
              <w:t>”.</w:t>
            </w:r>
          </w:p>
          <w:p w:rsidR="006A0C2D" w:rsidRPr="007C2592" w:rsidRDefault="006A0C2D" w:rsidP="004B4D66">
            <w:pPr>
              <w:pStyle w:val="a6"/>
              <w:ind w:left="45" w:right="52" w:firstLine="540"/>
              <w:jc w:val="both"/>
              <w:rPr>
                <w:rFonts w:ascii="Times New Roman" w:hAnsi="Times New Roman"/>
                <w:i/>
                <w:noProof/>
                <w:sz w:val="24"/>
                <w:szCs w:val="24"/>
                <w:lang w:val="ro-MD" w:eastAsia="ru-RU"/>
              </w:rPr>
            </w:pPr>
            <w:r w:rsidRPr="007C2592">
              <w:rPr>
                <w:rFonts w:ascii="Times New Roman" w:hAnsi="Times New Roman"/>
                <w:noProof/>
                <w:sz w:val="24"/>
                <w:szCs w:val="24"/>
                <w:lang w:val="ro-MD" w:eastAsia="ru-RU"/>
              </w:rPr>
              <w:t>În corespundere cu pct.19 din Metodologie „</w:t>
            </w:r>
            <w:r w:rsidRPr="007C2592">
              <w:rPr>
                <w:rFonts w:ascii="Times New Roman" w:hAnsi="Times New Roman"/>
                <w:i/>
                <w:noProof/>
                <w:sz w:val="24"/>
                <w:szCs w:val="24"/>
                <w:lang w:val="ro-MD" w:eastAsia="ru-RU"/>
              </w:rPr>
              <w:t>raportul de expertiză este avizat negativ în cazurile în care:</w:t>
            </w:r>
          </w:p>
          <w:p w:rsidR="006A0C2D" w:rsidRPr="007C2592" w:rsidRDefault="006A0C2D" w:rsidP="004B4D66">
            <w:pPr>
              <w:pStyle w:val="a6"/>
              <w:ind w:left="45" w:right="52" w:firstLine="540"/>
              <w:jc w:val="both"/>
              <w:rPr>
                <w:rFonts w:ascii="Times New Roman" w:hAnsi="Times New Roman"/>
                <w:i/>
                <w:noProof/>
                <w:sz w:val="24"/>
                <w:szCs w:val="24"/>
                <w:lang w:val="ro-MD" w:eastAsia="ru-RU"/>
              </w:rPr>
            </w:pPr>
            <w:r w:rsidRPr="007C2592">
              <w:rPr>
                <w:rFonts w:ascii="Times New Roman" w:hAnsi="Times New Roman"/>
                <w:i/>
                <w:noProof/>
                <w:sz w:val="24"/>
                <w:szCs w:val="24"/>
                <w:lang w:val="ro-MD" w:eastAsia="ru-RU"/>
              </w:rPr>
              <w:t>1) în urma verificării s-a constatat că raportul de expertiză conține informații eronate;</w:t>
            </w:r>
          </w:p>
          <w:p w:rsidR="006A0C2D" w:rsidRPr="007C2592" w:rsidRDefault="006A0C2D" w:rsidP="004B4D66">
            <w:pPr>
              <w:pStyle w:val="a6"/>
              <w:ind w:left="45" w:right="52" w:firstLine="540"/>
              <w:jc w:val="both"/>
              <w:rPr>
                <w:rFonts w:ascii="Times New Roman" w:hAnsi="Times New Roman"/>
                <w:noProof/>
                <w:sz w:val="24"/>
                <w:szCs w:val="24"/>
                <w:lang w:val="ro-MD" w:eastAsia="ru-RU"/>
              </w:rPr>
            </w:pPr>
            <w:r w:rsidRPr="007C2592">
              <w:rPr>
                <w:rFonts w:ascii="Times New Roman" w:hAnsi="Times New Roman"/>
                <w:i/>
                <w:noProof/>
                <w:sz w:val="24"/>
                <w:szCs w:val="24"/>
                <w:lang w:val="ro-MD" w:eastAsia="ru-RU"/>
              </w:rPr>
              <w:t>2) bunul expertizat constituie clădiri destinate instruirii ce s-au aflat în gestiunea unei instituții de învățământ de tip unic în localitatea respectivă (grădiniță, școală primară, gimnaziu, liceu, școală sportivă, școală muzicală), care au fost lichidate cu mai puțin de 5 ani în urmă, iar conform datelor demografice, în următorii 7 ani numărul de beneficiari din localitatea respectivă ar putea îndeplini minimul prevăzut de lege pentru existența instituției</w:t>
            </w:r>
            <w:r w:rsidRPr="007C2592">
              <w:rPr>
                <w:rFonts w:ascii="Times New Roman" w:hAnsi="Times New Roman"/>
                <w:noProof/>
                <w:sz w:val="24"/>
                <w:szCs w:val="24"/>
                <w:lang w:val="ro-MD" w:eastAsia="ru-RU"/>
              </w:rPr>
              <w:t>”.</w:t>
            </w:r>
          </w:p>
          <w:p w:rsidR="006A0C2D" w:rsidRPr="007C2592" w:rsidRDefault="006A0C2D" w:rsidP="004B4D6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De altfel, dacă nu sunt întrunite condițiile de emitere a unui aviz negativ, Comisia de avizare a rapoartelor de expertiză urmează să avizeze pozitiv raportul de expertiză înaintat spre examinare.</w:t>
            </w:r>
          </w:p>
          <w:p w:rsidR="006A0C2D" w:rsidRPr="007C2592" w:rsidRDefault="006A0C2D" w:rsidP="004B4D6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Menționăm că, în rapoartele avizate nu s-au constatat informații eronate.</w:t>
            </w:r>
          </w:p>
          <w:p w:rsidR="006A0C2D" w:rsidRPr="007C2592" w:rsidRDefault="006A0C2D" w:rsidP="004B4D6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Totodată, Comisia de avizare a constatat că rapoartele examinate satisfac condițiile de plenitudine și corectitudine cerute de pct.17 al Metodologiei nominalizate supra.</w:t>
            </w:r>
          </w:p>
          <w:p w:rsidR="00EC3794" w:rsidRPr="007C2592" w:rsidRDefault="00911897" w:rsidP="004B4D66">
            <w:pPr>
              <w:pStyle w:val="a6"/>
              <w:ind w:left="45" w:right="52" w:firstLine="540"/>
              <w:jc w:val="both"/>
              <w:rPr>
                <w:rFonts w:ascii="Times New Roman" w:hAnsi="Times New Roman"/>
                <w:b/>
                <w:sz w:val="24"/>
                <w:szCs w:val="24"/>
                <w:lang w:val="ro-MD"/>
              </w:rPr>
            </w:pPr>
            <w:r w:rsidRPr="007C2592">
              <w:rPr>
                <w:rFonts w:ascii="Times New Roman" w:hAnsi="Times New Roman"/>
                <w:b/>
                <w:noProof/>
                <w:sz w:val="24"/>
                <w:szCs w:val="24"/>
                <w:lang w:val="ro-MD" w:eastAsia="ru-RU"/>
              </w:rPr>
              <w:t>I P</w:t>
            </w:r>
            <w:r w:rsidR="006A0C2D" w:rsidRPr="007C2592">
              <w:rPr>
                <w:rFonts w:ascii="Times New Roman" w:hAnsi="Times New Roman"/>
                <w:b/>
                <w:noProof/>
                <w:sz w:val="24"/>
                <w:szCs w:val="24"/>
                <w:lang w:val="ro-MD" w:eastAsia="ru-RU"/>
              </w:rPr>
              <w:t xml:space="preserve">rivind lipsa necesității de întrebuințare în domeniul educațional </w:t>
            </w:r>
            <w:r w:rsidR="00D030BA" w:rsidRPr="007C2592">
              <w:rPr>
                <w:rFonts w:ascii="Times New Roman" w:hAnsi="Times New Roman"/>
                <w:b/>
                <w:noProof/>
                <w:sz w:val="24"/>
                <w:szCs w:val="24"/>
                <w:lang w:val="ro-MD" w:eastAsia="ru-RU"/>
              </w:rPr>
              <w:t>a construcției</w:t>
            </w:r>
            <w:r w:rsidR="00D030BA" w:rsidRPr="007C2592">
              <w:rPr>
                <w:rFonts w:ascii="Times New Roman" w:hAnsi="Times New Roman"/>
                <w:b/>
                <w:sz w:val="24"/>
                <w:szCs w:val="24"/>
                <w:lang w:val="ro-MD"/>
              </w:rPr>
              <w:t xml:space="preserve"> cu nr. cadastral 6001218025.01 (</w:t>
            </w:r>
            <w:r w:rsidR="00D0575A" w:rsidRPr="007C2592">
              <w:rPr>
                <w:rFonts w:ascii="Times New Roman" w:hAnsi="Times New Roman"/>
                <w:b/>
                <w:sz w:val="24"/>
                <w:szCs w:val="24"/>
                <w:lang w:val="ro-MD"/>
              </w:rPr>
              <w:t>fosta școala auxiliară-internat</w:t>
            </w:r>
            <w:r w:rsidR="00D030BA" w:rsidRPr="007C2592">
              <w:rPr>
                <w:rFonts w:ascii="Times New Roman" w:hAnsi="Times New Roman"/>
                <w:b/>
                <w:sz w:val="24"/>
                <w:szCs w:val="24"/>
                <w:lang w:val="ro-MD"/>
              </w:rPr>
              <w:t>) din or. Nisporeni, str. Ioan Vodă cel Viteaz nr.32</w:t>
            </w:r>
            <w:r w:rsidR="00EC3794" w:rsidRPr="007C2592">
              <w:rPr>
                <w:rFonts w:ascii="Times New Roman" w:hAnsi="Times New Roman"/>
                <w:b/>
                <w:sz w:val="24"/>
                <w:szCs w:val="24"/>
                <w:lang w:val="ro-MD"/>
              </w:rPr>
              <w:t xml:space="preserve"> </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Demersul nr.188 din 03 octombrie 2022, Președintele Raionului Nisporeni a solicitat Ministerului Educației și Cercetării examinarea Raportului de expertiză a fostei școli auxiliare-internat.</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Decizia Consiliului raional Nisporeni nr.4/28 din 08 septembrie 2022 s-a instituit grupul de expertiză și s-a dispus inițierea procedurii de realizare a raportului de expertiză pentru bunul imobil cu nr. cadastral 6001218025, școala auxiliară-internat, str. Ioan Vodă nr.32, or. Nisporeni.</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Potrivit informațiilor din baza de date electronică a Departamentului cadastru, din cadrul Agenției Servicii Publice, construcția cu nr. cadastral 6001218025.01, constituie proprietate a Autorității Publice Raionale – Nisporeni și este amplasată pe terenul cu nr. cadastral 6001218025 din or. Nisporeni, str. Ioan Vodă cel Viteaz nr.32.</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Conform aceleiași surse de informații rezultă că pe terenul cu nr. cadastral 6001218025 sunt amplasate încă alte 10 construcții (nr. cadastrale 6001218025.02-6001218025.11). Aceste 10 construcții (nr. cadastrale 6001218025.02-6001218025.11) nu au fost supuse expertizării.</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lastRenderedPageBreak/>
              <w:t>În conformitate cu Raportul de expertiză, construcția cu nr. cadastral 6001218025.01 a fost edificată în anul 1960.</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Decizia Consiliului Raional Nisporeni nr. 8/6 din 17 septembrie 2015 activitatea școlii auxiliare-internat a fost sistată, iar copii au fost încadrați în instituțiile de învățământ primar și general din localitățile de baștină.</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Din anul 2015 construcția cu nr. cadastral 6001218025.01 nu a fost utilizată conform destinației.</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Potrivit informațiilor prezentate de Președintele Raionului Nisporeni, în or. Nisporeni activează 3 instituții de educație timpurie cu capacitatea totală de 590 locuri (dintre care la situația din octombrie 2022 erau ocupate doar 540 locuri) și 4 instituții de învățământ general cu o capacitate totală de 2195 locuri (dintre care la situația din octombrie 2022 erau ocupate doar 1583 locuri).</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Conform raportului de expertiză tehnică nr. 474/06.09.2022 (realizat de către Dl Iurie Dohmilă, expert tehnic în construcții, (certificat nr.035 din 23.06.2020), construcția cu nr. cadastral 6001218025.01 se află într-o stare tehnică satisfăcătoare (necesită reparație curentă/ capitală).</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Elementele de închidere ale construcțiilor (pereții exteriori) nu corespund cerințelor NCM E.04.01-2006 din punct de vedere al valorilor normate ale rezistenței la transfer termic, nefiind reabilitați termic.</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Luând în considerare cele constatate expertul a menționat că reparația construcției cu nr. cadastral 6001218025.01 este posibilă în baza elaborării unui proiect aprobat în modul stabilit și care va ține cont de legislația în vigoare.</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Responsabilitatea privind menținerea obiectului în stare de siguranță conform legislației, revine proprietarului construcției date.</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scrisoarea nr.179 din 06 octombrie 2022, Direcția Învățământ Tineret și Sport Nisporeni nu a comunicat obiecții la excluderea din domeniul educației a construcției expertizate.</w:t>
            </w:r>
          </w:p>
          <w:p w:rsidR="00C83AB5" w:rsidRPr="007C2592" w:rsidRDefault="00C83AB5"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Conform datelor demografice, rata nou născuților a arătat o descreștere pe raion din 2014 (516 copii) până în 2021 (340 copii).</w:t>
            </w:r>
          </w:p>
          <w:p w:rsidR="00AB3D81" w:rsidRPr="007C2592" w:rsidRDefault="00911897" w:rsidP="004B4D66">
            <w:pPr>
              <w:pStyle w:val="a6"/>
              <w:ind w:left="45" w:right="52" w:firstLine="540"/>
              <w:jc w:val="both"/>
              <w:rPr>
                <w:sz w:val="28"/>
                <w:szCs w:val="28"/>
                <w:lang w:val="ro-MD"/>
              </w:rPr>
            </w:pPr>
            <w:r w:rsidRPr="007C2592">
              <w:rPr>
                <w:rFonts w:ascii="Times New Roman" w:hAnsi="Times New Roman"/>
                <w:b/>
                <w:sz w:val="24"/>
                <w:szCs w:val="24"/>
                <w:lang w:val="ro-MD"/>
              </w:rPr>
              <w:t xml:space="preserve">II </w:t>
            </w:r>
            <w:r w:rsidR="00041AF8" w:rsidRPr="007C2592">
              <w:rPr>
                <w:rFonts w:ascii="Times New Roman" w:hAnsi="Times New Roman"/>
                <w:b/>
                <w:sz w:val="24"/>
                <w:szCs w:val="24"/>
                <w:lang w:val="ro-MD"/>
              </w:rPr>
              <w:t>P</w:t>
            </w:r>
            <w:r w:rsidR="006A0C2D" w:rsidRPr="007C2592">
              <w:rPr>
                <w:rFonts w:ascii="Times New Roman" w:hAnsi="Times New Roman"/>
                <w:b/>
                <w:sz w:val="24"/>
                <w:szCs w:val="24"/>
                <w:lang w:val="ro-MD"/>
              </w:rPr>
              <w:t xml:space="preserve">rivind lipsa necesității de întrebuințare în domeniul educațional a construcției </w:t>
            </w:r>
            <w:r w:rsidR="009902E0" w:rsidRPr="007C2592">
              <w:rPr>
                <w:rFonts w:ascii="Times New Roman" w:hAnsi="Times New Roman"/>
                <w:b/>
                <w:sz w:val="24"/>
                <w:szCs w:val="24"/>
                <w:lang w:val="ro-MD"/>
              </w:rPr>
              <w:t>cu nr. cadastral 1701111021.01 (</w:t>
            </w:r>
            <w:r w:rsidR="008B7C0C" w:rsidRPr="007C2592">
              <w:rPr>
                <w:rFonts w:ascii="Times New Roman" w:hAnsi="Times New Roman"/>
                <w:b/>
                <w:sz w:val="24"/>
                <w:szCs w:val="24"/>
                <w:lang w:val="ro-MD"/>
              </w:rPr>
              <w:t>fosta</w:t>
            </w:r>
            <w:r w:rsidR="009902E0" w:rsidRPr="007C2592">
              <w:rPr>
                <w:rFonts w:ascii="Times New Roman" w:hAnsi="Times New Roman"/>
                <w:b/>
                <w:sz w:val="24"/>
                <w:szCs w:val="24"/>
                <w:lang w:val="ro-MD"/>
              </w:rPr>
              <w:t xml:space="preserve"> șco</w:t>
            </w:r>
            <w:r w:rsidR="008B7C0C" w:rsidRPr="007C2592">
              <w:rPr>
                <w:rFonts w:ascii="Times New Roman" w:hAnsi="Times New Roman"/>
                <w:b/>
                <w:sz w:val="24"/>
                <w:szCs w:val="24"/>
                <w:lang w:val="ro-MD"/>
              </w:rPr>
              <w:t>ală</w:t>
            </w:r>
            <w:r w:rsidR="00F101A8" w:rsidRPr="007C2592">
              <w:rPr>
                <w:rFonts w:ascii="Times New Roman" w:hAnsi="Times New Roman"/>
                <w:b/>
                <w:sz w:val="24"/>
                <w:szCs w:val="24"/>
                <w:lang w:val="ro-MD"/>
              </w:rPr>
              <w:t xml:space="preserve"> primară</w:t>
            </w:r>
            <w:r w:rsidR="009902E0" w:rsidRPr="007C2592">
              <w:rPr>
                <w:rFonts w:ascii="Times New Roman" w:hAnsi="Times New Roman"/>
                <w:b/>
                <w:sz w:val="24"/>
                <w:szCs w:val="24"/>
                <w:lang w:val="ro-MD"/>
              </w:rPr>
              <w:t>) din mun. Cahul, str. Nicolae Bălcescu, 1</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Demersul nr.277 din 21 octombrie 2022, Grupul de lucru pentru realizarea raportului de expertiză asupra bunului cu nr. cadastral 1701111021.01, a solicitat examinarea raportului de expertiză de către Comisia de avizare din cadrul Ministerului Educației și Cercetării.</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scrisoarea nr. 335 din 27 decembrie 2022, Primăria s. Roșu, r-nul Cahul a prezentat informații suplimentare referitor la Raportul de expertiză privind lipsa necesității de întrebuințare în domeniul educațional a construcției fostei școli primare cu nr. cadastral 1701111021.01 din mun. Cahul, str. Nicolae Bălcescu, 1.</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Decizia Consiliului sătesc Roșu, r-nul Cahul nr.02/12 din 16 martie 2022 s-a instituit grupul de expertiză și s-a dispus inițierea procedurii de trecere din domeniul public în domeniul privat bunul cu nr. cadastral 1701111021.01.</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Potrivit informațiilor din baza de date electronică a Departamentului cadastru, din cadrul Agenției Servicii Publice, construcția cu nr. cadastral 1701111021.01, constituie proprietate a Autorității Publice Locale – satul Roșu, r-nul Cahul.</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În conformitate cu Raportul de expertiză, construcția fostei cazangerii a fost edificată prin anii 1971 de către fostul sovhoz „Pravda” în procesul privatizării a fost trimisă la primăria s. Roșu în contul stingerii datorilor istorice ale acestei întreprinderi față de Stat i trecută în Școala Primară.</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Din anul 2014 construcția fostei școli primare cu nr. cadastral 1701111021.01 nu a fost utilizată conform destinației.</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La 18 septembrie 2014, Consiliul raional Cahul, prin Decizia nr. 05/20-III „Cu privire la optimizarea rețelei de instituții de învățământ” s-a acceptat propunerea de lichidare a Școlii primare-grădiniță „Vasile Alecsandri” de la 01 septembrie 2014.</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În s. Roșu, r-nul Cahul activează instituția de educație timpurie „Albinuța” cu o capacitate de 160 locuri, care la situația din 21 octombrie 2022 era frecventată de 80 copii și Gimnaziul „A.I. Cuza” cu o capacitate de 650 locuri, care la situația din 21 octombrie 2022 era frecventată de 150 elevi.</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 xml:space="preserve">Conform raportului de expertiză tehnică nr. 04-41/T din 07 septembrie 2022 (realizat de către Dl Dumitru Mîrza, expert tehnic în construcții (certificat nr.074 din 30.03.2022), construcția fostei </w:t>
            </w:r>
            <w:r w:rsidRPr="007C2592">
              <w:rPr>
                <w:rFonts w:ascii="Times New Roman" w:hAnsi="Times New Roman"/>
                <w:sz w:val="24"/>
                <w:szCs w:val="24"/>
                <w:lang w:val="ro-MD"/>
              </w:rPr>
              <w:lastRenderedPageBreak/>
              <w:t xml:space="preserve">școli primare cu nr. cadastral 1701111021.01 nu corespunde prevederilor tehnice și normative în vigoare la etapa de execuție. </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În procesul de examinare expertiza tehnică a constatat că alcătuirea construcției nu corespunde prevederilor tehnice și normative în vigoare pentru construcții cu categoria nominală (C) de exploatare, amplasate în zona cu intensitate seismică de 8 (opt) grade (alcătuire în plan, distanța dintre axele pereților structurali transversali, lipsa ceturi antiseismice la nivelul planșeelor de pod a anexelor tip parter, rigiditate elemente, etc.).</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Pentru reabilitarea clădirii cu nr. cad. 1701111021.01 amplasată pe teritoriul mun. Cahul, str. Nicolae Bălcescu, nr.1, proprietate a Primăriei s. Roșu și asigurarea exigențelor esențiale stabilite de Legea Republicii Moldova nr.721-XIII din 02 februarie 1996 „Privind calitatea în construcții”, punerea în siguranță a fondului construit și exploatarea construcțiilor, prelungirea durabilității conform cerințelor normative privind construcțiile în zonele seismice, este necesar de efectuat reparația (reconstrucția) capitală a volumului menționat, în baza documentației speciale de proiect, elaborate, verificate și coordonate în modul stabilit.</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scrisoarea nr.578 din 19 decembrie 2022, Direcția Generală Învățământ Cahul a confirmat oportunitatea schimbării domeniului construcției expertizate.</w:t>
            </w:r>
          </w:p>
          <w:p w:rsidR="00AB3D81" w:rsidRPr="007C2592" w:rsidRDefault="00AB3D81"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Conform datelor demografice, rata nou născuților a arătat o descreștere de la 34 în anul 2015 la 11 în anul 2022 (media în ultimii 7 ani fiind de aproximativ 23 copii).</w:t>
            </w:r>
          </w:p>
          <w:p w:rsidR="00425013" w:rsidRPr="007C2592" w:rsidRDefault="006A0C2D" w:rsidP="004B4D66">
            <w:pPr>
              <w:pStyle w:val="a6"/>
              <w:ind w:left="45" w:right="52" w:firstLine="540"/>
              <w:jc w:val="both"/>
              <w:rPr>
                <w:rFonts w:ascii="Times New Roman" w:hAnsi="Times New Roman"/>
                <w:b/>
                <w:sz w:val="24"/>
                <w:szCs w:val="24"/>
                <w:lang w:val="ro-MD"/>
              </w:rPr>
            </w:pPr>
            <w:r w:rsidRPr="007C2592">
              <w:rPr>
                <w:rFonts w:ascii="Times New Roman" w:hAnsi="Times New Roman"/>
                <w:b/>
                <w:sz w:val="24"/>
                <w:szCs w:val="24"/>
                <w:lang w:val="ro-MD"/>
              </w:rPr>
              <w:t>III</w:t>
            </w:r>
            <w:r w:rsidR="000C773A" w:rsidRPr="007C2592">
              <w:rPr>
                <w:rFonts w:ascii="Times New Roman" w:hAnsi="Times New Roman"/>
                <w:b/>
                <w:sz w:val="24"/>
                <w:szCs w:val="24"/>
                <w:lang w:val="ro-MD"/>
              </w:rPr>
              <w:t xml:space="preserve"> P</w:t>
            </w:r>
            <w:r w:rsidRPr="007C2592">
              <w:rPr>
                <w:rFonts w:ascii="Times New Roman" w:hAnsi="Times New Roman"/>
                <w:b/>
                <w:sz w:val="24"/>
                <w:szCs w:val="24"/>
                <w:lang w:val="ro-MD"/>
              </w:rPr>
              <w:t xml:space="preserve">rivind lipsa necesității de întrebuințare în domeniul educațional a </w:t>
            </w:r>
            <w:r w:rsidR="00425013" w:rsidRPr="007C2592">
              <w:rPr>
                <w:rFonts w:ascii="Times New Roman" w:hAnsi="Times New Roman"/>
                <w:b/>
                <w:sz w:val="24"/>
                <w:szCs w:val="24"/>
                <w:lang w:val="ro-MD"/>
              </w:rPr>
              <w:t>construcției  cu nr. cadastral 9261223075.02 (fosta cazangerie a subunității Liceului Teoretic „Alexei Mateevici”, din com. Agronomovca s. Agronomovca) din r-nul Ungheni, com. Agronomovca, s. Agronomovca</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Prin Demersul nr.171 din 20 iunie 2022, Primarul com. Agronomovca a solicitat de la Ministerul Educației și Cercetării examinarea Raportului de expertiză a bunului imobil cu nr. cadastral 9261223075.02 (construcție accesorie) din r-nul Ungheni, com. Agronomovca, s. Agronomovca.</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Prin Decizia Consiliului comunal Agronomovca nr.3/6 din 09 iunie 2022 s-a instituit grupul de expertiză și s-a dispus inițierea procedurii de trecere din domeniul public în domeniul privat al unor bunuri supuse expertizării.</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Potrivit informațiilor din baza de date electronică a Departamentului cadastru, din cadrul Agenției Servicii Publice, construcția cu nr. cadastral 9261223075.02, constituie proprietate a Autorității Publice Locale – comuna Agronomovca, r-nul Ungheni.</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În conformitate cu Raportul de expertiză, construcția fostei cazangerii a fost edificată prin anii 1970, cu eventuale replanificări și resistematizări pe parcursul anilor și nu a fost reparată capital niciodată.</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Din anul 2015 construcția fostei Cazangerii cu nr. cadastral 9261223075.02 nu a fost utilizată conform destinației.</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Din anul 2015 în subunitatea Liceului Teoretic „Alexei Mateevici” din com. Agronomovca s. Agronomovca, funcționează cazangeria autonomă.</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Subunitatea Liceului Teoretic „Alexei Mateevici”, din com. Agronomovca s. Agronomovca activează în construcția cu nr. cadastral 9261223075.01.</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Construcția cu nr. cadastral 9261223075.01 are suprafața de 1080,72 m</w:t>
            </w:r>
            <w:r w:rsidRPr="007C2592">
              <w:rPr>
                <w:rFonts w:ascii="Times New Roman" w:hAnsi="Times New Roman"/>
                <w:color w:val="000000" w:themeColor="text1"/>
                <w:sz w:val="24"/>
                <w:szCs w:val="24"/>
                <w:vertAlign w:val="superscript"/>
                <w:lang w:val="ro-MD"/>
              </w:rPr>
              <w:t>2</w:t>
            </w:r>
            <w:r w:rsidRPr="007C2592">
              <w:rPr>
                <w:rFonts w:ascii="Times New Roman" w:hAnsi="Times New Roman"/>
                <w:color w:val="000000" w:themeColor="text1"/>
                <w:sz w:val="24"/>
                <w:szCs w:val="24"/>
                <w:lang w:val="ro-MD"/>
              </w:rPr>
              <w:t>, 2 niveluri și capacitatea de 320 elevi.</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În subunitatea Liceului Teoretic „Alexei Mateevici”, din com. Agronomovca s. Agronomovca (nr. cadastral 9261223075.01) își fac studiile 27 elevi în clasele primare (1-IV) și 37 elevi în clasele gimnaziale (V-IX). La fel, în subunitatea Liceului Teoretic „Alexei Mateevici”, din com. Agronomovca s. Agronomovca activează și Grădinița de copii „Speranța”, unde sunt încadrați 33 copii, cu vîrsta 2-7 ani.</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Astfel, la situația din 25 noiembrie 2022, din capacitatea de 320 de copii a construcției cu nr. cadastral 9261223075.01, subunitatea Liceului Teoretic „Alexei Mateevici” și Grădinița din r-nul Ungheni, com. Agronomovca, s. Agronomovca ocupă 97 locuri.</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Conform raportului de expertiză tehnică nr. 334/21.06.2022 (realizat de către Dl Iurie Dohmilă, expert tehnic în construcții, doctor în științe tehnice (certificat nr.035 din 23.06.2021), construcția fostei cazangerii cu nr. cadastral 9261223075.02 se află într-o stare tehnică satisfăcătoare.</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lastRenderedPageBreak/>
              <w:t>Elementele de închidere ale construcțiilor (pereții exteriori) nu corespund cerințelor NCM E.04.01-2006 din punct de vedere al valorilor normate ale rezistenței la transfer termic, nefiind reabilitați termic.</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Luând în considerare cele constatate expertul a menționat că reparația capitală a fostei cazangerii cu nr. cadastral 9261223075.02 din r-nul Ungheni, com. Agronomovca, s. Agronomovca este posibilă în baza elaborării unui proiect aprobat în modul stabilit și care va ține cont de legislația în vigoare.</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Responsabilitatea privind menținerea obiectului în stare de siguranță conform legislației, revine proprietarului construcției date.</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Prin scrisoarea nr.239 din 26 august 2022, Direcția Educație Ungheni nu a comunicat obiecții la excluderea din domeniul educației a construcției expertizate.</w:t>
            </w:r>
          </w:p>
          <w:p w:rsidR="00C84E29"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Prin scrisoarea nr.31 din 31 octombrie 2022, Liceul Teoretic Alexei Mateevici cu sediul în s. Pârlița, r-nul Ungheni a comunicat despre încetarea necesității menținerii în în domeniul public a bunului expertizat.</w:t>
            </w:r>
          </w:p>
          <w:p w:rsidR="006A0C2D" w:rsidRPr="007C2592" w:rsidRDefault="00C84E29" w:rsidP="004B4D66">
            <w:pPr>
              <w:spacing w:after="0" w:line="240" w:lineRule="auto"/>
              <w:ind w:left="45" w:right="52" w:firstLine="567"/>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Conform datelor demografice, rata nou născuților a arătat o creștere mai mare în anul 2015, 2016 și 2020 de 10-13 copii nou născuți, iar pe anii 2017-2019 și anul 2021 este o rată stabilă și scăzută de 6-7 copii nou născuți.</w:t>
            </w:r>
          </w:p>
          <w:p w:rsidR="001F4EDA" w:rsidRPr="007C2592" w:rsidRDefault="001F4EDA" w:rsidP="004B4D66">
            <w:pPr>
              <w:spacing w:after="0" w:line="240" w:lineRule="auto"/>
              <w:ind w:left="45" w:right="52" w:firstLine="567"/>
              <w:jc w:val="both"/>
              <w:rPr>
                <w:rFonts w:ascii="Times New Roman" w:hAnsi="Times New Roman"/>
                <w:b/>
                <w:sz w:val="24"/>
                <w:szCs w:val="24"/>
                <w:lang w:val="ro-MD"/>
              </w:rPr>
            </w:pPr>
            <w:r w:rsidRPr="007C2592">
              <w:rPr>
                <w:rFonts w:ascii="Times New Roman" w:hAnsi="Times New Roman"/>
                <w:b/>
                <w:color w:val="000000" w:themeColor="text1"/>
                <w:sz w:val="24"/>
                <w:szCs w:val="24"/>
                <w:lang w:val="ro-MD"/>
              </w:rPr>
              <w:t>IV</w:t>
            </w:r>
            <w:r w:rsidRPr="007C2592">
              <w:rPr>
                <w:rFonts w:ascii="Times New Roman" w:hAnsi="Times New Roman"/>
                <w:color w:val="000000" w:themeColor="text1"/>
                <w:sz w:val="24"/>
                <w:szCs w:val="24"/>
                <w:lang w:val="ro-MD"/>
              </w:rPr>
              <w:t xml:space="preserve"> </w:t>
            </w:r>
            <w:r w:rsidRPr="007C2592">
              <w:rPr>
                <w:rFonts w:ascii="Times New Roman" w:hAnsi="Times New Roman"/>
                <w:b/>
                <w:sz w:val="24"/>
                <w:szCs w:val="24"/>
                <w:lang w:val="ro-MD"/>
              </w:rPr>
              <w:t>Privind lipsa necesității de întrebuințare în domeniul educațional a</w:t>
            </w:r>
            <w:r w:rsidR="0082108E" w:rsidRPr="007C2592">
              <w:rPr>
                <w:rFonts w:ascii="Times New Roman" w:hAnsi="Times New Roman"/>
                <w:b/>
                <w:sz w:val="24"/>
                <w:szCs w:val="24"/>
                <w:lang w:val="ro-MD"/>
              </w:rPr>
              <w:t xml:space="preserve"> construcțiilor cu nr. cadastral 9217299091.01, nr. 9217299091.02 și nr. 9217299091.03 (școala veche) din r-nul Ungheni, com. Boghenii Noi, s. Mircești.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Demersul nr.68 din 26 septembrie 2022, Primarul com. Boghenii Noi, r-nul Ungheni a solicitat de la Ministerul Educației și Cercetării examinarea Raportului de expertiză a bunului imobil cu nr. cadastral 9217299091 (școala veche) din r-nul Ungheni, com. Boghenii noi, s. Mircești.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Decizia Consiliului comunal Boghenii Noi nr.1/4 din 18 februarie 2022 s-a instituit grupul de expertiză și s-a dispus realizarea Raportului de expertiză în privința bunurilor supuse expertizării.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Potrivit informațiilor din baza de date electronică a Departamentului cadastru, din cadrul Agenției Servicii Publice, pe terenul cu nr. cadastral 9217299091 sunt amplasate 3 construcții care constituie proprietate a Autorității Publice Locale – comuna Boghenii Noi, r-nul Ungheni.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În conformitate cu Raportul de expertiză, construcțiile cu nr. cadastral 9217299091.01, nr. 9217299091.02 și nr. 9217299091.03 nu sunt utilizate conform destinației din anul 2012, odată cu lichidarea Gimnaziului din s. Mircești.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Conform informațiilor prezentate de Primarul com. Boghenii Noi, s. Mircești (26 septembrie 2022), copii de vârsta învățământului primar (9) și învățământului gimnazial (9) sunt transportați zilnic la Gimnaziul de circumscripție (Anatol Popovici) din s. Boghenii Noi, com. Boghenii Noi, r-nul Ungheni, cu ajutorul transportului pus la dispoziție de Direcția Educație Ungheni (aproximativ 2,5 km de la s. Mircești).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Gimnaziul de circumscripție (Anatol Popovici) din s. Boghenii Noi, com Boghenii Noi, r-nul Ungheni a fost deschis în anul 2003 și are capacitatea de 230 elevi.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La situația din 26 septembrie 2022 erau înmatriculați 105 elevi.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Conform raportului de expertiză tehnică nr. 15/20.12.22-IGC/077 (realizat de către Dl Oleg Cucu, expert tehnic (certificat nr.077 seria 2022-ET):</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1) construcția cu nr. cadastral 9217299091.01 a fost construită în anul 1938</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2) construcția cu nr. cadastral 9217299091.02 a fost construită în anul 1977</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3) construcția cu nr. cadastral 9217299091.03 a fost construită în anul 1980</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Pentru toate construcțiile expertizate, expertul tehnic a concluzionat că starea tehnică a elementelor structurii de rezistență a clădirilor examinate nu permite exploatarea în continuare a acestora, fără întreprinderea unor măsuri adecvate de remediere a degradărilor structurale depistate în cadrul investigațiilor de expertiză.</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scrisoarea nr.254 din 09 septembrie 2022, Direcția Educație Ungheni nu a comunicat obiecții la excluderea din domeniul educației a construcției expertizate.</w:t>
            </w:r>
          </w:p>
          <w:p w:rsidR="001F4EDA"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Conform datelor demografice, rata nou născuților în s. Mircești, com. Boghenii Noi, r-nul Ungheni arată o medie de 2 copii pe an.</w:t>
            </w:r>
          </w:p>
          <w:p w:rsidR="004B4D66" w:rsidRPr="007C2592" w:rsidRDefault="001F4EDA" w:rsidP="004B4D66">
            <w:pPr>
              <w:spacing w:after="0" w:line="240" w:lineRule="auto"/>
              <w:ind w:left="45" w:right="52" w:firstLine="567"/>
              <w:jc w:val="both"/>
              <w:rPr>
                <w:sz w:val="28"/>
                <w:szCs w:val="28"/>
                <w:lang w:val="ro-MD"/>
              </w:rPr>
            </w:pPr>
            <w:r w:rsidRPr="007C2592">
              <w:rPr>
                <w:rFonts w:ascii="Times New Roman" w:hAnsi="Times New Roman"/>
                <w:b/>
                <w:color w:val="000000" w:themeColor="text1"/>
                <w:sz w:val="24"/>
                <w:szCs w:val="24"/>
                <w:lang w:val="ro-MD"/>
              </w:rPr>
              <w:t>V</w:t>
            </w:r>
            <w:r w:rsidRPr="007C2592">
              <w:rPr>
                <w:rFonts w:ascii="Times New Roman" w:hAnsi="Times New Roman"/>
                <w:color w:val="000000" w:themeColor="text1"/>
                <w:sz w:val="24"/>
                <w:szCs w:val="24"/>
                <w:lang w:val="ro-MD"/>
              </w:rPr>
              <w:t xml:space="preserve"> </w:t>
            </w:r>
            <w:r w:rsidRPr="007C2592">
              <w:rPr>
                <w:rFonts w:ascii="Times New Roman" w:hAnsi="Times New Roman"/>
                <w:b/>
                <w:sz w:val="24"/>
                <w:szCs w:val="24"/>
                <w:lang w:val="ro-MD"/>
              </w:rPr>
              <w:t>Privind lipsa necesității de întrebuințare în domeniul educațional a</w:t>
            </w:r>
            <w:r w:rsidR="004B4D66" w:rsidRPr="007C2592">
              <w:rPr>
                <w:rFonts w:ascii="Times New Roman" w:hAnsi="Times New Roman"/>
                <w:b/>
                <w:sz w:val="24"/>
                <w:szCs w:val="24"/>
                <w:lang w:val="ro-MD"/>
              </w:rPr>
              <w:t xml:space="preserve"> construcției cu nr. cadastral 6453210126.01 (fostul bloc de studii a claselor primare ale Liceului Teoretic „Alexandru Donici”) din r-nul Orhei, s. Peresecina.</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lastRenderedPageBreak/>
              <w:t>Prin Demersul nr.02/1-37-15 din 23 ianuarie 2023, Primarul s. Peresecina, R-nul Orhei a solicitat de la Ministerul Educației și Cercetării examinarea Raportului de expertiză a bunului imobil cu nr. cadastral 6453210126.01 (fostul bloc de studii a claselor primare ale Liceului Teoretic „Alexandru Donici”) din r-nul Orhei, s. Peresecina.</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Decizia Consiliului comunal Peresecina, r-nul Orhei nr.8/3 din 18 noiembrie 2022 s-a instituit grupul de expertiză și s-a dispus realizarea Raportului de expertiză în privința bunurilor supuse expertizării. Controlul executării Deciziei enunțate s-a pus în sarcina primarului s. Peresecina, r-nul Orhei.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Potrivit informațiilor din baza de date electronică a Departamentului cadastru, din cadrul Agenției Servicii Publice, pe terenul cu nr. cadastral 6453210126 este amplasată o singură construcție care constituie (nr. cadastral 6453210126.01) proprietate a Autorității Publice Locale – s. Peresecina, r-nul Orhei.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Conform informațiilor prezentate de Primăria s. Peresecina, r-nul Orhei, construcția cu nr. cadastral 6453210126.01 nu este utilizată conform destinației din iunie 2022, odată cu optimizarea spațiilor fizice ale Liceului Teoretic „Alexandru Donici”, în baza Deciziei Consiliului de Administrație al Liceului din 16 mai 2022 (după finalizarea anului de învățământ 2021-2022).</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 xml:space="preserve">Până la 31 mai 2022, Liceul Teoretic „Alexandru Donici” deținea în folosință 2 sedii: </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 xml:space="preserve">1. construcția cu nr. cadastral 6453210126.01, în care se realiza procesul de învățământ pentru copii din învățământul primar (clasele I-a – a IV-a) și </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2. construcția cu nr. cadastral 6453210136.01, în care se realiza procesul de învățământ pentru copii din învățământul secundar (clasele V-a – a XII-a).</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După optimizarea spațiilor fizice, începând cu anul de învățământ 2022-2023, Liceul Teoretic „Alexandru Donici” își desfășoară activitatea doar în construcția cu nr. cadastral 6453210136.01.</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 xml:space="preserve">Construcția cu nr. cadastral 6453210136.01, are o capacitate de 1100 elevi, unde la situația din 23 ianuarie 2023 erau instituționalizați 800 copii de clasele a I-a –a XII-a. </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 xml:space="preserve">Elevii din învățământul primar își desfășoară activitatea la etajul I (9 clase) și la etajul II (3 clase). </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 xml:space="preserve">Elevii din învățământul gimnazial își desfășoară lecțiile la etajul I (o clasă), la etajul II (4 clase) și la etajul III (3 clase). </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Elevii din învățământul liceal își desfășoară activitatea la etajul II (3 clase).</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La etajul II mai sunt libere 11 cabinete, iar la etajul III – 3 cabinete.</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Conform raportului de expertiză tehnică nr. 1024/21.07.2016 (realizat de către Dl Oleg Cucu, expert tehnic (certificat nr.037 seria 2012-ET) rezistența și stabilitatea generală a clădirii cu nr. cadastral 6453210126.01 (fostul bloc de studii a claselor primare ale Liceului Teoretic „Alexandru Donici”) este asigurată.</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scrisoarea nr.06/01-36 din 19 ianuarie 2023, Direcția Generală Educație a Consiliului Raional Orhei a calificat ca fiind oportună schimbarea modului de folosință a clădirii cu nr. cadastral 6453210126.01 în conformitate cu interesul public al localității.</w:t>
            </w:r>
          </w:p>
          <w:p w:rsidR="004B4D66" w:rsidRPr="007C2592" w:rsidRDefault="004B4D66" w:rsidP="004B4D66">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Prin scrisoarea anexată la raportul de expertiză, Liceul Teoretic „Alexandru Donici” și-a asumat responsabilitatea de a asigura școlarizarea tuturor copiilor din localitate în blocul principal (nr. cadastral 6453210136.01).</w:t>
            </w:r>
          </w:p>
          <w:p w:rsidR="001F4EDA" w:rsidRPr="007C2592" w:rsidRDefault="004B4D66" w:rsidP="00C5416D">
            <w:pPr>
              <w:spacing w:after="0" w:line="240" w:lineRule="auto"/>
              <w:ind w:left="45" w:right="52" w:firstLine="567"/>
              <w:jc w:val="both"/>
              <w:rPr>
                <w:rFonts w:ascii="Times New Roman" w:hAnsi="Times New Roman"/>
                <w:sz w:val="24"/>
                <w:szCs w:val="24"/>
                <w:lang w:val="ro-MD"/>
              </w:rPr>
            </w:pPr>
            <w:r w:rsidRPr="007C2592">
              <w:rPr>
                <w:rFonts w:ascii="Times New Roman" w:hAnsi="Times New Roman"/>
                <w:sz w:val="24"/>
                <w:szCs w:val="24"/>
                <w:lang w:val="ro-MD"/>
              </w:rPr>
              <w:t>Conform datelor demografice, rata nou născuților în s. Peresecina, r-nul Orhei arată o medie de 57 copii pe an și înregistrează o ușoară descreștere, de la 62 copii nou-născuți în anul 2015 la 48 copii nou născuți în anul 2022.</w:t>
            </w:r>
          </w:p>
        </w:tc>
      </w:tr>
      <w:tr w:rsidR="006A0C2D" w:rsidRPr="00440141" w:rsidTr="00F95556">
        <w:trPr>
          <w:tblCellSpacing w:w="15" w:type="dxa"/>
        </w:trPr>
        <w:tc>
          <w:tcPr>
            <w:tcW w:w="4971" w:type="pct"/>
            <w:gridSpan w:val="3"/>
            <w:tcBorders>
              <w:top w:val="nil"/>
              <w:left w:val="nil"/>
              <w:bottom w:val="nil"/>
              <w:right w:val="nil"/>
            </w:tcBorders>
            <w:tcMar>
              <w:top w:w="15" w:type="dxa"/>
              <w:left w:w="15" w:type="dxa"/>
              <w:bottom w:w="15" w:type="dxa"/>
              <w:right w:w="221" w:type="dxa"/>
            </w:tcMar>
            <w:hideMark/>
          </w:tcPr>
          <w:p w:rsidR="006A0C2D" w:rsidRPr="007C2592" w:rsidRDefault="006A0C2D" w:rsidP="00F9555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lastRenderedPageBreak/>
              <w:t>3. Descrierea gradului de compatibilitate pentru proiectele care au ca scop armonizarea legislaţiei naţionale cu legislaţia Uniunii Europene.</w:t>
            </w:r>
          </w:p>
        </w:tc>
      </w:tr>
      <w:tr w:rsidR="006A0C2D" w:rsidRPr="00440141" w:rsidTr="00F95556">
        <w:trPr>
          <w:tblCellSpacing w:w="15" w:type="dxa"/>
        </w:trPr>
        <w:tc>
          <w:tcPr>
            <w:tcW w:w="4971" w:type="pct"/>
            <w:gridSpan w:val="3"/>
            <w:tcBorders>
              <w:top w:val="nil"/>
              <w:left w:val="nil"/>
              <w:bottom w:val="nil"/>
              <w:right w:val="nil"/>
            </w:tcBorders>
            <w:tcMar>
              <w:top w:w="15" w:type="dxa"/>
              <w:left w:w="15" w:type="dxa"/>
              <w:bottom w:w="15" w:type="dxa"/>
              <w:right w:w="221" w:type="dxa"/>
            </w:tcMar>
            <w:hideMark/>
          </w:tcPr>
          <w:p w:rsidR="006A0C2D" w:rsidRPr="007C2592" w:rsidRDefault="006A0C2D" w:rsidP="00F9555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Actul normativ nu conține norme privind armonizarea legislației naționale cu legislația Uniunii Europene.</w:t>
            </w:r>
          </w:p>
        </w:tc>
      </w:tr>
      <w:tr w:rsidR="006A0C2D" w:rsidRPr="00440141" w:rsidTr="00F95556">
        <w:trPr>
          <w:tblCellSpacing w:w="15" w:type="dxa"/>
        </w:trPr>
        <w:tc>
          <w:tcPr>
            <w:tcW w:w="4971" w:type="pct"/>
            <w:gridSpan w:val="3"/>
            <w:tcBorders>
              <w:top w:val="nil"/>
              <w:left w:val="nil"/>
              <w:bottom w:val="nil"/>
              <w:right w:val="nil"/>
            </w:tcBorders>
            <w:tcMar>
              <w:top w:w="15" w:type="dxa"/>
              <w:left w:w="15" w:type="dxa"/>
              <w:bottom w:w="15" w:type="dxa"/>
              <w:right w:w="221" w:type="dxa"/>
            </w:tcMar>
            <w:hideMark/>
          </w:tcPr>
          <w:p w:rsidR="006A0C2D" w:rsidRPr="007C2592" w:rsidRDefault="006A0C2D" w:rsidP="00F9555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t>4. Principalele prevederi ale proiectului şi evidenţierea elementelor noi.</w:t>
            </w:r>
          </w:p>
        </w:tc>
      </w:tr>
      <w:tr w:rsidR="006A0C2D" w:rsidRPr="00440141" w:rsidTr="00F95556">
        <w:trPr>
          <w:tblCellSpacing w:w="15" w:type="dxa"/>
        </w:trPr>
        <w:tc>
          <w:tcPr>
            <w:tcW w:w="4971" w:type="pct"/>
            <w:gridSpan w:val="3"/>
            <w:tcBorders>
              <w:top w:val="nil"/>
              <w:left w:val="nil"/>
              <w:bottom w:val="nil"/>
              <w:right w:val="nil"/>
            </w:tcBorders>
            <w:tcMar>
              <w:top w:w="15" w:type="dxa"/>
              <w:left w:w="15" w:type="dxa"/>
              <w:bottom w:w="15" w:type="dxa"/>
              <w:right w:w="221" w:type="dxa"/>
            </w:tcMar>
            <w:hideMark/>
          </w:tcPr>
          <w:p w:rsidR="006A0C2D" w:rsidRPr="007C2592" w:rsidRDefault="006A0C2D" w:rsidP="00F9555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 xml:space="preserve">Proiectul de hotărâre se referă la constatarea încetării necesităţii de a menţine în domeniul public a </w:t>
            </w:r>
            <w:r w:rsidRPr="007C2592">
              <w:rPr>
                <w:rFonts w:ascii="Times New Roman" w:hAnsi="Times New Roman"/>
                <w:sz w:val="24"/>
                <w:szCs w:val="24"/>
                <w:lang w:val="ro-MD"/>
              </w:rPr>
              <w:t>unor bunuri ale unităților administrativ-teritoriale</w:t>
            </w:r>
            <w:r w:rsidRPr="007C2592">
              <w:rPr>
                <w:rFonts w:ascii="Times New Roman" w:hAnsi="Times New Roman"/>
                <w:noProof/>
                <w:sz w:val="24"/>
                <w:szCs w:val="24"/>
                <w:lang w:val="ro-MD" w:eastAsia="ru-RU"/>
              </w:rPr>
              <w:t xml:space="preserve">. Astfel că, potrivit proiectului se acceptă trecerea </w:t>
            </w:r>
            <w:r w:rsidRPr="007C2592">
              <w:rPr>
                <w:rFonts w:ascii="Times New Roman" w:hAnsi="Times New Roman"/>
                <w:sz w:val="24"/>
                <w:szCs w:val="24"/>
                <w:lang w:val="ro-MD"/>
              </w:rPr>
              <w:t>din domeniul public în domeniul privat:</w:t>
            </w:r>
          </w:p>
          <w:p w:rsidR="003859FF" w:rsidRPr="007C2592" w:rsidRDefault="003859FF" w:rsidP="00F95556">
            <w:pPr>
              <w:spacing w:after="0" w:line="240" w:lineRule="auto"/>
              <w:ind w:left="45" w:right="52" w:firstLine="540"/>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t>1) r-nul Nisporeni – a construcției cu nr. cadastral 6001218025.01 (fosta școala auxiliară-internat) din or. Nisporeni, str. Ioan Vodă cel Viteaz nr.32;</w:t>
            </w:r>
          </w:p>
          <w:p w:rsidR="003859FF" w:rsidRPr="007C2592" w:rsidRDefault="003859FF" w:rsidP="00F95556">
            <w:pPr>
              <w:spacing w:after="0" w:line="240" w:lineRule="auto"/>
              <w:ind w:left="45" w:right="52" w:firstLine="540"/>
              <w:jc w:val="both"/>
              <w:rPr>
                <w:rFonts w:ascii="Times New Roman" w:hAnsi="Times New Roman"/>
                <w:color w:val="000000" w:themeColor="text1"/>
                <w:sz w:val="24"/>
                <w:szCs w:val="24"/>
                <w:lang w:val="ro-MD"/>
              </w:rPr>
            </w:pPr>
            <w:r w:rsidRPr="007C2592">
              <w:rPr>
                <w:rFonts w:ascii="Times New Roman" w:hAnsi="Times New Roman"/>
                <w:color w:val="000000" w:themeColor="text1"/>
                <w:sz w:val="24"/>
                <w:szCs w:val="24"/>
                <w:lang w:val="ro-MD"/>
              </w:rPr>
              <w:lastRenderedPageBreak/>
              <w:t>2) mun. Cahul – a construcției cu nr. cadastral 1701111021.01 (fosta școală primară) din mun. Cahul, str. Nicolae Bălcescu, 1;</w:t>
            </w:r>
          </w:p>
          <w:p w:rsidR="003859FF" w:rsidRPr="007C2592" w:rsidRDefault="003859FF" w:rsidP="00F95556">
            <w:pPr>
              <w:spacing w:after="0" w:line="240" w:lineRule="auto"/>
              <w:ind w:left="45" w:right="52" w:firstLine="540"/>
              <w:jc w:val="both"/>
              <w:rPr>
                <w:rFonts w:ascii="Times New Roman" w:hAnsi="Times New Roman"/>
                <w:sz w:val="24"/>
                <w:szCs w:val="24"/>
                <w:lang w:val="ro-MD"/>
              </w:rPr>
            </w:pPr>
            <w:r w:rsidRPr="007C2592">
              <w:rPr>
                <w:rFonts w:ascii="Times New Roman" w:hAnsi="Times New Roman"/>
                <w:sz w:val="24"/>
                <w:szCs w:val="24"/>
                <w:lang w:val="ro-MD"/>
              </w:rPr>
              <w:t>3) comuna Agronomovca, r-nul Ungheni – a construcției cu nr. cadastral 9261223075.02 (fosta cazangerie a subunității Liceului Teoretic „Alexei Mateevici”, din com. Agronomovca s. Agronomovca) din r-nul Ungheni, com. Agronomovca, s. Agronomovca.</w:t>
            </w:r>
          </w:p>
          <w:p w:rsidR="00C5416D" w:rsidRPr="007C2592" w:rsidRDefault="007C2592" w:rsidP="007C2592">
            <w:pPr>
              <w:spacing w:after="0" w:line="240" w:lineRule="auto"/>
              <w:ind w:right="52" w:firstLine="540"/>
              <w:jc w:val="both"/>
              <w:rPr>
                <w:rFonts w:ascii="Times New Roman" w:hAnsi="Times New Roman"/>
                <w:sz w:val="24"/>
                <w:szCs w:val="24"/>
                <w:lang w:val="ro-MD"/>
              </w:rPr>
            </w:pPr>
            <w:r w:rsidRPr="007C2592">
              <w:rPr>
                <w:rFonts w:ascii="Times New Roman" w:hAnsi="Times New Roman"/>
                <w:sz w:val="24"/>
                <w:szCs w:val="24"/>
                <w:lang w:val="ro-MD"/>
              </w:rPr>
              <w:t>4</w:t>
            </w:r>
            <w:r w:rsidR="00C5416D" w:rsidRPr="007C2592">
              <w:rPr>
                <w:rFonts w:ascii="Times New Roman" w:hAnsi="Times New Roman"/>
                <w:sz w:val="24"/>
                <w:szCs w:val="24"/>
                <w:lang w:val="ro-MD"/>
              </w:rPr>
              <w:t>) comuna Boghenii Noi, raionul Ungheni – a construcțiilor cu nr. cadastral 9217299091.01, nr. 9217299091.02 și nr. 9217299091.03 (școala veche) din r-nul Ungheni, com. Boghenii Noi, s. Mircești;</w:t>
            </w:r>
          </w:p>
          <w:p w:rsidR="00C5416D" w:rsidRPr="007C2592" w:rsidRDefault="00C5416D" w:rsidP="007C2592">
            <w:pPr>
              <w:spacing w:after="0" w:line="240" w:lineRule="auto"/>
              <w:ind w:right="52" w:firstLine="540"/>
              <w:jc w:val="both"/>
              <w:rPr>
                <w:rFonts w:ascii="Times New Roman" w:hAnsi="Times New Roman"/>
                <w:sz w:val="24"/>
                <w:szCs w:val="24"/>
                <w:lang w:val="ro-MD"/>
              </w:rPr>
            </w:pPr>
            <w:r w:rsidRPr="007C2592">
              <w:rPr>
                <w:rFonts w:ascii="Times New Roman" w:hAnsi="Times New Roman"/>
                <w:sz w:val="24"/>
                <w:szCs w:val="24"/>
                <w:lang w:val="ro-MD"/>
              </w:rPr>
              <w:t>5) satul Peresecina, raionul Orhei – a construcției cu nr. cadastral 6453210126.01 (fostul bloc de studii a claselor primare ale Liceului Teoretic „Alexandru Donici”) din r-nul Orhei, s. Peresecina.</w:t>
            </w:r>
          </w:p>
          <w:p w:rsidR="006A0C2D" w:rsidRPr="007C2592" w:rsidRDefault="006A0C2D" w:rsidP="00F95556">
            <w:pPr>
              <w:pStyle w:val="a6"/>
              <w:ind w:left="45" w:right="52" w:firstLine="540"/>
              <w:jc w:val="both"/>
              <w:rPr>
                <w:rFonts w:ascii="Times New Roman" w:hAnsi="Times New Roman"/>
                <w:sz w:val="24"/>
                <w:szCs w:val="24"/>
                <w:lang w:val="ro-MD"/>
              </w:rPr>
            </w:pPr>
            <w:r w:rsidRPr="007C2592">
              <w:rPr>
                <w:rFonts w:ascii="Times New Roman" w:hAnsi="Times New Roman"/>
                <w:noProof/>
                <w:sz w:val="24"/>
                <w:szCs w:val="24"/>
                <w:lang w:val="ro-MD" w:eastAsia="ru-RU"/>
              </w:rPr>
              <w:t xml:space="preserve">Conform pct. 2 al proiectului, data intrării în vigoare a Hotărârii de Guvern se propune a fi data publicării acesteia. </w:t>
            </w:r>
            <w:r w:rsidRPr="007C2592">
              <w:rPr>
                <w:rFonts w:ascii="Times New Roman" w:hAnsi="Times New Roman"/>
                <w:sz w:val="24"/>
                <w:szCs w:val="24"/>
                <w:lang w:val="ro-MD"/>
              </w:rPr>
              <w:t>Intrarea în vigoare a Hotărârii de Guvern la data publicării este dictată de necesitatea întreprinderii în termeni restrânși a acțiunilor în vederea valorificării bunurilor expertizate.</w:t>
            </w:r>
          </w:p>
        </w:tc>
      </w:tr>
      <w:tr w:rsidR="006A0C2D" w:rsidRPr="007C2592" w:rsidTr="00F95556">
        <w:trPr>
          <w:tblCellSpacing w:w="15" w:type="dxa"/>
        </w:trPr>
        <w:tc>
          <w:tcPr>
            <w:tcW w:w="4971" w:type="pct"/>
            <w:gridSpan w:val="3"/>
            <w:tcBorders>
              <w:top w:val="nil"/>
              <w:left w:val="nil"/>
              <w:bottom w:val="nil"/>
              <w:right w:val="nil"/>
            </w:tcBorders>
            <w:tcMar>
              <w:top w:w="15" w:type="dxa"/>
              <w:left w:w="15" w:type="dxa"/>
              <w:bottom w:w="15" w:type="dxa"/>
              <w:right w:w="221" w:type="dxa"/>
            </w:tcMar>
            <w:hideMark/>
          </w:tcPr>
          <w:p w:rsidR="006A0C2D" w:rsidRPr="007C2592" w:rsidRDefault="006A0C2D" w:rsidP="00F9555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lastRenderedPageBreak/>
              <w:t>5. Fundamentarea economico-financiară.</w:t>
            </w:r>
          </w:p>
        </w:tc>
      </w:tr>
      <w:tr w:rsidR="006A0C2D" w:rsidRPr="00440141" w:rsidTr="00F95556">
        <w:trPr>
          <w:tblCellSpacing w:w="15" w:type="dxa"/>
        </w:trPr>
        <w:tc>
          <w:tcPr>
            <w:tcW w:w="4971" w:type="pct"/>
            <w:gridSpan w:val="3"/>
            <w:tcBorders>
              <w:top w:val="nil"/>
              <w:left w:val="nil"/>
              <w:bottom w:val="nil"/>
              <w:right w:val="nil"/>
            </w:tcBorders>
            <w:tcMar>
              <w:top w:w="15" w:type="dxa"/>
              <w:left w:w="15" w:type="dxa"/>
              <w:bottom w:w="15" w:type="dxa"/>
              <w:right w:w="221" w:type="dxa"/>
            </w:tcMar>
            <w:hideMark/>
          </w:tcPr>
          <w:p w:rsidR="006A0C2D" w:rsidRPr="007C2592" w:rsidRDefault="006A0C2D" w:rsidP="00F9555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Implementarea prevederilor proiectului nu necesită cheltuieli financiare din bugetul de stat.</w:t>
            </w:r>
          </w:p>
        </w:tc>
      </w:tr>
      <w:tr w:rsidR="006A0C2D" w:rsidRPr="00440141" w:rsidTr="00F95556">
        <w:trPr>
          <w:tblCellSpacing w:w="15" w:type="dxa"/>
        </w:trPr>
        <w:tc>
          <w:tcPr>
            <w:tcW w:w="4971" w:type="pct"/>
            <w:gridSpan w:val="3"/>
            <w:tcBorders>
              <w:top w:val="nil"/>
              <w:left w:val="nil"/>
              <w:bottom w:val="nil"/>
              <w:right w:val="nil"/>
            </w:tcBorders>
            <w:tcMar>
              <w:top w:w="15" w:type="dxa"/>
              <w:left w:w="15" w:type="dxa"/>
              <w:bottom w:w="15" w:type="dxa"/>
              <w:right w:w="221" w:type="dxa"/>
            </w:tcMar>
            <w:hideMark/>
          </w:tcPr>
          <w:p w:rsidR="006A0C2D" w:rsidRPr="007C2592" w:rsidRDefault="006A0C2D" w:rsidP="00F9555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t>6. Modul de încorporare a actului în cadrul normativ în vigoare.</w:t>
            </w:r>
          </w:p>
        </w:tc>
      </w:tr>
      <w:tr w:rsidR="006A0C2D" w:rsidRPr="00440141" w:rsidTr="00F95556">
        <w:trPr>
          <w:tblCellSpacing w:w="15" w:type="dxa"/>
        </w:trPr>
        <w:tc>
          <w:tcPr>
            <w:tcW w:w="4971" w:type="pct"/>
            <w:gridSpan w:val="3"/>
            <w:tcBorders>
              <w:top w:val="nil"/>
              <w:left w:val="nil"/>
              <w:bottom w:val="nil"/>
              <w:right w:val="nil"/>
            </w:tcBorders>
            <w:tcMar>
              <w:top w:w="15" w:type="dxa"/>
              <w:left w:w="15" w:type="dxa"/>
              <w:bottom w:w="15" w:type="dxa"/>
              <w:right w:w="221" w:type="dxa"/>
            </w:tcMar>
            <w:hideMark/>
          </w:tcPr>
          <w:p w:rsidR="006A0C2D" w:rsidRPr="007C2592" w:rsidRDefault="006A0C2D" w:rsidP="00F9555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 xml:space="preserve">Proiectul se încorporează în sistemul actelor normative și nu necesită modificarea cadrului normativ sau elaborarea unor acte normative noi. </w:t>
            </w:r>
          </w:p>
          <w:p w:rsidR="006A0C2D" w:rsidRPr="007C2592" w:rsidRDefault="006A0C2D" w:rsidP="00F9555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t>7. Avizarea și consultarea publică a proiectului.</w:t>
            </w:r>
          </w:p>
          <w:p w:rsidR="006A0C2D" w:rsidRDefault="006A0C2D" w:rsidP="00F95556">
            <w:pPr>
              <w:pStyle w:val="a6"/>
              <w:ind w:left="45" w:right="52" w:firstLine="540"/>
              <w:jc w:val="both"/>
              <w:rPr>
                <w:rFonts w:ascii="Times New Roman" w:hAnsi="Times New Roman"/>
                <w:sz w:val="24"/>
                <w:szCs w:val="24"/>
                <w:lang w:val="ro-MD"/>
              </w:rPr>
            </w:pPr>
            <w:r w:rsidRPr="007C2592">
              <w:rPr>
                <w:rFonts w:ascii="Times New Roman" w:hAnsi="Times New Roman"/>
                <w:sz w:val="24"/>
                <w:szCs w:val="24"/>
                <w:lang w:val="ro-MD"/>
              </w:rPr>
              <w:t xml:space="preserve">În scopul respectării prevederilor Legii nr.239/2008 privind transparența în procesul decizional, </w:t>
            </w:r>
            <w:r w:rsidR="00440141">
              <w:rPr>
                <w:rFonts w:ascii="Times New Roman" w:hAnsi="Times New Roman"/>
                <w:sz w:val="24"/>
                <w:szCs w:val="24"/>
                <w:lang w:val="ro-MD"/>
              </w:rPr>
              <w:t>anunțul de inițiere a elaborării proiectului Hotărârii de Guvern a fost plasat</w:t>
            </w:r>
            <w:r w:rsidRPr="007C2592">
              <w:rPr>
                <w:rFonts w:ascii="Times New Roman" w:hAnsi="Times New Roman"/>
                <w:sz w:val="24"/>
                <w:szCs w:val="24"/>
                <w:lang w:val="ro-MD"/>
              </w:rPr>
              <w:t xml:space="preserve"> pe pagina web oficială a Ministerului Educației și Cercetării </w:t>
            </w:r>
            <w:hyperlink r:id="rId6" w:history="1">
              <w:r w:rsidRPr="007C2592">
                <w:rPr>
                  <w:rStyle w:val="a5"/>
                  <w:rFonts w:ascii="Times New Roman" w:hAnsi="Times New Roman"/>
                  <w:sz w:val="24"/>
                  <w:szCs w:val="24"/>
                  <w:lang w:val="ro-MD"/>
                </w:rPr>
                <w:t>www.mec.gov.md</w:t>
              </w:r>
            </w:hyperlink>
            <w:r w:rsidRPr="007C2592">
              <w:rPr>
                <w:rFonts w:ascii="Times New Roman" w:hAnsi="Times New Roman"/>
                <w:sz w:val="24"/>
                <w:szCs w:val="24"/>
                <w:lang w:val="ro-MD"/>
              </w:rPr>
              <w:t xml:space="preserve">, compartimentul Transparența decizională, precum și pe pagina web </w:t>
            </w:r>
            <w:hyperlink r:id="rId7" w:history="1">
              <w:r w:rsidRPr="007C2592">
                <w:rPr>
                  <w:rStyle w:val="a5"/>
                  <w:rFonts w:ascii="Times New Roman" w:hAnsi="Times New Roman"/>
                  <w:sz w:val="24"/>
                  <w:szCs w:val="24"/>
                  <w:lang w:val="ro-MD"/>
                </w:rPr>
                <w:t>www.particip.gov.md</w:t>
              </w:r>
            </w:hyperlink>
            <w:r w:rsidRPr="007C2592">
              <w:rPr>
                <w:rFonts w:ascii="Times New Roman" w:hAnsi="Times New Roman"/>
                <w:sz w:val="24"/>
                <w:szCs w:val="24"/>
                <w:lang w:val="ro-MD"/>
              </w:rPr>
              <w:t>.</w:t>
            </w:r>
          </w:p>
          <w:p w:rsidR="0032418A" w:rsidRPr="007C2592" w:rsidRDefault="0032418A" w:rsidP="00F95556">
            <w:pPr>
              <w:pStyle w:val="a6"/>
              <w:ind w:left="45" w:right="52" w:firstLine="540"/>
              <w:jc w:val="both"/>
              <w:rPr>
                <w:rFonts w:ascii="Times New Roman" w:hAnsi="Times New Roman"/>
                <w:sz w:val="24"/>
                <w:szCs w:val="24"/>
                <w:lang w:val="ro-MD"/>
              </w:rPr>
            </w:pPr>
            <w:r>
              <w:rPr>
                <w:rFonts w:ascii="Times New Roman" w:hAnsi="Times New Roman"/>
                <w:sz w:val="24"/>
                <w:szCs w:val="24"/>
                <w:lang w:val="ro-MD"/>
              </w:rPr>
              <w:t>Proiectul urmează a fi transmis spre avizare la Ministerul Justiției, Ministerul Infrastructurii și Dezvoltării Regionale, Agenția Proprietății publice și Agenția Servicii Publice.</w:t>
            </w:r>
          </w:p>
          <w:p w:rsidR="006A0C2D" w:rsidRPr="007C2592" w:rsidRDefault="006A0C2D" w:rsidP="00F9555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t>8. Constatările expertizei anticorupție</w:t>
            </w:r>
          </w:p>
          <w:p w:rsidR="003859FF" w:rsidRPr="007C2592" w:rsidRDefault="006A0C2D" w:rsidP="00F9555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 xml:space="preserve">Proiectul </w:t>
            </w:r>
            <w:r w:rsidR="003859FF" w:rsidRPr="007C2592">
              <w:rPr>
                <w:rFonts w:ascii="Times New Roman" w:hAnsi="Times New Roman"/>
                <w:noProof/>
                <w:sz w:val="24"/>
                <w:szCs w:val="24"/>
                <w:lang w:val="ro-MD" w:eastAsia="ru-RU"/>
              </w:rPr>
              <w:t>va fi transmis spre expertizare</w:t>
            </w:r>
            <w:r w:rsidRPr="007C2592">
              <w:rPr>
                <w:rFonts w:ascii="Times New Roman" w:hAnsi="Times New Roman"/>
                <w:noProof/>
                <w:sz w:val="24"/>
                <w:szCs w:val="24"/>
                <w:lang w:val="ro-MD" w:eastAsia="ru-RU"/>
              </w:rPr>
              <w:t xml:space="preserve"> anticorupție la</w:t>
            </w:r>
            <w:r w:rsidR="003859FF" w:rsidRPr="007C2592">
              <w:rPr>
                <w:rFonts w:ascii="Times New Roman" w:hAnsi="Times New Roman"/>
                <w:noProof/>
                <w:sz w:val="24"/>
                <w:szCs w:val="24"/>
                <w:lang w:val="ro-MD" w:eastAsia="ru-RU"/>
              </w:rPr>
              <w:t xml:space="preserve"> Centrul Național Anticorupție.</w:t>
            </w:r>
          </w:p>
          <w:p w:rsidR="006A0C2D" w:rsidRPr="007C2592" w:rsidRDefault="006A0C2D" w:rsidP="00F9555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t>9. Constatările expertizei de compatibilitate cu legislația Uniunii Europene</w:t>
            </w:r>
          </w:p>
          <w:p w:rsidR="006A0C2D" w:rsidRPr="007C2592" w:rsidRDefault="006A0C2D" w:rsidP="00F9555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Proiectul nu intră în categoria actelor normative care necesită expertiza de compatibilitate cu legislația Uniunii Europene.</w:t>
            </w:r>
          </w:p>
          <w:p w:rsidR="006A0C2D" w:rsidRPr="007C2592" w:rsidRDefault="006A0C2D" w:rsidP="00F9555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t>10. Constatările expertizei juridice</w:t>
            </w:r>
          </w:p>
          <w:p w:rsidR="006A0C2D" w:rsidRPr="007C2592" w:rsidRDefault="006A0C2D" w:rsidP="00F95556">
            <w:pPr>
              <w:pStyle w:val="a6"/>
              <w:ind w:left="45" w:right="52" w:firstLine="540"/>
              <w:jc w:val="both"/>
              <w:rPr>
                <w:rFonts w:ascii="Times New Roman" w:hAnsi="Times New Roman"/>
                <w:noProof/>
                <w:sz w:val="24"/>
                <w:szCs w:val="24"/>
                <w:lang w:val="ro-MD" w:eastAsia="ru-RU"/>
              </w:rPr>
            </w:pPr>
            <w:r w:rsidRPr="007C2592">
              <w:rPr>
                <w:rFonts w:ascii="Times New Roman" w:hAnsi="Times New Roman"/>
                <w:noProof/>
                <w:sz w:val="24"/>
                <w:szCs w:val="24"/>
                <w:lang w:val="ro-MD" w:eastAsia="ru-RU"/>
              </w:rPr>
              <w:t xml:space="preserve">Proiectul </w:t>
            </w:r>
            <w:r w:rsidR="003859FF" w:rsidRPr="007C2592">
              <w:rPr>
                <w:rFonts w:ascii="Times New Roman" w:hAnsi="Times New Roman"/>
                <w:noProof/>
                <w:sz w:val="24"/>
                <w:szCs w:val="24"/>
                <w:lang w:val="ro-MD" w:eastAsia="ru-RU"/>
              </w:rPr>
              <w:t>va fi transmis spre</w:t>
            </w:r>
            <w:r w:rsidRPr="007C2592">
              <w:rPr>
                <w:rFonts w:ascii="Times New Roman" w:hAnsi="Times New Roman"/>
                <w:noProof/>
                <w:sz w:val="24"/>
                <w:szCs w:val="24"/>
                <w:lang w:val="ro-MD" w:eastAsia="ru-RU"/>
              </w:rPr>
              <w:t xml:space="preserve"> exp</w:t>
            </w:r>
            <w:r w:rsidR="003859FF" w:rsidRPr="007C2592">
              <w:rPr>
                <w:rFonts w:ascii="Times New Roman" w:hAnsi="Times New Roman"/>
                <w:noProof/>
                <w:sz w:val="24"/>
                <w:szCs w:val="24"/>
                <w:lang w:val="ro-MD" w:eastAsia="ru-RU"/>
              </w:rPr>
              <w:t>ertizare la</w:t>
            </w:r>
            <w:r w:rsidRPr="007C2592">
              <w:rPr>
                <w:rFonts w:ascii="Times New Roman" w:hAnsi="Times New Roman"/>
                <w:noProof/>
                <w:sz w:val="24"/>
                <w:szCs w:val="24"/>
                <w:lang w:val="ro-MD" w:eastAsia="ru-RU"/>
              </w:rPr>
              <w:t xml:space="preserve"> Ministerul Justiției.</w:t>
            </w:r>
          </w:p>
          <w:p w:rsidR="006A0C2D" w:rsidRPr="007C2592" w:rsidRDefault="006A0C2D" w:rsidP="00F95556">
            <w:pPr>
              <w:pStyle w:val="a6"/>
              <w:ind w:left="45" w:right="52" w:firstLine="540"/>
              <w:jc w:val="both"/>
              <w:rPr>
                <w:rFonts w:ascii="Times New Roman" w:hAnsi="Times New Roman"/>
                <w:b/>
                <w:noProof/>
                <w:sz w:val="24"/>
                <w:szCs w:val="24"/>
                <w:lang w:val="ro-MD" w:eastAsia="ru-RU"/>
              </w:rPr>
            </w:pPr>
            <w:r w:rsidRPr="007C2592">
              <w:rPr>
                <w:rFonts w:ascii="Times New Roman" w:hAnsi="Times New Roman"/>
                <w:b/>
                <w:noProof/>
                <w:sz w:val="24"/>
                <w:szCs w:val="24"/>
                <w:lang w:val="ro-MD" w:eastAsia="ru-RU"/>
              </w:rPr>
              <w:t>11. Constatările altor expertize</w:t>
            </w:r>
          </w:p>
          <w:p w:rsidR="006A0C2D" w:rsidRPr="007C2592" w:rsidRDefault="006A0C2D" w:rsidP="00F95556">
            <w:pPr>
              <w:pStyle w:val="a6"/>
              <w:ind w:left="45" w:right="52" w:firstLine="540"/>
              <w:jc w:val="both"/>
              <w:rPr>
                <w:rFonts w:ascii="Times New Roman" w:hAnsi="Times New Roman"/>
                <w:sz w:val="24"/>
                <w:szCs w:val="24"/>
                <w:lang w:val="ro-MD"/>
              </w:rPr>
            </w:pPr>
            <w:r w:rsidRPr="007C2592">
              <w:rPr>
                <w:rFonts w:ascii="Times New Roman" w:hAnsi="Times New Roman"/>
                <w:noProof/>
                <w:sz w:val="24"/>
                <w:szCs w:val="24"/>
                <w:lang w:val="ro-MD" w:eastAsia="ru-RU"/>
              </w:rPr>
              <w:t>Proiectul nu necesită alte expertize.</w:t>
            </w:r>
          </w:p>
        </w:tc>
      </w:tr>
      <w:tr w:rsidR="006A0C2D" w:rsidRPr="00440141" w:rsidTr="004B4D66">
        <w:trPr>
          <w:gridBefore w:val="1"/>
          <w:wBefore w:w="70" w:type="pct"/>
          <w:tblCellSpacing w:w="15" w:type="dxa"/>
        </w:trPr>
        <w:tc>
          <w:tcPr>
            <w:tcW w:w="4887" w:type="pct"/>
            <w:gridSpan w:val="2"/>
            <w:tcBorders>
              <w:top w:val="nil"/>
              <w:left w:val="nil"/>
              <w:bottom w:val="nil"/>
              <w:right w:val="nil"/>
            </w:tcBorders>
            <w:tcMar>
              <w:top w:w="15" w:type="dxa"/>
              <w:left w:w="15" w:type="dxa"/>
              <w:bottom w:w="15" w:type="dxa"/>
              <w:right w:w="221" w:type="dxa"/>
            </w:tcMar>
          </w:tcPr>
          <w:p w:rsidR="006A0C2D" w:rsidRPr="007C2592" w:rsidRDefault="006A0C2D" w:rsidP="00F95556">
            <w:pPr>
              <w:pStyle w:val="a6"/>
              <w:ind w:firstLine="540"/>
              <w:jc w:val="both"/>
              <w:rPr>
                <w:rFonts w:ascii="Times New Roman" w:hAnsi="Times New Roman"/>
                <w:noProof/>
                <w:sz w:val="24"/>
                <w:szCs w:val="24"/>
                <w:lang w:val="ro-MD" w:eastAsia="ru-RU"/>
              </w:rPr>
            </w:pPr>
          </w:p>
        </w:tc>
      </w:tr>
    </w:tbl>
    <w:p w:rsidR="006A0C2D" w:rsidRDefault="006A0C2D" w:rsidP="006A0C2D">
      <w:pPr>
        <w:pStyle w:val="a6"/>
        <w:ind w:firstLine="540"/>
        <w:jc w:val="both"/>
        <w:rPr>
          <w:rFonts w:ascii="Times New Roman" w:hAnsi="Times New Roman"/>
          <w:sz w:val="24"/>
          <w:szCs w:val="24"/>
          <w:lang w:val="ro-MD"/>
        </w:rPr>
      </w:pPr>
    </w:p>
    <w:p w:rsidR="009F4524" w:rsidRPr="007C2592" w:rsidRDefault="009F4524" w:rsidP="006A0C2D">
      <w:pPr>
        <w:pStyle w:val="a6"/>
        <w:ind w:firstLine="540"/>
        <w:jc w:val="both"/>
        <w:rPr>
          <w:rFonts w:ascii="Times New Roman" w:hAnsi="Times New Roman"/>
          <w:sz w:val="24"/>
          <w:szCs w:val="24"/>
          <w:lang w:val="ro-MD"/>
        </w:rPr>
      </w:pPr>
    </w:p>
    <w:p w:rsidR="006A0C2D" w:rsidRPr="007C2592" w:rsidRDefault="00866CA4" w:rsidP="006A0C2D">
      <w:pPr>
        <w:pStyle w:val="a6"/>
        <w:ind w:firstLine="540"/>
        <w:jc w:val="center"/>
        <w:rPr>
          <w:rFonts w:ascii="Times New Roman" w:hAnsi="Times New Roman"/>
          <w:b/>
          <w:sz w:val="24"/>
          <w:szCs w:val="24"/>
          <w:lang w:val="ro-MD"/>
        </w:rPr>
      </w:pPr>
      <w:r>
        <w:rPr>
          <w:rFonts w:ascii="Times New Roman" w:hAnsi="Times New Roman"/>
          <w:b/>
          <w:sz w:val="24"/>
          <w:szCs w:val="24"/>
          <w:lang w:val="ro-MD"/>
        </w:rPr>
        <w:t>Ministru</w:t>
      </w:r>
      <w:r>
        <w:rPr>
          <w:rFonts w:ascii="Times New Roman" w:hAnsi="Times New Roman"/>
          <w:b/>
          <w:sz w:val="24"/>
          <w:szCs w:val="24"/>
          <w:lang w:val="ro-MD"/>
        </w:rPr>
        <w:tab/>
      </w:r>
      <w:r>
        <w:rPr>
          <w:rFonts w:ascii="Times New Roman" w:hAnsi="Times New Roman"/>
          <w:b/>
          <w:sz w:val="24"/>
          <w:szCs w:val="24"/>
          <w:lang w:val="ro-MD"/>
        </w:rPr>
        <w:tab/>
      </w:r>
      <w:r>
        <w:rPr>
          <w:rFonts w:ascii="Times New Roman" w:hAnsi="Times New Roman"/>
          <w:b/>
          <w:sz w:val="24"/>
          <w:szCs w:val="24"/>
          <w:lang w:val="ro-MD"/>
        </w:rPr>
        <w:tab/>
      </w:r>
      <w:r w:rsidR="006A0C2D" w:rsidRPr="007C2592">
        <w:rPr>
          <w:rFonts w:ascii="Times New Roman" w:hAnsi="Times New Roman"/>
          <w:b/>
          <w:sz w:val="24"/>
          <w:szCs w:val="24"/>
          <w:lang w:val="ro-MD"/>
        </w:rPr>
        <w:tab/>
      </w:r>
      <w:r w:rsidR="006A0C2D" w:rsidRPr="007C2592">
        <w:rPr>
          <w:rFonts w:ascii="Times New Roman" w:hAnsi="Times New Roman"/>
          <w:b/>
          <w:sz w:val="24"/>
          <w:szCs w:val="24"/>
          <w:lang w:val="ro-MD"/>
        </w:rPr>
        <w:tab/>
        <w:t>Anatolie TOPALĂ</w:t>
      </w:r>
    </w:p>
    <w:p w:rsidR="006A0C2D" w:rsidRPr="007C2592" w:rsidRDefault="006A0C2D" w:rsidP="009F4524">
      <w:pPr>
        <w:pStyle w:val="a6"/>
        <w:jc w:val="both"/>
        <w:rPr>
          <w:rFonts w:ascii="Times New Roman" w:hAnsi="Times New Roman"/>
          <w:sz w:val="24"/>
          <w:szCs w:val="24"/>
          <w:lang w:val="ro-MD" w:eastAsia="ru-RU"/>
        </w:rPr>
      </w:pPr>
    </w:p>
    <w:p w:rsidR="006A0C2D" w:rsidRPr="007C2592" w:rsidRDefault="006A0C2D" w:rsidP="00F95556">
      <w:pPr>
        <w:pStyle w:val="a6"/>
        <w:jc w:val="both"/>
        <w:rPr>
          <w:rFonts w:ascii="Times New Roman" w:hAnsi="Times New Roman"/>
          <w:sz w:val="24"/>
          <w:szCs w:val="24"/>
          <w:lang w:val="ro-MD" w:eastAsia="ru-RU"/>
        </w:rPr>
      </w:pPr>
    </w:p>
    <w:p w:rsidR="006A0C2D" w:rsidRPr="007C2592" w:rsidRDefault="006A0C2D" w:rsidP="006A0C2D">
      <w:pPr>
        <w:pStyle w:val="a6"/>
        <w:ind w:firstLine="540"/>
        <w:jc w:val="both"/>
        <w:rPr>
          <w:rFonts w:ascii="Times New Roman" w:hAnsi="Times New Roman"/>
          <w:sz w:val="24"/>
          <w:szCs w:val="24"/>
          <w:lang w:val="ro-MD" w:eastAsia="ru-RU"/>
        </w:rPr>
      </w:pPr>
    </w:p>
    <w:p w:rsidR="006A0C2D" w:rsidRDefault="006A0C2D" w:rsidP="006A0C2D">
      <w:pPr>
        <w:pStyle w:val="a6"/>
        <w:ind w:firstLine="540"/>
        <w:jc w:val="both"/>
        <w:rPr>
          <w:rFonts w:ascii="Times New Roman" w:hAnsi="Times New Roman"/>
          <w:sz w:val="24"/>
          <w:szCs w:val="24"/>
          <w:lang w:val="ro-MD" w:eastAsia="ru-RU"/>
        </w:rPr>
      </w:pPr>
    </w:p>
    <w:p w:rsidR="00266E9E" w:rsidRDefault="00266E9E" w:rsidP="006A0C2D">
      <w:pPr>
        <w:pStyle w:val="a6"/>
        <w:ind w:firstLine="540"/>
        <w:jc w:val="both"/>
        <w:rPr>
          <w:rFonts w:ascii="Times New Roman" w:hAnsi="Times New Roman"/>
          <w:sz w:val="24"/>
          <w:szCs w:val="24"/>
          <w:lang w:val="ro-MD" w:eastAsia="ru-RU"/>
        </w:rPr>
      </w:pPr>
    </w:p>
    <w:p w:rsidR="00266E9E" w:rsidRDefault="00266E9E" w:rsidP="006A0C2D">
      <w:pPr>
        <w:pStyle w:val="a6"/>
        <w:ind w:firstLine="540"/>
        <w:jc w:val="both"/>
        <w:rPr>
          <w:rFonts w:ascii="Times New Roman" w:hAnsi="Times New Roman"/>
          <w:sz w:val="24"/>
          <w:szCs w:val="24"/>
          <w:lang w:val="ro-MD" w:eastAsia="ru-RU"/>
        </w:rPr>
      </w:pPr>
    </w:p>
    <w:p w:rsidR="00266E9E" w:rsidRDefault="00266E9E" w:rsidP="006A0C2D">
      <w:pPr>
        <w:pStyle w:val="a6"/>
        <w:ind w:firstLine="540"/>
        <w:jc w:val="both"/>
        <w:rPr>
          <w:rFonts w:ascii="Times New Roman" w:hAnsi="Times New Roman"/>
          <w:sz w:val="24"/>
          <w:szCs w:val="24"/>
          <w:lang w:val="ro-MD" w:eastAsia="ru-RU"/>
        </w:rPr>
      </w:pPr>
    </w:p>
    <w:p w:rsidR="00266E9E" w:rsidRDefault="00266E9E" w:rsidP="006A0C2D">
      <w:pPr>
        <w:pStyle w:val="a6"/>
        <w:ind w:firstLine="540"/>
        <w:jc w:val="both"/>
        <w:rPr>
          <w:rFonts w:ascii="Times New Roman" w:hAnsi="Times New Roman"/>
          <w:sz w:val="24"/>
          <w:szCs w:val="24"/>
          <w:lang w:val="ro-MD" w:eastAsia="ru-RU"/>
        </w:rPr>
      </w:pPr>
    </w:p>
    <w:p w:rsidR="00586CBF" w:rsidRDefault="00586CBF" w:rsidP="006A0C2D">
      <w:pPr>
        <w:pStyle w:val="a6"/>
        <w:ind w:firstLine="540"/>
        <w:jc w:val="both"/>
        <w:rPr>
          <w:rFonts w:ascii="Times New Roman" w:hAnsi="Times New Roman"/>
          <w:sz w:val="24"/>
          <w:szCs w:val="24"/>
          <w:lang w:val="ro-MD" w:eastAsia="ru-RU"/>
        </w:rPr>
      </w:pPr>
    </w:p>
    <w:p w:rsidR="00586CBF" w:rsidRDefault="00586CBF" w:rsidP="006A0C2D">
      <w:pPr>
        <w:pStyle w:val="a6"/>
        <w:ind w:firstLine="540"/>
        <w:jc w:val="both"/>
        <w:rPr>
          <w:rFonts w:ascii="Times New Roman" w:hAnsi="Times New Roman"/>
          <w:sz w:val="24"/>
          <w:szCs w:val="24"/>
          <w:lang w:val="ro-MD" w:eastAsia="ru-RU"/>
        </w:rPr>
      </w:pPr>
    </w:p>
    <w:p w:rsidR="009D7717" w:rsidRDefault="009D7717" w:rsidP="006A0C2D">
      <w:pPr>
        <w:pStyle w:val="a6"/>
        <w:ind w:firstLine="540"/>
        <w:jc w:val="both"/>
        <w:rPr>
          <w:rFonts w:ascii="Times New Roman" w:hAnsi="Times New Roman"/>
          <w:sz w:val="24"/>
          <w:szCs w:val="24"/>
          <w:lang w:val="ro-MD" w:eastAsia="ru-RU"/>
        </w:rPr>
      </w:pPr>
      <w:bookmarkStart w:id="0" w:name="_GoBack"/>
      <w:bookmarkEnd w:id="0"/>
    </w:p>
    <w:p w:rsidR="00586CBF" w:rsidRDefault="00586CBF" w:rsidP="006A0C2D">
      <w:pPr>
        <w:pStyle w:val="a6"/>
        <w:ind w:firstLine="540"/>
        <w:jc w:val="both"/>
        <w:rPr>
          <w:rFonts w:ascii="Times New Roman" w:hAnsi="Times New Roman"/>
          <w:sz w:val="24"/>
          <w:szCs w:val="24"/>
          <w:lang w:val="ro-MD" w:eastAsia="ru-RU"/>
        </w:rPr>
      </w:pPr>
    </w:p>
    <w:p w:rsidR="00586CBF" w:rsidRDefault="00586CBF" w:rsidP="006A0C2D">
      <w:pPr>
        <w:pStyle w:val="a6"/>
        <w:ind w:firstLine="540"/>
        <w:jc w:val="both"/>
        <w:rPr>
          <w:rFonts w:ascii="Times New Roman" w:hAnsi="Times New Roman"/>
          <w:sz w:val="24"/>
          <w:szCs w:val="24"/>
          <w:lang w:val="ro-MD" w:eastAsia="ru-RU"/>
        </w:rPr>
      </w:pPr>
    </w:p>
    <w:p w:rsidR="00586CBF" w:rsidRDefault="00586CBF" w:rsidP="006A0C2D">
      <w:pPr>
        <w:pStyle w:val="a6"/>
        <w:ind w:firstLine="540"/>
        <w:jc w:val="both"/>
        <w:rPr>
          <w:rFonts w:ascii="Times New Roman" w:hAnsi="Times New Roman"/>
          <w:sz w:val="24"/>
          <w:szCs w:val="24"/>
          <w:lang w:val="ro-MD" w:eastAsia="ru-RU"/>
        </w:rPr>
      </w:pPr>
    </w:p>
    <w:p w:rsidR="00266E9E" w:rsidRPr="007C2592" w:rsidRDefault="00266E9E" w:rsidP="00795421">
      <w:pPr>
        <w:pStyle w:val="a6"/>
        <w:jc w:val="both"/>
        <w:rPr>
          <w:rFonts w:ascii="Times New Roman" w:hAnsi="Times New Roman"/>
          <w:sz w:val="24"/>
          <w:szCs w:val="24"/>
          <w:lang w:val="ro-MD" w:eastAsia="ru-RU"/>
        </w:rPr>
      </w:pPr>
    </w:p>
    <w:p w:rsidR="006A0C2D" w:rsidRPr="007C2592" w:rsidRDefault="00D22A26" w:rsidP="006A0C2D">
      <w:pPr>
        <w:pStyle w:val="a6"/>
        <w:ind w:firstLine="540"/>
        <w:jc w:val="both"/>
        <w:rPr>
          <w:rFonts w:ascii="Times New Roman" w:hAnsi="Times New Roman"/>
          <w:sz w:val="18"/>
          <w:szCs w:val="18"/>
          <w:lang w:val="ro-MD" w:eastAsia="ru-RU"/>
        </w:rPr>
      </w:pPr>
      <w:r w:rsidRPr="007C2592">
        <w:rPr>
          <w:rFonts w:ascii="Times New Roman" w:hAnsi="Times New Roman"/>
          <w:sz w:val="18"/>
          <w:szCs w:val="18"/>
          <w:lang w:val="ro-MD" w:eastAsia="ru-RU"/>
        </w:rPr>
        <w:t>Ex. Vasile Secrieru, consultant juridic</w:t>
      </w:r>
    </w:p>
    <w:p w:rsidR="00137987" w:rsidRPr="007C2592" w:rsidRDefault="00D22A26" w:rsidP="00F95556">
      <w:pPr>
        <w:pStyle w:val="a6"/>
        <w:ind w:firstLine="540"/>
        <w:jc w:val="both"/>
        <w:rPr>
          <w:rFonts w:ascii="Times New Roman" w:hAnsi="Times New Roman"/>
          <w:sz w:val="18"/>
          <w:szCs w:val="18"/>
          <w:lang w:val="ro-MD"/>
        </w:rPr>
      </w:pPr>
      <w:r w:rsidRPr="007C2592">
        <w:rPr>
          <w:rFonts w:ascii="Times New Roman" w:hAnsi="Times New Roman"/>
          <w:sz w:val="18"/>
          <w:szCs w:val="18"/>
          <w:lang w:val="ro-MD" w:eastAsia="ru-RU"/>
        </w:rPr>
        <w:t>Tel. 068269785</w:t>
      </w:r>
    </w:p>
    <w:sectPr w:rsidR="00137987" w:rsidRPr="007C2592" w:rsidSect="004B4D66">
      <w:footerReference w:type="default" r:id="rId8"/>
      <w:pgSz w:w="11906" w:h="16838"/>
      <w:pgMar w:top="567" w:right="1016" w:bottom="709" w:left="1276" w:header="70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BA" w:rsidRDefault="005C2CBA">
      <w:pPr>
        <w:spacing w:after="0" w:line="240" w:lineRule="auto"/>
      </w:pPr>
      <w:r>
        <w:separator/>
      </w:r>
    </w:p>
  </w:endnote>
  <w:endnote w:type="continuationSeparator" w:id="0">
    <w:p w:rsidR="005C2CBA" w:rsidRDefault="005C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436"/>
      <w:docPartObj>
        <w:docPartGallery w:val="Page Numbers (Bottom of Page)"/>
        <w:docPartUnique/>
      </w:docPartObj>
    </w:sdtPr>
    <w:sdtEndPr/>
    <w:sdtContent>
      <w:sdt>
        <w:sdtPr>
          <w:id w:val="-1769616900"/>
          <w:docPartObj>
            <w:docPartGallery w:val="Page Numbers (Top of Page)"/>
            <w:docPartUnique/>
          </w:docPartObj>
        </w:sdtPr>
        <w:sdtEndPr/>
        <w:sdtContent>
          <w:p w:rsidR="004B4D66" w:rsidRDefault="004B4D66">
            <w:pPr>
              <w:pStyle w:val="a3"/>
              <w:jc w:val="right"/>
            </w:pPr>
            <w:r>
              <w:rPr>
                <w:lang w:val="ro-MD"/>
              </w:rPr>
              <w:t>Pagina</w:t>
            </w:r>
            <w:r>
              <w:t xml:space="preserve"> </w:t>
            </w:r>
            <w:r>
              <w:rPr>
                <w:b/>
                <w:bCs/>
                <w:sz w:val="24"/>
                <w:szCs w:val="24"/>
              </w:rPr>
              <w:fldChar w:fldCharType="begin"/>
            </w:r>
            <w:r>
              <w:rPr>
                <w:b/>
                <w:bCs/>
              </w:rPr>
              <w:instrText>PAGE</w:instrText>
            </w:r>
            <w:r>
              <w:rPr>
                <w:b/>
                <w:bCs/>
                <w:sz w:val="24"/>
                <w:szCs w:val="24"/>
              </w:rPr>
              <w:fldChar w:fldCharType="separate"/>
            </w:r>
            <w:r w:rsidR="009D7717">
              <w:rPr>
                <w:b/>
                <w:bCs/>
                <w:noProof/>
              </w:rPr>
              <w:t>6</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9D7717">
              <w:rPr>
                <w:b/>
                <w:bCs/>
                <w:noProof/>
              </w:rPr>
              <w:t>6</w:t>
            </w:r>
            <w:r>
              <w:rPr>
                <w:b/>
                <w:bCs/>
                <w:sz w:val="24"/>
                <w:szCs w:val="24"/>
              </w:rPr>
              <w:fldChar w:fldCharType="end"/>
            </w:r>
          </w:p>
        </w:sdtContent>
      </w:sdt>
    </w:sdtContent>
  </w:sdt>
  <w:p w:rsidR="00D710C1" w:rsidRPr="00AF3B7E" w:rsidRDefault="005C2CBA">
    <w:pPr>
      <w:pStyle w:val="a3"/>
      <w:jc w:val="righ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BA" w:rsidRDefault="005C2CBA">
      <w:pPr>
        <w:spacing w:after="0" w:line="240" w:lineRule="auto"/>
      </w:pPr>
      <w:r>
        <w:separator/>
      </w:r>
    </w:p>
  </w:footnote>
  <w:footnote w:type="continuationSeparator" w:id="0">
    <w:p w:rsidR="005C2CBA" w:rsidRDefault="005C2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07"/>
    <w:rsid w:val="00041AF8"/>
    <w:rsid w:val="00057DF9"/>
    <w:rsid w:val="000C773A"/>
    <w:rsid w:val="00137987"/>
    <w:rsid w:val="0015344A"/>
    <w:rsid w:val="001F4EDA"/>
    <w:rsid w:val="00266E9E"/>
    <w:rsid w:val="00271B33"/>
    <w:rsid w:val="002910A7"/>
    <w:rsid w:val="00306ABD"/>
    <w:rsid w:val="0032418A"/>
    <w:rsid w:val="0033214C"/>
    <w:rsid w:val="003859FF"/>
    <w:rsid w:val="00425013"/>
    <w:rsid w:val="00440141"/>
    <w:rsid w:val="004512AF"/>
    <w:rsid w:val="004B4D66"/>
    <w:rsid w:val="004C3118"/>
    <w:rsid w:val="00571183"/>
    <w:rsid w:val="00586CBF"/>
    <w:rsid w:val="005C2CBA"/>
    <w:rsid w:val="005D7C5D"/>
    <w:rsid w:val="006A0C2D"/>
    <w:rsid w:val="00795421"/>
    <w:rsid w:val="007C2592"/>
    <w:rsid w:val="0082108E"/>
    <w:rsid w:val="00866CA4"/>
    <w:rsid w:val="008876FF"/>
    <w:rsid w:val="008B7C0C"/>
    <w:rsid w:val="00911897"/>
    <w:rsid w:val="00930E6B"/>
    <w:rsid w:val="009902E0"/>
    <w:rsid w:val="009D7717"/>
    <w:rsid w:val="009F4524"/>
    <w:rsid w:val="00A21571"/>
    <w:rsid w:val="00AB3D81"/>
    <w:rsid w:val="00C15B41"/>
    <w:rsid w:val="00C5416D"/>
    <w:rsid w:val="00C83AB5"/>
    <w:rsid w:val="00C84E29"/>
    <w:rsid w:val="00CA3571"/>
    <w:rsid w:val="00CD7BE2"/>
    <w:rsid w:val="00D030BA"/>
    <w:rsid w:val="00D0575A"/>
    <w:rsid w:val="00D22A26"/>
    <w:rsid w:val="00DA67EF"/>
    <w:rsid w:val="00E05907"/>
    <w:rsid w:val="00E86E7A"/>
    <w:rsid w:val="00EC3794"/>
    <w:rsid w:val="00F101A8"/>
    <w:rsid w:val="00F615B6"/>
    <w:rsid w:val="00F930A3"/>
    <w:rsid w:val="00F9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B5A67-08ED-4E4B-BCC1-C1493300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0C2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A0C2D"/>
    <w:rPr>
      <w:rFonts w:ascii="Calibri" w:eastAsia="Calibri" w:hAnsi="Calibri" w:cs="Times New Roman"/>
    </w:rPr>
  </w:style>
  <w:style w:type="character" w:styleId="a5">
    <w:name w:val="Hyperlink"/>
    <w:basedOn w:val="a0"/>
    <w:uiPriority w:val="99"/>
    <w:unhideWhenUsed/>
    <w:rsid w:val="006A0C2D"/>
    <w:rPr>
      <w:color w:val="0563C1" w:themeColor="hyperlink"/>
      <w:u w:val="single"/>
    </w:rPr>
  </w:style>
  <w:style w:type="paragraph" w:styleId="a6">
    <w:name w:val="No Spacing"/>
    <w:uiPriority w:val="1"/>
    <w:qFormat/>
    <w:rsid w:val="006A0C2D"/>
    <w:pPr>
      <w:spacing w:after="0" w:line="240" w:lineRule="auto"/>
    </w:pPr>
    <w:rPr>
      <w:rFonts w:ascii="Calibri" w:eastAsia="Calibri" w:hAnsi="Calibri" w:cs="Times New Roman"/>
    </w:rPr>
  </w:style>
  <w:style w:type="paragraph" w:styleId="a7">
    <w:name w:val="header"/>
    <w:basedOn w:val="a"/>
    <w:link w:val="a8"/>
    <w:uiPriority w:val="99"/>
    <w:unhideWhenUsed/>
    <w:rsid w:val="00CD7B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7B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rticip.gov.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c.gov.m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Vasile Secrieru MEC</cp:lastModifiedBy>
  <cp:revision>48</cp:revision>
  <dcterms:created xsi:type="dcterms:W3CDTF">2023-02-23T13:38:00Z</dcterms:created>
  <dcterms:modified xsi:type="dcterms:W3CDTF">2023-05-10T08:25:00Z</dcterms:modified>
</cp:coreProperties>
</file>