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4C7D2" w14:textId="666110CE" w:rsidR="005545D4" w:rsidRPr="00A6480C" w:rsidRDefault="005545D4" w:rsidP="00C24814">
      <w:pPr>
        <w:jc w:val="center"/>
        <w:rPr>
          <w:rFonts w:eastAsia="Calibri"/>
          <w:b/>
          <w:lang w:val="ro-MD"/>
        </w:rPr>
      </w:pPr>
      <w:r w:rsidRPr="00A6480C">
        <w:rPr>
          <w:rFonts w:eastAsia="Calibri"/>
          <w:b/>
          <w:lang w:val="ro-MD"/>
        </w:rPr>
        <w:t>Nota informativă</w:t>
      </w:r>
    </w:p>
    <w:p w14:paraId="50529DF4" w14:textId="0C906922" w:rsidR="005545D4" w:rsidRPr="00A21305" w:rsidRDefault="00267ACD" w:rsidP="00C24814">
      <w:pPr>
        <w:jc w:val="center"/>
        <w:rPr>
          <w:b/>
          <w:bCs/>
          <w:lang w:val="ro-MD"/>
        </w:rPr>
      </w:pPr>
      <w:r w:rsidRPr="00A6480C">
        <w:rPr>
          <w:b/>
          <w:bCs/>
          <w:lang w:val="ro-MD"/>
        </w:rPr>
        <w:t xml:space="preserve">la proiectul </w:t>
      </w:r>
      <w:r w:rsidR="0020205F" w:rsidRPr="00A6480C">
        <w:rPr>
          <w:b/>
          <w:bCs/>
          <w:lang w:val="ro-MD"/>
        </w:rPr>
        <w:t>h</w:t>
      </w:r>
      <w:r w:rsidRPr="00A6480C">
        <w:rPr>
          <w:b/>
          <w:bCs/>
          <w:lang w:val="ro-MD"/>
        </w:rPr>
        <w:t xml:space="preserve">otărârii </w:t>
      </w:r>
      <w:r w:rsidR="005545D4" w:rsidRPr="00A6480C">
        <w:rPr>
          <w:b/>
          <w:bCs/>
          <w:lang w:val="ro-MD"/>
        </w:rPr>
        <w:t>Guvern</w:t>
      </w:r>
      <w:r w:rsidRPr="00A6480C">
        <w:rPr>
          <w:b/>
          <w:bCs/>
          <w:lang w:val="ro-MD"/>
        </w:rPr>
        <w:t>ului</w:t>
      </w:r>
      <w:r w:rsidR="005545D4" w:rsidRPr="00A6480C">
        <w:rPr>
          <w:b/>
          <w:bCs/>
          <w:lang w:val="ro-MD"/>
        </w:rPr>
        <w:t xml:space="preserve"> </w:t>
      </w:r>
      <w:r w:rsidRPr="00A6480C">
        <w:rPr>
          <w:b/>
          <w:bCs/>
          <w:lang w:val="ro-MD"/>
        </w:rPr>
        <w:t>cu privire la</w:t>
      </w:r>
      <w:r w:rsidR="005545D4" w:rsidRPr="00A6480C">
        <w:rPr>
          <w:b/>
          <w:bCs/>
          <w:lang w:val="ro-MD"/>
        </w:rPr>
        <w:t xml:space="preserve"> modificarea </w:t>
      </w:r>
      <w:r w:rsidR="008C233C" w:rsidRPr="00A6480C">
        <w:rPr>
          <w:b/>
          <w:bCs/>
          <w:lang w:val="ro-MD"/>
        </w:rPr>
        <w:t>unor h</w:t>
      </w:r>
      <w:r w:rsidR="005545D4" w:rsidRPr="00A6480C">
        <w:rPr>
          <w:b/>
          <w:bCs/>
          <w:lang w:val="ro-MD"/>
        </w:rPr>
        <w:t>otărâri</w:t>
      </w:r>
      <w:r w:rsidR="008C233C" w:rsidRPr="00A6480C">
        <w:rPr>
          <w:b/>
          <w:bCs/>
          <w:lang w:val="ro-MD"/>
        </w:rPr>
        <w:t xml:space="preserve"> ale</w:t>
      </w:r>
      <w:r w:rsidR="005545D4" w:rsidRPr="00A6480C">
        <w:rPr>
          <w:b/>
          <w:bCs/>
          <w:lang w:val="ro-MD"/>
        </w:rPr>
        <w:t xml:space="preserve"> Guvern</w:t>
      </w:r>
      <w:r w:rsidRPr="00A6480C">
        <w:rPr>
          <w:b/>
          <w:bCs/>
          <w:lang w:val="ro-MD"/>
        </w:rPr>
        <w:t>ului și abrogarea unei hotărâ</w:t>
      </w:r>
      <w:r w:rsidR="008C233C" w:rsidRPr="00A6480C">
        <w:rPr>
          <w:b/>
          <w:bCs/>
          <w:lang w:val="ro-MD"/>
        </w:rPr>
        <w:t>ri</w:t>
      </w:r>
      <w:r w:rsidR="00EC7482">
        <w:rPr>
          <w:b/>
          <w:bCs/>
          <w:lang w:val="ro-MD"/>
        </w:rPr>
        <w:t xml:space="preserve"> (</w:t>
      </w:r>
      <w:r w:rsidR="00EC7482" w:rsidRPr="00A21305">
        <w:rPr>
          <w:b/>
          <w:bCs/>
          <w:lang w:val="ro-MD"/>
        </w:rPr>
        <w:t>reorganizarea Agenției de Intervenție și Plăți pentru Agricultură)</w:t>
      </w:r>
    </w:p>
    <w:p w14:paraId="0C826B3E" w14:textId="77777777" w:rsidR="005545D4" w:rsidRPr="00A6480C" w:rsidRDefault="005545D4" w:rsidP="00C24814">
      <w:pPr>
        <w:jc w:val="center"/>
        <w:rPr>
          <w:rFonts w:eastAsia="Calibri"/>
          <w:b/>
          <w:lang w:val="ro-MD"/>
        </w:rPr>
      </w:pPr>
    </w:p>
    <w:tbl>
      <w:tblPr>
        <w:tblW w:w="494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5545D4" w:rsidRPr="00A6480C" w14:paraId="2506877A" w14:textId="77777777" w:rsidTr="00750902">
        <w:tc>
          <w:tcPr>
            <w:tcW w:w="5000" w:type="pct"/>
          </w:tcPr>
          <w:p w14:paraId="0258D596" w14:textId="3FABA8F9" w:rsidR="005545D4" w:rsidRPr="00A6480C" w:rsidRDefault="005545D4" w:rsidP="00BE1AD7">
            <w:pPr>
              <w:tabs>
                <w:tab w:val="left" w:pos="284"/>
                <w:tab w:val="left" w:pos="360"/>
              </w:tabs>
              <w:jc w:val="both"/>
              <w:rPr>
                <w:rFonts w:eastAsia="Calibri"/>
                <w:b/>
                <w:lang w:val="ro-MD"/>
              </w:rPr>
            </w:pPr>
            <w:r w:rsidRPr="00A6480C">
              <w:rPr>
                <w:rFonts w:eastAsia="Calibri"/>
                <w:b/>
                <w:lang w:val="ro-MD"/>
              </w:rPr>
              <w:t xml:space="preserve">1.Denumirea autorului </w:t>
            </w:r>
            <w:proofErr w:type="spellStart"/>
            <w:r w:rsidRPr="00A6480C">
              <w:rPr>
                <w:rFonts w:eastAsia="Calibri"/>
                <w:b/>
                <w:lang w:val="ro-MD"/>
              </w:rPr>
              <w:t>şi</w:t>
            </w:r>
            <w:proofErr w:type="spellEnd"/>
            <w:r w:rsidRPr="00A6480C">
              <w:rPr>
                <w:rFonts w:eastAsia="Calibri"/>
                <w:b/>
                <w:lang w:val="ro-MD"/>
              </w:rPr>
              <w:t xml:space="preserve">, după caz, a </w:t>
            </w:r>
            <w:r w:rsidR="00FB5284" w:rsidRPr="00A6480C">
              <w:rPr>
                <w:rFonts w:eastAsia="Calibri"/>
                <w:b/>
                <w:lang w:val="ro-MD"/>
              </w:rPr>
              <w:t>participanților</w:t>
            </w:r>
            <w:r w:rsidRPr="00A6480C">
              <w:rPr>
                <w:rFonts w:eastAsia="Calibri"/>
                <w:b/>
                <w:lang w:val="ro-MD"/>
              </w:rPr>
              <w:t xml:space="preserve"> la elaborarea proiectului</w:t>
            </w:r>
          </w:p>
        </w:tc>
      </w:tr>
      <w:tr w:rsidR="005545D4" w:rsidRPr="00A6480C" w14:paraId="2F0E9F88" w14:textId="77777777" w:rsidTr="00750902">
        <w:tc>
          <w:tcPr>
            <w:tcW w:w="5000" w:type="pct"/>
          </w:tcPr>
          <w:p w14:paraId="06881EB4" w14:textId="3996A817" w:rsidR="005545D4" w:rsidRPr="00A6480C" w:rsidRDefault="005545D4" w:rsidP="00BE1AD7">
            <w:pPr>
              <w:tabs>
                <w:tab w:val="left" w:pos="884"/>
                <w:tab w:val="left" w:pos="1196"/>
              </w:tabs>
              <w:jc w:val="both"/>
              <w:rPr>
                <w:rFonts w:eastAsia="Calibri"/>
                <w:bCs/>
                <w:lang w:val="ro-MD"/>
              </w:rPr>
            </w:pPr>
            <w:r w:rsidRPr="00A6480C">
              <w:rPr>
                <w:rFonts w:eastAsia="Calibri"/>
                <w:bCs/>
                <w:lang w:val="ro-MD"/>
              </w:rPr>
              <w:t xml:space="preserve">Prezentul proiect este elaborat de către Ministerul Agriculturii și Industriei Alimentare, în colaborare cu </w:t>
            </w:r>
            <w:r w:rsidRPr="00A6480C">
              <w:rPr>
                <w:rFonts w:eastAsia="Calibri"/>
                <w:lang w:val="ro-MD"/>
              </w:rPr>
              <w:t>Agenția de Intervenție și Plăți pentru Agricultură</w:t>
            </w:r>
            <w:r w:rsidR="008C233C" w:rsidRPr="00A6480C">
              <w:rPr>
                <w:shd w:val="clear" w:color="auto" w:fill="FFFFFF"/>
                <w:lang w:val="ro-MD"/>
              </w:rPr>
              <w:t>, Comisia de Stat pentru Testarea Soiurilor de Plante</w:t>
            </w:r>
            <w:r w:rsidR="00267ACD" w:rsidRPr="00A6480C">
              <w:rPr>
                <w:shd w:val="clear" w:color="auto" w:fill="FFFFFF"/>
                <w:lang w:val="ro-MD"/>
              </w:rPr>
              <w:t xml:space="preserve"> și</w:t>
            </w:r>
            <w:r w:rsidR="008C233C" w:rsidRPr="00A6480C">
              <w:rPr>
                <w:shd w:val="clear" w:color="auto" w:fill="FFFFFF"/>
                <w:lang w:val="ro-MD"/>
              </w:rPr>
              <w:t xml:space="preserve"> </w:t>
            </w:r>
            <w:r w:rsidR="008C233C" w:rsidRPr="00A6480C">
              <w:rPr>
                <w:color w:val="202124"/>
                <w:shd w:val="clear" w:color="auto" w:fill="FFFFFF"/>
                <w:lang w:val="ro-MD"/>
              </w:rPr>
              <w:t>Serviciul Special pentru Influențe Active asupra Proceselor Hidrometeorologice</w:t>
            </w:r>
            <w:r w:rsidR="008C233C" w:rsidRPr="00A6480C">
              <w:rPr>
                <w:rFonts w:eastAsia="Calibri"/>
                <w:lang w:val="ro-MD"/>
              </w:rPr>
              <w:t>.</w:t>
            </w:r>
          </w:p>
        </w:tc>
      </w:tr>
      <w:tr w:rsidR="005545D4" w:rsidRPr="00A6480C" w14:paraId="40D1AAB3" w14:textId="77777777" w:rsidTr="00750902">
        <w:tc>
          <w:tcPr>
            <w:tcW w:w="5000" w:type="pct"/>
          </w:tcPr>
          <w:p w14:paraId="5F0AEA76" w14:textId="60FDF78C" w:rsidR="005545D4" w:rsidRPr="00A6480C" w:rsidRDefault="005545D4" w:rsidP="00BE1AD7">
            <w:pPr>
              <w:tabs>
                <w:tab w:val="left" w:pos="884"/>
                <w:tab w:val="left" w:pos="1196"/>
              </w:tabs>
              <w:jc w:val="both"/>
              <w:rPr>
                <w:rFonts w:eastAsia="Calibri"/>
                <w:b/>
                <w:lang w:val="ro-MD"/>
              </w:rPr>
            </w:pPr>
            <w:r w:rsidRPr="00A6480C">
              <w:rPr>
                <w:rFonts w:eastAsia="Calibri"/>
                <w:b/>
                <w:lang w:val="ro-MD"/>
              </w:rPr>
              <w:t xml:space="preserve">2.Condiţiile ce au impus elaborarea proiectului de act normativ </w:t>
            </w:r>
            <w:proofErr w:type="spellStart"/>
            <w:r w:rsidRPr="00A6480C">
              <w:rPr>
                <w:rFonts w:eastAsia="Calibri"/>
                <w:b/>
                <w:lang w:val="ro-MD"/>
              </w:rPr>
              <w:t>şi</w:t>
            </w:r>
            <w:proofErr w:type="spellEnd"/>
            <w:r w:rsidRPr="00A6480C">
              <w:rPr>
                <w:rFonts w:eastAsia="Calibri"/>
                <w:b/>
                <w:lang w:val="ro-MD"/>
              </w:rPr>
              <w:t xml:space="preserve"> </w:t>
            </w:r>
            <w:r w:rsidR="00845730" w:rsidRPr="00A6480C">
              <w:rPr>
                <w:rFonts w:eastAsia="Calibri"/>
                <w:b/>
                <w:lang w:val="ro-MD"/>
              </w:rPr>
              <w:t>finalitățile</w:t>
            </w:r>
            <w:r w:rsidRPr="00A6480C">
              <w:rPr>
                <w:rFonts w:eastAsia="Calibri"/>
                <w:b/>
                <w:lang w:val="ro-MD"/>
              </w:rPr>
              <w:t xml:space="preserve"> urmărite</w:t>
            </w:r>
          </w:p>
        </w:tc>
      </w:tr>
      <w:tr w:rsidR="005545D4" w:rsidRPr="00A6480C" w14:paraId="5640F737" w14:textId="77777777" w:rsidTr="00750902">
        <w:tc>
          <w:tcPr>
            <w:tcW w:w="5000" w:type="pct"/>
          </w:tcPr>
          <w:p w14:paraId="2E3672D9" w14:textId="3ED2C7EB" w:rsidR="006931CE" w:rsidRPr="00A21305" w:rsidRDefault="0012659B" w:rsidP="006931CE">
            <w:pPr>
              <w:tabs>
                <w:tab w:val="left" w:pos="884"/>
                <w:tab w:val="left" w:pos="1196"/>
              </w:tabs>
              <w:jc w:val="both"/>
              <w:rPr>
                <w:bCs/>
                <w:lang w:val="ro-MD"/>
              </w:rPr>
            </w:pPr>
            <w:r w:rsidRPr="00A6480C">
              <w:rPr>
                <w:bCs/>
                <w:lang w:val="ro-MD"/>
              </w:rPr>
              <w:t>Proiectul menționat a fost elaborat în contextul obținerii de către Republica Moldova a statutului de țară-candidat pentru aderarea la Uniunea Europeană, precum și a Raportului de audit de acreditare a Agenției, efectuat de experții din cadrul Proiectului TWINNING</w:t>
            </w:r>
            <w:r w:rsidR="004A7A83">
              <w:rPr>
                <w:bCs/>
                <w:lang w:val="ro-MD"/>
              </w:rPr>
              <w:t>,</w:t>
            </w:r>
            <w:r w:rsidRPr="00A6480C">
              <w:rPr>
                <w:bCs/>
                <w:lang w:val="ro-MD"/>
              </w:rPr>
              <w:t xml:space="preserve"> în cadrul componentei ”Sprijin suplimentar pentru agricultură, dezvoltare rurală și siguranța al</w:t>
            </w:r>
            <w:r w:rsidR="009D45E7" w:rsidRPr="00A6480C">
              <w:rPr>
                <w:bCs/>
                <w:lang w:val="ro-MD"/>
              </w:rPr>
              <w:t>imentară în Republica Moldova”,</w:t>
            </w:r>
            <w:r w:rsidRPr="00A6480C">
              <w:rPr>
                <w:bCs/>
                <w:lang w:val="ro-MD"/>
              </w:rPr>
              <w:t xml:space="preserve"> prin care se recomandă ajustarea structurii organizatorice și divizarea funcțiilor principale pentru a corespunde unei agenții de plăți, conform anexei I la Regulamentul delegat (UE) nr. 907/2014 al Comisiei din 11 martie 2014 de completare a Regulamentului (UE) nr. 1306/2013 al Parlamentului European și al Consiliului în ceea ce privește agențiile de plăți.</w:t>
            </w:r>
            <w:r w:rsidR="006931CE">
              <w:rPr>
                <w:bCs/>
                <w:lang w:val="ro-MD"/>
              </w:rPr>
              <w:t xml:space="preserve"> </w:t>
            </w:r>
            <w:r w:rsidR="006931CE" w:rsidRPr="00A21305">
              <w:rPr>
                <w:bCs/>
                <w:lang w:val="ro-MD"/>
              </w:rPr>
              <w:t>Reorganizarea AIPA se regăsește și în acțiunile de transpunere privind ridicarea nivelului de pregătire pentru aderare la Uniunea Europeană și aliniere la legislația UE (PAG 2023/Plan 33 capitole de acquis).</w:t>
            </w:r>
          </w:p>
          <w:p w14:paraId="31904539" w14:textId="77777777" w:rsidR="0012659B" w:rsidRPr="00A21305" w:rsidRDefault="0012659B" w:rsidP="00BE1AD7">
            <w:pPr>
              <w:tabs>
                <w:tab w:val="left" w:pos="884"/>
                <w:tab w:val="left" w:pos="1196"/>
              </w:tabs>
              <w:jc w:val="both"/>
              <w:rPr>
                <w:shd w:val="clear" w:color="auto" w:fill="FFFFFF"/>
                <w:lang w:val="ro-MD"/>
              </w:rPr>
            </w:pPr>
          </w:p>
          <w:p w14:paraId="3AF0D93D" w14:textId="335C622F" w:rsidR="00A45F74" w:rsidRPr="00A6480C" w:rsidRDefault="00A45F74" w:rsidP="00BE1AD7">
            <w:pPr>
              <w:tabs>
                <w:tab w:val="left" w:pos="884"/>
                <w:tab w:val="left" w:pos="1196"/>
              </w:tabs>
              <w:jc w:val="both"/>
              <w:rPr>
                <w:shd w:val="clear" w:color="auto" w:fill="FFFFFF"/>
                <w:lang w:val="ro-MD"/>
              </w:rPr>
            </w:pPr>
            <w:r w:rsidRPr="00A6480C">
              <w:rPr>
                <w:shd w:val="clear" w:color="auto" w:fill="FFFFFF"/>
                <w:lang w:val="ro-MD"/>
              </w:rPr>
              <w:t xml:space="preserve">Agenția de Intervenție și Plăți pentru Agricultură (în continuare – Agenția) a fost creată în anul 2010, ca autoritate administrativă subordonată Ministerului Agriculturii și Industriei Alimentare (în continuare – MAIA)  având misiunea de a gestiona mijloacele financiare ale Fondului național de dezvoltare a agriculturii și mediului rural (în continuare – FNDAMR). Pe parcursul anilor Agenția, a fost supusă reorganizării de mai multe ori, din autoritate administrativă în instituție publică și vice verso. Ultima reorganizare a fost în anul 2019. </w:t>
            </w:r>
          </w:p>
          <w:p w14:paraId="7A4B2392" w14:textId="77777777" w:rsidR="00A45F74" w:rsidRPr="00A6480C" w:rsidRDefault="00A45F74" w:rsidP="00BE1AD7">
            <w:pPr>
              <w:jc w:val="both"/>
              <w:rPr>
                <w:shd w:val="clear" w:color="auto" w:fill="FFFFFF"/>
                <w:lang w:val="ro-MD"/>
              </w:rPr>
            </w:pPr>
          </w:p>
          <w:p w14:paraId="20CC6C5A" w14:textId="04CE665E" w:rsidR="00A45F74" w:rsidRPr="00A6480C" w:rsidRDefault="00A45F74" w:rsidP="00BE1AD7">
            <w:pPr>
              <w:jc w:val="both"/>
              <w:rPr>
                <w:lang w:val="ro-MD"/>
              </w:rPr>
            </w:pPr>
            <w:r w:rsidRPr="00A6480C">
              <w:rPr>
                <w:lang w:val="ro-MD"/>
              </w:rPr>
              <w:t xml:space="preserve">Pe parcursul celor 12 ani de activitate, </w:t>
            </w:r>
            <w:r w:rsidR="00E406BF" w:rsidRPr="00A6480C">
              <w:rPr>
                <w:shd w:val="clear" w:color="auto" w:fill="FFFFFF"/>
                <w:lang w:val="ro-MD"/>
              </w:rPr>
              <w:t>Agenția rămâne a fi un instrument prin care statul implementează politica de subvenționare în agricultură și mediul rural</w:t>
            </w:r>
            <w:r w:rsidR="00E406BF" w:rsidRPr="00A6480C">
              <w:rPr>
                <w:lang w:val="ro-MD"/>
              </w:rPr>
              <w:t>. Astfel,</w:t>
            </w:r>
            <w:r w:rsidR="00BB724A" w:rsidRPr="00A6480C">
              <w:rPr>
                <w:lang w:val="ro-MD"/>
              </w:rPr>
              <w:t xml:space="preserve"> </w:t>
            </w:r>
            <w:r w:rsidRPr="00A6480C">
              <w:rPr>
                <w:lang w:val="ro-MD"/>
              </w:rPr>
              <w:t xml:space="preserve">s-a reușit </w:t>
            </w:r>
            <w:r w:rsidRPr="00A6480C">
              <w:rPr>
                <w:i/>
                <w:iCs/>
                <w:lang w:val="ro-MD"/>
              </w:rPr>
              <w:t>dezvoltarea unui sistem de subvenționare</w:t>
            </w:r>
            <w:r w:rsidRPr="00A6480C">
              <w:rPr>
                <w:lang w:val="ro-MD"/>
              </w:rPr>
              <w:t xml:space="preserve"> bazat pe previzibilitate, stabili</w:t>
            </w:r>
            <w:r w:rsidR="0012659B" w:rsidRPr="00A6480C">
              <w:rPr>
                <w:lang w:val="ro-MD"/>
              </w:rPr>
              <w:t>tate, transparență decizională,</w:t>
            </w:r>
            <w:r w:rsidRPr="00A6480C">
              <w:rPr>
                <w:lang w:val="ro-MD"/>
              </w:rPr>
              <w:t xml:space="preserve"> axat pe principiul tratament egal față de solicitanții de subvenții. Una dintre cele mai mari provocări în domeniul subvenționării a fost </w:t>
            </w:r>
            <w:r w:rsidRPr="00A6480C">
              <w:rPr>
                <w:iCs/>
                <w:lang w:val="ro-MD"/>
              </w:rPr>
              <w:t>trecerea</w:t>
            </w:r>
            <w:r w:rsidR="004129E3" w:rsidRPr="00A6480C">
              <w:rPr>
                <w:iCs/>
                <w:lang w:val="ro-MD"/>
              </w:rPr>
              <w:t>, conform practicilor și standardelor UE,</w:t>
            </w:r>
            <w:r w:rsidRPr="00A6480C">
              <w:rPr>
                <w:iCs/>
                <w:lang w:val="ro-MD"/>
              </w:rPr>
              <w:t xml:space="preserve"> de la sistemul „post-investițional” </w:t>
            </w:r>
            <w:r w:rsidRPr="00A6480C">
              <w:rPr>
                <w:lang w:val="ro-MD"/>
              </w:rPr>
              <w:t>la unul</w:t>
            </w:r>
            <w:r w:rsidRPr="00A6480C">
              <w:rPr>
                <w:iCs/>
                <w:lang w:val="ro-MD"/>
              </w:rPr>
              <w:t xml:space="preserve"> „în avans” </w:t>
            </w:r>
            <w:r w:rsidR="00BB724A" w:rsidRPr="00A6480C">
              <w:rPr>
                <w:iCs/>
                <w:lang w:val="ro-MD"/>
              </w:rPr>
              <w:t>și anume</w:t>
            </w:r>
            <w:r w:rsidR="004129E3" w:rsidRPr="00A6480C">
              <w:rPr>
                <w:iCs/>
                <w:lang w:val="ro-MD"/>
              </w:rPr>
              <w:t>,</w:t>
            </w:r>
            <w:r w:rsidR="00BB724A" w:rsidRPr="00A6480C">
              <w:rPr>
                <w:iCs/>
                <w:lang w:val="ro-MD"/>
              </w:rPr>
              <w:t xml:space="preserve"> i</w:t>
            </w:r>
            <w:r w:rsidRPr="00A6480C">
              <w:rPr>
                <w:lang w:val="ro-MD"/>
              </w:rPr>
              <w:t>mplementarea modalității de plată „subvenții în avans pentru proiectele start-</w:t>
            </w:r>
            <w:proofErr w:type="spellStart"/>
            <w:r w:rsidRPr="00A6480C">
              <w:rPr>
                <w:lang w:val="ro-MD"/>
              </w:rPr>
              <w:t>up</w:t>
            </w:r>
            <w:proofErr w:type="spellEnd"/>
            <w:r w:rsidRPr="00A6480C">
              <w:rPr>
                <w:lang w:val="ro-MD"/>
              </w:rPr>
              <w:t>”, „îmbunătățirea nivelului de trai și de muncă în mediul rural”</w:t>
            </w:r>
            <w:r w:rsidR="004129E3" w:rsidRPr="00A6480C">
              <w:rPr>
                <w:lang w:val="ro-MD"/>
              </w:rPr>
              <w:t>,</w:t>
            </w:r>
            <w:r w:rsidRPr="00A6480C">
              <w:rPr>
                <w:lang w:val="ro-MD"/>
              </w:rPr>
              <w:t xml:space="preserve"> „plăți directe per cap de animal”.</w:t>
            </w:r>
          </w:p>
          <w:p w14:paraId="5D65845F" w14:textId="77777777" w:rsidR="00A45F74" w:rsidRPr="00A6480C" w:rsidRDefault="00A45F74" w:rsidP="00BE1AD7">
            <w:pPr>
              <w:jc w:val="both"/>
              <w:rPr>
                <w:lang w:val="ro-MD"/>
              </w:rPr>
            </w:pPr>
          </w:p>
          <w:p w14:paraId="1A941BE3" w14:textId="7D39C8C9" w:rsidR="00A45F74" w:rsidRPr="00A6480C" w:rsidRDefault="00A45F74" w:rsidP="00BE1AD7">
            <w:pPr>
              <w:jc w:val="both"/>
              <w:rPr>
                <w:lang w:val="ro-MD"/>
              </w:rPr>
            </w:pPr>
            <w:r w:rsidRPr="00A6480C">
              <w:rPr>
                <w:lang w:val="ro-MD"/>
              </w:rPr>
              <w:t>În perioada de activitate</w:t>
            </w:r>
            <w:r w:rsidR="004129E3" w:rsidRPr="00A6480C">
              <w:rPr>
                <w:lang w:val="ro-MD"/>
              </w:rPr>
              <w:t>,</w:t>
            </w:r>
            <w:r w:rsidRPr="00A6480C">
              <w:rPr>
                <w:lang w:val="ro-MD"/>
              </w:rPr>
              <w:t xml:space="preserve"> pe lângă subvențiile de bază acordate, Agenția a implementat și mecanisme de plată cu caracter compensatoriu și anume:</w:t>
            </w:r>
          </w:p>
          <w:p w14:paraId="3EFE921B" w14:textId="77777777" w:rsidR="00A45F74" w:rsidRPr="00A6480C" w:rsidRDefault="00A45F74" w:rsidP="00BE1AD7">
            <w:pPr>
              <w:pStyle w:val="Listparagraf"/>
              <w:numPr>
                <w:ilvl w:val="0"/>
                <w:numId w:val="3"/>
              </w:numPr>
              <w:tabs>
                <w:tab w:val="left" w:pos="0"/>
                <w:tab w:val="left" w:pos="228"/>
              </w:tabs>
              <w:ind w:left="0" w:firstLine="0"/>
              <w:jc w:val="both"/>
              <w:textAlignment w:val="baseline"/>
              <w:rPr>
                <w:lang w:val="ro-MD"/>
              </w:rPr>
            </w:pPr>
            <w:r w:rsidRPr="00A6480C">
              <w:rPr>
                <w:lang w:val="ro-MD"/>
              </w:rPr>
              <w:t>alocarea compensațiilor pentru diminuarea consecințelor calamităților naturale asupra recoltei anului 2020;</w:t>
            </w:r>
          </w:p>
          <w:p w14:paraId="4737E9F4" w14:textId="77777777" w:rsidR="00A45F74" w:rsidRPr="00A6480C" w:rsidRDefault="00A45F74" w:rsidP="00BE1AD7">
            <w:pPr>
              <w:pStyle w:val="Listparagraf"/>
              <w:numPr>
                <w:ilvl w:val="0"/>
                <w:numId w:val="3"/>
              </w:numPr>
              <w:tabs>
                <w:tab w:val="left" w:pos="0"/>
                <w:tab w:val="left" w:pos="228"/>
              </w:tabs>
              <w:ind w:left="0" w:firstLine="0"/>
              <w:jc w:val="both"/>
              <w:textAlignment w:val="baseline"/>
              <w:rPr>
                <w:lang w:val="ro-MD"/>
              </w:rPr>
            </w:pPr>
            <w:r w:rsidRPr="00A6480C">
              <w:rPr>
                <w:lang w:val="ro-MD"/>
              </w:rPr>
              <w:lastRenderedPageBreak/>
              <w:t>ajutorul umanitar exprimat în motorină – mecanism cuplat cu Agenția Rezerve Materiale (prevederi reglementate de Hotărârea Guvernului nr. 27/2021 pentru aprobarea Regulamentului privind stabilirea cuantumului de motorină din ajutorul umanitar extern acordat de către România, destinat suportului agricultorilor afectați de seceta din 2020).</w:t>
            </w:r>
          </w:p>
          <w:p w14:paraId="47170ECE" w14:textId="77777777" w:rsidR="00A45F74" w:rsidRPr="00A6480C" w:rsidRDefault="00A45F74" w:rsidP="00BE1AD7">
            <w:pPr>
              <w:pStyle w:val="Listparagraf"/>
              <w:tabs>
                <w:tab w:val="left" w:pos="0"/>
              </w:tabs>
              <w:ind w:left="0"/>
              <w:jc w:val="both"/>
              <w:textAlignment w:val="baseline"/>
              <w:rPr>
                <w:lang w:val="ro-MD"/>
              </w:rPr>
            </w:pPr>
          </w:p>
          <w:p w14:paraId="5A9FD485" w14:textId="344BF1F0" w:rsidR="00A45F74" w:rsidRPr="00A6480C" w:rsidRDefault="00A45F74" w:rsidP="00BE1AD7">
            <w:pPr>
              <w:pStyle w:val="Listparagraf"/>
              <w:tabs>
                <w:tab w:val="left" w:pos="0"/>
              </w:tabs>
              <w:ind w:left="0"/>
              <w:jc w:val="both"/>
              <w:textAlignment w:val="baseline"/>
              <w:rPr>
                <w:lang w:val="ro-MD"/>
              </w:rPr>
            </w:pPr>
            <w:r w:rsidRPr="00A6480C">
              <w:rPr>
                <w:lang w:val="ro-MD"/>
              </w:rPr>
              <w:t xml:space="preserve">Mai mult, începând cu anul 2022, Agenția a demarat noi </w:t>
            </w:r>
            <w:r w:rsidR="004129E3" w:rsidRPr="00A6480C">
              <w:rPr>
                <w:lang w:val="ro-MD"/>
              </w:rPr>
              <w:t xml:space="preserve">reglementări </w:t>
            </w:r>
            <w:r w:rsidRPr="00A6480C">
              <w:rPr>
                <w:lang w:val="ro-MD"/>
              </w:rPr>
              <w:t xml:space="preserve"> de stimulare precum:</w:t>
            </w:r>
          </w:p>
          <w:p w14:paraId="40A8CA6F" w14:textId="02378EC7" w:rsidR="00A45F74" w:rsidRPr="00A6480C" w:rsidRDefault="00A45F74" w:rsidP="00BE1AD7">
            <w:pPr>
              <w:pStyle w:val="Listparagraf"/>
              <w:numPr>
                <w:ilvl w:val="0"/>
                <w:numId w:val="3"/>
              </w:numPr>
              <w:tabs>
                <w:tab w:val="left" w:pos="0"/>
                <w:tab w:val="left" w:pos="228"/>
              </w:tabs>
              <w:ind w:left="0" w:firstLine="0"/>
              <w:jc w:val="both"/>
              <w:textAlignment w:val="baseline"/>
              <w:rPr>
                <w:lang w:val="ro-MD"/>
              </w:rPr>
            </w:pPr>
            <w:r w:rsidRPr="00A6480C">
              <w:rPr>
                <w:lang w:val="ro-MD"/>
              </w:rPr>
              <w:t xml:space="preserve">Hotărârea Guvernului nr. 985/2020 cu privire la aprobarea Regulamentului privind </w:t>
            </w:r>
            <w:proofErr w:type="spellStart"/>
            <w:r w:rsidRPr="00A6480C">
              <w:rPr>
                <w:lang w:val="ro-MD"/>
              </w:rPr>
              <w:t>condiţiile</w:t>
            </w:r>
            <w:proofErr w:type="spellEnd"/>
            <w:r w:rsidRPr="00A6480C">
              <w:rPr>
                <w:lang w:val="ro-MD"/>
              </w:rPr>
              <w:t xml:space="preserve"> </w:t>
            </w:r>
            <w:proofErr w:type="spellStart"/>
            <w:r w:rsidRPr="00A6480C">
              <w:rPr>
                <w:lang w:val="ro-MD"/>
              </w:rPr>
              <w:t>şi</w:t>
            </w:r>
            <w:proofErr w:type="spellEnd"/>
            <w:r w:rsidRPr="00A6480C">
              <w:rPr>
                <w:lang w:val="ro-MD"/>
              </w:rPr>
              <w:t xml:space="preserve"> procedura de acordare a </w:t>
            </w:r>
            <w:proofErr w:type="spellStart"/>
            <w:r w:rsidRPr="00A6480C">
              <w:rPr>
                <w:lang w:val="ro-MD"/>
              </w:rPr>
              <w:t>subvenţiilor</w:t>
            </w:r>
            <w:proofErr w:type="spellEnd"/>
            <w:r w:rsidRPr="00A6480C">
              <w:rPr>
                <w:lang w:val="ro-MD"/>
              </w:rPr>
              <w:t xml:space="preserve"> în avans pentru proiectele </w:t>
            </w:r>
            <w:proofErr w:type="spellStart"/>
            <w:r w:rsidRPr="00A6480C">
              <w:rPr>
                <w:lang w:val="ro-MD"/>
              </w:rPr>
              <w:t>investiţionale</w:t>
            </w:r>
            <w:proofErr w:type="spellEnd"/>
            <w:r w:rsidRPr="00A6480C">
              <w:rPr>
                <w:lang w:val="ro-MD"/>
              </w:rPr>
              <w:t xml:space="preserve"> de </w:t>
            </w:r>
            <w:proofErr w:type="spellStart"/>
            <w:r w:rsidRPr="00A6480C">
              <w:rPr>
                <w:iCs/>
                <w:lang w:val="ro-MD"/>
              </w:rPr>
              <w:t>îmbunătăţiri</w:t>
            </w:r>
            <w:proofErr w:type="spellEnd"/>
            <w:r w:rsidRPr="00A6480C">
              <w:rPr>
                <w:iCs/>
                <w:lang w:val="ro-MD"/>
              </w:rPr>
              <w:t xml:space="preserve"> funciare,</w:t>
            </w:r>
            <w:r w:rsidRPr="00A6480C">
              <w:rPr>
                <w:lang w:val="ro-MD"/>
              </w:rPr>
              <w:t xml:space="preserve"> întru implementarea Programului de îmbunătăţiri funciare în scopul asigurării managementului durabil al resurselo</w:t>
            </w:r>
            <w:r w:rsidR="00561328" w:rsidRPr="00A6480C">
              <w:rPr>
                <w:lang w:val="ro-MD"/>
              </w:rPr>
              <w:t>r de sol pentru anii 2021-2025.</w:t>
            </w:r>
            <w:r w:rsidRPr="00A6480C">
              <w:rPr>
                <w:lang w:val="ro-MD"/>
              </w:rPr>
              <w:t xml:space="preserve"> De menționat că apelul de recepționare a cererilor este lansat de Agenția Relații Funciare și Cadast</w:t>
            </w:r>
            <w:r w:rsidR="00561328" w:rsidRPr="00A6480C">
              <w:rPr>
                <w:lang w:val="ro-MD"/>
              </w:rPr>
              <w:t>ru, iar personal responsabil de</w:t>
            </w:r>
            <w:r w:rsidRPr="00A6480C">
              <w:rPr>
                <w:lang w:val="ro-MD"/>
              </w:rPr>
              <w:t xml:space="preserve"> examinarea  proiectelor investiționale nu </w:t>
            </w:r>
            <w:r w:rsidR="00012DC7">
              <w:rPr>
                <w:lang w:val="ro-MD"/>
              </w:rPr>
              <w:t>este</w:t>
            </w:r>
            <w:r w:rsidR="0017664A">
              <w:rPr>
                <w:lang w:val="ro-MD"/>
              </w:rPr>
              <w:t xml:space="preserve"> disponibil</w:t>
            </w:r>
            <w:r w:rsidRPr="00A6480C">
              <w:rPr>
                <w:lang w:val="ro-MD"/>
              </w:rPr>
              <w:t xml:space="preserve">; </w:t>
            </w:r>
          </w:p>
          <w:p w14:paraId="266ACF2E" w14:textId="4647E2C3" w:rsidR="00A45F74" w:rsidRPr="00A6480C" w:rsidRDefault="00A45F74" w:rsidP="00BE1AD7">
            <w:pPr>
              <w:pStyle w:val="Listparagraf"/>
              <w:numPr>
                <w:ilvl w:val="0"/>
                <w:numId w:val="3"/>
              </w:numPr>
              <w:tabs>
                <w:tab w:val="left" w:pos="0"/>
                <w:tab w:val="left" w:pos="228"/>
              </w:tabs>
              <w:ind w:left="0" w:firstLine="0"/>
              <w:jc w:val="both"/>
              <w:textAlignment w:val="baseline"/>
              <w:rPr>
                <w:shd w:val="clear" w:color="auto" w:fill="FFFFFF"/>
                <w:lang w:val="ro-MD"/>
              </w:rPr>
            </w:pPr>
            <w:r w:rsidRPr="00A6480C">
              <w:rPr>
                <w:iCs/>
                <w:lang w:val="ro-MD"/>
              </w:rPr>
              <w:t>prin Hotărârea Guvernului nr. 277/2022, a fost aprobat Regulamentul privind acordarea subvențiilor în avans pentru dezvoltarea locală prin</w:t>
            </w:r>
            <w:r w:rsidRPr="00A6480C">
              <w:rPr>
                <w:lang w:val="ro-MD"/>
              </w:rPr>
              <w:t xml:space="preserve"> implementarea Programului LEADER în Republica Moldova. </w:t>
            </w:r>
            <w:r w:rsidR="004129E3" w:rsidRPr="00A6480C">
              <w:rPr>
                <w:lang w:val="ro-MD"/>
              </w:rPr>
              <w:t xml:space="preserve">Acest </w:t>
            </w:r>
            <w:r w:rsidRPr="00A6480C">
              <w:rPr>
                <w:lang w:val="ro-MD"/>
              </w:rPr>
              <w:t>cadru normativ are obiectivul de a optimiza și eficientiza politicile în domeniul dezvoltării rurale, ținând cont de necesitățile populației din zonele rurale. Alocațiile bugetare pentru Programul LEADER se finanțează, începând cu anul 2022, în cuantum de până la 5% din FNDAMR, conform prevederilor Legii nr. 276/2016 cu privire la principiile de subvenționare în dezvoltarea agriculturii și mediului rural</w:t>
            </w:r>
            <w:bookmarkStart w:id="0" w:name="_Hlk79495469"/>
            <w:r w:rsidRPr="00A6480C">
              <w:rPr>
                <w:lang w:val="ro-MD"/>
              </w:rPr>
              <w:t>;</w:t>
            </w:r>
          </w:p>
          <w:p w14:paraId="6A9ADCCB" w14:textId="77777777" w:rsidR="00A45F74" w:rsidRPr="00A6480C" w:rsidRDefault="00A45F74" w:rsidP="00BE1AD7">
            <w:pPr>
              <w:pStyle w:val="Listparagraf"/>
              <w:numPr>
                <w:ilvl w:val="0"/>
                <w:numId w:val="3"/>
              </w:numPr>
              <w:tabs>
                <w:tab w:val="left" w:pos="0"/>
                <w:tab w:val="left" w:pos="228"/>
              </w:tabs>
              <w:ind w:left="0" w:firstLine="0"/>
              <w:jc w:val="both"/>
              <w:textAlignment w:val="baseline"/>
              <w:rPr>
                <w:shd w:val="clear" w:color="auto" w:fill="FFFFFF"/>
                <w:lang w:val="ro-MD"/>
              </w:rPr>
            </w:pPr>
            <w:r w:rsidRPr="00A6480C">
              <w:rPr>
                <w:shd w:val="clear" w:color="auto" w:fill="FFFFFF"/>
                <w:lang w:val="ro-MD"/>
              </w:rPr>
              <w:t>Hotărârea Guvernului nr. 275/2022 pentru aprobarea Regulamentului privind modul de repartizare a mijloacelor Fondului național de dezvoltare a agriculturii și mediului rural pentru compensarea parțială a accizelor la motorina utilizată de producătorii agricoli în anul 2022, care prevede recepționarea, examinarea dar și autorizarea spre plată semestrială a dosarelor de alocare a plăților compensatorii;</w:t>
            </w:r>
          </w:p>
          <w:p w14:paraId="54E874C3" w14:textId="77777777" w:rsidR="003A2C8A" w:rsidRPr="00A6480C" w:rsidRDefault="003A2C8A" w:rsidP="00BE1AD7">
            <w:pPr>
              <w:pStyle w:val="Listparagraf"/>
              <w:tabs>
                <w:tab w:val="left" w:pos="0"/>
                <w:tab w:val="left" w:pos="228"/>
              </w:tabs>
              <w:ind w:left="0"/>
              <w:jc w:val="both"/>
              <w:textAlignment w:val="baseline"/>
              <w:rPr>
                <w:shd w:val="clear" w:color="auto" w:fill="FFFFFF"/>
                <w:lang w:val="ro-MD"/>
              </w:rPr>
            </w:pPr>
          </w:p>
          <w:p w14:paraId="521543B8" w14:textId="3E08F7BA" w:rsidR="00A45F74" w:rsidRPr="00A6480C" w:rsidRDefault="00A45F74" w:rsidP="00BE1AD7">
            <w:pPr>
              <w:pStyle w:val="Listparagraf"/>
              <w:tabs>
                <w:tab w:val="left" w:pos="0"/>
                <w:tab w:val="left" w:pos="228"/>
              </w:tabs>
              <w:ind w:left="0"/>
              <w:jc w:val="both"/>
              <w:textAlignment w:val="baseline"/>
              <w:rPr>
                <w:shd w:val="clear" w:color="auto" w:fill="FFFFFF"/>
                <w:lang w:val="ro-MD"/>
              </w:rPr>
            </w:pPr>
            <w:r w:rsidRPr="00A6480C">
              <w:rPr>
                <w:shd w:val="clear" w:color="auto" w:fill="FFFFFF"/>
                <w:lang w:val="ro-MD"/>
              </w:rPr>
              <w:t>Totodată, de menționat faptul că art. 12 a Legii nr. 276/2016</w:t>
            </w:r>
            <w:r w:rsidRPr="00A6480C">
              <w:rPr>
                <w:lang w:val="ro-MD"/>
              </w:rPr>
              <w:t xml:space="preserve"> cu privire la principiile de subvenționare în dezvoltarea agriculturii și mediului rural</w:t>
            </w:r>
            <w:r w:rsidRPr="00A6480C">
              <w:rPr>
                <w:shd w:val="clear" w:color="auto" w:fill="FFFFFF"/>
                <w:lang w:val="ro-MD"/>
              </w:rPr>
              <w:t xml:space="preserve"> obligă Agenția să aplice „prețuri de referință”.</w:t>
            </w:r>
            <w:r w:rsidRPr="00A6480C">
              <w:rPr>
                <w:color w:val="333333"/>
                <w:lang w:val="ro-MD" w:eastAsia="ro-RO"/>
              </w:rPr>
              <w:t xml:space="preserve"> </w:t>
            </w:r>
            <w:r w:rsidRPr="00A6480C">
              <w:rPr>
                <w:lang w:val="ro-MD" w:eastAsia="ro-RO"/>
              </w:rPr>
              <w:t>Astfel, calcularea subvențiilor pentru bunuri (active) obiect al investițiilor eligibile are la bază prețuri de referință, care se stabilesc în baza unei metodologii actualizată periodic. Însă</w:t>
            </w:r>
            <w:r w:rsidR="003A2C8A" w:rsidRPr="00A6480C">
              <w:rPr>
                <w:lang w:val="ro-MD" w:eastAsia="ro-RO"/>
              </w:rPr>
              <w:t>,</w:t>
            </w:r>
            <w:r w:rsidRPr="00A6480C">
              <w:rPr>
                <w:lang w:val="ro-MD" w:eastAsia="ro-RO"/>
              </w:rPr>
              <w:t xml:space="preserve"> la moment Agenția nu dispune de personal care să acumuleze informația de la dealeri sau comercianți </w:t>
            </w:r>
            <w:r w:rsidR="00061914">
              <w:rPr>
                <w:lang w:val="ro-MD" w:eastAsia="ro-RO"/>
              </w:rPr>
              <w:t xml:space="preserve">privind </w:t>
            </w:r>
            <w:r w:rsidRPr="00A6480C">
              <w:rPr>
                <w:lang w:val="ro-MD" w:eastAsia="ro-RO"/>
              </w:rPr>
              <w:t>prețul de referință pentru tehnica, echipamentele, utilajele, materialele de construcții - bunuri (active) obiect al investițiilor eligibile conform prevederilor metodologiei aprobate de MAIA.</w:t>
            </w:r>
          </w:p>
          <w:bookmarkEnd w:id="0"/>
          <w:p w14:paraId="14D3B9DF" w14:textId="77777777" w:rsidR="00A45F74" w:rsidRPr="00A6480C" w:rsidRDefault="00A45F74" w:rsidP="00BE1AD7">
            <w:pPr>
              <w:pStyle w:val="Listparagraf"/>
              <w:ind w:left="0"/>
              <w:jc w:val="both"/>
              <w:rPr>
                <w:lang w:val="ro-MD"/>
              </w:rPr>
            </w:pPr>
          </w:p>
          <w:p w14:paraId="198E5331" w14:textId="77777777" w:rsidR="00A45F74" w:rsidRPr="00A6480C" w:rsidRDefault="00A45F74" w:rsidP="00BE1AD7">
            <w:pPr>
              <w:pStyle w:val="Listparagraf"/>
              <w:ind w:left="0"/>
              <w:jc w:val="both"/>
              <w:rPr>
                <w:lang w:val="ro-MD"/>
              </w:rPr>
            </w:pPr>
            <w:r w:rsidRPr="00A6480C">
              <w:rPr>
                <w:lang w:val="ro-MD"/>
              </w:rPr>
              <w:t>Subliniem faptul că pentru implementarea acestor mecanisme este necesar alocarea mijloacelor financiare suplimentare, unități de personal calificat dar și sisteme informaționale corespunzătoare proceselor, precum și dotarea Agenției cu mijloace de transport necesare pentru verificarea proiectelor investiționale.</w:t>
            </w:r>
          </w:p>
          <w:p w14:paraId="23545A0E" w14:textId="77777777" w:rsidR="00A45F74" w:rsidRPr="00A6480C" w:rsidRDefault="00A45F74" w:rsidP="00BE1AD7">
            <w:pPr>
              <w:ind w:firstLine="720"/>
              <w:jc w:val="both"/>
              <w:rPr>
                <w:strike/>
                <w:lang w:val="ro-MD"/>
              </w:rPr>
            </w:pPr>
          </w:p>
          <w:p w14:paraId="29CB7987" w14:textId="45F69BC4" w:rsidR="00C92120" w:rsidRPr="00A6480C" w:rsidRDefault="00C92120" w:rsidP="00BE1AD7">
            <w:pPr>
              <w:jc w:val="both"/>
              <w:rPr>
                <w:lang w:val="ro-MD"/>
              </w:rPr>
            </w:pPr>
            <w:r w:rsidRPr="00A6480C">
              <w:rPr>
                <w:lang w:val="ro-MD"/>
              </w:rPr>
              <w:t xml:space="preserve">O atenție sporită, în activitatea </w:t>
            </w:r>
            <w:r w:rsidR="002449FE" w:rsidRPr="00A6480C">
              <w:rPr>
                <w:lang w:val="ro-MD"/>
              </w:rPr>
              <w:t xml:space="preserve">Agenției </w:t>
            </w:r>
            <w:r w:rsidRPr="00A6480C">
              <w:rPr>
                <w:lang w:val="ro-MD"/>
              </w:rPr>
              <w:t xml:space="preserve">rămâne a fi </w:t>
            </w:r>
            <w:r w:rsidRPr="00A6480C">
              <w:rPr>
                <w:i/>
                <w:iCs/>
                <w:lang w:val="ro-MD"/>
              </w:rPr>
              <w:t>digitalizarea proceselor de lucru și conectarea sistemului informațional gestionat cu alte instituții abilitate</w:t>
            </w:r>
            <w:r w:rsidRPr="00A6480C">
              <w:rPr>
                <w:lang w:val="ro-MD"/>
              </w:rPr>
              <w:t xml:space="preserve">, fiind direct orientate spre facilitarea procesului de examinare a cererilor de subvenționare și spre </w:t>
            </w:r>
            <w:r w:rsidRPr="00A6480C">
              <w:rPr>
                <w:i/>
                <w:iCs/>
                <w:lang w:val="ro-MD"/>
              </w:rPr>
              <w:t>diminuarea birocratizării administrative</w:t>
            </w:r>
            <w:r w:rsidRPr="00A6480C">
              <w:rPr>
                <w:lang w:val="ro-MD"/>
              </w:rPr>
              <w:t>. Ca rezultat:</w:t>
            </w:r>
          </w:p>
          <w:p w14:paraId="08FBDD9A" w14:textId="1E79F645" w:rsidR="00892EFA" w:rsidRPr="00A6480C" w:rsidRDefault="00A45F74" w:rsidP="00BE1AD7">
            <w:pPr>
              <w:numPr>
                <w:ilvl w:val="0"/>
                <w:numId w:val="5"/>
              </w:numPr>
              <w:tabs>
                <w:tab w:val="left" w:pos="426"/>
              </w:tabs>
              <w:ind w:left="0" w:right="103" w:firstLine="0"/>
              <w:jc w:val="both"/>
              <w:rPr>
                <w:lang w:val="ro-MD"/>
              </w:rPr>
            </w:pPr>
            <w:r w:rsidRPr="00A6480C">
              <w:rPr>
                <w:lang w:val="ro-MD"/>
              </w:rPr>
              <w:lastRenderedPageBreak/>
              <w:t xml:space="preserve"> Agenția actualmente </w:t>
            </w:r>
            <w:r w:rsidR="00892EFA" w:rsidRPr="00A6480C">
              <w:rPr>
                <w:lang w:val="ro-MD"/>
              </w:rPr>
              <w:t xml:space="preserve">dispune de un </w:t>
            </w:r>
            <w:r w:rsidR="00892EFA" w:rsidRPr="00A6480C">
              <w:rPr>
                <w:color w:val="000000"/>
                <w:shd w:val="clear" w:color="auto" w:fill="FFFFFF"/>
                <w:lang w:val="ro-MD"/>
              </w:rPr>
              <w:t xml:space="preserve">sistem informațional automatizat (SIA ESBS), constituit dintr-un ansamblu de resurse </w:t>
            </w:r>
            <w:proofErr w:type="spellStart"/>
            <w:r w:rsidR="00892EFA" w:rsidRPr="00A6480C">
              <w:rPr>
                <w:color w:val="000000"/>
                <w:shd w:val="clear" w:color="auto" w:fill="FFFFFF"/>
                <w:lang w:val="ro-MD"/>
              </w:rPr>
              <w:t>şi</w:t>
            </w:r>
            <w:proofErr w:type="spellEnd"/>
            <w:r w:rsidR="00892EFA" w:rsidRPr="00A6480C">
              <w:rPr>
                <w:color w:val="000000"/>
                <w:shd w:val="clear" w:color="auto" w:fill="FFFFFF"/>
                <w:lang w:val="ro-MD"/>
              </w:rPr>
              <w:t xml:space="preserve"> tehnologii informaționale, mijloace tehnice de program </w:t>
            </w:r>
            <w:proofErr w:type="spellStart"/>
            <w:r w:rsidR="00892EFA" w:rsidRPr="00A6480C">
              <w:rPr>
                <w:color w:val="000000"/>
                <w:shd w:val="clear" w:color="auto" w:fill="FFFFFF"/>
                <w:lang w:val="ro-MD"/>
              </w:rPr>
              <w:t>şi</w:t>
            </w:r>
            <w:proofErr w:type="spellEnd"/>
            <w:r w:rsidR="00892EFA" w:rsidRPr="00A6480C">
              <w:rPr>
                <w:color w:val="000000"/>
                <w:shd w:val="clear" w:color="auto" w:fill="FFFFFF"/>
                <w:lang w:val="ro-MD"/>
              </w:rPr>
              <w:t xml:space="preserve"> metodo</w:t>
            </w:r>
            <w:r w:rsidR="007A406F">
              <w:rPr>
                <w:color w:val="000000"/>
                <w:shd w:val="clear" w:color="auto" w:fill="FFFFFF"/>
                <w:lang w:val="ro-MD"/>
              </w:rPr>
              <w:t>logii, aflate în interconexiune</w:t>
            </w:r>
            <w:r w:rsidR="00892EFA" w:rsidRPr="00A6480C">
              <w:rPr>
                <w:color w:val="000000"/>
                <w:shd w:val="clear" w:color="auto" w:fill="FFFFFF"/>
                <w:lang w:val="ro-MD"/>
              </w:rPr>
              <w:t xml:space="preserve"> </w:t>
            </w:r>
            <w:proofErr w:type="spellStart"/>
            <w:r w:rsidR="00892EFA" w:rsidRPr="00A6480C">
              <w:rPr>
                <w:color w:val="000000"/>
                <w:shd w:val="clear" w:color="auto" w:fill="FFFFFF"/>
                <w:lang w:val="ro-MD"/>
              </w:rPr>
              <w:t>şi</w:t>
            </w:r>
            <w:proofErr w:type="spellEnd"/>
            <w:r w:rsidR="00892EFA" w:rsidRPr="00A6480C">
              <w:rPr>
                <w:color w:val="000000"/>
                <w:shd w:val="clear" w:color="auto" w:fill="FFFFFF"/>
                <w:lang w:val="ro-MD"/>
              </w:rPr>
              <w:t xml:space="preserve"> destinat înregistrării, păstrării, utilizării </w:t>
            </w:r>
            <w:r w:rsidR="00EC649E" w:rsidRPr="00A6480C">
              <w:rPr>
                <w:color w:val="000000"/>
                <w:shd w:val="clear" w:color="auto" w:fill="FFFFFF"/>
                <w:lang w:val="ro-MD"/>
              </w:rPr>
              <w:t>informațiilor</w:t>
            </w:r>
            <w:r w:rsidR="00892EFA" w:rsidRPr="00A6480C">
              <w:rPr>
                <w:color w:val="000000"/>
                <w:shd w:val="clear" w:color="auto" w:fill="FFFFFF"/>
                <w:lang w:val="ro-MD"/>
              </w:rPr>
              <w:t xml:space="preserve"> cu privire la </w:t>
            </w:r>
            <w:r w:rsidR="00EC649E" w:rsidRPr="00A6480C">
              <w:rPr>
                <w:color w:val="000000"/>
                <w:shd w:val="clear" w:color="auto" w:fill="FFFFFF"/>
                <w:lang w:val="ro-MD"/>
              </w:rPr>
              <w:t>solicitanții</w:t>
            </w:r>
            <w:r w:rsidR="00892EFA" w:rsidRPr="00A6480C">
              <w:rPr>
                <w:color w:val="000000"/>
                <w:shd w:val="clear" w:color="auto" w:fill="FFFFFF"/>
                <w:lang w:val="ro-MD"/>
              </w:rPr>
              <w:t xml:space="preserve"> de </w:t>
            </w:r>
            <w:r w:rsidR="00EC649E" w:rsidRPr="00A6480C">
              <w:rPr>
                <w:color w:val="000000"/>
                <w:shd w:val="clear" w:color="auto" w:fill="FFFFFF"/>
                <w:lang w:val="ro-MD"/>
              </w:rPr>
              <w:t>subvenții</w:t>
            </w:r>
            <w:r w:rsidR="00892EFA" w:rsidRPr="00A6480C">
              <w:rPr>
                <w:color w:val="000000"/>
                <w:shd w:val="clear" w:color="auto" w:fill="FFFFFF"/>
                <w:lang w:val="ro-MD"/>
              </w:rPr>
              <w:t xml:space="preserve"> </w:t>
            </w:r>
            <w:proofErr w:type="spellStart"/>
            <w:r w:rsidR="00892EFA" w:rsidRPr="00A6480C">
              <w:rPr>
                <w:color w:val="000000"/>
                <w:shd w:val="clear" w:color="auto" w:fill="FFFFFF"/>
                <w:lang w:val="ro-MD"/>
              </w:rPr>
              <w:t>şi</w:t>
            </w:r>
            <w:proofErr w:type="spellEnd"/>
            <w:r w:rsidR="00892EFA" w:rsidRPr="00A6480C">
              <w:rPr>
                <w:color w:val="000000"/>
                <w:shd w:val="clear" w:color="auto" w:fill="FFFFFF"/>
                <w:lang w:val="ro-MD"/>
              </w:rPr>
              <w:t xml:space="preserve"> dosarele de </w:t>
            </w:r>
            <w:r w:rsidR="00EC649E" w:rsidRPr="00A6480C">
              <w:rPr>
                <w:color w:val="000000"/>
                <w:shd w:val="clear" w:color="auto" w:fill="FFFFFF"/>
                <w:lang w:val="ro-MD"/>
              </w:rPr>
              <w:t>subvenționare</w:t>
            </w:r>
            <w:r w:rsidR="00892EFA" w:rsidRPr="00A6480C">
              <w:rPr>
                <w:color w:val="000000"/>
                <w:shd w:val="clear" w:color="auto" w:fill="FFFFFF"/>
                <w:lang w:val="ro-MD"/>
              </w:rPr>
              <w:t xml:space="preserve"> de la înregistrarea acestora </w:t>
            </w:r>
            <w:proofErr w:type="spellStart"/>
            <w:r w:rsidR="00892EFA" w:rsidRPr="00A6480C">
              <w:rPr>
                <w:color w:val="000000"/>
                <w:shd w:val="clear" w:color="auto" w:fill="FFFFFF"/>
                <w:lang w:val="ro-MD"/>
              </w:rPr>
              <w:t>şi</w:t>
            </w:r>
            <w:proofErr w:type="spellEnd"/>
            <w:r w:rsidR="00892EFA" w:rsidRPr="00A6480C">
              <w:rPr>
                <w:color w:val="000000"/>
                <w:shd w:val="clear" w:color="auto" w:fill="FFFFFF"/>
                <w:lang w:val="ro-MD"/>
              </w:rPr>
              <w:t xml:space="preserve"> până la arhivarea datelor. </w:t>
            </w:r>
          </w:p>
          <w:p w14:paraId="7E0208FB" w14:textId="561197A3" w:rsidR="00C92120" w:rsidRPr="00A6480C" w:rsidRDefault="00A45F74" w:rsidP="00BE1AD7">
            <w:pPr>
              <w:numPr>
                <w:ilvl w:val="0"/>
                <w:numId w:val="5"/>
              </w:numPr>
              <w:tabs>
                <w:tab w:val="left" w:pos="426"/>
              </w:tabs>
              <w:ind w:left="0" w:right="103" w:firstLine="0"/>
              <w:jc w:val="both"/>
              <w:rPr>
                <w:lang w:val="ro-MD"/>
              </w:rPr>
            </w:pPr>
            <w:r w:rsidRPr="00A6480C">
              <w:rPr>
                <w:lang w:val="ro-MD"/>
              </w:rPr>
              <w:t xml:space="preserve">Agenția </w:t>
            </w:r>
            <w:r w:rsidR="00C92120" w:rsidRPr="00A6480C">
              <w:rPr>
                <w:lang w:val="ro-MD"/>
              </w:rPr>
              <w:t xml:space="preserve">a fost înregistrată </w:t>
            </w:r>
            <w:r w:rsidR="00C92120" w:rsidRPr="00A6480C">
              <w:rPr>
                <w:i/>
                <w:iCs/>
                <w:lang w:val="ro-MD"/>
              </w:rPr>
              <w:t xml:space="preserve">ca operator de date cu caracter personal </w:t>
            </w:r>
            <w:r w:rsidR="00C92120" w:rsidRPr="00A6480C">
              <w:rPr>
                <w:lang w:val="ro-MD"/>
              </w:rPr>
              <w:t>ce permite asigurarea integrității</w:t>
            </w:r>
            <w:r w:rsidRPr="00A6480C">
              <w:rPr>
                <w:lang w:val="ro-MD"/>
              </w:rPr>
              <w:t>,</w:t>
            </w:r>
            <w:r w:rsidR="00C92120" w:rsidRPr="00A6480C">
              <w:rPr>
                <w:lang w:val="ro-MD"/>
              </w:rPr>
              <w:t xml:space="preserve"> dar și confidențialității datelor procesate</w:t>
            </w:r>
            <w:r w:rsidR="00C92120" w:rsidRPr="00A6480C">
              <w:rPr>
                <w:i/>
                <w:iCs/>
                <w:lang w:val="ro-MD"/>
              </w:rPr>
              <w:t>;</w:t>
            </w:r>
          </w:p>
          <w:p w14:paraId="2F1F7654" w14:textId="25F0E958" w:rsidR="00C92120" w:rsidRPr="00A6480C" w:rsidRDefault="00C92120" w:rsidP="00BE1AD7">
            <w:pPr>
              <w:numPr>
                <w:ilvl w:val="0"/>
                <w:numId w:val="5"/>
              </w:numPr>
              <w:tabs>
                <w:tab w:val="left" w:pos="426"/>
              </w:tabs>
              <w:ind w:left="0" w:right="103" w:firstLine="0"/>
              <w:jc w:val="both"/>
              <w:rPr>
                <w:lang w:val="ro-MD"/>
              </w:rPr>
            </w:pPr>
            <w:r w:rsidRPr="00A6480C">
              <w:rPr>
                <w:lang w:val="ro-MD"/>
              </w:rPr>
              <w:t xml:space="preserve">în termeni proximi a fost elaborată </w:t>
            </w:r>
            <w:r w:rsidRPr="00A6480C">
              <w:rPr>
                <w:i/>
                <w:iCs/>
                <w:lang w:val="ro-MD"/>
              </w:rPr>
              <w:t>aplicația de depunere on-line</w:t>
            </w:r>
            <w:r w:rsidRPr="00A6480C">
              <w:rPr>
                <w:lang w:val="ro-MD"/>
              </w:rPr>
              <w:t xml:space="preserve"> a cererilor de solicitare a subvenției pentru 4 domenii care gradual, urmează a fi trecute la acest format și celelalte măsuri de subvenționare.</w:t>
            </w:r>
          </w:p>
          <w:p w14:paraId="76F7EBE4" w14:textId="77777777" w:rsidR="000E1F87" w:rsidRPr="00A6480C" w:rsidRDefault="000E1F87" w:rsidP="00BE1AD7">
            <w:pPr>
              <w:tabs>
                <w:tab w:val="left" w:pos="284"/>
                <w:tab w:val="left" w:pos="426"/>
              </w:tabs>
              <w:contextualSpacing/>
              <w:jc w:val="both"/>
              <w:rPr>
                <w:strike/>
                <w:noProof/>
                <w:lang w:val="ro-MD" w:eastAsia="en-US"/>
              </w:rPr>
            </w:pPr>
          </w:p>
          <w:p w14:paraId="7ECD52F9" w14:textId="53D306E5" w:rsidR="00FB5804" w:rsidRPr="00A6480C" w:rsidRDefault="008A30AA" w:rsidP="00BE1AD7">
            <w:pPr>
              <w:tabs>
                <w:tab w:val="left" w:pos="284"/>
                <w:tab w:val="left" w:pos="426"/>
              </w:tabs>
              <w:contextualSpacing/>
              <w:jc w:val="both"/>
              <w:rPr>
                <w:shd w:val="clear" w:color="auto" w:fill="FFFFFF"/>
                <w:lang w:val="ro-MD"/>
              </w:rPr>
            </w:pPr>
            <w:r w:rsidRPr="00A6480C">
              <w:rPr>
                <w:shd w:val="clear" w:color="auto" w:fill="FFFFFF"/>
                <w:lang w:val="ro-MD"/>
              </w:rPr>
              <w:t xml:space="preserve">Subliniem faptul că </w:t>
            </w:r>
            <w:r w:rsidR="00E12857" w:rsidRPr="00A6480C">
              <w:rPr>
                <w:shd w:val="clear" w:color="auto" w:fill="FFFFFF"/>
                <w:lang w:val="ro-MD"/>
              </w:rPr>
              <w:t>v</w:t>
            </w:r>
            <w:r w:rsidR="00FB5804" w:rsidRPr="00A6480C">
              <w:rPr>
                <w:shd w:val="clear" w:color="auto" w:fill="FFFFFF"/>
                <w:lang w:val="ro-MD"/>
              </w:rPr>
              <w:t>olumul mare de lucru și personal insuficient are un impact negativ asupra calității exercitării atribuțiilor funcționale ale Agenției</w:t>
            </w:r>
            <w:r w:rsidR="00E12857" w:rsidRPr="00A6480C">
              <w:rPr>
                <w:shd w:val="clear" w:color="auto" w:fill="FFFFFF"/>
                <w:lang w:val="ro-MD"/>
              </w:rPr>
              <w:t xml:space="preserve">, iar </w:t>
            </w:r>
            <w:r w:rsidR="00FB5804" w:rsidRPr="00A6480C">
              <w:rPr>
                <w:shd w:val="clear" w:color="auto" w:fill="FFFFFF"/>
                <w:lang w:val="ro-MD"/>
              </w:rPr>
              <w:t xml:space="preserve">termenul de examinare a dosarelor este tergiversat, </w:t>
            </w:r>
            <w:r w:rsidR="00E12857" w:rsidRPr="00A6480C">
              <w:rPr>
                <w:shd w:val="clear" w:color="auto" w:fill="FFFFFF"/>
                <w:lang w:val="ro-MD"/>
              </w:rPr>
              <w:t xml:space="preserve">inclusiv </w:t>
            </w:r>
            <w:r w:rsidR="00FB5804" w:rsidRPr="00A6480C">
              <w:rPr>
                <w:shd w:val="clear" w:color="auto" w:fill="FFFFFF"/>
                <w:lang w:val="ro-MD"/>
              </w:rPr>
              <w:t xml:space="preserve">sunt comise frecvent erori tehnice. </w:t>
            </w:r>
          </w:p>
          <w:p w14:paraId="25F5278D" w14:textId="77777777" w:rsidR="00FB5804" w:rsidRPr="00A6480C" w:rsidRDefault="00FB5804" w:rsidP="00BE1AD7">
            <w:pPr>
              <w:tabs>
                <w:tab w:val="left" w:pos="284"/>
                <w:tab w:val="left" w:pos="426"/>
              </w:tabs>
              <w:contextualSpacing/>
              <w:jc w:val="both"/>
              <w:rPr>
                <w:shd w:val="clear" w:color="auto" w:fill="FFFFFF"/>
                <w:lang w:val="ro-MD"/>
              </w:rPr>
            </w:pPr>
          </w:p>
          <w:p w14:paraId="48FB00E6" w14:textId="5B197ED4" w:rsidR="00FB5804" w:rsidRPr="00A6480C" w:rsidRDefault="000808B8" w:rsidP="00BE1AD7">
            <w:pPr>
              <w:tabs>
                <w:tab w:val="left" w:pos="284"/>
                <w:tab w:val="left" w:pos="426"/>
              </w:tabs>
              <w:contextualSpacing/>
              <w:jc w:val="both"/>
              <w:rPr>
                <w:lang w:val="ro-MD"/>
              </w:rPr>
            </w:pPr>
            <w:r w:rsidRPr="00A6480C">
              <w:rPr>
                <w:shd w:val="clear" w:color="auto" w:fill="FFFFFF"/>
                <w:lang w:val="ro-MD"/>
              </w:rPr>
              <w:t>R</w:t>
            </w:r>
            <w:r w:rsidR="00FB5804" w:rsidRPr="00A6480C">
              <w:rPr>
                <w:shd w:val="clear" w:color="auto" w:fill="FFFFFF"/>
                <w:lang w:val="ro-MD"/>
              </w:rPr>
              <w:t xml:space="preserve">aportul </w:t>
            </w:r>
            <w:r w:rsidR="00FB5804" w:rsidRPr="00A6480C">
              <w:rPr>
                <w:lang w:val="ro-MD"/>
              </w:rPr>
              <w:t>dintre volumul dosarelor recepționate de către Agenție și numărul de angajați</w:t>
            </w:r>
            <w:r w:rsidRPr="00A6480C">
              <w:rPr>
                <w:lang w:val="ro-MD"/>
              </w:rPr>
              <w:t xml:space="preserve"> este </w:t>
            </w:r>
            <w:r w:rsidR="00E7527C" w:rsidRPr="00A6480C">
              <w:rPr>
                <w:lang w:val="ro-MD"/>
              </w:rPr>
              <w:t>descris după cum urmează</w:t>
            </w:r>
            <w:r w:rsidR="00FB5804" w:rsidRPr="00A6480C">
              <w:rPr>
                <w:lang w:val="ro-MD"/>
              </w:rPr>
              <w:t xml:space="preserve">: </w:t>
            </w:r>
          </w:p>
          <w:p w14:paraId="605E45A1" w14:textId="77777777" w:rsidR="00FB5804" w:rsidRPr="00A6480C" w:rsidRDefault="00FB5804" w:rsidP="00BE1AD7">
            <w:pPr>
              <w:tabs>
                <w:tab w:val="left" w:pos="284"/>
                <w:tab w:val="left" w:pos="426"/>
              </w:tabs>
              <w:contextualSpacing/>
              <w:jc w:val="both"/>
              <w:rPr>
                <w:lang w:val="ro-MD"/>
              </w:rPr>
            </w:pPr>
            <w:r w:rsidRPr="00A6480C">
              <w:rPr>
                <w:lang w:val="ro-MD"/>
              </w:rPr>
              <w:t xml:space="preserve">anul 2010 - 1906 dosare - 66 de angajați; </w:t>
            </w:r>
          </w:p>
          <w:p w14:paraId="1BA215AC" w14:textId="77777777" w:rsidR="00FB5804" w:rsidRPr="00A6480C" w:rsidRDefault="00FB5804" w:rsidP="00BE1AD7">
            <w:pPr>
              <w:tabs>
                <w:tab w:val="left" w:pos="284"/>
                <w:tab w:val="left" w:pos="426"/>
              </w:tabs>
              <w:contextualSpacing/>
              <w:jc w:val="both"/>
              <w:rPr>
                <w:lang w:val="ro-MD"/>
              </w:rPr>
            </w:pPr>
            <w:r w:rsidRPr="00A6480C">
              <w:rPr>
                <w:lang w:val="ro-MD"/>
              </w:rPr>
              <w:t xml:space="preserve">anul 2017 - 5643 dosare - 90 angajați; </w:t>
            </w:r>
          </w:p>
          <w:p w14:paraId="34261557" w14:textId="3A0D05BC" w:rsidR="00FB5804" w:rsidRPr="00A6480C" w:rsidRDefault="00561328" w:rsidP="00BE1AD7">
            <w:pPr>
              <w:tabs>
                <w:tab w:val="left" w:pos="284"/>
                <w:tab w:val="left" w:pos="426"/>
              </w:tabs>
              <w:contextualSpacing/>
              <w:jc w:val="both"/>
              <w:rPr>
                <w:lang w:val="ro-MD"/>
              </w:rPr>
            </w:pPr>
            <w:r w:rsidRPr="00A6480C">
              <w:rPr>
                <w:lang w:val="ro-MD"/>
              </w:rPr>
              <w:t xml:space="preserve">anul 2022 - </w:t>
            </w:r>
            <w:r w:rsidR="00FB5804" w:rsidRPr="00A6480C">
              <w:rPr>
                <w:lang w:val="ro-MD"/>
              </w:rPr>
              <w:t>16146 dosare - 85 angajați</w:t>
            </w:r>
            <w:r w:rsidR="002823A1" w:rsidRPr="00A6480C">
              <w:rPr>
                <w:lang w:val="ro-MD"/>
              </w:rPr>
              <w:t xml:space="preserve">, dinte care </w:t>
            </w:r>
            <w:r w:rsidR="002823A1" w:rsidRPr="00A6480C">
              <w:rPr>
                <w:shd w:val="clear" w:color="auto" w:fill="FFFFFF"/>
                <w:lang w:val="ro-MD"/>
              </w:rPr>
              <w:t>18 funcții vacante sau temporar vacante</w:t>
            </w:r>
            <w:r w:rsidR="00FB5804" w:rsidRPr="00A6480C">
              <w:rPr>
                <w:lang w:val="ro-MD"/>
              </w:rPr>
              <w:t>.</w:t>
            </w:r>
          </w:p>
          <w:p w14:paraId="74B42E62" w14:textId="77777777" w:rsidR="009D45E7" w:rsidRPr="00A6480C" w:rsidRDefault="009D45E7" w:rsidP="00BE1AD7">
            <w:pPr>
              <w:tabs>
                <w:tab w:val="left" w:pos="284"/>
                <w:tab w:val="left" w:pos="426"/>
              </w:tabs>
              <w:contextualSpacing/>
              <w:jc w:val="both"/>
              <w:rPr>
                <w:lang w:val="ro-MD"/>
              </w:rPr>
            </w:pPr>
          </w:p>
          <w:p w14:paraId="340D8ABD" w14:textId="2A2404F1" w:rsidR="00FB5804" w:rsidRPr="00A6480C" w:rsidRDefault="00FB5804" w:rsidP="00BE1AD7">
            <w:pPr>
              <w:jc w:val="both"/>
              <w:rPr>
                <w:lang w:val="ro-MD"/>
              </w:rPr>
            </w:pPr>
            <w:r w:rsidRPr="00A6480C">
              <w:rPr>
                <w:lang w:val="ro-MD"/>
              </w:rPr>
              <w:t xml:space="preserve">Astfel, se atestă încălcarea </w:t>
            </w:r>
            <w:r w:rsidR="000808B8" w:rsidRPr="00A6480C">
              <w:rPr>
                <w:lang w:val="ro-MD"/>
              </w:rPr>
              <w:t xml:space="preserve">de </w:t>
            </w:r>
            <w:r w:rsidRPr="00A6480C">
              <w:rPr>
                <w:lang w:val="ro-MD"/>
              </w:rPr>
              <w:t>norma</w:t>
            </w:r>
            <w:r w:rsidR="000808B8" w:rsidRPr="00A6480C">
              <w:rPr>
                <w:lang w:val="ro-MD"/>
              </w:rPr>
              <w:t>re</w:t>
            </w:r>
            <w:r w:rsidR="00E7527C" w:rsidRPr="00A6480C">
              <w:rPr>
                <w:lang w:val="ro-MD"/>
              </w:rPr>
              <w:t xml:space="preserve"> a</w:t>
            </w:r>
            <w:r w:rsidRPr="00A6480C">
              <w:rPr>
                <w:lang w:val="ro-MD"/>
              </w:rPr>
              <w:t xml:space="preserve"> muncii angajaților, dar și impunerea necesității angajaților de a activa </w:t>
            </w:r>
            <w:r w:rsidR="00E7527C" w:rsidRPr="00A6480C">
              <w:rPr>
                <w:lang w:val="ro-MD"/>
              </w:rPr>
              <w:t xml:space="preserve">supra </w:t>
            </w:r>
            <w:r w:rsidRPr="00A6480C">
              <w:rPr>
                <w:lang w:val="ro-MD"/>
              </w:rPr>
              <w:t xml:space="preserve">program. </w:t>
            </w:r>
            <w:r w:rsidRPr="00A6480C">
              <w:rPr>
                <w:shd w:val="clear" w:color="auto" w:fill="FFFFFF"/>
                <w:lang w:val="ro-MD"/>
              </w:rPr>
              <w:t xml:space="preserve">Această constatare se regăsește și în Hotărârea Curții de Conturi </w:t>
            </w:r>
            <w:r w:rsidRPr="00A6480C">
              <w:rPr>
                <w:lang w:val="ro-MD"/>
              </w:rPr>
              <w:t>(nr. 1/2017 și nr. 74/2019), care a reiterat despre necesitatea majorării numărului de personal în cadrul Agenției</w:t>
            </w:r>
            <w:r w:rsidR="00E7527C" w:rsidRPr="00A6480C">
              <w:rPr>
                <w:lang w:val="ro-MD"/>
              </w:rPr>
              <w:t>,</w:t>
            </w:r>
            <w:r w:rsidRPr="00A6480C">
              <w:rPr>
                <w:lang w:val="ro-MD"/>
              </w:rPr>
              <w:t xml:space="preserve"> sau după caz, crearea unui fond de rezervă ce ar permite contractarea pe perioadă determinată, în perioada aglomerată a anului de subvenționare, a angajaților</w:t>
            </w:r>
            <w:r w:rsidR="00E7527C" w:rsidRPr="00A6480C">
              <w:rPr>
                <w:lang w:val="ro-MD"/>
              </w:rPr>
              <w:t>,</w:t>
            </w:r>
            <w:r w:rsidRPr="00A6480C">
              <w:rPr>
                <w:lang w:val="ro-MD"/>
              </w:rPr>
              <w:t xml:space="preserve"> care ar facilita examinarea cererilor recepționate.</w:t>
            </w:r>
            <w:r w:rsidRPr="00A6480C">
              <w:rPr>
                <w:shd w:val="clear" w:color="auto" w:fill="FFFFFF"/>
                <w:lang w:val="ro-MD"/>
              </w:rPr>
              <w:t xml:space="preserve"> Ulterior, prin </w:t>
            </w:r>
            <w:r w:rsidRPr="00A6480C">
              <w:rPr>
                <w:lang w:val="ro-MD"/>
              </w:rPr>
              <w:t>Hotărârea</w:t>
            </w:r>
            <w:r w:rsidR="00FE3116" w:rsidRPr="00A6480C">
              <w:rPr>
                <w:lang w:val="ro-MD"/>
              </w:rPr>
              <w:t xml:space="preserve"> Curții de Conturi nr. 26/2020,</w:t>
            </w:r>
            <w:r w:rsidR="00004AB0" w:rsidRPr="00A6480C">
              <w:rPr>
                <w:lang w:val="ro-MD"/>
              </w:rPr>
              <w:t xml:space="preserve"> </w:t>
            </w:r>
            <w:r w:rsidRPr="00A6480C">
              <w:rPr>
                <w:lang w:val="ro-MD"/>
              </w:rPr>
              <w:t>s-a constatat neasigurarea utilizării concediilor ordinare</w:t>
            </w:r>
            <w:r w:rsidR="007A406F">
              <w:rPr>
                <w:lang w:val="ro-MD"/>
              </w:rPr>
              <w:t>, ceea ce pe</w:t>
            </w:r>
            <w:r w:rsidRPr="00A6480C">
              <w:rPr>
                <w:lang w:val="ro-MD"/>
              </w:rPr>
              <w:t xml:space="preserve"> viitor va </w:t>
            </w:r>
            <w:r w:rsidR="00004AB0" w:rsidRPr="00A6480C">
              <w:rPr>
                <w:lang w:val="ro-MD"/>
              </w:rPr>
              <w:t>con</w:t>
            </w:r>
            <w:r w:rsidRPr="00A6480C">
              <w:rPr>
                <w:lang w:val="ro-MD"/>
              </w:rPr>
              <w:t xml:space="preserve">duce la suportarea cheltuielilor suplimentare și/sau neprevăzute în bugetul pentru anul bugetar respectiv. </w:t>
            </w:r>
          </w:p>
          <w:p w14:paraId="00EA32DD" w14:textId="77777777" w:rsidR="00FB5804" w:rsidRPr="00A6480C" w:rsidRDefault="00FB5804" w:rsidP="00BE1AD7">
            <w:pPr>
              <w:tabs>
                <w:tab w:val="left" w:pos="284"/>
                <w:tab w:val="left" w:pos="426"/>
              </w:tabs>
              <w:contextualSpacing/>
              <w:jc w:val="both"/>
              <w:rPr>
                <w:lang w:val="ro-MD"/>
              </w:rPr>
            </w:pPr>
          </w:p>
          <w:p w14:paraId="1F5D2B5B" w14:textId="47E979A0" w:rsidR="00FB5804" w:rsidRPr="00A6480C" w:rsidRDefault="008A30AA" w:rsidP="00BE1AD7">
            <w:pPr>
              <w:tabs>
                <w:tab w:val="left" w:pos="284"/>
                <w:tab w:val="left" w:pos="426"/>
              </w:tabs>
              <w:contextualSpacing/>
              <w:jc w:val="both"/>
              <w:rPr>
                <w:lang w:val="ro-MD"/>
              </w:rPr>
            </w:pPr>
            <w:r w:rsidRPr="00A6480C">
              <w:rPr>
                <w:lang w:val="ro-MD"/>
              </w:rPr>
              <w:t xml:space="preserve">Accentuăm </w:t>
            </w:r>
            <w:r w:rsidR="00FB5804" w:rsidRPr="00A6480C">
              <w:rPr>
                <w:lang w:val="ro-MD"/>
              </w:rPr>
              <w:t xml:space="preserve">și faptul că concediile ordinare </w:t>
            </w:r>
            <w:r w:rsidR="000808B8" w:rsidRPr="00A6480C">
              <w:rPr>
                <w:lang w:val="ro-MD"/>
              </w:rPr>
              <w:t xml:space="preserve">pentru angajații Agenției </w:t>
            </w:r>
            <w:r w:rsidR="00FB5804" w:rsidRPr="00A6480C">
              <w:rPr>
                <w:lang w:val="ro-MD"/>
              </w:rPr>
              <w:t>nu pot fi oferite</w:t>
            </w:r>
            <w:r w:rsidR="00004AB0" w:rsidRPr="00A6480C">
              <w:rPr>
                <w:lang w:val="ro-MD"/>
              </w:rPr>
              <w:t xml:space="preserve"> </w:t>
            </w:r>
            <w:r w:rsidR="000808B8" w:rsidRPr="00A6480C">
              <w:rPr>
                <w:lang w:val="ro-MD"/>
              </w:rPr>
              <w:t>integral</w:t>
            </w:r>
            <w:r w:rsidR="00FB5804" w:rsidRPr="00A6480C">
              <w:rPr>
                <w:lang w:val="ro-MD"/>
              </w:rPr>
              <w:t>,</w:t>
            </w:r>
            <w:r w:rsidR="002449FE" w:rsidRPr="00A6480C">
              <w:rPr>
                <w:lang w:val="ro-MD"/>
              </w:rPr>
              <w:t xml:space="preserve"> pe motiv că: </w:t>
            </w:r>
            <w:r w:rsidR="00FB5804" w:rsidRPr="00A6480C">
              <w:rPr>
                <w:lang w:val="ro-MD"/>
              </w:rPr>
              <w:t>nu sunt angajați suficienți, care ar putea prelua exercitarea funcțiile pe perioada află</w:t>
            </w:r>
            <w:r w:rsidR="00FE3116" w:rsidRPr="00A6480C">
              <w:rPr>
                <w:lang w:val="ro-MD"/>
              </w:rPr>
              <w:t>rii în concediu a angajaților;</w:t>
            </w:r>
            <w:r w:rsidR="00FB5804" w:rsidRPr="00A6480C">
              <w:rPr>
                <w:lang w:val="ro-MD"/>
              </w:rPr>
              <w:t xml:space="preserve"> locurile vacante</w:t>
            </w:r>
            <w:r w:rsidR="007A406F">
              <w:rPr>
                <w:lang w:val="ro-MD"/>
              </w:rPr>
              <w:t>,</w:t>
            </w:r>
            <w:r w:rsidR="00FB5804" w:rsidRPr="00A6480C">
              <w:rPr>
                <w:lang w:val="ro-MD"/>
              </w:rPr>
              <w:t xml:space="preserve"> pe parcursul ultimilor 3 ani, nu </w:t>
            </w:r>
            <w:r w:rsidR="002449FE" w:rsidRPr="00A6480C">
              <w:rPr>
                <w:lang w:val="ro-MD"/>
              </w:rPr>
              <w:t xml:space="preserve">au fost </w:t>
            </w:r>
            <w:r w:rsidR="00FB5804" w:rsidRPr="00A6480C">
              <w:rPr>
                <w:lang w:val="ro-MD"/>
              </w:rPr>
              <w:t>suplinite urmare concursurilor anunțate de către Agenție</w:t>
            </w:r>
            <w:r w:rsidR="002823A1" w:rsidRPr="00A6480C">
              <w:rPr>
                <w:lang w:val="ro-MD"/>
              </w:rPr>
              <w:t>,</w:t>
            </w:r>
            <w:r w:rsidR="00FB5804" w:rsidRPr="00A6480C">
              <w:rPr>
                <w:lang w:val="ro-MD"/>
              </w:rPr>
              <w:t xml:space="preserve"> </w:t>
            </w:r>
            <w:r w:rsidR="002823A1" w:rsidRPr="00A6480C">
              <w:rPr>
                <w:lang w:val="ro-MD"/>
              </w:rPr>
              <w:t xml:space="preserve">dat fiind că </w:t>
            </w:r>
            <w:r w:rsidR="00FB5804" w:rsidRPr="00A6480C">
              <w:rPr>
                <w:lang w:val="ro-MD"/>
              </w:rPr>
              <w:t xml:space="preserve">salariile nu sunt atractive pentru potențialii angajați. </w:t>
            </w:r>
          </w:p>
          <w:p w14:paraId="1B97C483" w14:textId="77777777" w:rsidR="001C2314" w:rsidRPr="00A6480C" w:rsidRDefault="001C2314" w:rsidP="00BE1AD7">
            <w:pPr>
              <w:tabs>
                <w:tab w:val="left" w:pos="450"/>
              </w:tabs>
              <w:jc w:val="both"/>
              <w:rPr>
                <w:iCs/>
                <w:shd w:val="clear" w:color="auto" w:fill="FFFFFF"/>
                <w:lang w:val="ro-MD"/>
              </w:rPr>
            </w:pPr>
          </w:p>
          <w:p w14:paraId="2E06CF06" w14:textId="40198BC8" w:rsidR="00E163C9" w:rsidRPr="00A6480C" w:rsidRDefault="00BE1AD7" w:rsidP="009D45E7">
            <w:pPr>
              <w:pStyle w:val="Listparagraf"/>
              <w:ind w:left="0"/>
              <w:jc w:val="both"/>
              <w:rPr>
                <w:iCs/>
                <w:shd w:val="clear" w:color="auto" w:fill="FFFFFF"/>
                <w:lang w:val="ro-MD"/>
              </w:rPr>
            </w:pPr>
            <w:r w:rsidRPr="00A6480C">
              <w:rPr>
                <w:iCs/>
                <w:shd w:val="clear" w:color="auto" w:fill="FFFFFF"/>
                <w:lang w:val="ro-MD"/>
              </w:rPr>
              <w:t>În concluzie,</w:t>
            </w:r>
            <w:r w:rsidR="003842A0" w:rsidRPr="00A6480C">
              <w:rPr>
                <w:iCs/>
                <w:shd w:val="clear" w:color="auto" w:fill="FFFFFF"/>
                <w:lang w:val="ro-MD"/>
              </w:rPr>
              <w:t xml:space="preserve"> </w:t>
            </w:r>
            <w:r w:rsidR="009D45E7" w:rsidRPr="00A6480C">
              <w:rPr>
                <w:iCs/>
                <w:shd w:val="clear" w:color="auto" w:fill="FFFFFF"/>
                <w:lang w:val="ro-MD"/>
              </w:rPr>
              <w:t xml:space="preserve">structură organizațională ineficientă și unități de personal insuficient pentru realizarea misiunii Agenției, responsabilă de gestionarea și controlul mijloacelor financiare din FNDAMR, </w:t>
            </w:r>
            <w:r w:rsidR="003842A0" w:rsidRPr="00A6480C">
              <w:rPr>
                <w:iCs/>
                <w:shd w:val="clear" w:color="auto" w:fill="FFFFFF"/>
                <w:lang w:val="ro-MD"/>
              </w:rPr>
              <w:t>conduce la tergiversarea procesului de autorizare a plăților către solicitanții de subvenții, comiterea erorilor</w:t>
            </w:r>
            <w:r w:rsidR="00130492" w:rsidRPr="00A6480C">
              <w:rPr>
                <w:iCs/>
                <w:shd w:val="clear" w:color="auto" w:fill="FFFFFF"/>
                <w:lang w:val="ro-MD"/>
              </w:rPr>
              <w:t xml:space="preserve"> tehnice</w:t>
            </w:r>
            <w:r w:rsidR="003842A0" w:rsidRPr="00A6480C">
              <w:rPr>
                <w:iCs/>
                <w:shd w:val="clear" w:color="auto" w:fill="FFFFFF"/>
                <w:lang w:val="ro-MD"/>
              </w:rPr>
              <w:t xml:space="preserve">, lipsa surselor de date în sistemul informațional, etc. </w:t>
            </w:r>
            <w:r w:rsidR="002823A1" w:rsidRPr="00A6480C">
              <w:rPr>
                <w:iCs/>
                <w:shd w:val="clear" w:color="auto" w:fill="FFFFFF"/>
                <w:lang w:val="ro-MD"/>
              </w:rPr>
              <w:t>Iată</w:t>
            </w:r>
            <w:r w:rsidR="00130492" w:rsidRPr="00A6480C">
              <w:rPr>
                <w:iCs/>
                <w:shd w:val="clear" w:color="auto" w:fill="FFFFFF"/>
                <w:lang w:val="ro-MD"/>
              </w:rPr>
              <w:t xml:space="preserve"> de ce, </w:t>
            </w:r>
            <w:r w:rsidR="003842A0" w:rsidRPr="00A6480C">
              <w:rPr>
                <w:iCs/>
                <w:shd w:val="clear" w:color="auto" w:fill="FFFFFF"/>
                <w:lang w:val="ro-MD"/>
              </w:rPr>
              <w:t>majorarea statelor de personal</w:t>
            </w:r>
            <w:r w:rsidR="00130492" w:rsidRPr="00A6480C">
              <w:rPr>
                <w:iCs/>
                <w:shd w:val="clear" w:color="auto" w:fill="FFFFFF"/>
                <w:lang w:val="ro-MD"/>
              </w:rPr>
              <w:t>, precum și îmbunătățirea condițiilor de salarizare, r</w:t>
            </w:r>
            <w:r w:rsidR="002823A1" w:rsidRPr="00A6480C">
              <w:rPr>
                <w:iCs/>
                <w:shd w:val="clear" w:color="auto" w:fill="FFFFFF"/>
                <w:lang w:val="ro-MD"/>
              </w:rPr>
              <w:t>ă</w:t>
            </w:r>
            <w:r w:rsidR="00130492" w:rsidRPr="00A6480C">
              <w:rPr>
                <w:iCs/>
                <w:shd w:val="clear" w:color="auto" w:fill="FFFFFF"/>
                <w:lang w:val="ro-MD"/>
              </w:rPr>
              <w:t xml:space="preserve">mâne a fi </w:t>
            </w:r>
            <w:r w:rsidR="002823A1" w:rsidRPr="00A6480C">
              <w:rPr>
                <w:iCs/>
                <w:shd w:val="clear" w:color="auto" w:fill="FFFFFF"/>
                <w:lang w:val="ro-MD"/>
              </w:rPr>
              <w:t>un subiect stringent</w:t>
            </w:r>
            <w:r w:rsidR="00130492" w:rsidRPr="00A6480C">
              <w:rPr>
                <w:iCs/>
                <w:shd w:val="clear" w:color="auto" w:fill="FFFFFF"/>
                <w:lang w:val="ro-MD"/>
              </w:rPr>
              <w:t xml:space="preserve"> și </w:t>
            </w:r>
            <w:r w:rsidR="003842A0" w:rsidRPr="00A6480C">
              <w:rPr>
                <w:iCs/>
                <w:shd w:val="clear" w:color="auto" w:fill="FFFFFF"/>
                <w:lang w:val="ro-MD"/>
              </w:rPr>
              <w:t>vital</w:t>
            </w:r>
            <w:r w:rsidR="00130492" w:rsidRPr="00A6480C">
              <w:rPr>
                <w:iCs/>
                <w:shd w:val="clear" w:color="auto" w:fill="FFFFFF"/>
                <w:lang w:val="ro-MD"/>
              </w:rPr>
              <w:t xml:space="preserve"> pentru Agenție</w:t>
            </w:r>
            <w:r w:rsidR="003842A0" w:rsidRPr="00A6480C">
              <w:rPr>
                <w:iCs/>
                <w:shd w:val="clear" w:color="auto" w:fill="FFFFFF"/>
                <w:lang w:val="ro-MD"/>
              </w:rPr>
              <w:t>.</w:t>
            </w:r>
          </w:p>
        </w:tc>
      </w:tr>
      <w:tr w:rsidR="005545D4" w:rsidRPr="00A6480C" w14:paraId="0B6036AE" w14:textId="77777777" w:rsidTr="00750902">
        <w:tc>
          <w:tcPr>
            <w:tcW w:w="5000" w:type="pct"/>
          </w:tcPr>
          <w:p w14:paraId="1558D140" w14:textId="7DDE8624" w:rsidR="005545D4" w:rsidRPr="00A6480C" w:rsidRDefault="005545D4" w:rsidP="00BE1AD7">
            <w:pPr>
              <w:tabs>
                <w:tab w:val="left" w:pos="884"/>
                <w:tab w:val="left" w:pos="1196"/>
              </w:tabs>
              <w:jc w:val="both"/>
              <w:rPr>
                <w:rFonts w:eastAsia="Calibri"/>
                <w:b/>
                <w:lang w:val="ro-MD"/>
              </w:rPr>
            </w:pPr>
            <w:r w:rsidRPr="00A6480C">
              <w:rPr>
                <w:rFonts w:eastAsia="Calibri"/>
                <w:b/>
                <w:lang w:val="ro-MD"/>
              </w:rPr>
              <w:lastRenderedPageBreak/>
              <w:t xml:space="preserve">3.Descrierea gradului de compatibilitate pentru proiectele care au ca scop armonizarea </w:t>
            </w:r>
            <w:r w:rsidR="009C6D67" w:rsidRPr="00A6480C">
              <w:rPr>
                <w:rFonts w:eastAsia="Calibri"/>
                <w:b/>
                <w:lang w:val="ro-MD"/>
              </w:rPr>
              <w:t>legislației</w:t>
            </w:r>
            <w:r w:rsidRPr="00A6480C">
              <w:rPr>
                <w:rFonts w:eastAsia="Calibri"/>
                <w:b/>
                <w:lang w:val="ro-MD"/>
              </w:rPr>
              <w:t xml:space="preserve"> </w:t>
            </w:r>
            <w:r w:rsidR="009C6D67" w:rsidRPr="00A6480C">
              <w:rPr>
                <w:rFonts w:eastAsia="Calibri"/>
                <w:b/>
                <w:lang w:val="ro-MD"/>
              </w:rPr>
              <w:t>naționale</w:t>
            </w:r>
            <w:r w:rsidRPr="00A6480C">
              <w:rPr>
                <w:rFonts w:eastAsia="Calibri"/>
                <w:b/>
                <w:lang w:val="ro-MD"/>
              </w:rPr>
              <w:t xml:space="preserve"> cu </w:t>
            </w:r>
            <w:r w:rsidR="009C6D67" w:rsidRPr="00A6480C">
              <w:rPr>
                <w:rFonts w:eastAsia="Calibri"/>
                <w:b/>
                <w:lang w:val="ro-MD"/>
              </w:rPr>
              <w:t>legislația</w:t>
            </w:r>
            <w:r w:rsidRPr="00A6480C">
              <w:rPr>
                <w:rFonts w:eastAsia="Calibri"/>
                <w:b/>
                <w:lang w:val="ro-MD"/>
              </w:rPr>
              <w:t xml:space="preserve"> Uniunii Europene</w:t>
            </w:r>
          </w:p>
        </w:tc>
      </w:tr>
      <w:tr w:rsidR="005545D4" w:rsidRPr="00A6480C" w14:paraId="7B70D571" w14:textId="77777777" w:rsidTr="00750902">
        <w:tc>
          <w:tcPr>
            <w:tcW w:w="5000" w:type="pct"/>
          </w:tcPr>
          <w:p w14:paraId="051E6E0E" w14:textId="2EBDE27C" w:rsidR="005545D4" w:rsidRPr="00A6480C" w:rsidRDefault="005545D4" w:rsidP="00BE1AD7">
            <w:pPr>
              <w:tabs>
                <w:tab w:val="left" w:pos="884"/>
                <w:tab w:val="left" w:pos="1196"/>
              </w:tabs>
              <w:ind w:left="-90"/>
              <w:jc w:val="both"/>
              <w:rPr>
                <w:rFonts w:eastAsia="Calibri"/>
                <w:b/>
                <w:lang w:val="ro-MD"/>
              </w:rPr>
            </w:pPr>
            <w:r w:rsidRPr="00A6480C">
              <w:rPr>
                <w:rFonts w:eastAsia="Calibri"/>
                <w:lang w:val="ro-MD"/>
              </w:rPr>
              <w:lastRenderedPageBreak/>
              <w:t xml:space="preserve">Proiectul nu conține norme privind armonizarea legislației naționale cu </w:t>
            </w:r>
            <w:r w:rsidR="00E163C9" w:rsidRPr="00A6480C">
              <w:rPr>
                <w:rFonts w:eastAsia="Calibri"/>
                <w:lang w:val="ro-MD"/>
              </w:rPr>
              <w:t>legislația</w:t>
            </w:r>
            <w:r w:rsidRPr="00A6480C">
              <w:rPr>
                <w:rFonts w:eastAsia="Calibri"/>
                <w:lang w:val="ro-MD"/>
              </w:rPr>
              <w:t xml:space="preserve"> Uniunii Europene</w:t>
            </w:r>
            <w:r w:rsidR="00E2638C" w:rsidRPr="00A6480C">
              <w:rPr>
                <w:rFonts w:eastAsia="Calibri"/>
                <w:lang w:val="ro-MD"/>
              </w:rPr>
              <w:t xml:space="preserve"> </w:t>
            </w:r>
          </w:p>
        </w:tc>
      </w:tr>
      <w:tr w:rsidR="005545D4" w:rsidRPr="00A6480C" w14:paraId="07C1DC89" w14:textId="77777777" w:rsidTr="00750902">
        <w:tc>
          <w:tcPr>
            <w:tcW w:w="5000" w:type="pct"/>
          </w:tcPr>
          <w:p w14:paraId="32B93F65" w14:textId="3F8D34B8" w:rsidR="005545D4" w:rsidRPr="00A6480C" w:rsidRDefault="005545D4" w:rsidP="00BE1AD7">
            <w:pPr>
              <w:tabs>
                <w:tab w:val="left" w:pos="884"/>
                <w:tab w:val="left" w:pos="1196"/>
              </w:tabs>
              <w:jc w:val="both"/>
              <w:rPr>
                <w:rFonts w:eastAsia="Calibri"/>
                <w:b/>
                <w:lang w:val="ro-MD"/>
              </w:rPr>
            </w:pPr>
            <w:r w:rsidRPr="00A6480C">
              <w:rPr>
                <w:rFonts w:eastAsia="Calibri"/>
                <w:b/>
                <w:lang w:val="ro-MD"/>
              </w:rPr>
              <w:t xml:space="preserve">4.Principalele prevederi ale proiectului </w:t>
            </w:r>
            <w:proofErr w:type="spellStart"/>
            <w:r w:rsidRPr="00A6480C">
              <w:rPr>
                <w:rFonts w:eastAsia="Calibri"/>
                <w:b/>
                <w:lang w:val="ro-MD"/>
              </w:rPr>
              <w:t>şi</w:t>
            </w:r>
            <w:proofErr w:type="spellEnd"/>
            <w:r w:rsidRPr="00A6480C">
              <w:rPr>
                <w:rFonts w:eastAsia="Calibri"/>
                <w:b/>
                <w:lang w:val="ro-MD"/>
              </w:rPr>
              <w:t xml:space="preserve"> </w:t>
            </w:r>
            <w:r w:rsidR="00272C29" w:rsidRPr="00A6480C">
              <w:rPr>
                <w:rFonts w:eastAsia="Calibri"/>
                <w:b/>
                <w:lang w:val="ro-MD"/>
              </w:rPr>
              <w:t>evidențierea</w:t>
            </w:r>
            <w:r w:rsidRPr="00A6480C">
              <w:rPr>
                <w:rFonts w:eastAsia="Calibri"/>
                <w:b/>
                <w:lang w:val="ro-MD"/>
              </w:rPr>
              <w:t xml:space="preserve"> elementelor noi</w:t>
            </w:r>
          </w:p>
        </w:tc>
      </w:tr>
      <w:tr w:rsidR="005545D4" w:rsidRPr="00A6480C" w14:paraId="6310295F" w14:textId="77777777" w:rsidTr="008A5E86">
        <w:trPr>
          <w:trHeight w:val="1259"/>
        </w:trPr>
        <w:tc>
          <w:tcPr>
            <w:tcW w:w="5000" w:type="pct"/>
          </w:tcPr>
          <w:p w14:paraId="158CD9F5" w14:textId="6A51D2A0" w:rsidR="00FB5804" w:rsidRPr="00A6480C" w:rsidRDefault="001A5DFF" w:rsidP="00BE1AD7">
            <w:pPr>
              <w:jc w:val="both"/>
              <w:rPr>
                <w:shd w:val="clear" w:color="auto" w:fill="FFFFFF"/>
                <w:lang w:val="ro-MD"/>
              </w:rPr>
            </w:pPr>
            <w:bookmarkStart w:id="1" w:name="_Hlk79495298"/>
            <w:r w:rsidRPr="00A6480C">
              <w:rPr>
                <w:shd w:val="clear" w:color="auto" w:fill="FFFFFF"/>
                <w:lang w:val="ro-MD"/>
              </w:rPr>
              <w:t>Prin prezentul proiect de hotărâre se propune operarea modificărilor</w:t>
            </w:r>
            <w:r w:rsidR="00FB5804" w:rsidRPr="00A6480C">
              <w:rPr>
                <w:shd w:val="clear" w:color="auto" w:fill="FFFFFF"/>
                <w:lang w:val="ro-MD"/>
              </w:rPr>
              <w:t xml:space="preserve"> în următoarel</w:t>
            </w:r>
            <w:r w:rsidR="00754B25" w:rsidRPr="00A6480C">
              <w:rPr>
                <w:shd w:val="clear" w:color="auto" w:fill="FFFFFF"/>
                <w:lang w:val="ro-MD"/>
              </w:rPr>
              <w:t>e</w:t>
            </w:r>
            <w:r w:rsidR="00FB5804" w:rsidRPr="00A6480C">
              <w:rPr>
                <w:shd w:val="clear" w:color="auto" w:fill="FFFFFF"/>
                <w:lang w:val="ro-MD"/>
              </w:rPr>
              <w:t xml:space="preserve"> acte</w:t>
            </w:r>
            <w:r w:rsidR="002449FE" w:rsidRPr="00A6480C">
              <w:rPr>
                <w:shd w:val="clear" w:color="auto" w:fill="FFFFFF"/>
                <w:lang w:val="ro-MD"/>
              </w:rPr>
              <w:t xml:space="preserve"> </w:t>
            </w:r>
            <w:r w:rsidR="00FB5804" w:rsidRPr="00A6480C">
              <w:rPr>
                <w:shd w:val="clear" w:color="auto" w:fill="FFFFFF"/>
                <w:lang w:val="ro-MD"/>
              </w:rPr>
              <w:t>normative:</w:t>
            </w:r>
          </w:p>
          <w:p w14:paraId="0AF3CECF" w14:textId="551214C9" w:rsidR="00FB5804" w:rsidRPr="00A6480C" w:rsidRDefault="001A5DFF" w:rsidP="00BE1AD7">
            <w:pPr>
              <w:pStyle w:val="Listparagraf"/>
              <w:numPr>
                <w:ilvl w:val="0"/>
                <w:numId w:val="3"/>
              </w:numPr>
              <w:tabs>
                <w:tab w:val="left" w:pos="601"/>
              </w:tabs>
              <w:ind w:left="0" w:firstLine="317"/>
              <w:jc w:val="both"/>
              <w:rPr>
                <w:shd w:val="clear" w:color="auto" w:fill="FFFFFF"/>
                <w:lang w:val="ro-MD"/>
              </w:rPr>
            </w:pPr>
            <w:r w:rsidRPr="00A6480C">
              <w:rPr>
                <w:shd w:val="clear" w:color="auto" w:fill="FFFFFF"/>
                <w:lang w:val="ro-MD"/>
              </w:rPr>
              <w:t xml:space="preserve"> Hotărârea Guvernului nr.773/2007 pentru implementarea Legii nr. 915/1996 privind protecția soiurilor de plante</w:t>
            </w:r>
            <w:r w:rsidR="000E1F87" w:rsidRPr="00A6480C">
              <w:rPr>
                <w:lang w:val="ro-MD"/>
              </w:rPr>
              <w:t xml:space="preserve"> </w:t>
            </w:r>
            <w:r w:rsidR="004B5504" w:rsidRPr="00A6480C">
              <w:rPr>
                <w:lang w:val="ro-MD"/>
              </w:rPr>
              <w:t>(</w:t>
            </w:r>
            <w:r w:rsidR="000E1F87" w:rsidRPr="00A6480C">
              <w:rPr>
                <w:lang w:val="ro-MD"/>
              </w:rPr>
              <w:t>Monitorul Oficial al Republicii Moldova, 2007, nr. 98-102, art. 815) cu modificările ulterioare</w:t>
            </w:r>
            <w:r w:rsidR="00FB5804" w:rsidRPr="00A6480C">
              <w:rPr>
                <w:shd w:val="clear" w:color="auto" w:fill="FFFFFF"/>
                <w:lang w:val="ro-MD"/>
              </w:rPr>
              <w:t>;</w:t>
            </w:r>
          </w:p>
          <w:p w14:paraId="37F1B0F8" w14:textId="60137FE8" w:rsidR="00FB5804" w:rsidRPr="00A6480C" w:rsidRDefault="001A5DFF" w:rsidP="00BE1AD7">
            <w:pPr>
              <w:pStyle w:val="Listparagraf"/>
              <w:numPr>
                <w:ilvl w:val="0"/>
                <w:numId w:val="3"/>
              </w:numPr>
              <w:tabs>
                <w:tab w:val="left" w:pos="601"/>
              </w:tabs>
              <w:ind w:left="0" w:firstLine="317"/>
              <w:jc w:val="both"/>
              <w:rPr>
                <w:shd w:val="clear" w:color="auto" w:fill="FFFFFF"/>
                <w:lang w:val="ro-MD"/>
              </w:rPr>
            </w:pPr>
            <w:r w:rsidRPr="00A6480C">
              <w:rPr>
                <w:shd w:val="clear" w:color="auto" w:fill="FFFFFF"/>
                <w:lang w:val="ro-MD"/>
              </w:rPr>
              <w:t xml:space="preserve"> Hotărârea Guvernului nr. 1120/2005 cu privire la unele măsuri de eficientizare a lucrărilor de combatere a căderilor de grindină</w:t>
            </w:r>
            <w:r w:rsidR="008977AF" w:rsidRPr="00A6480C">
              <w:rPr>
                <w:shd w:val="clear" w:color="auto" w:fill="FFFFFF"/>
                <w:lang w:val="ro-MD"/>
              </w:rPr>
              <w:t xml:space="preserve"> </w:t>
            </w:r>
            <w:r w:rsidR="008977AF" w:rsidRPr="00A6480C">
              <w:rPr>
                <w:lang w:val="ro-MD"/>
              </w:rPr>
              <w:t>(Monitorul Oficial al Republicii Moldova, 2005, nr. 145-147, art. 1200), cu modificările ulterioare</w:t>
            </w:r>
            <w:r w:rsidR="00FB5804" w:rsidRPr="00A6480C">
              <w:rPr>
                <w:shd w:val="clear" w:color="auto" w:fill="FFFFFF"/>
                <w:lang w:val="ro-MD"/>
              </w:rPr>
              <w:t>;</w:t>
            </w:r>
          </w:p>
          <w:p w14:paraId="01B5FAA9" w14:textId="30826A58" w:rsidR="004B5504" w:rsidRPr="00A6480C" w:rsidRDefault="001A5DFF" w:rsidP="00BE1AD7">
            <w:pPr>
              <w:pStyle w:val="Listparagraf"/>
              <w:numPr>
                <w:ilvl w:val="0"/>
                <w:numId w:val="3"/>
              </w:numPr>
              <w:tabs>
                <w:tab w:val="left" w:pos="601"/>
              </w:tabs>
              <w:ind w:left="0" w:firstLine="317"/>
              <w:jc w:val="both"/>
              <w:rPr>
                <w:lang w:val="ro-MD" w:eastAsia="ro-RO"/>
              </w:rPr>
            </w:pPr>
            <w:r w:rsidRPr="00A6480C">
              <w:rPr>
                <w:shd w:val="clear" w:color="auto" w:fill="FFFFFF"/>
                <w:lang w:val="ro-MD"/>
              </w:rPr>
              <w:t>Hotărârea Guvernului nr. 20/2019 cu privire la reorganizarea Instituției publice</w:t>
            </w:r>
            <w:r w:rsidRPr="00A6480C">
              <w:rPr>
                <w:b/>
                <w:bCs/>
                <w:shd w:val="clear" w:color="auto" w:fill="FFFFFF"/>
                <w:lang w:val="ro-MD"/>
              </w:rPr>
              <w:t xml:space="preserve"> </w:t>
            </w:r>
            <w:r w:rsidRPr="00A6480C">
              <w:rPr>
                <w:shd w:val="clear" w:color="auto" w:fill="FFFFFF"/>
                <w:lang w:val="ro-MD"/>
              </w:rPr>
              <w:t xml:space="preserve">„Agenția de Intervenție și Plăți pentru Agricultură” </w:t>
            </w:r>
            <w:r w:rsidR="004B5504" w:rsidRPr="00A6480C">
              <w:rPr>
                <w:lang w:val="ro-MD" w:eastAsia="ro-RO"/>
              </w:rPr>
              <w:t>(Monitorul Oficial al R. Moldova nr. 22-23 art. 28 din 19.01.2019),</w:t>
            </w:r>
            <w:r w:rsidR="004B5504" w:rsidRPr="00A6480C">
              <w:rPr>
                <w:lang w:val="ro-MD"/>
              </w:rPr>
              <w:t xml:space="preserve"> cu modificările ulterioare.</w:t>
            </w:r>
          </w:p>
          <w:p w14:paraId="3EF2DFAB" w14:textId="77777777" w:rsidR="003842A0" w:rsidRPr="00A6480C" w:rsidRDefault="003842A0" w:rsidP="00BE1AD7">
            <w:pPr>
              <w:jc w:val="both"/>
              <w:rPr>
                <w:lang w:val="ro-MD"/>
              </w:rPr>
            </w:pPr>
          </w:p>
          <w:p w14:paraId="067B6882" w14:textId="21C84B1A" w:rsidR="003842A0" w:rsidRPr="00A6480C" w:rsidRDefault="00BE1AD7" w:rsidP="00BE1AD7">
            <w:pPr>
              <w:jc w:val="both"/>
              <w:rPr>
                <w:lang w:val="ro-MD"/>
              </w:rPr>
            </w:pPr>
            <w:r w:rsidRPr="00A6480C">
              <w:rPr>
                <w:lang w:val="ro-MD"/>
              </w:rPr>
              <w:t>Tot î</w:t>
            </w:r>
            <w:r w:rsidR="00B31B3B" w:rsidRPr="00A6480C">
              <w:rPr>
                <w:lang w:val="ro-MD"/>
              </w:rPr>
              <w:t>n acest context</w:t>
            </w:r>
            <w:r w:rsidR="004B5504" w:rsidRPr="00A6480C">
              <w:rPr>
                <w:lang w:val="ro-MD"/>
              </w:rPr>
              <w:t xml:space="preserve">, se </w:t>
            </w:r>
            <w:r w:rsidR="00B31B3B" w:rsidRPr="00A6480C">
              <w:rPr>
                <w:lang w:val="ro-MD"/>
              </w:rPr>
              <w:t xml:space="preserve">impune </w:t>
            </w:r>
            <w:r w:rsidR="004B5504" w:rsidRPr="00A6480C">
              <w:rPr>
                <w:lang w:val="ro-MD"/>
              </w:rPr>
              <w:t>abrogarea Hotărârea Guvernului nr. 384/2003 cu privire la aprobarea efectivului-limită a personalului serviciilor publice create pe lângă Ministerul Agriculturii și Industriei Alimentare (Monitorul Oficial al Republicii Moldova, 2003, nr. 62-66, art. 403), cu modificările ulterioare, ca fiind depășită.</w:t>
            </w:r>
            <w:r w:rsidR="004B5504" w:rsidRPr="00A6480C">
              <w:rPr>
                <w:lang w:val="ro-MD" w:eastAsia="ro-RO"/>
              </w:rPr>
              <w:br/>
            </w:r>
          </w:p>
          <w:p w14:paraId="202E7974" w14:textId="183A4310" w:rsidR="004B5504" w:rsidRPr="00A6480C" w:rsidRDefault="003B7446" w:rsidP="00BE1AD7">
            <w:pPr>
              <w:jc w:val="both"/>
              <w:rPr>
                <w:lang w:val="ro-MD"/>
              </w:rPr>
            </w:pPr>
            <w:r w:rsidRPr="00A6480C">
              <w:rPr>
                <w:lang w:val="ro-MD"/>
              </w:rPr>
              <w:t xml:space="preserve">Astfel, se propune </w:t>
            </w:r>
            <w:r w:rsidR="004B5504" w:rsidRPr="00A6480C">
              <w:rPr>
                <w:shd w:val="clear" w:color="auto" w:fill="FFFFFF"/>
                <w:lang w:val="ro-MD"/>
              </w:rPr>
              <w:t>reorganizarea a 3 instituții subordonate MAIA</w:t>
            </w:r>
            <w:r w:rsidR="00591011">
              <w:rPr>
                <w:shd w:val="clear" w:color="auto" w:fill="FFFFFF"/>
                <w:lang w:val="ro-MD"/>
              </w:rPr>
              <w:t>,</w:t>
            </w:r>
            <w:r w:rsidR="004B5504" w:rsidRPr="00A6480C">
              <w:rPr>
                <w:shd w:val="clear" w:color="auto" w:fill="FFFFFF"/>
                <w:lang w:val="ro-MD"/>
              </w:rPr>
              <w:t xml:space="preserve"> prin ajustarea statelor de personal conform necesităților reale sectorului, </w:t>
            </w:r>
            <w:r w:rsidR="004B5504" w:rsidRPr="00A6480C">
              <w:rPr>
                <w:lang w:val="ro-MD"/>
              </w:rPr>
              <w:t>operarea unor modificări ce vizează diminuarea efectivului-limită, inclusiv și unele modificări sub aspect redacțional</w:t>
            </w:r>
            <w:r w:rsidR="00BE1AD7" w:rsidRPr="00A6480C">
              <w:rPr>
                <w:lang w:val="ro-MD"/>
              </w:rPr>
              <w:t>.</w:t>
            </w:r>
          </w:p>
          <w:p w14:paraId="114C6942" w14:textId="77777777" w:rsidR="003B7446" w:rsidRPr="00A6480C" w:rsidRDefault="003B7446" w:rsidP="00BE1AD7">
            <w:pPr>
              <w:jc w:val="both"/>
              <w:rPr>
                <w:lang w:val="ro-MD"/>
              </w:rPr>
            </w:pPr>
          </w:p>
          <w:p w14:paraId="465FD13E" w14:textId="01AC0450" w:rsidR="00BE1AD7" w:rsidRPr="00A6480C" w:rsidRDefault="002449FE" w:rsidP="00BE1AD7">
            <w:pPr>
              <w:jc w:val="both"/>
              <w:rPr>
                <w:lang w:val="ro-MD"/>
              </w:rPr>
            </w:pPr>
            <w:r w:rsidRPr="00A6480C">
              <w:rPr>
                <w:lang w:val="ro-MD"/>
              </w:rPr>
              <w:t>Pentru a depăși situația creată, în vederea majorării efectivului-limită al Agenției, MAIA a identificat 102 unități de personal</w:t>
            </w:r>
            <w:r w:rsidR="001A2819">
              <w:rPr>
                <w:lang w:val="ro-MD"/>
              </w:rPr>
              <w:t>, care se reduc</w:t>
            </w:r>
            <w:r w:rsidRPr="00A6480C">
              <w:rPr>
                <w:lang w:val="ro-MD"/>
              </w:rPr>
              <w:t xml:space="preserve"> din cadrul Comisiei de Stat pentru Testarea Soiurilor de Plante (CSTSP) – 3 unități și 99 unități din cadrul Serviciului Special pentru Influențe Active asupra Proceselor Hidrometeorologice (SSIAPH).</w:t>
            </w:r>
            <w:r w:rsidR="00BE1AD7" w:rsidRPr="00A6480C">
              <w:rPr>
                <w:lang w:val="ro-MD"/>
              </w:rPr>
              <w:t xml:space="preserve"> Astfel, proiectul prevede operarea modificărilor în următoarele acte normative:</w:t>
            </w:r>
          </w:p>
          <w:p w14:paraId="7F9DF6BE" w14:textId="3D289264" w:rsidR="003B7446" w:rsidRPr="00A6480C" w:rsidRDefault="003B7446" w:rsidP="00BE1AD7">
            <w:pPr>
              <w:ind w:firstLine="459"/>
              <w:jc w:val="both"/>
              <w:rPr>
                <w:lang w:val="ro-MD"/>
              </w:rPr>
            </w:pPr>
            <w:r w:rsidRPr="00A6480C">
              <w:rPr>
                <w:lang w:val="ro-MD"/>
              </w:rPr>
              <w:t xml:space="preserve">1) </w:t>
            </w:r>
            <w:r w:rsidR="008977AF" w:rsidRPr="00A6480C">
              <w:rPr>
                <w:lang w:val="ro-MD"/>
              </w:rPr>
              <w:t>L</w:t>
            </w:r>
            <w:r w:rsidR="00495CFE" w:rsidRPr="00A6480C">
              <w:rPr>
                <w:lang w:val="ro-MD"/>
              </w:rPr>
              <w:t>a Hotărârea Guvernului nr. 773/2007</w:t>
            </w:r>
            <w:r w:rsidRPr="00A6480C">
              <w:rPr>
                <w:lang w:val="ro-MD"/>
              </w:rPr>
              <w:t>, se propune complet</w:t>
            </w:r>
            <w:r w:rsidR="00BE1AD7" w:rsidRPr="00A6480C">
              <w:rPr>
                <w:lang w:val="ro-MD"/>
              </w:rPr>
              <w:t xml:space="preserve">area </w:t>
            </w:r>
            <w:r w:rsidRPr="00A6480C">
              <w:rPr>
                <w:lang w:val="ro-MD"/>
              </w:rPr>
              <w:t xml:space="preserve">cu </w:t>
            </w:r>
            <w:r w:rsidR="00BE1AD7" w:rsidRPr="00A6480C">
              <w:rPr>
                <w:lang w:val="ro-MD"/>
              </w:rPr>
              <w:t xml:space="preserve">un punct nou </w:t>
            </w:r>
            <w:r w:rsidRPr="00A6480C">
              <w:rPr>
                <w:lang w:val="ro-MD"/>
              </w:rPr>
              <w:t>cu următorul cuprins:</w:t>
            </w:r>
          </w:p>
          <w:p w14:paraId="3CA901FE" w14:textId="7E29A149" w:rsidR="00495CFE" w:rsidRPr="00A6480C" w:rsidRDefault="003B7446" w:rsidP="00BE1AD7">
            <w:pPr>
              <w:pStyle w:val="Listparagraf"/>
              <w:ind w:left="0" w:firstLine="459"/>
              <w:jc w:val="both"/>
              <w:rPr>
                <w:lang w:val="ro-MD"/>
              </w:rPr>
            </w:pPr>
            <w:r w:rsidRPr="00A6480C" w:rsidDel="003B7446">
              <w:rPr>
                <w:lang w:val="ro-MD"/>
              </w:rPr>
              <w:t xml:space="preserve"> </w:t>
            </w:r>
            <w:r w:rsidR="00495CFE" w:rsidRPr="00A6480C">
              <w:rPr>
                <w:lang w:val="ro-MD"/>
              </w:rPr>
              <w:t>„21. Efectivul-limită de personal al Comisiei de Stat pentru Testarea Soiurilor de Plante se stabilește în număr de 77 unități.”</w:t>
            </w:r>
            <w:r w:rsidR="00BE1AD7" w:rsidRPr="00A6480C">
              <w:rPr>
                <w:lang w:val="ro-MD"/>
              </w:rPr>
              <w:t>;</w:t>
            </w:r>
          </w:p>
          <w:p w14:paraId="0975A8F3" w14:textId="77777777" w:rsidR="00FE3116" w:rsidRPr="00A6480C" w:rsidRDefault="003B7446" w:rsidP="00FE3116">
            <w:pPr>
              <w:ind w:left="34" w:firstLine="425"/>
              <w:jc w:val="both"/>
              <w:rPr>
                <w:lang w:val="ro-MD"/>
              </w:rPr>
            </w:pPr>
            <w:r w:rsidRPr="00A6480C">
              <w:rPr>
                <w:lang w:val="ro-MD"/>
              </w:rPr>
              <w:t xml:space="preserve">2) </w:t>
            </w:r>
            <w:r w:rsidR="008977AF" w:rsidRPr="00A6480C">
              <w:rPr>
                <w:lang w:val="ro-MD"/>
              </w:rPr>
              <w:t>L</w:t>
            </w:r>
            <w:r w:rsidR="00495CFE" w:rsidRPr="00A6480C">
              <w:rPr>
                <w:lang w:val="ro-MD"/>
              </w:rPr>
              <w:t>a punctul 3 din Hotăr</w:t>
            </w:r>
            <w:r w:rsidR="008977AF" w:rsidRPr="00A6480C">
              <w:rPr>
                <w:lang w:val="ro-MD"/>
              </w:rPr>
              <w:t>â</w:t>
            </w:r>
            <w:r w:rsidR="00495CFE" w:rsidRPr="00A6480C">
              <w:rPr>
                <w:lang w:val="ro-MD"/>
              </w:rPr>
              <w:t>rea Guvernului nr. 1120/2005</w:t>
            </w:r>
            <w:r w:rsidR="008977AF" w:rsidRPr="00A6480C">
              <w:rPr>
                <w:lang w:val="ro-MD"/>
              </w:rPr>
              <w:t>,</w:t>
            </w:r>
            <w:r w:rsidR="00495CFE" w:rsidRPr="00A6480C">
              <w:rPr>
                <w:lang w:val="ro-MD"/>
              </w:rPr>
              <w:t xml:space="preserve"> se propune ca cifrele „1136”, „58”, „1051” și „27” să fie substituie cu cifrele „1037”, „45”, „972” și „20”</w:t>
            </w:r>
            <w:r w:rsidR="008977AF" w:rsidRPr="00A6480C">
              <w:rPr>
                <w:lang w:val="ro-MD"/>
              </w:rPr>
              <w:t>.</w:t>
            </w:r>
          </w:p>
          <w:p w14:paraId="07820653" w14:textId="01DF28E7" w:rsidR="00523F92" w:rsidRPr="00A6480C" w:rsidRDefault="008977AF" w:rsidP="00FE3116">
            <w:pPr>
              <w:ind w:left="34" w:firstLine="425"/>
              <w:jc w:val="both"/>
              <w:rPr>
                <w:lang w:val="ro-MD"/>
              </w:rPr>
            </w:pPr>
            <w:r w:rsidRPr="00A6480C">
              <w:rPr>
                <w:lang w:val="ro-MD"/>
              </w:rPr>
              <w:t>3</w:t>
            </w:r>
            <w:r w:rsidR="00495CFE" w:rsidRPr="00A6480C">
              <w:rPr>
                <w:lang w:val="ro-MD"/>
              </w:rPr>
              <w:t xml:space="preserve">) </w:t>
            </w:r>
            <w:r w:rsidR="00523F92" w:rsidRPr="00A6480C">
              <w:rPr>
                <w:lang w:val="ro-MD"/>
              </w:rPr>
              <w:t xml:space="preserve">la pct. 4 din </w:t>
            </w:r>
            <w:r w:rsidR="00495CFE" w:rsidRPr="00A6480C">
              <w:rPr>
                <w:shd w:val="clear" w:color="auto" w:fill="FFFFFF"/>
                <w:lang w:val="ro-MD"/>
              </w:rPr>
              <w:t>Hotărârea Guvernului nr. 20/2019,</w:t>
            </w:r>
            <w:r w:rsidRPr="00A6480C">
              <w:rPr>
                <w:shd w:val="clear" w:color="auto" w:fill="FFFFFF"/>
                <w:lang w:val="ro-MD"/>
              </w:rPr>
              <w:t xml:space="preserve"> </w:t>
            </w:r>
            <w:r w:rsidR="003842A0" w:rsidRPr="00A6480C">
              <w:rPr>
                <w:shd w:val="clear" w:color="auto" w:fill="FFFFFF"/>
                <w:lang w:val="ro-MD"/>
              </w:rPr>
              <w:t xml:space="preserve">se propune </w:t>
            </w:r>
            <w:r w:rsidR="00523F92" w:rsidRPr="00A6480C">
              <w:rPr>
                <w:shd w:val="clear" w:color="auto" w:fill="FFFFFF"/>
                <w:lang w:val="ro-MD"/>
              </w:rPr>
              <w:t xml:space="preserve">substituirea </w:t>
            </w:r>
            <w:r w:rsidR="00523F92" w:rsidRPr="00A6480C">
              <w:rPr>
                <w:lang w:val="ro-MD"/>
              </w:rPr>
              <w:t>cifrei „85” cu cifra „160”, prin majorarea statelor de personal în cadrul Agenției, iar anexele nr. 2 și nr. 3, se expun în redacție nouă.</w:t>
            </w:r>
          </w:p>
          <w:p w14:paraId="4D9E6CCB" w14:textId="2E38A3A8" w:rsidR="00523F92" w:rsidRPr="00A6480C" w:rsidRDefault="00523F92" w:rsidP="00BE1AD7">
            <w:pPr>
              <w:ind w:firstLine="459"/>
              <w:jc w:val="both"/>
              <w:rPr>
                <w:shd w:val="clear" w:color="auto" w:fill="FFFFFF"/>
                <w:lang w:val="ro-MD"/>
              </w:rPr>
            </w:pPr>
          </w:p>
          <w:p w14:paraId="65AF7D4F" w14:textId="49AC3E5F" w:rsidR="002449FE" w:rsidRPr="00A6480C" w:rsidRDefault="00F512C3" w:rsidP="00BE1AD7">
            <w:pPr>
              <w:jc w:val="both"/>
              <w:rPr>
                <w:lang w:val="ro-MD"/>
              </w:rPr>
            </w:pPr>
            <w:r w:rsidRPr="00A6480C">
              <w:rPr>
                <w:lang w:val="ro-MD"/>
              </w:rPr>
              <w:t>Respectiv</w:t>
            </w:r>
            <w:r w:rsidR="00523F92" w:rsidRPr="00A6480C">
              <w:rPr>
                <w:lang w:val="ro-MD"/>
              </w:rPr>
              <w:t xml:space="preserve">, </w:t>
            </w:r>
            <w:r w:rsidR="00573796">
              <w:rPr>
                <w:lang w:val="ro-MD"/>
              </w:rPr>
              <w:t xml:space="preserve">din 102 unități </w:t>
            </w:r>
            <w:r w:rsidR="001A2819">
              <w:rPr>
                <w:lang w:val="ro-MD"/>
              </w:rPr>
              <w:t>reduse</w:t>
            </w:r>
            <w:r w:rsidR="00400D7F">
              <w:rPr>
                <w:lang w:val="ro-MD"/>
              </w:rPr>
              <w:t xml:space="preserve"> </w:t>
            </w:r>
            <w:r w:rsidR="00523F92" w:rsidRPr="00A6480C">
              <w:rPr>
                <w:lang w:val="ro-MD"/>
              </w:rPr>
              <w:t>s</w:t>
            </w:r>
            <w:r w:rsidR="002449FE" w:rsidRPr="00A6480C">
              <w:rPr>
                <w:lang w:val="ro-MD"/>
              </w:rPr>
              <w:t>e propune completarea efectivului-limită al Agenției, cu 75 unități, după cum urmează:</w:t>
            </w:r>
          </w:p>
          <w:p w14:paraId="3F5ED6CD" w14:textId="24618165" w:rsidR="00F512C3" w:rsidRPr="00400D7F" w:rsidRDefault="00F512C3" w:rsidP="00BE1AD7">
            <w:pPr>
              <w:jc w:val="both"/>
              <w:rPr>
                <w:b/>
                <w:lang w:val="ro-MD"/>
              </w:rPr>
            </w:pPr>
            <w:r w:rsidRPr="00400D7F">
              <w:rPr>
                <w:b/>
                <w:lang w:val="ro-MD"/>
              </w:rPr>
              <w:t xml:space="preserve">în cadrul </w:t>
            </w:r>
            <w:r w:rsidRPr="00400D7F">
              <w:rPr>
                <w:b/>
                <w:color w:val="000000"/>
                <w:lang w:val="ro-MD"/>
              </w:rPr>
              <w:t>aparatului central al Agenției:</w:t>
            </w:r>
          </w:p>
          <w:p w14:paraId="209347D0" w14:textId="48B42119" w:rsidR="00E44D09" w:rsidRPr="00A6480C" w:rsidRDefault="00E44D09" w:rsidP="00E44D09">
            <w:pPr>
              <w:pStyle w:val="Listparagraf"/>
              <w:numPr>
                <w:ilvl w:val="0"/>
                <w:numId w:val="12"/>
              </w:numPr>
              <w:ind w:left="0" w:firstLine="360"/>
              <w:jc w:val="both"/>
              <w:rPr>
                <w:color w:val="000000"/>
                <w:lang w:val="ro-MD"/>
              </w:rPr>
            </w:pPr>
            <w:r w:rsidRPr="00A6480C">
              <w:rPr>
                <w:color w:val="000000"/>
                <w:lang w:val="ro-MD"/>
              </w:rPr>
              <w:t>institui</w:t>
            </w:r>
            <w:r w:rsidR="00F512C3" w:rsidRPr="00A6480C">
              <w:rPr>
                <w:color w:val="000000"/>
                <w:lang w:val="ro-MD"/>
              </w:rPr>
              <w:t xml:space="preserve">rea </w:t>
            </w:r>
            <w:r w:rsidRPr="00A6480C">
              <w:rPr>
                <w:color w:val="000000"/>
                <w:lang w:val="ro-MD"/>
              </w:rPr>
              <w:t>subdivizi</w:t>
            </w:r>
            <w:r w:rsidR="00F512C3" w:rsidRPr="00A6480C">
              <w:rPr>
                <w:color w:val="000000"/>
                <w:lang w:val="ro-MD"/>
              </w:rPr>
              <w:t>uni</w:t>
            </w:r>
            <w:r w:rsidRPr="00A6480C">
              <w:rPr>
                <w:color w:val="000000"/>
                <w:lang w:val="ro-MD"/>
              </w:rPr>
              <w:t xml:space="preserve"> - „Direcția plăți în avans”, cu </w:t>
            </w:r>
            <w:r w:rsidRPr="00A6480C">
              <w:rPr>
                <w:b/>
                <w:lang w:val="ro-MD"/>
              </w:rPr>
              <w:t>7</w:t>
            </w:r>
            <w:r w:rsidRPr="00A6480C">
              <w:rPr>
                <w:color w:val="000000"/>
                <w:lang w:val="ro-MD"/>
              </w:rPr>
              <w:t xml:space="preserve"> unități, care va examina cererile de subvenționare în avans pentru dezvoltarea proiectelor start-</w:t>
            </w:r>
            <w:proofErr w:type="spellStart"/>
            <w:r w:rsidRPr="00A6480C">
              <w:rPr>
                <w:color w:val="000000"/>
                <w:lang w:val="ro-MD"/>
              </w:rPr>
              <w:t>up</w:t>
            </w:r>
            <w:proofErr w:type="spellEnd"/>
            <w:r w:rsidRPr="00A6480C">
              <w:rPr>
                <w:color w:val="000000"/>
                <w:lang w:val="ro-MD"/>
              </w:rPr>
              <w:t xml:space="preserve"> și pentru îmbunătățirea nivelului de trai și de muncă în mediul rural, precum  și subvenții în avans pentru dezvoltarea proiectelor de îmbunătățiri funciare. Este necesar a fi </w:t>
            </w:r>
            <w:r w:rsidRPr="00A6480C">
              <w:rPr>
                <w:color w:val="000000"/>
                <w:lang w:val="ro-MD"/>
              </w:rPr>
              <w:lastRenderedPageBreak/>
              <w:t>remarcat că mecanismele de stimulare expuse mai sus diferă în totalitate de mecanismul „subvenții post-investiționale” din aceste considerente este necesară crearea unei subdiviziuni noi;</w:t>
            </w:r>
          </w:p>
          <w:p w14:paraId="4D36CB3B" w14:textId="1C00DCE2" w:rsidR="00E44D09" w:rsidRPr="00A6480C" w:rsidRDefault="00E44D09" w:rsidP="00E44D09">
            <w:pPr>
              <w:pStyle w:val="Listparagraf"/>
              <w:numPr>
                <w:ilvl w:val="0"/>
                <w:numId w:val="12"/>
              </w:numPr>
              <w:ind w:left="0" w:firstLine="360"/>
              <w:jc w:val="both"/>
              <w:rPr>
                <w:color w:val="000000"/>
                <w:lang w:val="ro-MD"/>
              </w:rPr>
            </w:pPr>
            <w:r w:rsidRPr="00A6480C">
              <w:rPr>
                <w:color w:val="000000"/>
                <w:lang w:val="ro-MD"/>
              </w:rPr>
              <w:t>institui</w:t>
            </w:r>
            <w:r w:rsidR="00F512C3" w:rsidRPr="00A6480C">
              <w:rPr>
                <w:color w:val="000000"/>
                <w:lang w:val="ro-MD"/>
              </w:rPr>
              <w:t>re</w:t>
            </w:r>
            <w:r w:rsidR="00F82CC0">
              <w:rPr>
                <w:color w:val="000000"/>
                <w:lang w:val="ro-MD"/>
              </w:rPr>
              <w:t>a</w:t>
            </w:r>
            <w:r w:rsidRPr="00A6480C">
              <w:rPr>
                <w:color w:val="000000"/>
                <w:lang w:val="ro-MD"/>
              </w:rPr>
              <w:t xml:space="preserve"> </w:t>
            </w:r>
            <w:r w:rsidR="00F512C3" w:rsidRPr="00A6480C">
              <w:rPr>
                <w:color w:val="000000"/>
                <w:lang w:val="ro-MD"/>
              </w:rPr>
              <w:t>subdiviziunii</w:t>
            </w:r>
            <w:r w:rsidR="00B62FD8" w:rsidRPr="00A6480C">
              <w:rPr>
                <w:color w:val="000000"/>
                <w:lang w:val="ro-MD"/>
              </w:rPr>
              <w:t xml:space="preserve"> - </w:t>
            </w:r>
            <w:r w:rsidRPr="00A6480C">
              <w:rPr>
                <w:color w:val="000000"/>
                <w:lang w:val="ro-MD"/>
              </w:rPr>
              <w:t xml:space="preserve">„Direcția plăți directe”, cu </w:t>
            </w:r>
            <w:r w:rsidRPr="00A6480C">
              <w:rPr>
                <w:b/>
                <w:lang w:val="ro-MD"/>
              </w:rPr>
              <w:t>7</w:t>
            </w:r>
            <w:r w:rsidRPr="00A6480C">
              <w:rPr>
                <w:lang w:val="ro-MD"/>
              </w:rPr>
              <w:t xml:space="preserve"> </w:t>
            </w:r>
            <w:r w:rsidRPr="00A6480C">
              <w:rPr>
                <w:color w:val="000000"/>
                <w:lang w:val="ro-MD"/>
              </w:rPr>
              <w:t>unități, care va examina cererile de subvenționare a plăților directe per cap de animal dar și de a asigura intervențiile statului or de câte or va fi necesară această intervenție (calamități naturale, rambursarea accizei la motorină, plăți directe per kg de lapte, carne, bucată de ouă). La moment, intervenția statului este asigurată prin rambursarea accizei la motorină, mecanism care neces</w:t>
            </w:r>
            <w:r w:rsidR="005300F6">
              <w:rPr>
                <w:color w:val="000000"/>
                <w:lang w:val="ro-MD"/>
              </w:rPr>
              <w:t>ită verificarea fiecărei parcele</w:t>
            </w:r>
            <w:r w:rsidRPr="00A6480C">
              <w:rPr>
                <w:color w:val="000000"/>
                <w:lang w:val="ro-MD"/>
              </w:rPr>
              <w:t xml:space="preserve"> de teren deținută de către proprietar prin intermediul sistemului informațional „Cadastru” sau din registrul de arendă deținut doar în format fizic de către fiecare primărie (în acest registru sunt ținute terenurile agricole ale proprietarilor ce alocă în arendă suprafețe de teren pe un termen de până la 5 ani);</w:t>
            </w:r>
          </w:p>
          <w:p w14:paraId="4A1F7A03" w14:textId="3CBBEEF9" w:rsidR="00E44D09" w:rsidRPr="00A6480C" w:rsidRDefault="00E44D09" w:rsidP="00E44D09">
            <w:pPr>
              <w:pStyle w:val="Listparagraf"/>
              <w:numPr>
                <w:ilvl w:val="0"/>
                <w:numId w:val="12"/>
              </w:numPr>
              <w:ind w:left="0" w:firstLine="360"/>
              <w:jc w:val="both"/>
              <w:rPr>
                <w:color w:val="000000"/>
                <w:lang w:val="ro-MD"/>
              </w:rPr>
            </w:pPr>
            <w:r w:rsidRPr="00A6480C">
              <w:rPr>
                <w:color w:val="000000"/>
                <w:lang w:val="ro-MD"/>
              </w:rPr>
              <w:t>institui</w:t>
            </w:r>
            <w:r w:rsidR="00F512C3" w:rsidRPr="00A6480C">
              <w:rPr>
                <w:color w:val="000000"/>
                <w:lang w:val="ro-MD"/>
              </w:rPr>
              <w:t>rea</w:t>
            </w:r>
            <w:r w:rsidRPr="00A6480C">
              <w:rPr>
                <w:color w:val="000000"/>
                <w:lang w:val="ro-MD"/>
              </w:rPr>
              <w:t xml:space="preserve"> </w:t>
            </w:r>
            <w:r w:rsidR="00B62FD8" w:rsidRPr="00A6480C">
              <w:rPr>
                <w:color w:val="000000"/>
                <w:lang w:val="ro-MD"/>
              </w:rPr>
              <w:t>subdiviziunii ”</w:t>
            </w:r>
            <w:r w:rsidRPr="00A6480C">
              <w:rPr>
                <w:color w:val="000000"/>
                <w:lang w:val="ro-MD"/>
              </w:rPr>
              <w:t>Direcția implementarea proiectelor LEADER”</w:t>
            </w:r>
            <w:r w:rsidR="00B84D64">
              <w:rPr>
                <w:color w:val="000000"/>
                <w:lang w:val="ro-MD"/>
              </w:rPr>
              <w:t>,</w:t>
            </w:r>
            <w:r w:rsidRPr="00A6480C">
              <w:rPr>
                <w:color w:val="000000"/>
                <w:lang w:val="ro-MD"/>
              </w:rPr>
              <w:t xml:space="preserve"> cu </w:t>
            </w:r>
            <w:r w:rsidRPr="00A6480C">
              <w:rPr>
                <w:b/>
                <w:lang w:val="ro-MD"/>
              </w:rPr>
              <w:t>5</w:t>
            </w:r>
            <w:r w:rsidR="00701B37" w:rsidRPr="00A6480C">
              <w:rPr>
                <w:color w:val="000000"/>
                <w:lang w:val="ro-MD"/>
              </w:rPr>
              <w:t xml:space="preserve"> unități, </w:t>
            </w:r>
            <w:r w:rsidRPr="00A6480C">
              <w:rPr>
                <w:color w:val="000000"/>
                <w:lang w:val="ro-MD"/>
              </w:rPr>
              <w:t>care vor colabora cu Grupurile de Acțiune Locală (GAL) prin oferirea sprijinului pentru funcționarea GAL-urilor și susținerea implementării strategiilor de dezvoltare locală (art. 17 a Legii nr. 276/2016). De menționat că în Republica Moldova funcționează 47 GAL ce cuprind 732 localități cu o populație de 1007000. Suprafața totală a GAL-urilor constituie 15760,2 km2 ceea ce cuprinde 46,6% din suprafața totală a țării;</w:t>
            </w:r>
          </w:p>
          <w:p w14:paraId="3498AE4A" w14:textId="7A62A557" w:rsidR="00E44D09" w:rsidRPr="00A6480C" w:rsidRDefault="00E44D09" w:rsidP="00E44D09">
            <w:pPr>
              <w:pStyle w:val="Listparagraf"/>
              <w:numPr>
                <w:ilvl w:val="0"/>
                <w:numId w:val="12"/>
              </w:numPr>
              <w:ind w:left="0" w:firstLine="360"/>
              <w:jc w:val="both"/>
              <w:rPr>
                <w:color w:val="000000"/>
                <w:lang w:val="ro-MD"/>
              </w:rPr>
            </w:pPr>
            <w:r w:rsidRPr="00A6480C">
              <w:rPr>
                <w:color w:val="000000"/>
                <w:lang w:val="ro-MD"/>
              </w:rPr>
              <w:t>majora</w:t>
            </w:r>
            <w:r w:rsidR="00F512C3" w:rsidRPr="00A6480C">
              <w:rPr>
                <w:color w:val="000000"/>
                <w:lang w:val="ro-MD"/>
              </w:rPr>
              <w:t>rea</w:t>
            </w:r>
            <w:r w:rsidRPr="00A6480C">
              <w:rPr>
                <w:color w:val="000000"/>
                <w:lang w:val="ro-MD"/>
              </w:rPr>
              <w:t xml:space="preserve"> </w:t>
            </w:r>
            <w:r w:rsidR="00701B37" w:rsidRPr="00A6480C">
              <w:rPr>
                <w:color w:val="000000"/>
                <w:lang w:val="ro-MD"/>
              </w:rPr>
              <w:t xml:space="preserve">unităților de personal în </w:t>
            </w:r>
            <w:r w:rsidRPr="00A6480C">
              <w:rPr>
                <w:color w:val="000000"/>
                <w:lang w:val="ro-MD"/>
              </w:rPr>
              <w:t>Direcția verificare pe teren</w:t>
            </w:r>
            <w:r w:rsidR="00831EB3">
              <w:rPr>
                <w:color w:val="000000"/>
                <w:lang w:val="ro-MD"/>
              </w:rPr>
              <w:t>,</w:t>
            </w:r>
            <w:r w:rsidRPr="00A6480C">
              <w:rPr>
                <w:color w:val="000000"/>
                <w:lang w:val="ro-MD"/>
              </w:rPr>
              <w:t xml:space="preserve"> cu </w:t>
            </w:r>
            <w:r w:rsidRPr="00A6480C">
              <w:rPr>
                <w:b/>
                <w:lang w:val="ro-MD"/>
              </w:rPr>
              <w:t>3</w:t>
            </w:r>
            <w:r w:rsidRPr="00A6480C">
              <w:rPr>
                <w:lang w:val="ro-MD"/>
              </w:rPr>
              <w:t xml:space="preserve"> </w:t>
            </w:r>
            <w:r w:rsidRPr="00A6480C">
              <w:rPr>
                <w:color w:val="000000"/>
                <w:lang w:val="ro-MD"/>
              </w:rPr>
              <w:t>unități. La moment, angajații Direcției verifică investițiile efectuate atât pentru alocarea subvențiilor post-investiționale, în avans cât și plățile directe, dar urmează implicarea acestora și la implementarea proiectelor aprobate de GAL. Chiar în anul 2022, se observă o tergiversare a examinării dosarelor din motivul necesității verificării acestora pe teren și contrapunerea datelor din dosar cu cele de la fața locului. Odată cu sporirea numărului de angajați în direcția dată va fi posibil formarea mai multor echipe mobile care vor verifica proiectele investiționale;</w:t>
            </w:r>
          </w:p>
          <w:p w14:paraId="6063279F" w14:textId="22EB62C7" w:rsidR="00E44D09" w:rsidRPr="00A6480C" w:rsidRDefault="00E44D09" w:rsidP="00E44D09">
            <w:pPr>
              <w:pStyle w:val="Listparagraf"/>
              <w:numPr>
                <w:ilvl w:val="0"/>
                <w:numId w:val="12"/>
              </w:numPr>
              <w:ind w:left="0" w:firstLine="360"/>
              <w:jc w:val="both"/>
              <w:rPr>
                <w:color w:val="000000"/>
                <w:lang w:val="ro-MD"/>
              </w:rPr>
            </w:pPr>
            <w:r w:rsidRPr="00A6480C">
              <w:rPr>
                <w:color w:val="000000"/>
                <w:lang w:val="ro-MD"/>
              </w:rPr>
              <w:t>reformarea Serviciului audit intern</w:t>
            </w:r>
            <w:r w:rsidR="00831EB3">
              <w:rPr>
                <w:color w:val="000000"/>
                <w:lang w:val="ro-MD"/>
              </w:rPr>
              <w:t>,</w:t>
            </w:r>
            <w:r w:rsidRPr="00A6480C">
              <w:rPr>
                <w:color w:val="000000"/>
                <w:lang w:val="ro-MD"/>
              </w:rPr>
              <w:t xml:space="preserve"> prin suplinirea acestuia cu </w:t>
            </w:r>
            <w:r w:rsidRPr="00A6480C">
              <w:rPr>
                <w:b/>
                <w:lang w:val="ro-MD"/>
              </w:rPr>
              <w:t>2</w:t>
            </w:r>
            <w:r w:rsidRPr="00A6480C">
              <w:rPr>
                <w:color w:val="000000"/>
                <w:lang w:val="ro-MD"/>
              </w:rPr>
              <w:t xml:space="preserve"> auditori. La moment</w:t>
            </w:r>
            <w:r w:rsidR="00391887">
              <w:rPr>
                <w:color w:val="000000"/>
                <w:lang w:val="ro-MD"/>
              </w:rPr>
              <w:t>,</w:t>
            </w:r>
            <w:r w:rsidRPr="00A6480C">
              <w:rPr>
                <w:color w:val="000000"/>
                <w:lang w:val="ro-MD"/>
              </w:rPr>
              <w:t xml:space="preserve"> în cadrul Agenției activează doar un singur audit care cu greu reușește îndeplinirea atribuțiilor de serviciu. Auditul intern trebuie să asigure activitate independentă și obiectivă de asigurare și consiliere, destinată să adauge valoare </w:t>
            </w:r>
            <w:proofErr w:type="spellStart"/>
            <w:r w:rsidRPr="00A6480C">
              <w:rPr>
                <w:color w:val="000000"/>
                <w:lang w:val="ro-MD"/>
              </w:rPr>
              <w:t>şi</w:t>
            </w:r>
            <w:proofErr w:type="spellEnd"/>
            <w:r w:rsidRPr="00A6480C">
              <w:rPr>
                <w:color w:val="000000"/>
                <w:lang w:val="ro-MD"/>
              </w:rPr>
              <w:t xml:space="preserve"> să îmbunătățească activitatea unei entități publice așa cum este stabilit în Legea nr. 229/2010 privind controlul financiar public intern;</w:t>
            </w:r>
          </w:p>
          <w:p w14:paraId="56F3D753" w14:textId="7F9FFF21" w:rsidR="00E44D09" w:rsidRPr="00A6480C" w:rsidRDefault="00E44D09" w:rsidP="00E44D09">
            <w:pPr>
              <w:pStyle w:val="Listparagraf"/>
              <w:numPr>
                <w:ilvl w:val="0"/>
                <w:numId w:val="12"/>
              </w:numPr>
              <w:ind w:left="0" w:firstLine="360"/>
              <w:jc w:val="both"/>
              <w:rPr>
                <w:color w:val="000000"/>
                <w:lang w:val="ro-MD"/>
              </w:rPr>
            </w:pPr>
            <w:r w:rsidRPr="00A6480C">
              <w:rPr>
                <w:color w:val="000000"/>
                <w:lang w:val="ro-MD"/>
              </w:rPr>
              <w:t xml:space="preserve">reformarea Serviciului antifraudă în Direcția antifraudă și control intern managerial. Această propunere prevede majorarea cu </w:t>
            </w:r>
            <w:r w:rsidRPr="00A6480C">
              <w:rPr>
                <w:b/>
                <w:lang w:val="ro-MD"/>
              </w:rPr>
              <w:t>3</w:t>
            </w:r>
            <w:r w:rsidRPr="00A6480C">
              <w:rPr>
                <w:color w:val="000000"/>
                <w:lang w:val="ro-MD"/>
              </w:rPr>
              <w:t xml:space="preserve"> unități și extinderea atribuțiilor subdiviziunii antifraudă care </w:t>
            </w:r>
            <w:r w:rsidR="0072621B">
              <w:rPr>
                <w:color w:val="000000"/>
                <w:lang w:val="ro-MD"/>
              </w:rPr>
              <w:t>vă asigura</w:t>
            </w:r>
            <w:r w:rsidRPr="00A6480C">
              <w:rPr>
                <w:color w:val="000000"/>
                <w:lang w:val="ro-MD"/>
              </w:rPr>
              <w:t xml:space="preserve"> nu doar evaluarea riscurilor de fraudare a proiectelor investiționale dar și prevenirea acestora, prin evaluarea angajaților pentru a nu admite suspiciunile de fraudă sau a identifica riscurile de fraudă</w:t>
            </w:r>
            <w:r w:rsidR="003F7374">
              <w:rPr>
                <w:color w:val="000000"/>
                <w:lang w:val="ro-MD"/>
              </w:rPr>
              <w:t>,</w:t>
            </w:r>
            <w:r w:rsidRPr="00A6480C">
              <w:rPr>
                <w:color w:val="000000"/>
                <w:lang w:val="ro-MD"/>
              </w:rPr>
              <w:t xml:space="preserve"> inclusiv prin asigurarea controlului intern managerial. Odată cu reformarea acestei subdiviziuni, atribuțiile de ținere și dezvoltare a Registrului prețurilor de referință vor fi delegate acestei structuri;</w:t>
            </w:r>
          </w:p>
          <w:p w14:paraId="63987FD0" w14:textId="01248EA9" w:rsidR="00E44D09" w:rsidRPr="00A6480C" w:rsidRDefault="00E44D09" w:rsidP="00E44D09">
            <w:pPr>
              <w:pStyle w:val="Listparagraf"/>
              <w:numPr>
                <w:ilvl w:val="0"/>
                <w:numId w:val="12"/>
              </w:numPr>
              <w:ind w:left="0" w:firstLine="360"/>
              <w:jc w:val="both"/>
              <w:rPr>
                <w:color w:val="000000"/>
                <w:lang w:val="ro-MD"/>
              </w:rPr>
            </w:pPr>
            <w:r w:rsidRPr="00A6480C">
              <w:rPr>
                <w:color w:val="000000"/>
                <w:lang w:val="ro-MD"/>
              </w:rPr>
              <w:t xml:space="preserve">majorarea </w:t>
            </w:r>
            <w:r w:rsidRPr="00A6480C">
              <w:rPr>
                <w:lang w:val="ro-MD"/>
              </w:rPr>
              <w:t xml:space="preserve">cu </w:t>
            </w:r>
            <w:r w:rsidRPr="00A6480C">
              <w:rPr>
                <w:b/>
                <w:lang w:val="ro-MD"/>
              </w:rPr>
              <w:t xml:space="preserve">2 </w:t>
            </w:r>
            <w:r w:rsidRPr="00A6480C">
              <w:rPr>
                <w:lang w:val="ro-MD"/>
              </w:rPr>
              <w:t xml:space="preserve">unități și extinderea </w:t>
            </w:r>
            <w:r w:rsidR="003F7374">
              <w:rPr>
                <w:lang w:val="ro-MD"/>
              </w:rPr>
              <w:t>atribuțiilor s</w:t>
            </w:r>
            <w:r w:rsidRPr="00A6480C">
              <w:rPr>
                <w:lang w:val="ro-MD"/>
              </w:rPr>
              <w:t>ubdiviziunii monitorizarea post-achitare cu preocupări de monitorizare a proiectelor investiționale finanțate prin proiectul MAC-P, GAL sau prin subvenții în avans;</w:t>
            </w:r>
          </w:p>
          <w:p w14:paraId="6C6C47A5" w14:textId="06389F57" w:rsidR="00E44D09" w:rsidRPr="00A6480C" w:rsidRDefault="00701B37" w:rsidP="00E44D09">
            <w:pPr>
              <w:pStyle w:val="Listparagraf"/>
              <w:numPr>
                <w:ilvl w:val="0"/>
                <w:numId w:val="12"/>
              </w:numPr>
              <w:ind w:left="0" w:firstLine="360"/>
              <w:jc w:val="both"/>
              <w:rPr>
                <w:color w:val="000000"/>
                <w:lang w:val="ro-MD"/>
              </w:rPr>
            </w:pPr>
            <w:r w:rsidRPr="00A6480C">
              <w:rPr>
                <w:lang w:val="ro-MD"/>
              </w:rPr>
              <w:t>instituirea</w:t>
            </w:r>
            <w:r w:rsidR="00E44D09" w:rsidRPr="00A6480C">
              <w:rPr>
                <w:lang w:val="ro-MD"/>
              </w:rPr>
              <w:t xml:space="preserve"> Direcției dezvoltare instituțională, raportare și comunicare, prin comasarea Serviciului metodologie și raportare cu Serviciul relații externe și </w:t>
            </w:r>
            <w:r w:rsidR="00E44D09" w:rsidRPr="00A6480C">
              <w:rPr>
                <w:lang w:val="ro-MD"/>
              </w:rPr>
              <w:lastRenderedPageBreak/>
              <w:t xml:space="preserve">comunicare, cu majorarea unei unități de personal. Astfel, aceasta va prelua funcțiile celor două servicii și va fi formată din </w:t>
            </w:r>
            <w:r w:rsidR="00E44D09" w:rsidRPr="00A6480C">
              <w:rPr>
                <w:b/>
                <w:lang w:val="ro-MD"/>
              </w:rPr>
              <w:t>5</w:t>
            </w:r>
            <w:r w:rsidR="00E44D09" w:rsidRPr="00A6480C">
              <w:rPr>
                <w:lang w:val="ro-MD"/>
              </w:rPr>
              <w:t xml:space="preserve"> </w:t>
            </w:r>
            <w:r w:rsidR="00E44D09" w:rsidRPr="00A6480C">
              <w:rPr>
                <w:color w:val="000000"/>
                <w:lang w:val="ro-MD"/>
              </w:rPr>
              <w:t>unități;</w:t>
            </w:r>
          </w:p>
          <w:p w14:paraId="1105732A" w14:textId="7281A39C" w:rsidR="00E44D09" w:rsidRPr="00A6480C" w:rsidRDefault="00E44D09" w:rsidP="00E44D09">
            <w:pPr>
              <w:pStyle w:val="Listparagraf"/>
              <w:numPr>
                <w:ilvl w:val="0"/>
                <w:numId w:val="12"/>
              </w:numPr>
              <w:ind w:left="0" w:firstLine="360"/>
              <w:jc w:val="both"/>
              <w:rPr>
                <w:color w:val="000000"/>
                <w:lang w:val="ro-MD"/>
              </w:rPr>
            </w:pPr>
            <w:r w:rsidRPr="00A6480C">
              <w:rPr>
                <w:color w:val="000000"/>
                <w:lang w:val="ro-MD"/>
              </w:rPr>
              <w:t xml:space="preserve">majorarea cu o unitate </w:t>
            </w:r>
            <w:r w:rsidR="00F512C3" w:rsidRPr="00A6480C">
              <w:rPr>
                <w:color w:val="000000"/>
                <w:lang w:val="ro-MD"/>
              </w:rPr>
              <w:t xml:space="preserve">a </w:t>
            </w:r>
            <w:r w:rsidRPr="00A6480C">
              <w:rPr>
                <w:color w:val="000000"/>
                <w:lang w:val="ro-MD"/>
              </w:rPr>
              <w:t>Secției securitate și tehnologii informaționale</w:t>
            </w:r>
            <w:r w:rsidR="003F7374">
              <w:rPr>
                <w:color w:val="000000"/>
                <w:lang w:val="ro-MD"/>
              </w:rPr>
              <w:t>,</w:t>
            </w:r>
            <w:r w:rsidRPr="00A6480C">
              <w:rPr>
                <w:color w:val="000000"/>
                <w:lang w:val="ro-MD"/>
              </w:rPr>
              <w:t xml:space="preserve"> care va avea atribuții de dezvoltare și menținere a sistemelor informaționale. Actualmente, Agenția se confruntă cu probleme de personal în domeniul IT. A fost examinată și posibilitatea de externalizare a serviciilor de menținere a bazei de date, dar costurile acestea sunt destul de mari, 20 euro per oră;</w:t>
            </w:r>
          </w:p>
          <w:p w14:paraId="191FCD3B" w14:textId="2B422227" w:rsidR="00E44D09" w:rsidRPr="00A6480C" w:rsidRDefault="00F512C3" w:rsidP="00362CE5">
            <w:pPr>
              <w:pStyle w:val="Listparagraf"/>
              <w:numPr>
                <w:ilvl w:val="0"/>
                <w:numId w:val="12"/>
              </w:numPr>
              <w:tabs>
                <w:tab w:val="left" w:pos="884"/>
              </w:tabs>
              <w:ind w:left="0" w:firstLine="360"/>
              <w:jc w:val="both"/>
              <w:rPr>
                <w:color w:val="000000"/>
                <w:lang w:val="ro-MD"/>
              </w:rPr>
            </w:pPr>
            <w:r w:rsidRPr="00A6480C">
              <w:rPr>
                <w:color w:val="000000"/>
                <w:lang w:val="ro-MD"/>
              </w:rPr>
              <w:t xml:space="preserve">extindere numărului de personal </w:t>
            </w:r>
            <w:r w:rsidR="00E44D09" w:rsidRPr="00A6480C">
              <w:rPr>
                <w:color w:val="000000"/>
                <w:lang w:val="ro-MD"/>
              </w:rPr>
              <w:t xml:space="preserve">cu </w:t>
            </w:r>
            <w:r w:rsidR="00E44D09" w:rsidRPr="00A6480C">
              <w:rPr>
                <w:b/>
                <w:lang w:val="ro-MD"/>
              </w:rPr>
              <w:t>2</w:t>
            </w:r>
            <w:r w:rsidR="00E44D09" w:rsidRPr="00A6480C">
              <w:rPr>
                <w:lang w:val="ro-MD"/>
              </w:rPr>
              <w:t xml:space="preserve"> </w:t>
            </w:r>
            <w:r w:rsidR="00E44D09" w:rsidRPr="00A6480C">
              <w:rPr>
                <w:color w:val="000000"/>
                <w:lang w:val="ro-MD"/>
              </w:rPr>
              <w:t xml:space="preserve">unități și </w:t>
            </w:r>
            <w:r w:rsidRPr="00A6480C">
              <w:rPr>
                <w:color w:val="000000"/>
                <w:lang w:val="ro-MD"/>
              </w:rPr>
              <w:t xml:space="preserve">a </w:t>
            </w:r>
            <w:r w:rsidR="00E44D09" w:rsidRPr="00A6480C">
              <w:rPr>
                <w:color w:val="000000"/>
                <w:lang w:val="ro-MD"/>
              </w:rPr>
              <w:t>atribuțiilor Direcției juridice cu preocupări de rambursare a plății subvențiilor acelor fermieri care nu mențin criteriile de eligibilitate. La moment aceste atribuții se încearcă a fi realizate de Direcția juridică care le exercită cu întârzieri</w:t>
            </w:r>
            <w:r w:rsidR="009E608C">
              <w:rPr>
                <w:color w:val="000000"/>
                <w:lang w:val="ro-MD"/>
              </w:rPr>
              <w:t>,</w:t>
            </w:r>
            <w:r w:rsidR="00E44D09" w:rsidRPr="00A6480C">
              <w:rPr>
                <w:color w:val="000000"/>
                <w:lang w:val="ro-MD"/>
              </w:rPr>
              <w:t xml:space="preserve"> deoarece fluxul de muncă este destul de sporit în deosebi prin prisma implementării prevederilor Codului Administrativ;</w:t>
            </w:r>
          </w:p>
          <w:p w14:paraId="74110209" w14:textId="3BFC392B" w:rsidR="00E44D09" w:rsidRPr="00A6480C" w:rsidRDefault="00701B37" w:rsidP="00362CE5">
            <w:pPr>
              <w:pStyle w:val="Listparagraf"/>
              <w:numPr>
                <w:ilvl w:val="0"/>
                <w:numId w:val="12"/>
              </w:numPr>
              <w:tabs>
                <w:tab w:val="left" w:pos="884"/>
              </w:tabs>
              <w:ind w:left="0" w:firstLine="360"/>
              <w:jc w:val="both"/>
              <w:rPr>
                <w:color w:val="000000"/>
                <w:lang w:val="ro-MD"/>
              </w:rPr>
            </w:pPr>
            <w:r w:rsidRPr="00A6480C">
              <w:rPr>
                <w:color w:val="000000"/>
                <w:lang w:val="ro-MD"/>
              </w:rPr>
              <w:t>instituirea</w:t>
            </w:r>
            <w:r w:rsidR="00E44D09" w:rsidRPr="00A6480C">
              <w:rPr>
                <w:color w:val="000000"/>
                <w:lang w:val="ro-MD"/>
              </w:rPr>
              <w:t xml:space="preserve"> </w:t>
            </w:r>
            <w:r w:rsidR="00F512C3" w:rsidRPr="00A6480C">
              <w:rPr>
                <w:lang w:val="ro-MD"/>
              </w:rPr>
              <w:t>Direcției</w:t>
            </w:r>
            <w:r w:rsidR="00E44D09" w:rsidRPr="00A6480C">
              <w:rPr>
                <w:lang w:val="ro-MD"/>
              </w:rPr>
              <w:t xml:space="preserve"> managementul documentelor și administrare</w:t>
            </w:r>
            <w:r w:rsidR="00F512C3" w:rsidRPr="00A6480C">
              <w:rPr>
                <w:lang w:val="ro-MD"/>
              </w:rPr>
              <w:t>,</w:t>
            </w:r>
            <w:r w:rsidR="00E44D09" w:rsidRPr="00A6480C">
              <w:rPr>
                <w:lang w:val="ro-MD"/>
              </w:rPr>
              <w:t xml:space="preserve"> </w:t>
            </w:r>
            <w:r w:rsidR="00E44D09" w:rsidRPr="00A6480C">
              <w:rPr>
                <w:color w:val="000000"/>
                <w:lang w:val="ro-MD"/>
              </w:rPr>
              <w:t xml:space="preserve">care va absorbi Serviciului administrativ și se va majora cu </w:t>
            </w:r>
            <w:r w:rsidR="00E44D09" w:rsidRPr="00A6480C">
              <w:rPr>
                <w:b/>
                <w:lang w:val="ro-MD"/>
              </w:rPr>
              <w:t>3</w:t>
            </w:r>
            <w:r w:rsidR="00E44D09" w:rsidRPr="00A6480C">
              <w:rPr>
                <w:color w:val="000000"/>
                <w:lang w:val="ro-MD"/>
              </w:rPr>
              <w:t xml:space="preserve"> unități. La momentul actual în Serviciul administrativ activează 3 persoane și anume 2 șoferi care asigură buna organizare a activității în instituție și o persoană care are atribuții generale (atribuții de a înregistra corespondența, verifica gradul de executare a scrisorilor dar și expedierea scrisorilor inclusiv recomandate către solicitanții de subvenții; și ca arhivar – care pe lângă ordonarea dosarelor de subvenționare are menirea de a prezenta organelor abilitate și dosarele de acordare a sprijinului financiar solicitate de acestea). Se propune ca în direcția nou creată să activeze doi șoferi care vor asigură buna organizare a activității Agenției; asistent - care va fi responsabil de </w:t>
            </w:r>
            <w:proofErr w:type="spellStart"/>
            <w:r w:rsidR="00E44D09" w:rsidRPr="00A6480C">
              <w:rPr>
                <w:color w:val="000000"/>
                <w:lang w:val="ro-MD"/>
              </w:rPr>
              <w:t>info</w:t>
            </w:r>
            <w:proofErr w:type="spellEnd"/>
            <w:r w:rsidR="00E44D09" w:rsidRPr="00A6480C">
              <w:rPr>
                <w:color w:val="000000"/>
                <w:lang w:val="ro-MD"/>
              </w:rPr>
              <w:t xml:space="preserve"> - chat, linia fierbinte a instituției și organizarea activității conducerii AIPA; arhivar – care va organiza activitatea în arhivă (în arhiva AIPA se află peste 60 mii de dosare); specialist principal care va fi responsabil de gestionarea E-management; iar șeful subdiviziunii va gestiona activitatea subdiviziunii, va gestiona parcul auto a instituției (monitorizarea GPS, consumul de combustibil, repararea automobilelor, etc dar și administrarea sediilor AIPA (aparatul central și cele 10 subdiviziuni teritoriale). Funcțiile de asistent și arhivar au fost lichidate de MAIA în anul 2021.</w:t>
            </w:r>
          </w:p>
          <w:p w14:paraId="4B87F68D" w14:textId="7732C490" w:rsidR="00E44D09" w:rsidRPr="00A6480C" w:rsidRDefault="00F512C3" w:rsidP="00362CE5">
            <w:pPr>
              <w:pStyle w:val="Listparagraf"/>
              <w:numPr>
                <w:ilvl w:val="0"/>
                <w:numId w:val="12"/>
              </w:numPr>
              <w:tabs>
                <w:tab w:val="left" w:pos="884"/>
              </w:tabs>
              <w:ind w:left="0" w:firstLine="360"/>
              <w:jc w:val="both"/>
              <w:rPr>
                <w:color w:val="000000"/>
                <w:lang w:val="ro-MD"/>
              </w:rPr>
            </w:pPr>
            <w:r w:rsidRPr="00A6480C">
              <w:rPr>
                <w:color w:val="000000"/>
                <w:lang w:val="ro-MD"/>
              </w:rPr>
              <w:t>extindere</w:t>
            </w:r>
            <w:r w:rsidR="00956F75">
              <w:rPr>
                <w:color w:val="000000"/>
                <w:lang w:val="ro-MD"/>
              </w:rPr>
              <w:t>a</w:t>
            </w:r>
            <w:r w:rsidRPr="00A6480C">
              <w:rPr>
                <w:color w:val="000000"/>
                <w:lang w:val="ro-MD"/>
              </w:rPr>
              <w:t xml:space="preserve"> numărului de personal din cadrul </w:t>
            </w:r>
            <w:r w:rsidR="00E44D09" w:rsidRPr="00A6480C">
              <w:rPr>
                <w:color w:val="000000"/>
                <w:lang w:val="ro-MD"/>
              </w:rPr>
              <w:t>Serviciul</w:t>
            </w:r>
            <w:r w:rsidRPr="00A6480C">
              <w:rPr>
                <w:color w:val="000000"/>
                <w:lang w:val="ro-MD"/>
              </w:rPr>
              <w:t>ui</w:t>
            </w:r>
            <w:r w:rsidR="00E44D09" w:rsidRPr="00A6480C">
              <w:rPr>
                <w:color w:val="000000"/>
                <w:lang w:val="ro-MD"/>
              </w:rPr>
              <w:t xml:space="preserve"> resurse umane</w:t>
            </w:r>
            <w:r w:rsidR="00956F75">
              <w:rPr>
                <w:color w:val="000000"/>
                <w:lang w:val="ro-MD"/>
              </w:rPr>
              <w:t>,</w:t>
            </w:r>
            <w:r w:rsidR="00E44D09" w:rsidRPr="00A6480C">
              <w:rPr>
                <w:color w:val="000000"/>
                <w:lang w:val="ro-MD"/>
              </w:rPr>
              <w:t xml:space="preserve"> cu </w:t>
            </w:r>
            <w:r w:rsidR="00E44D09" w:rsidRPr="00A6480C">
              <w:rPr>
                <w:b/>
                <w:color w:val="000000"/>
                <w:lang w:val="ro-MD"/>
              </w:rPr>
              <w:t>1</w:t>
            </w:r>
            <w:r w:rsidR="00E44D09" w:rsidRPr="00A6480C">
              <w:rPr>
                <w:color w:val="000000"/>
                <w:lang w:val="ro-MD"/>
              </w:rPr>
              <w:t xml:space="preserve"> unitate;</w:t>
            </w:r>
          </w:p>
          <w:p w14:paraId="723A2149" w14:textId="1E7765E3" w:rsidR="00400D7F" w:rsidRPr="00CB0565" w:rsidRDefault="00A93135" w:rsidP="00400D7F">
            <w:pPr>
              <w:pStyle w:val="Listparagraf"/>
              <w:numPr>
                <w:ilvl w:val="0"/>
                <w:numId w:val="12"/>
              </w:numPr>
              <w:tabs>
                <w:tab w:val="left" w:pos="884"/>
              </w:tabs>
              <w:ind w:left="0" w:firstLine="360"/>
              <w:jc w:val="both"/>
              <w:rPr>
                <w:color w:val="000000"/>
                <w:lang w:val="ro-MD"/>
              </w:rPr>
            </w:pPr>
            <w:r w:rsidRPr="00A6480C">
              <w:rPr>
                <w:color w:val="000000"/>
                <w:lang w:val="ro-MD"/>
              </w:rPr>
              <w:t>extindere</w:t>
            </w:r>
            <w:r w:rsidR="007A5B0D">
              <w:rPr>
                <w:color w:val="000000"/>
                <w:lang w:val="ro-MD"/>
              </w:rPr>
              <w:t>a</w:t>
            </w:r>
            <w:r w:rsidRPr="00A6480C">
              <w:rPr>
                <w:color w:val="000000"/>
                <w:lang w:val="ro-MD"/>
              </w:rPr>
              <w:t xml:space="preserve"> numărului de personal din cadrul </w:t>
            </w:r>
            <w:r w:rsidR="00E44D09" w:rsidRPr="00A6480C">
              <w:rPr>
                <w:color w:val="000000"/>
                <w:lang w:val="ro-MD"/>
              </w:rPr>
              <w:t>Serviciul contabilitate</w:t>
            </w:r>
            <w:r w:rsidR="007A5B0D">
              <w:rPr>
                <w:color w:val="000000"/>
                <w:lang w:val="ro-MD"/>
              </w:rPr>
              <w:t>,</w:t>
            </w:r>
            <w:r w:rsidR="00E44D09" w:rsidRPr="00A6480C">
              <w:rPr>
                <w:color w:val="000000"/>
                <w:lang w:val="ro-MD"/>
              </w:rPr>
              <w:t xml:space="preserve"> cu </w:t>
            </w:r>
            <w:r w:rsidR="00E44D09" w:rsidRPr="00A6480C">
              <w:rPr>
                <w:b/>
                <w:color w:val="000000"/>
                <w:lang w:val="ro-MD"/>
              </w:rPr>
              <w:t>1</w:t>
            </w:r>
            <w:r w:rsidR="00F512C3" w:rsidRPr="00A6480C">
              <w:rPr>
                <w:color w:val="000000"/>
                <w:lang w:val="ro-MD"/>
              </w:rPr>
              <w:t xml:space="preserve"> unitate</w:t>
            </w:r>
            <w:r w:rsidR="00FA06B8">
              <w:rPr>
                <w:color w:val="000000"/>
                <w:lang w:val="ro-MD"/>
              </w:rPr>
              <w:t>.</w:t>
            </w:r>
          </w:p>
          <w:p w14:paraId="113692BE" w14:textId="7995CBA8" w:rsidR="00F512C3" w:rsidRPr="00400D7F" w:rsidRDefault="00713F88" w:rsidP="00400D7F">
            <w:pPr>
              <w:tabs>
                <w:tab w:val="left" w:pos="884"/>
              </w:tabs>
              <w:jc w:val="both"/>
              <w:rPr>
                <w:color w:val="000000"/>
                <w:lang w:val="ro-MD"/>
              </w:rPr>
            </w:pPr>
            <w:r w:rsidRPr="00400D7F">
              <w:rPr>
                <w:b/>
                <w:color w:val="000000"/>
                <w:lang w:val="ro-MD"/>
              </w:rPr>
              <w:t xml:space="preserve">Totodată, proiectul prevede </w:t>
            </w:r>
            <w:r w:rsidR="00F512C3" w:rsidRPr="00400D7F">
              <w:rPr>
                <w:b/>
                <w:color w:val="000000"/>
                <w:lang w:val="ro-MD"/>
              </w:rPr>
              <w:t>majorarea numărul</w:t>
            </w:r>
            <w:r w:rsidR="00701B37" w:rsidRPr="00400D7F">
              <w:rPr>
                <w:b/>
                <w:color w:val="000000"/>
                <w:lang w:val="ro-MD"/>
              </w:rPr>
              <w:t>ui</w:t>
            </w:r>
            <w:r w:rsidR="00F512C3" w:rsidRPr="00400D7F">
              <w:rPr>
                <w:b/>
                <w:color w:val="000000"/>
                <w:lang w:val="ro-MD"/>
              </w:rPr>
              <w:t xml:space="preserve"> angajaților în subdiviziunile</w:t>
            </w:r>
            <w:r w:rsidR="00F512C3" w:rsidRPr="00400D7F">
              <w:rPr>
                <w:b/>
                <w:lang w:val="ro-MD"/>
              </w:rPr>
              <w:t xml:space="preserve"> teritoriale </w:t>
            </w:r>
            <w:r w:rsidR="00F512C3" w:rsidRPr="00400D7F">
              <w:rPr>
                <w:b/>
                <w:color w:val="000000"/>
                <w:lang w:val="ro-MD"/>
              </w:rPr>
              <w:t>ale Agenției cu 37 unități</w:t>
            </w:r>
            <w:r w:rsidR="00F512C3" w:rsidRPr="00400D7F">
              <w:rPr>
                <w:color w:val="000000"/>
                <w:lang w:val="ro-MD"/>
              </w:rPr>
              <w:t xml:space="preserve">, după caz, câte 3-4 unități suplimentare pentru fiecare subdiviziune. La moment, în subdiviziunile teritoriale activează câte </w:t>
            </w:r>
            <w:r w:rsidR="00F512C3" w:rsidRPr="00400D7F">
              <w:rPr>
                <w:lang w:val="ro-MD"/>
              </w:rPr>
              <w:t xml:space="preserve">2-4 </w:t>
            </w:r>
            <w:r w:rsidR="00F512C3" w:rsidRPr="00400D7F">
              <w:rPr>
                <w:color w:val="000000"/>
                <w:lang w:val="ro-MD"/>
              </w:rPr>
              <w:t>angajați, în dependență de numărul unităților administrativ-teritoriale atribuite la subdiviziunea corespunzătoare. Prin modificările operate se propune dublarea numărului de personal în subdiviziunile teritoriale de la 32 la 69 unități. Unitățile de personal suplimentare sunt necesare pentru a asigura monitorizarea proiectelor investiționale destinată proiectelor strat-</w:t>
            </w:r>
            <w:proofErr w:type="spellStart"/>
            <w:r w:rsidR="00F512C3" w:rsidRPr="00400D7F">
              <w:rPr>
                <w:color w:val="000000"/>
                <w:lang w:val="ro-MD"/>
              </w:rPr>
              <w:t>up</w:t>
            </w:r>
            <w:proofErr w:type="spellEnd"/>
            <w:r w:rsidR="00F512C3" w:rsidRPr="00400D7F">
              <w:rPr>
                <w:color w:val="000000"/>
                <w:lang w:val="ro-MD"/>
              </w:rPr>
              <w:t>, îmbunătățirii nivelului de trai și de muncă în mediul rural, îmbunătățiri funciare dar și activitatea Grupurilor de Acțiune Locală. Mai mult ca atât noua politică de subvenționare va reglementa mecanisme noi de stimulare care vor delega, subdiviziunilor teritoriale, mai multe sarcini și responsabilități;</w:t>
            </w:r>
          </w:p>
          <w:p w14:paraId="4078687C" w14:textId="77777777" w:rsidR="00E44D09" w:rsidRPr="00A6480C" w:rsidRDefault="00E44D09" w:rsidP="00BE1AD7">
            <w:pPr>
              <w:jc w:val="both"/>
              <w:rPr>
                <w:lang w:val="ro-MD"/>
              </w:rPr>
            </w:pPr>
          </w:p>
          <w:p w14:paraId="67DF9085" w14:textId="77777777" w:rsidR="00523F92" w:rsidRDefault="00CD4675" w:rsidP="00E44D09">
            <w:pPr>
              <w:jc w:val="both"/>
              <w:rPr>
                <w:rFonts w:eastAsia="Calibri"/>
                <w:color w:val="000000"/>
                <w:lang w:val="ro-MD"/>
              </w:rPr>
            </w:pPr>
            <w:r w:rsidRPr="00A6480C">
              <w:rPr>
                <w:rFonts w:eastAsia="Calibri"/>
                <w:color w:val="000000"/>
                <w:lang w:val="ro-MD"/>
              </w:rPr>
              <w:lastRenderedPageBreak/>
              <w:t>Toate propunerile de ajustare a structurii organizatorice a A</w:t>
            </w:r>
            <w:r w:rsidR="00AE1D5C" w:rsidRPr="00A6480C">
              <w:rPr>
                <w:rFonts w:eastAsia="Calibri"/>
                <w:color w:val="000000"/>
                <w:lang w:val="ro-MD"/>
              </w:rPr>
              <w:t>genției</w:t>
            </w:r>
            <w:r w:rsidR="00523F92" w:rsidRPr="00A6480C">
              <w:rPr>
                <w:rFonts w:eastAsia="Calibri"/>
                <w:color w:val="000000"/>
                <w:lang w:val="ro-MD"/>
              </w:rPr>
              <w:t>,</w:t>
            </w:r>
            <w:r w:rsidR="00AE1D5C" w:rsidRPr="00A6480C">
              <w:rPr>
                <w:rFonts w:eastAsia="Calibri"/>
                <w:color w:val="000000"/>
                <w:lang w:val="ro-MD"/>
              </w:rPr>
              <w:t xml:space="preserve"> </w:t>
            </w:r>
            <w:r w:rsidRPr="00A6480C">
              <w:rPr>
                <w:rFonts w:eastAsia="Calibri"/>
                <w:color w:val="000000"/>
                <w:lang w:val="ro-MD"/>
              </w:rPr>
              <w:t xml:space="preserve">au fost coordonate cu experții </w:t>
            </w:r>
            <w:proofErr w:type="spellStart"/>
            <w:r w:rsidRPr="00A6480C">
              <w:rPr>
                <w:rFonts w:eastAsia="Calibri"/>
                <w:color w:val="000000"/>
                <w:lang w:val="ro-MD"/>
              </w:rPr>
              <w:t>Twinning</w:t>
            </w:r>
            <w:proofErr w:type="spellEnd"/>
            <w:r w:rsidR="00523F92" w:rsidRPr="00A6480C">
              <w:rPr>
                <w:rFonts w:eastAsia="Calibri"/>
                <w:color w:val="000000"/>
                <w:lang w:val="ro-MD"/>
              </w:rPr>
              <w:t xml:space="preserve">, iar </w:t>
            </w:r>
            <w:r w:rsidRPr="00A6480C">
              <w:rPr>
                <w:rFonts w:eastAsia="Calibri"/>
                <w:color w:val="000000"/>
                <w:lang w:val="ro-MD"/>
              </w:rPr>
              <w:t>aproba</w:t>
            </w:r>
            <w:r w:rsidR="00AE1D5C" w:rsidRPr="00A6480C">
              <w:rPr>
                <w:rFonts w:eastAsia="Calibri"/>
                <w:color w:val="000000"/>
                <w:lang w:val="ro-MD"/>
              </w:rPr>
              <w:t xml:space="preserve">rea acestora </w:t>
            </w:r>
            <w:r w:rsidRPr="00A6480C">
              <w:rPr>
                <w:rFonts w:eastAsia="Calibri"/>
                <w:color w:val="000000"/>
                <w:lang w:val="ro-MD"/>
              </w:rPr>
              <w:t xml:space="preserve">va asigura buna funcționare </w:t>
            </w:r>
            <w:r w:rsidR="00523F92" w:rsidRPr="00A6480C">
              <w:rPr>
                <w:rFonts w:eastAsia="Calibri"/>
                <w:color w:val="000000"/>
                <w:lang w:val="ro-MD"/>
              </w:rPr>
              <w:t xml:space="preserve">și </w:t>
            </w:r>
            <w:proofErr w:type="spellStart"/>
            <w:r w:rsidR="00523F92" w:rsidRPr="00A6480C">
              <w:rPr>
                <w:rFonts w:eastAsia="Calibri"/>
                <w:color w:val="000000"/>
                <w:lang w:val="ro-MD"/>
              </w:rPr>
              <w:t>eficiențizare</w:t>
            </w:r>
            <w:proofErr w:type="spellEnd"/>
            <w:r w:rsidR="00523F92" w:rsidRPr="00A6480C">
              <w:rPr>
                <w:rFonts w:eastAsia="Calibri"/>
                <w:color w:val="000000"/>
                <w:lang w:val="ro-MD"/>
              </w:rPr>
              <w:t xml:space="preserve"> a </w:t>
            </w:r>
            <w:r w:rsidR="00523F92" w:rsidRPr="00A6480C">
              <w:rPr>
                <w:lang w:val="ro-MD"/>
              </w:rPr>
              <w:t>activităților</w:t>
            </w:r>
            <w:r w:rsidR="00AE1D5C" w:rsidRPr="00A6480C">
              <w:rPr>
                <w:rFonts w:eastAsia="Calibri"/>
                <w:color w:val="000000"/>
                <w:lang w:val="ro-MD"/>
              </w:rPr>
              <w:t>,</w:t>
            </w:r>
            <w:r w:rsidRPr="00A6480C">
              <w:rPr>
                <w:rFonts w:eastAsia="Calibri"/>
                <w:color w:val="000000"/>
                <w:lang w:val="ro-MD"/>
              </w:rPr>
              <w:t xml:space="preserve"> dar și implementarea cerințelor de acreditare. </w:t>
            </w:r>
          </w:p>
          <w:p w14:paraId="45F08FBE" w14:textId="77777777" w:rsidR="000673E5" w:rsidRDefault="000673E5" w:rsidP="000673E5">
            <w:pPr>
              <w:jc w:val="both"/>
              <w:rPr>
                <w:rFonts w:eastAsia="Calibri"/>
                <w:color w:val="FF0000"/>
                <w:lang w:val="ro-MD"/>
              </w:rPr>
            </w:pPr>
          </w:p>
          <w:p w14:paraId="03014712" w14:textId="36B82273" w:rsidR="00A60D28" w:rsidRPr="00A60D28" w:rsidRDefault="00AD1F77" w:rsidP="000673E5">
            <w:pPr>
              <w:jc w:val="both"/>
              <w:rPr>
                <w:color w:val="000000"/>
                <w:lang w:val="en-US"/>
              </w:rPr>
            </w:pPr>
            <w:r w:rsidRPr="00A21305">
              <w:rPr>
                <w:rFonts w:eastAsia="Calibri"/>
                <w:lang w:val="ro-MD"/>
              </w:rPr>
              <w:t>Se</w:t>
            </w:r>
            <w:r w:rsidR="00A60D28" w:rsidRPr="00A21305">
              <w:rPr>
                <w:rFonts w:eastAsia="Calibri"/>
                <w:lang w:val="ro-MD"/>
              </w:rPr>
              <w:t xml:space="preserve"> propune </w:t>
            </w:r>
            <w:r w:rsidR="003B2C10" w:rsidRPr="00A21305">
              <w:rPr>
                <w:rFonts w:eastAsia="Calibri"/>
                <w:lang w:val="ro-MD"/>
              </w:rPr>
              <w:t>i</w:t>
            </w:r>
            <w:r w:rsidR="00A60D28" w:rsidRPr="00A21305">
              <w:rPr>
                <w:rFonts w:eastAsia="Calibri"/>
                <w:lang w:val="ro-MD"/>
              </w:rPr>
              <w:t xml:space="preserve">ntrarea în vigoare </w:t>
            </w:r>
            <w:r w:rsidRPr="00A21305">
              <w:rPr>
                <w:rFonts w:eastAsia="Calibri"/>
                <w:lang w:val="ro-MD"/>
              </w:rPr>
              <w:t xml:space="preserve">a proiectului </w:t>
            </w:r>
            <w:r w:rsidR="00A60D28" w:rsidRPr="00A21305">
              <w:rPr>
                <w:rFonts w:eastAsia="Calibri"/>
                <w:lang w:val="ro-MD"/>
              </w:rPr>
              <w:t xml:space="preserve">la data publicării în </w:t>
            </w:r>
            <w:r w:rsidR="00A60D28" w:rsidRPr="00A21305">
              <w:t>Monitorul Oficial al Republicii Moldova,</w:t>
            </w:r>
            <w:r w:rsidR="00A60D28" w:rsidRPr="00A21305">
              <w:rPr>
                <w:sz w:val="26"/>
                <w:szCs w:val="26"/>
              </w:rPr>
              <w:t xml:space="preserve"> </w:t>
            </w:r>
            <w:r w:rsidRPr="00A21305">
              <w:t xml:space="preserve">deoarece este o necesitate </w:t>
            </w:r>
            <w:r w:rsidR="00A60D28" w:rsidRPr="00A21305">
              <w:t>vitală</w:t>
            </w:r>
            <w:r w:rsidR="00A60D28" w:rsidRPr="00A21305">
              <w:rPr>
                <w:sz w:val="26"/>
                <w:szCs w:val="26"/>
              </w:rPr>
              <w:t xml:space="preserve"> </w:t>
            </w:r>
            <w:r w:rsidR="00A60D28" w:rsidRPr="00A21305">
              <w:rPr>
                <w:rFonts w:eastAsia="Calibri"/>
                <w:iCs/>
                <w:lang w:val="ro-MD"/>
              </w:rPr>
              <w:t>pentr</w:t>
            </w:r>
            <w:r w:rsidRPr="00A21305">
              <w:rPr>
                <w:rFonts w:eastAsia="Calibri"/>
                <w:iCs/>
                <w:lang w:val="ro-MD"/>
              </w:rPr>
              <w:t xml:space="preserve">u a asigura buna funcționare a Agenției în procesul de gestionare a mijloacelor FNDAMR </w:t>
            </w:r>
            <w:r w:rsidR="00A60D28" w:rsidRPr="00A21305">
              <w:rPr>
                <w:rFonts w:eastAsia="Calibri"/>
                <w:iCs/>
                <w:lang w:val="ro-MD"/>
              </w:rPr>
              <w:t xml:space="preserve">și a </w:t>
            </w:r>
            <w:r w:rsidRPr="00A21305">
              <w:rPr>
                <w:rFonts w:eastAsia="Calibri"/>
                <w:iCs/>
                <w:lang w:val="ro-MD"/>
              </w:rPr>
              <w:t xml:space="preserve">urgenta examinarea și achitarea dosarelor depuse de către producătorii agricoli, la fel și pentru </w:t>
            </w:r>
            <w:r w:rsidR="00A60D28" w:rsidRPr="00A21305">
              <w:rPr>
                <w:rFonts w:eastAsia="Calibri"/>
                <w:iCs/>
                <w:lang w:val="ro-MD"/>
              </w:rPr>
              <w:t>evita</w:t>
            </w:r>
            <w:r w:rsidRPr="00A21305">
              <w:rPr>
                <w:rFonts w:eastAsia="Calibri"/>
                <w:iCs/>
                <w:lang w:val="ro-MD"/>
              </w:rPr>
              <w:t>rea</w:t>
            </w:r>
            <w:r w:rsidR="00A60D28" w:rsidRPr="00A21305">
              <w:rPr>
                <w:rFonts w:eastAsia="Calibri"/>
                <w:iCs/>
                <w:lang w:val="ro-MD"/>
              </w:rPr>
              <w:t xml:space="preserve"> </w:t>
            </w:r>
            <w:r w:rsidRPr="00A21305">
              <w:rPr>
                <w:rFonts w:eastAsia="Calibri"/>
                <w:iCs/>
                <w:lang w:val="ro-MD"/>
              </w:rPr>
              <w:t>posibile</w:t>
            </w:r>
            <w:r w:rsidR="000673E5" w:rsidRPr="00A21305">
              <w:rPr>
                <w:rFonts w:eastAsia="Calibri"/>
                <w:iCs/>
                <w:lang w:val="ro-MD"/>
              </w:rPr>
              <w:t>lor</w:t>
            </w:r>
            <w:r w:rsidRPr="00A21305">
              <w:rPr>
                <w:rFonts w:eastAsia="Calibri"/>
                <w:iCs/>
                <w:lang w:val="ro-MD"/>
              </w:rPr>
              <w:t xml:space="preserve"> eliberări </w:t>
            </w:r>
            <w:r w:rsidR="000673E5" w:rsidRPr="00A21305">
              <w:rPr>
                <w:rFonts w:eastAsia="Calibri"/>
                <w:iCs/>
                <w:lang w:val="ro-MD"/>
              </w:rPr>
              <w:t>în masă a angajaților Agenției</w:t>
            </w:r>
            <w:r w:rsidR="00A60D28" w:rsidRPr="00A21305">
              <w:rPr>
                <w:rFonts w:eastAsia="Calibri"/>
                <w:iCs/>
                <w:lang w:val="ro-MD"/>
              </w:rPr>
              <w:t xml:space="preserve">. </w:t>
            </w:r>
            <w:bookmarkStart w:id="2" w:name="_GoBack"/>
            <w:bookmarkEnd w:id="2"/>
          </w:p>
        </w:tc>
      </w:tr>
      <w:bookmarkEnd w:id="1"/>
      <w:tr w:rsidR="005545D4" w:rsidRPr="00A6480C" w14:paraId="47A8E32B" w14:textId="77777777" w:rsidTr="00750902">
        <w:tc>
          <w:tcPr>
            <w:tcW w:w="5000" w:type="pct"/>
          </w:tcPr>
          <w:p w14:paraId="7E100551" w14:textId="77777777" w:rsidR="005545D4" w:rsidRPr="00A6480C" w:rsidRDefault="005545D4" w:rsidP="00BE1AD7">
            <w:pPr>
              <w:tabs>
                <w:tab w:val="left" w:pos="884"/>
                <w:tab w:val="left" w:pos="1196"/>
              </w:tabs>
              <w:jc w:val="both"/>
              <w:rPr>
                <w:rFonts w:eastAsia="Calibri"/>
                <w:b/>
                <w:lang w:val="ro-MD"/>
              </w:rPr>
            </w:pPr>
            <w:r w:rsidRPr="00A6480C">
              <w:rPr>
                <w:rFonts w:eastAsia="Calibri"/>
                <w:b/>
                <w:lang w:val="ro-MD"/>
              </w:rPr>
              <w:lastRenderedPageBreak/>
              <w:t xml:space="preserve">5.Fundamentarea </w:t>
            </w:r>
            <w:proofErr w:type="spellStart"/>
            <w:r w:rsidRPr="00A6480C">
              <w:rPr>
                <w:rFonts w:eastAsia="Calibri"/>
                <w:b/>
                <w:lang w:val="ro-MD"/>
              </w:rPr>
              <w:t>economico</w:t>
            </w:r>
            <w:proofErr w:type="spellEnd"/>
            <w:r w:rsidRPr="00A6480C">
              <w:rPr>
                <w:rFonts w:eastAsia="Calibri"/>
                <w:b/>
                <w:lang w:val="ro-MD"/>
              </w:rPr>
              <w:t>-financiară</w:t>
            </w:r>
          </w:p>
        </w:tc>
      </w:tr>
      <w:tr w:rsidR="005545D4" w:rsidRPr="00A6480C" w14:paraId="564111CE" w14:textId="77777777" w:rsidTr="00750902">
        <w:tc>
          <w:tcPr>
            <w:tcW w:w="5000" w:type="pct"/>
          </w:tcPr>
          <w:p w14:paraId="52E5DD80" w14:textId="34735291" w:rsidR="00B52169" w:rsidRPr="00A6480C" w:rsidRDefault="00B52169" w:rsidP="00BE1AD7">
            <w:pPr>
              <w:jc w:val="both"/>
              <w:rPr>
                <w:lang w:val="ro-MD"/>
              </w:rPr>
            </w:pPr>
            <w:r w:rsidRPr="00A6480C">
              <w:rPr>
                <w:lang w:val="ro-MD"/>
              </w:rPr>
              <w:t xml:space="preserve">Implementarea proiectului propus privind majorarea efectivului-limită al Agenției cu 75 unități, nu are impact asupra bugetului public național și nu presupune cheltuieli bugetare suplimentare, deoarece este realizată din contul reducerii efectivului-limită din cadrul </w:t>
            </w:r>
            <w:r w:rsidR="00523F92" w:rsidRPr="00A6480C">
              <w:rPr>
                <w:lang w:val="ro-MD"/>
              </w:rPr>
              <w:t xml:space="preserve">instituțiilor subordonate </w:t>
            </w:r>
            <w:r w:rsidRPr="00A6480C">
              <w:rPr>
                <w:lang w:val="ro-MD"/>
              </w:rPr>
              <w:t xml:space="preserve">MAIA, care presupune identificarea a 102 unități de personal și mijloace financiare în valoarea a 8,31 mil. lei, </w:t>
            </w:r>
            <w:r w:rsidR="00FE7866" w:rsidRPr="00A6480C">
              <w:rPr>
                <w:lang w:val="ro-MD"/>
              </w:rPr>
              <w:t>necesare reorganizării Agenției.</w:t>
            </w:r>
          </w:p>
          <w:p w14:paraId="08CE91C5" w14:textId="77777777" w:rsidR="00A6480C" w:rsidRPr="00A6480C" w:rsidRDefault="00A6480C" w:rsidP="00BE1AD7">
            <w:pPr>
              <w:jc w:val="both"/>
              <w:rPr>
                <w:lang w:val="ro-MD"/>
              </w:rPr>
            </w:pPr>
          </w:p>
          <w:p w14:paraId="77BAD927" w14:textId="06381F39" w:rsidR="00A6480C" w:rsidRPr="00B9541B" w:rsidRDefault="00A6480C" w:rsidP="00BE1AD7">
            <w:pPr>
              <w:jc w:val="both"/>
              <w:rPr>
                <w:lang w:val="ro-MD"/>
              </w:rPr>
            </w:pPr>
            <w:r w:rsidRPr="00B9541B">
              <w:rPr>
                <w:lang w:val="ro-MD"/>
              </w:rPr>
              <w:t>Pentru anul 2023</w:t>
            </w:r>
            <w:r w:rsidR="00486C82">
              <w:rPr>
                <w:lang w:val="ro-MD"/>
              </w:rPr>
              <w:t>,</w:t>
            </w:r>
            <w:r w:rsidRPr="00B9541B">
              <w:rPr>
                <w:lang w:val="ro-MD"/>
              </w:rPr>
              <w:t xml:space="preserve"> A</w:t>
            </w:r>
            <w:r w:rsidR="00682F91">
              <w:rPr>
                <w:lang w:val="ro-MD"/>
              </w:rPr>
              <w:t>genția</w:t>
            </w:r>
            <w:r w:rsidRPr="00B9541B">
              <w:rPr>
                <w:lang w:val="ro-MD"/>
              </w:rPr>
              <w:t xml:space="preserve"> are alocat spre administra</w:t>
            </w:r>
            <w:r w:rsidR="00486C82">
              <w:rPr>
                <w:lang w:val="ro-MD"/>
              </w:rPr>
              <w:t>r</w:t>
            </w:r>
            <w:r w:rsidRPr="00B9541B">
              <w:rPr>
                <w:lang w:val="ro-MD"/>
              </w:rPr>
              <w:t>e</w:t>
            </w:r>
            <w:r w:rsidR="00486C82">
              <w:rPr>
                <w:lang w:val="ro-MD"/>
              </w:rPr>
              <w:t>,</w:t>
            </w:r>
            <w:r w:rsidRPr="00B9541B">
              <w:rPr>
                <w:lang w:val="ro-MD"/>
              </w:rPr>
              <w:t xml:space="preserve"> conform prevederilor Legii bugetului de stat pentru anul 2023 nr. 359/2022, 22,3 mil. lei</w:t>
            </w:r>
            <w:r w:rsidR="00486C82">
              <w:rPr>
                <w:lang w:val="ro-MD"/>
              </w:rPr>
              <w:t>,</w:t>
            </w:r>
            <w:r w:rsidRPr="00B9541B">
              <w:rPr>
                <w:lang w:val="ro-MD"/>
              </w:rPr>
              <w:t xml:space="preserve"> dintre care 19,8 mil.lei sunt distribuite pentru salarizarea angajaților (85 unități) iar 2,5 mil. lei pentru dezvoltarea instituțională. De menționat că sursele financiare alocate pentru salarizarea angajaților existenți în Agenție (67 unități) sunt suficienți. Dacă situația rămâne intactă, către finele anului 2023, Agenția va valorifica doar 13,0 mil. lei din sursele direcționate spre administrare. Or, în anul 2023 este riscul că 6,8 mil. lei din linia bugetară salarizarea angajaților să nu fie valorificate sau, în cazul excluderii Agenției de sub moratoriul temporar privind încadrarea personalului din sectorul bugetar pe funcțiile vacante înregistrate la situația din 30 noiembrie 2022, acestea vor fi asimilate.</w:t>
            </w:r>
          </w:p>
          <w:p w14:paraId="3D5101B1" w14:textId="77777777" w:rsidR="00A6480C" w:rsidRPr="00B9541B" w:rsidRDefault="00A6480C" w:rsidP="00BE1AD7">
            <w:pPr>
              <w:jc w:val="both"/>
              <w:rPr>
                <w:lang w:val="ro-MD"/>
              </w:rPr>
            </w:pPr>
          </w:p>
          <w:p w14:paraId="73973D70" w14:textId="7ACCDAD8" w:rsidR="00AF7D23" w:rsidRPr="006600D5" w:rsidRDefault="00A6480C" w:rsidP="006600D5">
            <w:pPr>
              <w:jc w:val="both"/>
              <w:rPr>
                <w:lang w:val="ro-MD"/>
              </w:rPr>
            </w:pPr>
            <w:r w:rsidRPr="00B9541B">
              <w:rPr>
                <w:lang w:val="ro-MD"/>
              </w:rPr>
              <w:t>Prin urmare, în scopul remunerării a 160 de angajați în cadrul A</w:t>
            </w:r>
            <w:r w:rsidR="00682F91">
              <w:rPr>
                <w:lang w:val="ro-MD"/>
              </w:rPr>
              <w:t>genției</w:t>
            </w:r>
            <w:r w:rsidRPr="00B9541B">
              <w:rPr>
                <w:lang w:val="ro-MD"/>
              </w:rPr>
              <w:t>, având în vedere treapta a III-a de salarizarea pentru funcțiile de conducere și treapta a III-a de salarizare pentru funcțiile de execuție, lunar/anual, vor fi suportate cheltuielile expuse în anexa la nota informativă.</w:t>
            </w:r>
            <w:r w:rsidR="006600D5">
              <w:rPr>
                <w:lang w:val="ro-MD"/>
              </w:rPr>
              <w:t xml:space="preserve"> </w:t>
            </w:r>
            <w:r w:rsidRPr="00B9541B">
              <w:rPr>
                <w:lang w:val="ro-MD"/>
              </w:rPr>
              <w:t xml:space="preserve">Or, costurile pentru angajarea noilor 75 unități de personal, conform prevederilor Legii privind sistemul unitar de salarizare în sectorul bugetar nr. 270/2018 ar constitui, pentru un an 11,1 mil. lei, </w:t>
            </w:r>
            <w:r w:rsidR="0007330E" w:rsidRPr="00B9541B">
              <w:rPr>
                <w:lang w:val="ro-MD"/>
              </w:rPr>
              <w:t xml:space="preserve">dintre care </w:t>
            </w:r>
            <w:r w:rsidRPr="00B9541B">
              <w:rPr>
                <w:lang w:val="ro-MD"/>
              </w:rPr>
              <w:t>surse identificate de MAIA</w:t>
            </w:r>
            <w:r w:rsidR="0079112C">
              <w:rPr>
                <w:lang w:val="ro-MD"/>
              </w:rPr>
              <w:t>,</w:t>
            </w:r>
            <w:r w:rsidRPr="00B9541B">
              <w:rPr>
                <w:lang w:val="ro-MD"/>
              </w:rPr>
              <w:t xml:space="preserve"> în urma reducerii numărului de personal de la CSTSP și SS</w:t>
            </w:r>
            <w:r w:rsidR="0007330E" w:rsidRPr="00B9541B">
              <w:rPr>
                <w:color w:val="202124"/>
                <w:shd w:val="clear" w:color="auto" w:fill="FFFFFF"/>
                <w:lang w:val="ro-MD"/>
              </w:rPr>
              <w:t xml:space="preserve">IAPH, </w:t>
            </w:r>
            <w:r w:rsidRPr="00B9541B">
              <w:rPr>
                <w:color w:val="202124"/>
                <w:shd w:val="clear" w:color="auto" w:fill="FFFFFF"/>
                <w:lang w:val="ro-MD"/>
              </w:rPr>
              <w:t>8,3 mil. lei dintre care 6,4 mil</w:t>
            </w:r>
            <w:r w:rsidR="007960E5">
              <w:rPr>
                <w:color w:val="202124"/>
                <w:shd w:val="clear" w:color="auto" w:fill="FFFFFF"/>
                <w:lang w:val="ro-MD"/>
              </w:rPr>
              <w:t>.</w:t>
            </w:r>
            <w:r w:rsidRPr="00B9541B">
              <w:rPr>
                <w:color w:val="202124"/>
                <w:shd w:val="clear" w:color="auto" w:fill="FFFFFF"/>
                <w:lang w:val="ro-MD"/>
              </w:rPr>
              <w:t xml:space="preserve"> lei vor fi surse financiare ce vor fi direcționate ca salariu pentru noii angajați iar 1,9 mil lei - impozitarea acestora (29%).</w:t>
            </w:r>
          </w:p>
          <w:p w14:paraId="1CAA09BF" w14:textId="77777777" w:rsidR="00A6480C" w:rsidRPr="00A6480C" w:rsidRDefault="00A6480C" w:rsidP="00A6480C">
            <w:pPr>
              <w:pStyle w:val="Style18"/>
              <w:widowControl/>
              <w:tabs>
                <w:tab w:val="left" w:pos="142"/>
                <w:tab w:val="left" w:pos="743"/>
              </w:tabs>
              <w:spacing w:line="240" w:lineRule="auto"/>
              <w:ind w:firstLine="0"/>
              <w:jc w:val="both"/>
              <w:rPr>
                <w:rStyle w:val="FontStyle40"/>
                <w:i w:val="0"/>
                <w:sz w:val="28"/>
                <w:szCs w:val="28"/>
                <w:lang w:val="ro-MD"/>
              </w:rPr>
            </w:pPr>
          </w:p>
          <w:p w14:paraId="5D602D69" w14:textId="77777777" w:rsidR="00B82038" w:rsidRPr="00A6480C" w:rsidRDefault="00B82038" w:rsidP="00BE1AD7">
            <w:pPr>
              <w:pStyle w:val="Style18"/>
              <w:widowControl/>
              <w:tabs>
                <w:tab w:val="left" w:pos="142"/>
                <w:tab w:val="left" w:pos="743"/>
              </w:tabs>
              <w:spacing w:line="240" w:lineRule="auto"/>
              <w:ind w:firstLine="0"/>
              <w:jc w:val="both"/>
              <w:rPr>
                <w:rStyle w:val="FontStyle40"/>
                <w:i w:val="0"/>
                <w:sz w:val="28"/>
                <w:szCs w:val="28"/>
                <w:lang w:val="ro-MD"/>
              </w:rPr>
            </w:pPr>
            <w:r w:rsidRPr="00A6480C">
              <w:rPr>
                <w:rStyle w:val="FontStyle40"/>
                <w:i w:val="0"/>
                <w:sz w:val="28"/>
                <w:szCs w:val="28"/>
                <w:lang w:val="ro-MD"/>
              </w:rPr>
              <w:t>Întreținerea angajaților Agenției va fi asigurată din mijloacele financiare ale bugetului de stat și din mijloace financiare alocate de partenerii de dezvoltare în cazul identificării și implementării unor proiecte.</w:t>
            </w:r>
          </w:p>
          <w:p w14:paraId="44DE10F6" w14:textId="77777777" w:rsidR="00B52169" w:rsidRPr="00A6480C" w:rsidRDefault="00B52169" w:rsidP="00BE1AD7">
            <w:pPr>
              <w:ind w:firstLine="567"/>
              <w:jc w:val="both"/>
              <w:rPr>
                <w:lang w:val="ro-MD"/>
              </w:rPr>
            </w:pPr>
          </w:p>
          <w:p w14:paraId="0516C99C" w14:textId="15F5FA8A" w:rsidR="0081267E" w:rsidRPr="00A6480C" w:rsidRDefault="00D8548A" w:rsidP="00BE1AD7">
            <w:pPr>
              <w:jc w:val="both"/>
              <w:rPr>
                <w:color w:val="FF0000"/>
                <w:lang w:val="ro-MD"/>
              </w:rPr>
            </w:pPr>
            <w:r w:rsidRPr="00A6480C">
              <w:rPr>
                <w:lang w:val="ro-MD"/>
              </w:rPr>
              <w:t>Pentru dotarea unităților de personal ce urmează a fi angajate în urma aprobării proiectului propus, mijloacele financiare vor fi acoperite de partenerii de dezvoltare. La moment</w:t>
            </w:r>
            <w:r w:rsidR="00D33D9C" w:rsidRPr="00A6480C">
              <w:rPr>
                <w:lang w:val="ro-MD"/>
              </w:rPr>
              <w:t>, Banca Mondială s-a arătat dispusă de a dota instituția conform necesităților identificate.</w:t>
            </w:r>
          </w:p>
        </w:tc>
      </w:tr>
      <w:tr w:rsidR="005545D4" w:rsidRPr="00A6480C" w14:paraId="68E7D06C" w14:textId="77777777" w:rsidTr="00750902">
        <w:tc>
          <w:tcPr>
            <w:tcW w:w="5000" w:type="pct"/>
          </w:tcPr>
          <w:p w14:paraId="1954E527" w14:textId="77777777" w:rsidR="005545D4" w:rsidRPr="00A6480C" w:rsidRDefault="005545D4" w:rsidP="00BE1AD7">
            <w:pPr>
              <w:tabs>
                <w:tab w:val="left" w:pos="884"/>
                <w:tab w:val="left" w:pos="1196"/>
              </w:tabs>
              <w:jc w:val="both"/>
              <w:rPr>
                <w:rFonts w:eastAsia="Calibri"/>
                <w:b/>
                <w:lang w:val="ro-MD"/>
              </w:rPr>
            </w:pPr>
            <w:r w:rsidRPr="00A6480C">
              <w:rPr>
                <w:rFonts w:eastAsia="Calibri"/>
                <w:b/>
                <w:lang w:val="ro-MD"/>
              </w:rPr>
              <w:t>6. Modul de încorporare a actului în cadrul normativ în vigoare</w:t>
            </w:r>
          </w:p>
        </w:tc>
      </w:tr>
      <w:tr w:rsidR="005545D4" w:rsidRPr="00A6480C" w14:paraId="7AC5AE8E" w14:textId="77777777" w:rsidTr="00750902">
        <w:tc>
          <w:tcPr>
            <w:tcW w:w="5000" w:type="pct"/>
          </w:tcPr>
          <w:p w14:paraId="2033B579" w14:textId="77777777" w:rsidR="005545D4" w:rsidRPr="00A6480C" w:rsidRDefault="005545D4" w:rsidP="00BE1AD7">
            <w:pPr>
              <w:tabs>
                <w:tab w:val="left" w:pos="884"/>
                <w:tab w:val="left" w:pos="1196"/>
              </w:tabs>
              <w:jc w:val="both"/>
              <w:rPr>
                <w:rFonts w:eastAsia="Calibri"/>
                <w:lang w:val="ro-MD"/>
              </w:rPr>
            </w:pPr>
            <w:r w:rsidRPr="00A6480C">
              <w:rPr>
                <w:rFonts w:eastAsia="Calibri"/>
                <w:lang w:val="ro-MD"/>
              </w:rPr>
              <w:lastRenderedPageBreak/>
              <w:t>Adoptarea și punerea în aplicare a prevederilor proiectului nu impune necesitatea aprobării unor acte normative privind implementarea acesteia.</w:t>
            </w:r>
          </w:p>
        </w:tc>
      </w:tr>
      <w:tr w:rsidR="005545D4" w:rsidRPr="00A6480C" w14:paraId="3769CDD2" w14:textId="77777777" w:rsidTr="00750902">
        <w:tc>
          <w:tcPr>
            <w:tcW w:w="5000" w:type="pct"/>
          </w:tcPr>
          <w:p w14:paraId="0CC6885B" w14:textId="77777777" w:rsidR="005545D4" w:rsidRPr="00A6480C" w:rsidRDefault="005545D4" w:rsidP="00BE1AD7">
            <w:pPr>
              <w:tabs>
                <w:tab w:val="left" w:pos="884"/>
                <w:tab w:val="left" w:pos="1196"/>
              </w:tabs>
              <w:jc w:val="both"/>
              <w:rPr>
                <w:rFonts w:eastAsia="Calibri"/>
                <w:b/>
                <w:lang w:val="ro-MD"/>
              </w:rPr>
            </w:pPr>
            <w:r w:rsidRPr="00A6480C">
              <w:rPr>
                <w:rFonts w:eastAsia="Calibri"/>
                <w:b/>
                <w:lang w:val="ro-MD"/>
              </w:rPr>
              <w:t xml:space="preserve">7. Avizarea </w:t>
            </w:r>
            <w:proofErr w:type="spellStart"/>
            <w:r w:rsidRPr="00A6480C">
              <w:rPr>
                <w:rFonts w:eastAsia="Calibri"/>
                <w:b/>
                <w:lang w:val="ro-MD"/>
              </w:rPr>
              <w:t>şi</w:t>
            </w:r>
            <w:proofErr w:type="spellEnd"/>
            <w:r w:rsidRPr="00A6480C">
              <w:rPr>
                <w:rFonts w:eastAsia="Calibri"/>
                <w:b/>
                <w:lang w:val="ro-MD"/>
              </w:rPr>
              <w:t xml:space="preserve"> consultarea publică a proiectului</w:t>
            </w:r>
          </w:p>
        </w:tc>
      </w:tr>
      <w:tr w:rsidR="005545D4" w:rsidRPr="00A6480C" w14:paraId="2BC066B6" w14:textId="77777777" w:rsidTr="00750902">
        <w:tc>
          <w:tcPr>
            <w:tcW w:w="5000" w:type="pct"/>
          </w:tcPr>
          <w:p w14:paraId="262F46FA" w14:textId="0D4FCAC1" w:rsidR="00F061CD" w:rsidRPr="00A6480C" w:rsidRDefault="00F061CD" w:rsidP="004464F1">
            <w:pPr>
              <w:numPr>
                <w:ilvl w:val="0"/>
                <w:numId w:val="13"/>
              </w:numPr>
              <w:shd w:val="clear" w:color="auto" w:fill="FFFFFF"/>
              <w:ind w:left="0" w:right="155"/>
              <w:jc w:val="both"/>
              <w:textAlignment w:val="baseline"/>
              <w:rPr>
                <w:bCs/>
                <w:lang w:val="ro-MD"/>
              </w:rPr>
            </w:pPr>
            <w:r w:rsidRPr="00A6480C">
              <w:rPr>
                <w:bCs/>
                <w:lang w:val="ro-MD"/>
              </w:rPr>
              <w:t>În conformitate cu pct. 177 din Hotărârea Guvernului nr. 610/2018 pentru aprobarea Re</w:t>
            </w:r>
            <w:r w:rsidR="002069C2" w:rsidRPr="00A6480C">
              <w:rPr>
                <w:bCs/>
                <w:lang w:val="ro-MD"/>
              </w:rPr>
              <w:t>gulamentului Guvernului, precum</w:t>
            </w:r>
            <w:r w:rsidRPr="00A6480C">
              <w:rPr>
                <w:bCs/>
                <w:lang w:val="ro-MD"/>
              </w:rPr>
              <w:t xml:space="preserve"> și art. 9 din Legea nr. 239/2008 privind transparența în procesul decizional, anunțul de inițiere a elaborării proiectului a fost publicat pe pagina web </w:t>
            </w:r>
            <w:r w:rsidR="008F0C4A" w:rsidRPr="00A6480C">
              <w:rPr>
                <w:rFonts w:eastAsia="Calibri"/>
                <w:lang w:val="ro-MD"/>
              </w:rPr>
              <w:t>oficială</w:t>
            </w:r>
            <w:r w:rsidR="008F0C4A" w:rsidRPr="00A6480C">
              <w:rPr>
                <w:bCs/>
                <w:lang w:val="ro-MD"/>
              </w:rPr>
              <w:t xml:space="preserve"> </w:t>
            </w:r>
            <w:r w:rsidRPr="00A6480C">
              <w:rPr>
                <w:bCs/>
                <w:lang w:val="ro-MD"/>
              </w:rPr>
              <w:t xml:space="preserve">a MAIA, </w:t>
            </w:r>
            <w:hyperlink r:id="rId6" w:history="1">
              <w:r w:rsidRPr="00A6480C">
                <w:rPr>
                  <w:rStyle w:val="Hyperlink"/>
                  <w:bCs/>
                  <w:i/>
                  <w:color w:val="auto"/>
                  <w:u w:val="none"/>
                  <w:lang w:val="ro-MD"/>
                </w:rPr>
                <w:t>www.maia.gov.md</w:t>
              </w:r>
            </w:hyperlink>
            <w:r w:rsidRPr="00A6480C">
              <w:rPr>
                <w:bCs/>
                <w:lang w:val="ro-MD"/>
              </w:rPr>
              <w:t xml:space="preserve">, compartimentul </w:t>
            </w:r>
            <w:r w:rsidRPr="00A6480C">
              <w:rPr>
                <w:bCs/>
                <w:i/>
                <w:lang w:val="ro-MD"/>
              </w:rPr>
              <w:t>Transparența decizională,</w:t>
            </w:r>
            <w:r w:rsidRPr="00A6480C">
              <w:rPr>
                <w:bCs/>
                <w:lang w:val="ro-MD"/>
              </w:rPr>
              <w:t xml:space="preserve"> la rubrica</w:t>
            </w:r>
            <w:r w:rsidRPr="00A6480C">
              <w:rPr>
                <w:color w:val="555555"/>
                <w:sz w:val="21"/>
                <w:szCs w:val="21"/>
                <w:lang w:val="ro-MD"/>
              </w:rPr>
              <w:t xml:space="preserve"> </w:t>
            </w:r>
            <w:hyperlink r:id="rId7" w:history="1">
              <w:r w:rsidRPr="00A6480C">
                <w:rPr>
                  <w:rStyle w:val="Hyperlink"/>
                  <w:i/>
                  <w:color w:val="auto"/>
                  <w:u w:val="none"/>
                  <w:bdr w:val="none" w:sz="0" w:space="0" w:color="auto" w:frame="1"/>
                  <w:lang w:val="ro-MD"/>
                </w:rPr>
                <w:t>Proiecte de documente</w:t>
              </w:r>
            </w:hyperlink>
            <w:r w:rsidRPr="00A6480C">
              <w:rPr>
                <w:bCs/>
                <w:i/>
                <w:lang w:val="ro-MD"/>
              </w:rPr>
              <w:t>,</w:t>
            </w:r>
            <w:r w:rsidRPr="00A6480C">
              <w:rPr>
                <w:b/>
                <w:color w:val="3B3B3B"/>
                <w:lang w:val="ro-MD"/>
              </w:rPr>
              <w:t xml:space="preserve"> </w:t>
            </w:r>
            <w:r w:rsidRPr="00A6480C">
              <w:rPr>
                <w:color w:val="3B3B3B"/>
                <w:lang w:val="ro-MD"/>
              </w:rPr>
              <w:t>la data de 5 aprilie 2022, și repetat la</w:t>
            </w:r>
            <w:r w:rsidRPr="00A6480C">
              <w:rPr>
                <w:b/>
                <w:color w:val="3B3B3B"/>
                <w:lang w:val="ro-MD"/>
              </w:rPr>
              <w:t xml:space="preserve"> </w:t>
            </w:r>
            <w:r w:rsidRPr="00A6480C">
              <w:rPr>
                <w:bCs/>
                <w:lang w:val="ro-MD"/>
              </w:rPr>
              <w:t>data de 9 decembrie 2022</w:t>
            </w:r>
            <w:r w:rsidR="003A14D1" w:rsidRPr="00A6480C">
              <w:rPr>
                <w:b/>
                <w:bCs/>
                <w:color w:val="000000"/>
                <w:bdr w:val="none" w:sz="0" w:space="0" w:color="auto" w:frame="1"/>
                <w:lang w:val="ro-MD" w:eastAsia="ro-RO"/>
              </w:rPr>
              <w:t>:</w:t>
            </w:r>
          </w:p>
          <w:p w14:paraId="6B9DF790" w14:textId="7EC29B71" w:rsidR="00F061CD" w:rsidRPr="00A6480C" w:rsidRDefault="00F061CD" w:rsidP="00F061CD">
            <w:pPr>
              <w:spacing w:line="270" w:lineRule="atLeast"/>
              <w:jc w:val="both"/>
              <w:textAlignment w:val="baseline"/>
              <w:rPr>
                <w:rFonts w:eastAsia="Calibri"/>
                <w:b/>
                <w:i/>
                <w:lang w:val="ro-MD"/>
              </w:rPr>
            </w:pPr>
            <w:r w:rsidRPr="00A6480C">
              <w:rPr>
                <w:bCs/>
                <w:i/>
                <w:lang w:val="ro-MD"/>
              </w:rPr>
              <w:t>https://particip.gov.md/ro/document/stages/anunt-privind-initierea-elaborarii-proiectului-de-hotarare-pentru-modificarea-hotararii-guvernului-nr-202019-cu-privire-la-reorganizarea-institutiei-publice-agentia-de-interventie-si-plati-pentru-agricultura09122022-19122022/9878</w:t>
            </w:r>
          </w:p>
          <w:p w14:paraId="6A7C36A6" w14:textId="3A495F6A" w:rsidR="00E50432" w:rsidRPr="00A6480C" w:rsidRDefault="00E50432" w:rsidP="00E50432">
            <w:pPr>
              <w:spacing w:line="270" w:lineRule="atLeast"/>
              <w:jc w:val="both"/>
              <w:textAlignment w:val="baseline"/>
              <w:rPr>
                <w:color w:val="8DB3E2" w:themeColor="text2" w:themeTint="66"/>
                <w:lang w:val="ro-MD" w:eastAsia="ro-RO"/>
              </w:rPr>
            </w:pPr>
          </w:p>
          <w:p w14:paraId="39C7652D" w14:textId="44167080" w:rsidR="00E50432" w:rsidRPr="00A6480C" w:rsidRDefault="00E50432" w:rsidP="00E50432">
            <w:pPr>
              <w:ind w:right="103"/>
              <w:jc w:val="both"/>
              <w:rPr>
                <w:i/>
                <w:lang w:val="ro-MD"/>
              </w:rPr>
            </w:pPr>
            <w:r w:rsidRPr="00A6480C">
              <w:rPr>
                <w:lang w:val="ro-MD"/>
              </w:rPr>
              <w:t xml:space="preserve">Totodată, ținând cont </w:t>
            </w:r>
            <w:r w:rsidR="007A07AA" w:rsidRPr="00A6480C">
              <w:rPr>
                <w:lang w:val="ro-MD"/>
              </w:rPr>
              <w:t xml:space="preserve">de faptul </w:t>
            </w:r>
            <w:r w:rsidRPr="00A6480C">
              <w:rPr>
                <w:lang w:val="ro-MD"/>
              </w:rPr>
              <w:t xml:space="preserve">că proiectul de hotărâre conține prevederi ce sunt atribuite în categoria ,,reforme structurale și instituționale”, în conformitate cu pct. 3 </w:t>
            </w:r>
            <w:proofErr w:type="spellStart"/>
            <w:r w:rsidRPr="00A6480C">
              <w:rPr>
                <w:lang w:val="ro-MD"/>
              </w:rPr>
              <w:t>subpct</w:t>
            </w:r>
            <w:proofErr w:type="spellEnd"/>
            <w:r w:rsidRPr="00A6480C">
              <w:rPr>
                <w:lang w:val="ro-MD"/>
              </w:rPr>
              <w:t>. 3) din Metodologia de analiză a impactului în procesul de fundamentare a proiectelor de acte normative, aprobată prin Hotărârea Guvernului nr.23/2019, a fost elaborată Analiza impactului pe aspectele menționate și remisă Cancelariei de Stat și Ministeru</w:t>
            </w:r>
            <w:r w:rsidR="00F061CD" w:rsidRPr="00A6480C">
              <w:rPr>
                <w:lang w:val="ro-MD"/>
              </w:rPr>
              <w:t>lui Finanțelor spre consultare și, respectiv, plasat</w:t>
            </w:r>
            <w:r w:rsidR="009A602A" w:rsidRPr="00A6480C">
              <w:rPr>
                <w:lang w:val="ro-MD"/>
              </w:rPr>
              <w:t>ă</w:t>
            </w:r>
            <w:r w:rsidR="00F061CD" w:rsidRPr="00A6480C">
              <w:rPr>
                <w:lang w:val="ro-MD"/>
              </w:rPr>
              <w:t xml:space="preserve"> pe </w:t>
            </w:r>
            <w:r w:rsidR="00F061CD" w:rsidRPr="00A6480C">
              <w:rPr>
                <w:bCs/>
                <w:lang w:val="ro-MD"/>
              </w:rPr>
              <w:t xml:space="preserve">pagina web </w:t>
            </w:r>
            <w:r w:rsidR="009A602A" w:rsidRPr="00A6480C">
              <w:rPr>
                <w:rFonts w:eastAsia="Calibri"/>
                <w:lang w:val="ro-MD"/>
              </w:rPr>
              <w:t>oficială</w:t>
            </w:r>
            <w:r w:rsidR="009A602A" w:rsidRPr="00A6480C">
              <w:rPr>
                <w:bCs/>
                <w:lang w:val="ro-MD"/>
              </w:rPr>
              <w:t xml:space="preserve"> </w:t>
            </w:r>
            <w:r w:rsidR="00F44420">
              <w:rPr>
                <w:bCs/>
                <w:lang w:val="ro-MD"/>
              </w:rPr>
              <w:t>a</w:t>
            </w:r>
            <w:r w:rsidR="00F061CD" w:rsidRPr="00A6480C">
              <w:rPr>
                <w:bCs/>
                <w:lang w:val="ro-MD"/>
              </w:rPr>
              <w:t xml:space="preserve"> MAIA, </w:t>
            </w:r>
            <w:hyperlink r:id="rId8" w:history="1">
              <w:r w:rsidR="00F061CD" w:rsidRPr="00A6480C">
                <w:rPr>
                  <w:rStyle w:val="Hyperlink"/>
                  <w:bCs/>
                  <w:i/>
                  <w:color w:val="auto"/>
                  <w:u w:val="none"/>
                  <w:lang w:val="ro-MD"/>
                </w:rPr>
                <w:t>www.maia.gov.md</w:t>
              </w:r>
            </w:hyperlink>
            <w:r w:rsidR="00F061CD" w:rsidRPr="00A6480C">
              <w:rPr>
                <w:bCs/>
                <w:lang w:val="ro-MD"/>
              </w:rPr>
              <w:t xml:space="preserve">, compartimentul </w:t>
            </w:r>
            <w:r w:rsidR="00F061CD" w:rsidRPr="00A6480C">
              <w:rPr>
                <w:bCs/>
                <w:i/>
                <w:lang w:val="ro-MD"/>
              </w:rPr>
              <w:t>Transparența decizională,</w:t>
            </w:r>
            <w:r w:rsidR="00F061CD" w:rsidRPr="00A6480C">
              <w:rPr>
                <w:bCs/>
                <w:lang w:val="ro-MD"/>
              </w:rPr>
              <w:t xml:space="preserve"> la rubrica </w:t>
            </w:r>
            <w:hyperlink r:id="rId9" w:history="1">
              <w:r w:rsidR="00F061CD" w:rsidRPr="00A6480C">
                <w:rPr>
                  <w:rStyle w:val="Hyperlink"/>
                  <w:i/>
                  <w:color w:val="auto"/>
                  <w:u w:val="none"/>
                  <w:bdr w:val="none" w:sz="0" w:space="0" w:color="auto" w:frame="1"/>
                  <w:lang w:val="ro-MD"/>
                </w:rPr>
                <w:t>Proiecte de documente</w:t>
              </w:r>
            </w:hyperlink>
            <w:r w:rsidR="00F061CD" w:rsidRPr="00A6480C">
              <w:rPr>
                <w:i/>
                <w:lang w:val="ro-MD"/>
              </w:rPr>
              <w:t>:</w:t>
            </w:r>
          </w:p>
          <w:p w14:paraId="6FA449E7" w14:textId="4F3840DE" w:rsidR="003A14D1" w:rsidRPr="006600D5" w:rsidRDefault="00A21305" w:rsidP="00E50432">
            <w:pPr>
              <w:ind w:right="103"/>
              <w:jc w:val="both"/>
              <w:rPr>
                <w:i/>
                <w:lang w:val="ro-MD"/>
              </w:rPr>
            </w:pPr>
            <w:hyperlink r:id="rId10" w:history="1">
              <w:r w:rsidR="003A14D1" w:rsidRPr="00A6480C">
                <w:rPr>
                  <w:rStyle w:val="Hyperlink"/>
                  <w:i/>
                  <w:color w:val="auto"/>
                  <w:u w:val="none"/>
                  <w:lang w:val="ro-MD"/>
                </w:rPr>
                <w:t>https://particip.gov.md/ro/document/stages/anuntprivind-initierea-consultarilor-publice-asupra-analizei-impactului-la-proiectului-hotararii-cu-privire-la-modificarea-unor-hotarari-ale-guvernului-si-abrogarea-unei-hotarari/10100</w:t>
              </w:r>
            </w:hyperlink>
          </w:p>
          <w:p w14:paraId="075D9240" w14:textId="58ABBB2B" w:rsidR="005545D4" w:rsidRPr="00A6480C" w:rsidRDefault="00A376E5" w:rsidP="006600D5">
            <w:pPr>
              <w:tabs>
                <w:tab w:val="left" w:pos="884"/>
                <w:tab w:val="left" w:pos="1196"/>
              </w:tabs>
              <w:jc w:val="both"/>
              <w:rPr>
                <w:rFonts w:eastAsia="Calibri"/>
                <w:lang w:val="ro-MD"/>
              </w:rPr>
            </w:pPr>
            <w:r w:rsidRPr="00A6480C">
              <w:rPr>
                <w:rFonts w:eastAsia="Calibri"/>
                <w:lang w:val="ro-MD"/>
              </w:rPr>
              <w:t xml:space="preserve">Proiectul de hotărâre </w:t>
            </w:r>
            <w:r w:rsidR="00E50432" w:rsidRPr="00A6480C">
              <w:rPr>
                <w:rFonts w:eastAsia="Calibri"/>
                <w:lang w:val="ro-MD"/>
              </w:rPr>
              <w:t>se transmite Cancelariei de Stat pentru examinare în ședința secretarilor generali ai ministerelor.</w:t>
            </w:r>
            <w:r w:rsidR="006600D5">
              <w:rPr>
                <w:rFonts w:eastAsia="Calibri"/>
                <w:lang w:val="ro-MD"/>
              </w:rPr>
              <w:t xml:space="preserve"> </w:t>
            </w:r>
            <w:r w:rsidR="00CE06BF" w:rsidRPr="00A6480C">
              <w:rPr>
                <w:rFonts w:eastAsia="Calibri"/>
                <w:lang w:val="ro-MD"/>
              </w:rPr>
              <w:t>Pentru asigurarea transparenței în</w:t>
            </w:r>
            <w:r w:rsidR="002069C2" w:rsidRPr="00A6480C">
              <w:rPr>
                <w:rFonts w:eastAsia="Calibri"/>
                <w:lang w:val="ro-MD"/>
              </w:rPr>
              <w:t xml:space="preserve"> procesul decizional, proiectul</w:t>
            </w:r>
            <w:r w:rsidR="00B52169" w:rsidRPr="00A6480C">
              <w:rPr>
                <w:rFonts w:eastAsia="Calibri"/>
                <w:lang w:val="ro-MD"/>
              </w:rPr>
              <w:t xml:space="preserve"> urmează a fi </w:t>
            </w:r>
            <w:r w:rsidR="00CE06BF" w:rsidRPr="00A6480C">
              <w:rPr>
                <w:rFonts w:eastAsia="Calibri"/>
                <w:lang w:val="ro-MD"/>
              </w:rPr>
              <w:t>plasa</w:t>
            </w:r>
            <w:r w:rsidR="00B52169" w:rsidRPr="00A6480C">
              <w:rPr>
                <w:rFonts w:eastAsia="Calibri"/>
                <w:lang w:val="ro-MD"/>
              </w:rPr>
              <w:t>t</w:t>
            </w:r>
            <w:r w:rsidR="00CE06BF" w:rsidRPr="00A6480C">
              <w:rPr>
                <w:rFonts w:eastAsia="Calibri"/>
                <w:lang w:val="ro-MD"/>
              </w:rPr>
              <w:t xml:space="preserve"> pe </w:t>
            </w:r>
            <w:r w:rsidR="00B52169" w:rsidRPr="00A6480C">
              <w:rPr>
                <w:rFonts w:eastAsia="Calibri"/>
                <w:lang w:val="ro-MD"/>
              </w:rPr>
              <w:t xml:space="preserve">pagina web oficială a </w:t>
            </w:r>
            <w:r w:rsidR="00CE06BF" w:rsidRPr="00A6480C">
              <w:rPr>
                <w:rFonts w:eastAsia="Calibri"/>
                <w:lang w:val="ro-MD"/>
              </w:rPr>
              <w:t>MA</w:t>
            </w:r>
            <w:r w:rsidR="00FB5284" w:rsidRPr="00A6480C">
              <w:rPr>
                <w:rFonts w:eastAsia="Calibri"/>
                <w:lang w:val="ro-MD"/>
              </w:rPr>
              <w:t>IA</w:t>
            </w:r>
            <w:r w:rsidR="00B52169" w:rsidRPr="00A6480C">
              <w:rPr>
                <w:rFonts w:eastAsia="Calibri"/>
                <w:lang w:val="ro-MD"/>
              </w:rPr>
              <w:t>.</w:t>
            </w:r>
          </w:p>
        </w:tc>
      </w:tr>
      <w:tr w:rsidR="005545D4" w:rsidRPr="00A6480C" w14:paraId="692DAAAB" w14:textId="77777777" w:rsidTr="00750902">
        <w:tc>
          <w:tcPr>
            <w:tcW w:w="5000" w:type="pct"/>
          </w:tcPr>
          <w:p w14:paraId="0F311635" w14:textId="77777777" w:rsidR="005545D4" w:rsidRPr="00A6480C" w:rsidRDefault="005545D4" w:rsidP="00BE1AD7">
            <w:pPr>
              <w:tabs>
                <w:tab w:val="left" w:pos="884"/>
                <w:tab w:val="left" w:pos="1196"/>
              </w:tabs>
              <w:jc w:val="both"/>
              <w:rPr>
                <w:rFonts w:eastAsia="Calibri"/>
                <w:b/>
                <w:lang w:val="ro-MD"/>
              </w:rPr>
            </w:pPr>
            <w:r w:rsidRPr="00A6480C">
              <w:rPr>
                <w:rFonts w:eastAsia="Calibri"/>
                <w:b/>
                <w:lang w:val="ro-MD"/>
              </w:rPr>
              <w:t>8. Constatările expertizei anticorupție</w:t>
            </w:r>
          </w:p>
        </w:tc>
      </w:tr>
      <w:tr w:rsidR="005545D4" w:rsidRPr="00A6480C" w14:paraId="557A391B" w14:textId="77777777" w:rsidTr="00750902">
        <w:tc>
          <w:tcPr>
            <w:tcW w:w="5000" w:type="pct"/>
          </w:tcPr>
          <w:p w14:paraId="17F963E6" w14:textId="29CB0353" w:rsidR="005545D4" w:rsidRPr="00A6480C" w:rsidRDefault="005545D4" w:rsidP="0007361D">
            <w:pPr>
              <w:jc w:val="both"/>
              <w:rPr>
                <w:rFonts w:eastAsia="Calibri"/>
                <w:lang w:val="ro-MD"/>
              </w:rPr>
            </w:pPr>
            <w:r w:rsidRPr="00A6480C">
              <w:rPr>
                <w:rFonts w:eastAsia="Calibri"/>
                <w:lang w:val="ro-MD"/>
              </w:rPr>
              <w:t xml:space="preserve">Proiectul </w:t>
            </w:r>
            <w:r w:rsidR="00B52169" w:rsidRPr="00A6480C">
              <w:rPr>
                <w:rFonts w:eastAsia="Calibri"/>
                <w:lang w:val="ro-MD"/>
              </w:rPr>
              <w:t xml:space="preserve">urmează a fi </w:t>
            </w:r>
            <w:r w:rsidRPr="00A6480C">
              <w:rPr>
                <w:rFonts w:eastAsia="Calibri"/>
                <w:lang w:val="ro-MD"/>
              </w:rPr>
              <w:t>remi</w:t>
            </w:r>
            <w:r w:rsidR="002F0A26" w:rsidRPr="00A6480C">
              <w:rPr>
                <w:rFonts w:eastAsia="Calibri"/>
                <w:lang w:val="ro-MD"/>
              </w:rPr>
              <w:t>s</w:t>
            </w:r>
            <w:r w:rsidRPr="00A6480C">
              <w:rPr>
                <w:rFonts w:eastAsia="Calibri"/>
                <w:lang w:val="ro-MD"/>
              </w:rPr>
              <w:t xml:space="preserve"> Centrului National Anticorupție pentru efectuarea expertizei anticorupție.</w:t>
            </w:r>
          </w:p>
        </w:tc>
      </w:tr>
      <w:tr w:rsidR="005545D4" w:rsidRPr="00A6480C" w14:paraId="5688937A" w14:textId="77777777" w:rsidTr="00750902">
        <w:tc>
          <w:tcPr>
            <w:tcW w:w="5000" w:type="pct"/>
          </w:tcPr>
          <w:p w14:paraId="4CEDB6BF" w14:textId="77777777" w:rsidR="005545D4" w:rsidRPr="00A6480C" w:rsidRDefault="005545D4" w:rsidP="00BE1AD7">
            <w:pPr>
              <w:tabs>
                <w:tab w:val="left" w:pos="884"/>
                <w:tab w:val="left" w:pos="1196"/>
              </w:tabs>
              <w:jc w:val="both"/>
              <w:rPr>
                <w:rFonts w:eastAsia="Calibri"/>
                <w:b/>
                <w:lang w:val="ro-MD"/>
              </w:rPr>
            </w:pPr>
            <w:r w:rsidRPr="00A6480C">
              <w:rPr>
                <w:rFonts w:eastAsia="Calibri"/>
                <w:b/>
                <w:lang w:val="ro-MD"/>
              </w:rPr>
              <w:t>9. Constatările expertizei de compatibilitate</w:t>
            </w:r>
          </w:p>
        </w:tc>
      </w:tr>
      <w:tr w:rsidR="005545D4" w:rsidRPr="00A6480C" w14:paraId="0B3E6CE2" w14:textId="77777777" w:rsidTr="00750902">
        <w:tc>
          <w:tcPr>
            <w:tcW w:w="5000" w:type="pct"/>
          </w:tcPr>
          <w:p w14:paraId="508EA435" w14:textId="5BB7D208" w:rsidR="005545D4" w:rsidRPr="00A6480C" w:rsidRDefault="005545D4" w:rsidP="00BE1AD7">
            <w:pPr>
              <w:jc w:val="both"/>
              <w:rPr>
                <w:rFonts w:eastAsia="Calibri"/>
                <w:lang w:val="ro-MD"/>
              </w:rPr>
            </w:pPr>
            <w:r w:rsidRPr="00A6480C">
              <w:rPr>
                <w:rFonts w:eastAsia="Calibri"/>
                <w:lang w:val="ro-MD"/>
              </w:rPr>
              <w:t>Proiectul nu necesită expertiză de compatibilitate.</w:t>
            </w:r>
          </w:p>
        </w:tc>
      </w:tr>
      <w:tr w:rsidR="005545D4" w:rsidRPr="00A6480C" w14:paraId="63860A99" w14:textId="77777777" w:rsidTr="00750902">
        <w:tc>
          <w:tcPr>
            <w:tcW w:w="5000" w:type="pct"/>
          </w:tcPr>
          <w:p w14:paraId="74E3D597" w14:textId="77777777" w:rsidR="005545D4" w:rsidRPr="00A6480C" w:rsidRDefault="005545D4" w:rsidP="00BE1AD7">
            <w:pPr>
              <w:tabs>
                <w:tab w:val="left" w:pos="884"/>
                <w:tab w:val="left" w:pos="1196"/>
              </w:tabs>
              <w:jc w:val="both"/>
              <w:rPr>
                <w:rFonts w:eastAsia="Calibri"/>
                <w:b/>
                <w:lang w:val="ro-MD"/>
              </w:rPr>
            </w:pPr>
            <w:r w:rsidRPr="00A6480C">
              <w:rPr>
                <w:rFonts w:eastAsia="Calibri"/>
                <w:b/>
                <w:lang w:val="ro-MD"/>
              </w:rPr>
              <w:t>10. Constatările expertizei juridice</w:t>
            </w:r>
          </w:p>
        </w:tc>
      </w:tr>
      <w:tr w:rsidR="005545D4" w:rsidRPr="00A6480C" w14:paraId="5920450E" w14:textId="77777777" w:rsidTr="00750902">
        <w:tc>
          <w:tcPr>
            <w:tcW w:w="5000" w:type="pct"/>
          </w:tcPr>
          <w:p w14:paraId="28517C74" w14:textId="345BDF42" w:rsidR="005545D4" w:rsidRPr="00A6480C" w:rsidRDefault="005545D4" w:rsidP="002F0A26">
            <w:pPr>
              <w:tabs>
                <w:tab w:val="left" w:pos="884"/>
                <w:tab w:val="left" w:pos="1196"/>
              </w:tabs>
              <w:jc w:val="both"/>
              <w:rPr>
                <w:rFonts w:eastAsia="Calibri"/>
                <w:b/>
                <w:lang w:val="ro-MD"/>
              </w:rPr>
            </w:pPr>
            <w:r w:rsidRPr="00A6480C">
              <w:rPr>
                <w:rFonts w:eastAsia="Calibri"/>
                <w:lang w:val="ro-MD"/>
              </w:rPr>
              <w:t xml:space="preserve">Proiectul </w:t>
            </w:r>
            <w:r w:rsidR="00B52169" w:rsidRPr="00A6480C">
              <w:rPr>
                <w:rFonts w:eastAsia="Calibri"/>
                <w:lang w:val="ro-MD"/>
              </w:rPr>
              <w:t xml:space="preserve">urmează a fi remis </w:t>
            </w:r>
            <w:r w:rsidRPr="00A6480C">
              <w:rPr>
                <w:rFonts w:eastAsia="Calibri"/>
                <w:lang w:val="ro-MD"/>
              </w:rPr>
              <w:t>Ministerului Justiției pentru efectuarea expertizei juridice.</w:t>
            </w:r>
          </w:p>
        </w:tc>
      </w:tr>
      <w:tr w:rsidR="005545D4" w:rsidRPr="00A6480C" w14:paraId="73DC3E36" w14:textId="77777777" w:rsidTr="00750902">
        <w:tc>
          <w:tcPr>
            <w:tcW w:w="5000" w:type="pct"/>
          </w:tcPr>
          <w:p w14:paraId="46061EE6" w14:textId="77777777" w:rsidR="005545D4" w:rsidRPr="00A6480C" w:rsidRDefault="005545D4" w:rsidP="00BE1AD7">
            <w:pPr>
              <w:tabs>
                <w:tab w:val="left" w:pos="884"/>
                <w:tab w:val="left" w:pos="1196"/>
              </w:tabs>
              <w:jc w:val="both"/>
              <w:rPr>
                <w:rFonts w:eastAsia="Calibri"/>
                <w:b/>
                <w:lang w:val="ro-MD"/>
              </w:rPr>
            </w:pPr>
            <w:r w:rsidRPr="00A6480C">
              <w:rPr>
                <w:rFonts w:eastAsia="Calibri"/>
                <w:b/>
                <w:lang w:val="ro-MD"/>
              </w:rPr>
              <w:t>11. Constatările altor expertize</w:t>
            </w:r>
          </w:p>
        </w:tc>
      </w:tr>
      <w:tr w:rsidR="005545D4" w:rsidRPr="00A6480C" w14:paraId="6304404C" w14:textId="77777777" w:rsidTr="00750902">
        <w:tc>
          <w:tcPr>
            <w:tcW w:w="5000" w:type="pct"/>
          </w:tcPr>
          <w:p w14:paraId="474D818C" w14:textId="327E61E7" w:rsidR="00552689" w:rsidRPr="00A6480C" w:rsidRDefault="005545D4" w:rsidP="00BE1AD7">
            <w:pPr>
              <w:pStyle w:val="Listparagraf"/>
              <w:ind w:left="0"/>
              <w:jc w:val="both"/>
              <w:rPr>
                <w:color w:val="000000"/>
                <w:lang w:val="ro-MD"/>
              </w:rPr>
            </w:pPr>
            <w:r w:rsidRPr="00A6480C">
              <w:rPr>
                <w:lang w:val="ro-MD"/>
              </w:rPr>
              <w:t xml:space="preserve">Necesitatea </w:t>
            </w:r>
            <w:r w:rsidR="007A07AA" w:rsidRPr="00A6480C">
              <w:rPr>
                <w:lang w:val="ro-MD"/>
              </w:rPr>
              <w:t xml:space="preserve">elaborării proiectului de hotărâre respectiv </w:t>
            </w:r>
            <w:r w:rsidRPr="00A6480C">
              <w:rPr>
                <w:lang w:val="ro-MD"/>
              </w:rPr>
              <w:t>rezultat din recomandările experților UE,</w:t>
            </w:r>
            <w:r w:rsidR="00552689" w:rsidRPr="00A6480C">
              <w:rPr>
                <w:iCs/>
                <w:shd w:val="clear" w:color="auto" w:fill="FFFFFF"/>
                <w:lang w:val="ro-MD"/>
              </w:rPr>
              <w:t xml:space="preserve"> conform Raportului de audit de acreditare a A</w:t>
            </w:r>
            <w:r w:rsidR="002F0A26" w:rsidRPr="00A6480C">
              <w:rPr>
                <w:iCs/>
                <w:shd w:val="clear" w:color="auto" w:fill="FFFFFF"/>
                <w:lang w:val="ro-MD"/>
              </w:rPr>
              <w:t>genției</w:t>
            </w:r>
            <w:r w:rsidR="00552689" w:rsidRPr="00A6480C">
              <w:rPr>
                <w:iCs/>
                <w:shd w:val="clear" w:color="auto" w:fill="FFFFFF"/>
                <w:lang w:val="ro-MD"/>
              </w:rPr>
              <w:t>, în cadrul Proiectului TWINNING ”</w:t>
            </w:r>
            <w:r w:rsidR="00552689" w:rsidRPr="00A6480C">
              <w:rPr>
                <w:i/>
                <w:iCs/>
                <w:shd w:val="clear" w:color="auto" w:fill="FFFFFF"/>
                <w:lang w:val="ro-MD"/>
              </w:rPr>
              <w:t>Sprijin suplimentar pentru agricultură, dezvoltare rurală și siguranța alimentară în Republica Moldova</w:t>
            </w:r>
            <w:r w:rsidR="00552689" w:rsidRPr="00A6480C">
              <w:rPr>
                <w:iCs/>
                <w:shd w:val="clear" w:color="auto" w:fill="FFFFFF"/>
                <w:lang w:val="ro-MD"/>
              </w:rPr>
              <w:t xml:space="preserve">”, care descrie necesitatea stringentă a ajustării structurii organizatorice și divizarea funcțiilor principale pentru a corespunde unei agenții de plăți, conform </w:t>
            </w:r>
            <w:r w:rsidR="00552689" w:rsidRPr="00A6480C">
              <w:rPr>
                <w:rFonts w:eastAsia="Calibri"/>
                <w:lang w:val="ro-MD"/>
              </w:rPr>
              <w:t>anexei I la Regulamentul delegat (UE) nr. 907/2014 al Comisiei din 11 martie 2014 de completare a Regulamentului (UE) nr. 1306/2013 al Parlamentului European și al Consiliului în ceea ce privește agențiile de plăți.</w:t>
            </w:r>
          </w:p>
          <w:p w14:paraId="0154F75D" w14:textId="77777777" w:rsidR="005545D4" w:rsidRPr="00A6480C" w:rsidRDefault="005545D4" w:rsidP="00BE1AD7">
            <w:pPr>
              <w:ind w:right="103" w:firstLine="599"/>
              <w:jc w:val="both"/>
              <w:rPr>
                <w:rFonts w:eastAsia="Calibri"/>
                <w:b/>
                <w:lang w:val="ro-MD"/>
              </w:rPr>
            </w:pPr>
          </w:p>
          <w:p w14:paraId="634B8398" w14:textId="3EA80F9D" w:rsidR="002F3044" w:rsidRPr="00A6480C" w:rsidRDefault="002F3044" w:rsidP="002F0A26">
            <w:pPr>
              <w:ind w:right="103"/>
              <w:jc w:val="both"/>
              <w:rPr>
                <w:lang w:val="ro-MD"/>
              </w:rPr>
            </w:pPr>
            <w:r w:rsidRPr="00A6480C">
              <w:rPr>
                <w:lang w:val="ro-MD"/>
              </w:rPr>
              <w:t xml:space="preserve">Proiectul nu conține prevederi de reglementare a activității de întreprinzător în contextul Legii nr. 235/2006 cu privire la principiile de bază de reglementare a </w:t>
            </w:r>
            <w:r w:rsidRPr="00A6480C">
              <w:rPr>
                <w:lang w:val="ro-MD"/>
              </w:rPr>
              <w:lastRenderedPageBreak/>
              <w:t xml:space="preserve">activității de întreprinzător, astfel decăzând necesitatea examinării acestuia de către Grupul de lucru pentru reglementarea activității de întreprinzător. </w:t>
            </w:r>
          </w:p>
        </w:tc>
      </w:tr>
    </w:tbl>
    <w:p w14:paraId="35239AE5" w14:textId="77777777" w:rsidR="005545D4" w:rsidRPr="00A6480C" w:rsidRDefault="005545D4" w:rsidP="00BE1AD7">
      <w:pPr>
        <w:tabs>
          <w:tab w:val="left" w:pos="884"/>
          <w:tab w:val="left" w:pos="1196"/>
        </w:tabs>
        <w:jc w:val="both"/>
        <w:rPr>
          <w:rFonts w:eastAsia="Calibri"/>
          <w:bCs/>
          <w:vertAlign w:val="superscript"/>
          <w:lang w:val="ro-MD"/>
        </w:rPr>
      </w:pPr>
    </w:p>
    <w:p w14:paraId="73D0A688" w14:textId="1D5C8272" w:rsidR="005545D4" w:rsidRPr="00A6480C" w:rsidRDefault="005545D4" w:rsidP="00BE1AD7">
      <w:pPr>
        <w:tabs>
          <w:tab w:val="left" w:pos="884"/>
          <w:tab w:val="left" w:pos="1196"/>
        </w:tabs>
        <w:jc w:val="both"/>
        <w:rPr>
          <w:rFonts w:eastAsia="Calibri"/>
          <w:b/>
          <w:bCs/>
          <w:lang w:val="ro-MD"/>
        </w:rPr>
      </w:pPr>
    </w:p>
    <w:p w14:paraId="75B11578" w14:textId="77777777" w:rsidR="00B24FE3" w:rsidRDefault="00750902" w:rsidP="00BE1AD7">
      <w:pPr>
        <w:tabs>
          <w:tab w:val="left" w:pos="884"/>
          <w:tab w:val="left" w:pos="1196"/>
        </w:tabs>
        <w:jc w:val="both"/>
        <w:rPr>
          <w:rFonts w:eastAsia="Calibri"/>
          <w:b/>
          <w:bCs/>
          <w:lang w:val="ro-MD"/>
        </w:rPr>
      </w:pPr>
      <w:r w:rsidRPr="00A6480C">
        <w:rPr>
          <w:rFonts w:eastAsia="Calibri"/>
          <w:b/>
          <w:bCs/>
          <w:lang w:val="ro-MD"/>
        </w:rPr>
        <w:t xml:space="preserve">     </w:t>
      </w:r>
    </w:p>
    <w:p w14:paraId="26919E9A" w14:textId="3355DF28" w:rsidR="005545D4" w:rsidRPr="00A6480C" w:rsidRDefault="00D6161E" w:rsidP="00BE1AD7">
      <w:pPr>
        <w:tabs>
          <w:tab w:val="left" w:pos="884"/>
          <w:tab w:val="left" w:pos="1196"/>
        </w:tabs>
        <w:jc w:val="both"/>
        <w:rPr>
          <w:rFonts w:eastAsia="Calibri"/>
          <w:b/>
          <w:bCs/>
          <w:lang w:val="ro-MD"/>
        </w:rPr>
      </w:pPr>
      <w:r>
        <w:rPr>
          <w:rFonts w:eastAsia="Calibri"/>
          <w:b/>
          <w:bCs/>
          <w:lang w:val="ro-MD"/>
        </w:rPr>
        <w:t xml:space="preserve">     </w:t>
      </w:r>
      <w:r w:rsidR="00750902" w:rsidRPr="00A6480C">
        <w:rPr>
          <w:rFonts w:eastAsia="Calibri"/>
          <w:b/>
          <w:bCs/>
          <w:lang w:val="ro-MD"/>
        </w:rPr>
        <w:t>Viceprim-ministru,</w:t>
      </w:r>
    </w:p>
    <w:p w14:paraId="643A9DCF" w14:textId="18548E30" w:rsidR="005545D4" w:rsidRPr="00A6480C" w:rsidRDefault="00750902" w:rsidP="00BE1AD7">
      <w:pPr>
        <w:jc w:val="both"/>
        <w:rPr>
          <w:rFonts w:eastAsia="Calibri"/>
          <w:b/>
          <w:lang w:val="ro-MD"/>
        </w:rPr>
      </w:pPr>
      <w:r w:rsidRPr="00A6480C">
        <w:rPr>
          <w:rFonts w:eastAsia="Calibri"/>
          <w:b/>
          <w:bCs/>
          <w:lang w:val="ro-MD"/>
        </w:rPr>
        <w:t xml:space="preserve">             Ministru   </w:t>
      </w:r>
      <w:r w:rsidR="005545D4" w:rsidRPr="00A6480C">
        <w:rPr>
          <w:rFonts w:eastAsia="Calibri"/>
          <w:b/>
          <w:bCs/>
          <w:lang w:val="ro-MD"/>
        </w:rPr>
        <w:t xml:space="preserve">  </w:t>
      </w:r>
      <w:r w:rsidRPr="00A6480C">
        <w:rPr>
          <w:rFonts w:eastAsia="Calibri"/>
          <w:b/>
          <w:bCs/>
          <w:lang w:val="ro-MD"/>
        </w:rPr>
        <w:t xml:space="preserve">                                                                         Vladimir BOLEA</w:t>
      </w:r>
    </w:p>
    <w:sectPr w:rsidR="005545D4" w:rsidRPr="00A6480C" w:rsidSect="00C24814">
      <w:pgSz w:w="11906" w:h="16838" w:code="9"/>
      <w:pgMar w:top="567" w:right="746" w:bottom="709"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2B8E"/>
    <w:multiLevelType w:val="multilevel"/>
    <w:tmpl w:val="664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5F09"/>
    <w:multiLevelType w:val="hybridMultilevel"/>
    <w:tmpl w:val="5CE412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609A"/>
    <w:multiLevelType w:val="hybridMultilevel"/>
    <w:tmpl w:val="401CBF58"/>
    <w:lvl w:ilvl="0" w:tplc="0542ECC8">
      <w:start w:val="2"/>
      <w:numFmt w:val="bullet"/>
      <w:lvlText w:val="-"/>
      <w:lvlJc w:val="left"/>
      <w:pPr>
        <w:ind w:left="457" w:hanging="360"/>
      </w:pPr>
      <w:rPr>
        <w:rFonts w:ascii="Times New Roman" w:eastAsia="Times New Roman" w:hAnsi="Times New Roman" w:cs="Times New Roman" w:hint="default"/>
      </w:rPr>
    </w:lvl>
    <w:lvl w:ilvl="1" w:tplc="04180003" w:tentative="1">
      <w:start w:val="1"/>
      <w:numFmt w:val="bullet"/>
      <w:lvlText w:val="o"/>
      <w:lvlJc w:val="left"/>
      <w:pPr>
        <w:ind w:left="1177" w:hanging="360"/>
      </w:pPr>
      <w:rPr>
        <w:rFonts w:ascii="Courier New" w:hAnsi="Courier New" w:cs="Courier New" w:hint="default"/>
      </w:rPr>
    </w:lvl>
    <w:lvl w:ilvl="2" w:tplc="04180005" w:tentative="1">
      <w:start w:val="1"/>
      <w:numFmt w:val="bullet"/>
      <w:lvlText w:val=""/>
      <w:lvlJc w:val="left"/>
      <w:pPr>
        <w:ind w:left="1897" w:hanging="360"/>
      </w:pPr>
      <w:rPr>
        <w:rFonts w:ascii="Wingdings" w:hAnsi="Wingdings" w:hint="default"/>
      </w:rPr>
    </w:lvl>
    <w:lvl w:ilvl="3" w:tplc="04180001" w:tentative="1">
      <w:start w:val="1"/>
      <w:numFmt w:val="bullet"/>
      <w:lvlText w:val=""/>
      <w:lvlJc w:val="left"/>
      <w:pPr>
        <w:ind w:left="2617" w:hanging="360"/>
      </w:pPr>
      <w:rPr>
        <w:rFonts w:ascii="Symbol" w:hAnsi="Symbol" w:hint="default"/>
      </w:rPr>
    </w:lvl>
    <w:lvl w:ilvl="4" w:tplc="04180003" w:tentative="1">
      <w:start w:val="1"/>
      <w:numFmt w:val="bullet"/>
      <w:lvlText w:val="o"/>
      <w:lvlJc w:val="left"/>
      <w:pPr>
        <w:ind w:left="3337" w:hanging="360"/>
      </w:pPr>
      <w:rPr>
        <w:rFonts w:ascii="Courier New" w:hAnsi="Courier New" w:cs="Courier New" w:hint="default"/>
      </w:rPr>
    </w:lvl>
    <w:lvl w:ilvl="5" w:tplc="04180005" w:tentative="1">
      <w:start w:val="1"/>
      <w:numFmt w:val="bullet"/>
      <w:lvlText w:val=""/>
      <w:lvlJc w:val="left"/>
      <w:pPr>
        <w:ind w:left="4057" w:hanging="360"/>
      </w:pPr>
      <w:rPr>
        <w:rFonts w:ascii="Wingdings" w:hAnsi="Wingdings" w:hint="default"/>
      </w:rPr>
    </w:lvl>
    <w:lvl w:ilvl="6" w:tplc="04180001" w:tentative="1">
      <w:start w:val="1"/>
      <w:numFmt w:val="bullet"/>
      <w:lvlText w:val=""/>
      <w:lvlJc w:val="left"/>
      <w:pPr>
        <w:ind w:left="4777" w:hanging="360"/>
      </w:pPr>
      <w:rPr>
        <w:rFonts w:ascii="Symbol" w:hAnsi="Symbol" w:hint="default"/>
      </w:rPr>
    </w:lvl>
    <w:lvl w:ilvl="7" w:tplc="04180003" w:tentative="1">
      <w:start w:val="1"/>
      <w:numFmt w:val="bullet"/>
      <w:lvlText w:val="o"/>
      <w:lvlJc w:val="left"/>
      <w:pPr>
        <w:ind w:left="5497" w:hanging="360"/>
      </w:pPr>
      <w:rPr>
        <w:rFonts w:ascii="Courier New" w:hAnsi="Courier New" w:cs="Courier New" w:hint="default"/>
      </w:rPr>
    </w:lvl>
    <w:lvl w:ilvl="8" w:tplc="04180005" w:tentative="1">
      <w:start w:val="1"/>
      <w:numFmt w:val="bullet"/>
      <w:lvlText w:val=""/>
      <w:lvlJc w:val="left"/>
      <w:pPr>
        <w:ind w:left="6217" w:hanging="360"/>
      </w:pPr>
      <w:rPr>
        <w:rFonts w:ascii="Wingdings" w:hAnsi="Wingdings" w:hint="default"/>
      </w:rPr>
    </w:lvl>
  </w:abstractNum>
  <w:abstractNum w:abstractNumId="3" w15:restartNumberingAfterBreak="0">
    <w:nsid w:val="2D5548BD"/>
    <w:multiLevelType w:val="hybridMultilevel"/>
    <w:tmpl w:val="A16AED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656A2"/>
    <w:multiLevelType w:val="hybridMultilevel"/>
    <w:tmpl w:val="1898EEF6"/>
    <w:lvl w:ilvl="0" w:tplc="02946A32">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2622E1"/>
    <w:multiLevelType w:val="hybridMultilevel"/>
    <w:tmpl w:val="F354619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BA00BFF"/>
    <w:multiLevelType w:val="hybridMultilevel"/>
    <w:tmpl w:val="C630BA28"/>
    <w:lvl w:ilvl="0" w:tplc="387E9C20">
      <w:numFmt w:val="bullet"/>
      <w:lvlText w:val="-"/>
      <w:lvlJc w:val="left"/>
      <w:pPr>
        <w:ind w:left="1429" w:hanging="360"/>
      </w:pPr>
      <w:rPr>
        <w:rFonts w:ascii="Times New Roman" w:eastAsia="Times New Roman" w:hAnsi="Times New Roman" w:cs="Times New Roman" w:hint="default"/>
        <w:color w:val="222222"/>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4EFD099C"/>
    <w:multiLevelType w:val="hybridMultilevel"/>
    <w:tmpl w:val="B7AE0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675EF"/>
    <w:multiLevelType w:val="hybridMultilevel"/>
    <w:tmpl w:val="C49E9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7E0FD6"/>
    <w:multiLevelType w:val="hybridMultilevel"/>
    <w:tmpl w:val="88A00490"/>
    <w:lvl w:ilvl="0" w:tplc="61A20BE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F2213D"/>
    <w:multiLevelType w:val="hybridMultilevel"/>
    <w:tmpl w:val="C3AC59E6"/>
    <w:lvl w:ilvl="0" w:tplc="64601570">
      <w:start w:val="1"/>
      <w:numFmt w:val="bullet"/>
      <w:lvlText w:val="-"/>
      <w:lvlJc w:val="left"/>
      <w:pPr>
        <w:ind w:left="990" w:hanging="360"/>
      </w:pPr>
      <w:rPr>
        <w:rFonts w:ascii="Times New Roman" w:eastAsia="Calibri"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11" w15:restartNumberingAfterBreak="0">
    <w:nsid w:val="7A7F2E23"/>
    <w:multiLevelType w:val="hybridMultilevel"/>
    <w:tmpl w:val="B7AE0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D6DCA"/>
    <w:multiLevelType w:val="hybridMultilevel"/>
    <w:tmpl w:val="39AE39D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4"/>
  </w:num>
  <w:num w:numId="5">
    <w:abstractNumId w:val="6"/>
  </w:num>
  <w:num w:numId="6">
    <w:abstractNumId w:val="10"/>
  </w:num>
  <w:num w:numId="7">
    <w:abstractNumId w:val="8"/>
  </w:num>
  <w:num w:numId="8">
    <w:abstractNumId w:val="12"/>
  </w:num>
  <w:num w:numId="9">
    <w:abstractNumId w:val="7"/>
  </w:num>
  <w:num w:numId="10">
    <w:abstractNumId w:val="1"/>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F3"/>
    <w:rsid w:val="00001101"/>
    <w:rsid w:val="00004AB0"/>
    <w:rsid w:val="00004EC9"/>
    <w:rsid w:val="00012DC7"/>
    <w:rsid w:val="000267FB"/>
    <w:rsid w:val="0003015F"/>
    <w:rsid w:val="00061914"/>
    <w:rsid w:val="000673E5"/>
    <w:rsid w:val="0007330E"/>
    <w:rsid w:val="0007361D"/>
    <w:rsid w:val="000808B8"/>
    <w:rsid w:val="00096CFE"/>
    <w:rsid w:val="000E1F87"/>
    <w:rsid w:val="000F68CA"/>
    <w:rsid w:val="0010503F"/>
    <w:rsid w:val="0012659B"/>
    <w:rsid w:val="00130492"/>
    <w:rsid w:val="0017664A"/>
    <w:rsid w:val="001778AB"/>
    <w:rsid w:val="00183597"/>
    <w:rsid w:val="001A2819"/>
    <w:rsid w:val="001A2D2F"/>
    <w:rsid w:val="001A5DFF"/>
    <w:rsid w:val="001B1C1C"/>
    <w:rsid w:val="001C2314"/>
    <w:rsid w:val="0020205F"/>
    <w:rsid w:val="002069C2"/>
    <w:rsid w:val="002212F5"/>
    <w:rsid w:val="002449FE"/>
    <w:rsid w:val="0025471E"/>
    <w:rsid w:val="00267ACD"/>
    <w:rsid w:val="00272C29"/>
    <w:rsid w:val="002750ED"/>
    <w:rsid w:val="002763DE"/>
    <w:rsid w:val="00277F8D"/>
    <w:rsid w:val="002823A1"/>
    <w:rsid w:val="00286F83"/>
    <w:rsid w:val="002A19B1"/>
    <w:rsid w:val="002B4FD6"/>
    <w:rsid w:val="002C3F84"/>
    <w:rsid w:val="002D2E50"/>
    <w:rsid w:val="002E72F0"/>
    <w:rsid w:val="002F0A26"/>
    <w:rsid w:val="002F3044"/>
    <w:rsid w:val="0031774A"/>
    <w:rsid w:val="00321ABD"/>
    <w:rsid w:val="00353EFB"/>
    <w:rsid w:val="00362CE5"/>
    <w:rsid w:val="003842A0"/>
    <w:rsid w:val="00385633"/>
    <w:rsid w:val="00391887"/>
    <w:rsid w:val="00394155"/>
    <w:rsid w:val="003A018F"/>
    <w:rsid w:val="003A13BD"/>
    <w:rsid w:val="003A14D1"/>
    <w:rsid w:val="003A27C2"/>
    <w:rsid w:val="003A2C8A"/>
    <w:rsid w:val="003B2C10"/>
    <w:rsid w:val="003B7446"/>
    <w:rsid w:val="003F7374"/>
    <w:rsid w:val="00400D7F"/>
    <w:rsid w:val="00402514"/>
    <w:rsid w:val="004129E3"/>
    <w:rsid w:val="00440C78"/>
    <w:rsid w:val="004414C7"/>
    <w:rsid w:val="004524DD"/>
    <w:rsid w:val="00486C82"/>
    <w:rsid w:val="00487FE1"/>
    <w:rsid w:val="00495CFE"/>
    <w:rsid w:val="004A7A83"/>
    <w:rsid w:val="004B5504"/>
    <w:rsid w:val="004C658A"/>
    <w:rsid w:val="004D65AD"/>
    <w:rsid w:val="005163C2"/>
    <w:rsid w:val="00523F92"/>
    <w:rsid w:val="005300F6"/>
    <w:rsid w:val="005351C9"/>
    <w:rsid w:val="00546E13"/>
    <w:rsid w:val="00552689"/>
    <w:rsid w:val="005545D4"/>
    <w:rsid w:val="00561328"/>
    <w:rsid w:val="00565BC5"/>
    <w:rsid w:val="00573796"/>
    <w:rsid w:val="00591011"/>
    <w:rsid w:val="00591136"/>
    <w:rsid w:val="005A0C38"/>
    <w:rsid w:val="0060799B"/>
    <w:rsid w:val="006237DC"/>
    <w:rsid w:val="00636442"/>
    <w:rsid w:val="0064535E"/>
    <w:rsid w:val="006600D5"/>
    <w:rsid w:val="006828C9"/>
    <w:rsid w:val="00682F91"/>
    <w:rsid w:val="006931CE"/>
    <w:rsid w:val="006C4EEA"/>
    <w:rsid w:val="006E30A0"/>
    <w:rsid w:val="006E4E48"/>
    <w:rsid w:val="006F0F8E"/>
    <w:rsid w:val="00701B37"/>
    <w:rsid w:val="00713959"/>
    <w:rsid w:val="00713F88"/>
    <w:rsid w:val="007244AF"/>
    <w:rsid w:val="0072621B"/>
    <w:rsid w:val="00736577"/>
    <w:rsid w:val="00736822"/>
    <w:rsid w:val="00750902"/>
    <w:rsid w:val="0075097A"/>
    <w:rsid w:val="00754B25"/>
    <w:rsid w:val="00785292"/>
    <w:rsid w:val="00790564"/>
    <w:rsid w:val="0079112C"/>
    <w:rsid w:val="007960E5"/>
    <w:rsid w:val="007A07AA"/>
    <w:rsid w:val="007A406F"/>
    <w:rsid w:val="007A5B0D"/>
    <w:rsid w:val="007D2D55"/>
    <w:rsid w:val="00807E42"/>
    <w:rsid w:val="0081267E"/>
    <w:rsid w:val="00830B94"/>
    <w:rsid w:val="00831EB3"/>
    <w:rsid w:val="00845730"/>
    <w:rsid w:val="00845EA9"/>
    <w:rsid w:val="0086721F"/>
    <w:rsid w:val="008741D1"/>
    <w:rsid w:val="00891A61"/>
    <w:rsid w:val="00892EFA"/>
    <w:rsid w:val="008977AF"/>
    <w:rsid w:val="008A30AA"/>
    <w:rsid w:val="008A5E86"/>
    <w:rsid w:val="008C233C"/>
    <w:rsid w:val="008F0C4A"/>
    <w:rsid w:val="008F585A"/>
    <w:rsid w:val="00927F1C"/>
    <w:rsid w:val="00937BB2"/>
    <w:rsid w:val="00956F75"/>
    <w:rsid w:val="00975A02"/>
    <w:rsid w:val="009931F2"/>
    <w:rsid w:val="009A602A"/>
    <w:rsid w:val="009C040B"/>
    <w:rsid w:val="009C6D67"/>
    <w:rsid w:val="009D45E7"/>
    <w:rsid w:val="009D7F4E"/>
    <w:rsid w:val="009E608C"/>
    <w:rsid w:val="009F0840"/>
    <w:rsid w:val="00A21305"/>
    <w:rsid w:val="00A34A87"/>
    <w:rsid w:val="00A376E5"/>
    <w:rsid w:val="00A45F74"/>
    <w:rsid w:val="00A505A1"/>
    <w:rsid w:val="00A60D28"/>
    <w:rsid w:val="00A61232"/>
    <w:rsid w:val="00A6480C"/>
    <w:rsid w:val="00A7298C"/>
    <w:rsid w:val="00A91AB2"/>
    <w:rsid w:val="00A93135"/>
    <w:rsid w:val="00AA6548"/>
    <w:rsid w:val="00AD1F77"/>
    <w:rsid w:val="00AE0B61"/>
    <w:rsid w:val="00AE1D5C"/>
    <w:rsid w:val="00AF7D23"/>
    <w:rsid w:val="00B05D07"/>
    <w:rsid w:val="00B22138"/>
    <w:rsid w:val="00B24FE3"/>
    <w:rsid w:val="00B31B3B"/>
    <w:rsid w:val="00B41F8E"/>
    <w:rsid w:val="00B52169"/>
    <w:rsid w:val="00B57C14"/>
    <w:rsid w:val="00B62FD8"/>
    <w:rsid w:val="00B668FD"/>
    <w:rsid w:val="00B82038"/>
    <w:rsid w:val="00B84D64"/>
    <w:rsid w:val="00B9541B"/>
    <w:rsid w:val="00B96462"/>
    <w:rsid w:val="00BA0469"/>
    <w:rsid w:val="00BB724A"/>
    <w:rsid w:val="00BD1284"/>
    <w:rsid w:val="00BE1AD7"/>
    <w:rsid w:val="00C104D8"/>
    <w:rsid w:val="00C1246E"/>
    <w:rsid w:val="00C24814"/>
    <w:rsid w:val="00C349CE"/>
    <w:rsid w:val="00C608D2"/>
    <w:rsid w:val="00C745A1"/>
    <w:rsid w:val="00C92120"/>
    <w:rsid w:val="00CA064F"/>
    <w:rsid w:val="00CA6657"/>
    <w:rsid w:val="00CB0565"/>
    <w:rsid w:val="00CB70A3"/>
    <w:rsid w:val="00CC3724"/>
    <w:rsid w:val="00CD4675"/>
    <w:rsid w:val="00CE06BF"/>
    <w:rsid w:val="00D33D9C"/>
    <w:rsid w:val="00D6161E"/>
    <w:rsid w:val="00D616CA"/>
    <w:rsid w:val="00D62454"/>
    <w:rsid w:val="00D8548A"/>
    <w:rsid w:val="00D8758B"/>
    <w:rsid w:val="00D95BFA"/>
    <w:rsid w:val="00DA53B5"/>
    <w:rsid w:val="00DC20BB"/>
    <w:rsid w:val="00DD2A0C"/>
    <w:rsid w:val="00E12857"/>
    <w:rsid w:val="00E163C9"/>
    <w:rsid w:val="00E2638C"/>
    <w:rsid w:val="00E406BF"/>
    <w:rsid w:val="00E44D09"/>
    <w:rsid w:val="00E50432"/>
    <w:rsid w:val="00E5122C"/>
    <w:rsid w:val="00E514CE"/>
    <w:rsid w:val="00E56B95"/>
    <w:rsid w:val="00E6703F"/>
    <w:rsid w:val="00E7527C"/>
    <w:rsid w:val="00E77465"/>
    <w:rsid w:val="00EC4052"/>
    <w:rsid w:val="00EC649E"/>
    <w:rsid w:val="00EC7482"/>
    <w:rsid w:val="00ED1A76"/>
    <w:rsid w:val="00F061CD"/>
    <w:rsid w:val="00F44420"/>
    <w:rsid w:val="00F47F5E"/>
    <w:rsid w:val="00F512C3"/>
    <w:rsid w:val="00F609A8"/>
    <w:rsid w:val="00F64D13"/>
    <w:rsid w:val="00F66BEF"/>
    <w:rsid w:val="00F67503"/>
    <w:rsid w:val="00F82CC0"/>
    <w:rsid w:val="00F8404D"/>
    <w:rsid w:val="00FA06B8"/>
    <w:rsid w:val="00FB5284"/>
    <w:rsid w:val="00FB5804"/>
    <w:rsid w:val="00FB79F3"/>
    <w:rsid w:val="00FE3116"/>
    <w:rsid w:val="00FE3E7F"/>
    <w:rsid w:val="00FE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B49D"/>
  <w15:docId w15:val="{1CAA7B7F-60F3-4F74-9016-CA70603B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9F3"/>
    <w:pPr>
      <w:spacing w:line="240" w:lineRule="auto"/>
    </w:pPr>
    <w:rPr>
      <w:rFonts w:eastAsia="Times New Roman" w:cs="Times New Roman"/>
      <w:sz w:val="28"/>
      <w:szCs w:val="28"/>
      <w:lang w:val="ro-RO" w:eastAsia="ru-RU"/>
    </w:rPr>
  </w:style>
  <w:style w:type="paragraph" w:styleId="Titlu4">
    <w:name w:val="heading 4"/>
    <w:basedOn w:val="Normal"/>
    <w:link w:val="Titlu4Caracter"/>
    <w:uiPriority w:val="9"/>
    <w:qFormat/>
    <w:rsid w:val="009D7F4E"/>
    <w:pPr>
      <w:spacing w:before="100" w:beforeAutospacing="1" w:after="100" w:afterAutospacing="1"/>
      <w:outlineLvl w:val="3"/>
    </w:pPr>
    <w:rPr>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ews">
    <w:name w:val="news"/>
    <w:basedOn w:val="Normal"/>
    <w:rsid w:val="00FB79F3"/>
    <w:rPr>
      <w:rFonts w:ascii="Arial" w:hAnsi="Arial" w:cs="Arial"/>
      <w:sz w:val="20"/>
      <w:szCs w:val="20"/>
    </w:rPr>
  </w:style>
  <w:style w:type="paragraph" w:styleId="Listparagraf">
    <w:name w:val="List Paragraph"/>
    <w:aliases w:val="Bullet Points,Liste Paragraf,List Paragraph1,PDP DOCUMENT SUBTITLE,En tête 1,List Paragraph in table,Akapit z listą,Paragraphe de liste,Table of contents numbered,Bullet List,Heading 2_sj,Dot pt,Numbered Para 1,WB Para,Akapit z listą B,lp"/>
    <w:basedOn w:val="Normal"/>
    <w:link w:val="ListparagrafCaracter"/>
    <w:uiPriority w:val="34"/>
    <w:qFormat/>
    <w:rsid w:val="007244AF"/>
    <w:pPr>
      <w:ind w:left="720"/>
      <w:contextualSpacing/>
    </w:p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aracter"/>
    <w:unhideWhenUsed/>
    <w:rsid w:val="00C104D8"/>
    <w:pPr>
      <w:ind w:firstLine="567"/>
      <w:jc w:val="both"/>
    </w:pPr>
    <w:rPr>
      <w:sz w:val="24"/>
      <w:szCs w:val="24"/>
      <w:lang w:val="en-US" w:eastAsia="en-US"/>
    </w:rPr>
  </w:style>
  <w:style w:type="character" w:customStyle="1" w:styleId="ListparagrafCaracter">
    <w:name w:val="Listă paragraf Caracter"/>
    <w:aliases w:val="Bullet Points Caracter,Liste Paragraf Caracter,List Paragraph1 Caracter,PDP DOCUMENT SUBTITLE Caracter,En tête 1 Caracter,List Paragraph in table Caracter,Akapit z listą Caracter,Paragraphe de liste Caracter,Bullet List Caracter"/>
    <w:link w:val="Listparagraf"/>
    <w:uiPriority w:val="34"/>
    <w:qFormat/>
    <w:locked/>
    <w:rsid w:val="001B1C1C"/>
    <w:rPr>
      <w:rFonts w:eastAsia="Times New Roman" w:cs="Times New Roman"/>
      <w:sz w:val="28"/>
      <w:szCs w:val="28"/>
      <w:lang w:val="ro-RO" w:eastAsia="ru-RU"/>
    </w:rPr>
  </w:style>
  <w:style w:type="table" w:styleId="Tabelgril">
    <w:name w:val="Table Grid"/>
    <w:basedOn w:val="TabelNormal"/>
    <w:uiPriority w:val="39"/>
    <w:rsid w:val="001B1C1C"/>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deparagrafimplicit"/>
    <w:rsid w:val="005545D4"/>
    <w:rPr>
      <w:rFonts w:ascii="Times New Roman" w:hAnsi="Times New Roman" w:cs="Times New Roman" w:hint="default"/>
      <w:b w:val="0"/>
      <w:bCs w:val="0"/>
      <w:i w:val="0"/>
      <w:iCs w:val="0"/>
      <w:color w:val="000000"/>
      <w:sz w:val="28"/>
      <w:szCs w:val="28"/>
    </w:rPr>
  </w:style>
  <w:style w:type="character" w:customStyle="1" w:styleId="Titlu4Caracter">
    <w:name w:val="Titlu 4 Caracter"/>
    <w:basedOn w:val="Fontdeparagrafimplicit"/>
    <w:link w:val="Titlu4"/>
    <w:uiPriority w:val="9"/>
    <w:rsid w:val="009D7F4E"/>
    <w:rPr>
      <w:rFonts w:eastAsia="Times New Roman" w:cs="Times New Roman"/>
      <w:b/>
      <w:bCs/>
      <w:szCs w:val="24"/>
      <w:lang w:val="ro-RO" w:eastAsia="ro-RO"/>
    </w:rPr>
  </w:style>
  <w:style w:type="character" w:styleId="Robust">
    <w:name w:val="Strong"/>
    <w:basedOn w:val="Fontdeparagrafimplicit"/>
    <w:uiPriority w:val="22"/>
    <w:qFormat/>
    <w:rsid w:val="009D7F4E"/>
    <w:rPr>
      <w:b/>
      <w:bCs/>
    </w:rPr>
  </w:style>
  <w:style w:type="character" w:styleId="Referincomentariu">
    <w:name w:val="annotation reference"/>
    <w:basedOn w:val="Fontdeparagrafimplicit"/>
    <w:uiPriority w:val="99"/>
    <w:semiHidden/>
    <w:unhideWhenUsed/>
    <w:rsid w:val="00807E42"/>
    <w:rPr>
      <w:sz w:val="16"/>
      <w:szCs w:val="16"/>
    </w:rPr>
  </w:style>
  <w:style w:type="paragraph" w:styleId="Textcomentariu">
    <w:name w:val="annotation text"/>
    <w:basedOn w:val="Normal"/>
    <w:link w:val="TextcomentariuCaracter"/>
    <w:uiPriority w:val="99"/>
    <w:semiHidden/>
    <w:unhideWhenUsed/>
    <w:rsid w:val="00807E42"/>
    <w:pPr>
      <w:jc w:val="right"/>
    </w:pPr>
    <w:rPr>
      <w:rFonts w:eastAsiaTheme="minorHAnsi" w:cstheme="minorBidi"/>
      <w:sz w:val="20"/>
      <w:szCs w:val="20"/>
      <w:lang w:val="en-US" w:eastAsia="en-US"/>
    </w:rPr>
  </w:style>
  <w:style w:type="character" w:customStyle="1" w:styleId="TextcomentariuCaracter">
    <w:name w:val="Text comentariu Caracter"/>
    <w:basedOn w:val="Fontdeparagrafimplicit"/>
    <w:link w:val="Textcomentariu"/>
    <w:uiPriority w:val="99"/>
    <w:semiHidden/>
    <w:rsid w:val="00807E42"/>
    <w:rPr>
      <w:sz w:val="20"/>
      <w:szCs w:val="20"/>
    </w:rPr>
  </w:style>
  <w:style w:type="character" w:customStyle="1" w:styleId="NormalWebCaracter">
    <w:name w:val="Normal (Web) Caracter"/>
    <w:aliases w:val="Normal (Web) Char Char Caracter,Normal (Web) Char Char Char Caracter,Normal (Web) Char Char Char Char Caracter,Normal (Web) Char Char Char Char Char Char Caracter,Normal (Web) Char Char Char Char Char Caracter,Знак Знак4 Caracter"/>
    <w:link w:val="NormalWeb"/>
    <w:locked/>
    <w:rsid w:val="00C92120"/>
    <w:rPr>
      <w:rFonts w:eastAsia="Times New Roman" w:cs="Times New Roman"/>
      <w:szCs w:val="24"/>
    </w:rPr>
  </w:style>
  <w:style w:type="paragraph" w:styleId="Revizuire">
    <w:name w:val="Revision"/>
    <w:hidden/>
    <w:uiPriority w:val="99"/>
    <w:semiHidden/>
    <w:rsid w:val="008C233C"/>
    <w:pPr>
      <w:spacing w:line="240" w:lineRule="auto"/>
    </w:pPr>
    <w:rPr>
      <w:rFonts w:eastAsia="Times New Roman" w:cs="Times New Roman"/>
      <w:sz w:val="28"/>
      <w:szCs w:val="28"/>
      <w:lang w:val="ro-RO" w:eastAsia="ru-RU"/>
    </w:rPr>
  </w:style>
  <w:style w:type="paragraph" w:styleId="Corptext">
    <w:name w:val="Body Text"/>
    <w:basedOn w:val="Normal"/>
    <w:link w:val="CorptextCaracter"/>
    <w:uiPriority w:val="1"/>
    <w:qFormat/>
    <w:rsid w:val="00892EFA"/>
    <w:pPr>
      <w:widowControl w:val="0"/>
      <w:autoSpaceDE w:val="0"/>
      <w:autoSpaceDN w:val="0"/>
      <w:ind w:left="222" w:firstLine="707"/>
    </w:pPr>
    <w:rPr>
      <w:lang w:eastAsia="ro-RO" w:bidi="ro-RO"/>
    </w:rPr>
  </w:style>
  <w:style w:type="character" w:customStyle="1" w:styleId="CorptextCaracter">
    <w:name w:val="Corp text Caracter"/>
    <w:basedOn w:val="Fontdeparagrafimplicit"/>
    <w:link w:val="Corptext"/>
    <w:uiPriority w:val="1"/>
    <w:rsid w:val="00892EFA"/>
    <w:rPr>
      <w:rFonts w:eastAsia="Times New Roman" w:cs="Times New Roman"/>
      <w:sz w:val="28"/>
      <w:szCs w:val="28"/>
      <w:lang w:val="ro-RO" w:eastAsia="ro-RO" w:bidi="ro-RO"/>
    </w:rPr>
  </w:style>
  <w:style w:type="paragraph" w:styleId="TextnBalon">
    <w:name w:val="Balloon Text"/>
    <w:basedOn w:val="Normal"/>
    <w:link w:val="TextnBalonCaracter"/>
    <w:uiPriority w:val="99"/>
    <w:semiHidden/>
    <w:unhideWhenUsed/>
    <w:rsid w:val="00267AC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67ACD"/>
    <w:rPr>
      <w:rFonts w:ascii="Segoe UI" w:eastAsia="Times New Roman" w:hAnsi="Segoe UI" w:cs="Segoe UI"/>
      <w:sz w:val="18"/>
      <w:szCs w:val="18"/>
      <w:lang w:val="ro-RO" w:eastAsia="ru-RU"/>
    </w:rPr>
  </w:style>
  <w:style w:type="paragraph" w:styleId="SubiectComentariu">
    <w:name w:val="annotation subject"/>
    <w:basedOn w:val="Textcomentariu"/>
    <w:next w:val="Textcomentariu"/>
    <w:link w:val="SubiectComentariuCaracter"/>
    <w:uiPriority w:val="99"/>
    <w:semiHidden/>
    <w:unhideWhenUsed/>
    <w:rsid w:val="00B52169"/>
    <w:pPr>
      <w:jc w:val="left"/>
    </w:pPr>
    <w:rPr>
      <w:rFonts w:eastAsia="Times New Roman" w:cs="Times New Roman"/>
      <w:b/>
      <w:bCs/>
      <w:lang w:val="ro-RO" w:eastAsia="ru-RU"/>
    </w:rPr>
  </w:style>
  <w:style w:type="character" w:customStyle="1" w:styleId="SubiectComentariuCaracter">
    <w:name w:val="Subiect Comentariu Caracter"/>
    <w:basedOn w:val="TextcomentariuCaracter"/>
    <w:link w:val="SubiectComentariu"/>
    <w:uiPriority w:val="99"/>
    <w:semiHidden/>
    <w:rsid w:val="00B52169"/>
    <w:rPr>
      <w:rFonts w:eastAsia="Times New Roman" w:cs="Times New Roman"/>
      <w:b/>
      <w:bCs/>
      <w:sz w:val="20"/>
      <w:szCs w:val="20"/>
      <w:lang w:val="ro-RO" w:eastAsia="ru-RU"/>
    </w:rPr>
  </w:style>
  <w:style w:type="paragraph" w:customStyle="1" w:styleId="Style18">
    <w:name w:val="Style18"/>
    <w:basedOn w:val="Normal"/>
    <w:uiPriority w:val="99"/>
    <w:rsid w:val="00B82038"/>
    <w:pPr>
      <w:widowControl w:val="0"/>
      <w:autoSpaceDE w:val="0"/>
      <w:autoSpaceDN w:val="0"/>
      <w:adjustRightInd w:val="0"/>
      <w:spacing w:line="278" w:lineRule="exact"/>
      <w:ind w:firstLine="638"/>
    </w:pPr>
    <w:rPr>
      <w:rFonts w:eastAsiaTheme="minorEastAsia"/>
      <w:sz w:val="24"/>
      <w:szCs w:val="24"/>
      <w:lang w:val="ru-RU"/>
    </w:rPr>
  </w:style>
  <w:style w:type="character" w:customStyle="1" w:styleId="FontStyle40">
    <w:name w:val="Font Style40"/>
    <w:basedOn w:val="Fontdeparagrafimplicit"/>
    <w:uiPriority w:val="99"/>
    <w:rsid w:val="00B82038"/>
    <w:rPr>
      <w:rFonts w:ascii="Times New Roman" w:hAnsi="Times New Roman" w:cs="Times New Roman"/>
      <w:i/>
      <w:iCs/>
      <w:sz w:val="22"/>
      <w:szCs w:val="22"/>
    </w:rPr>
  </w:style>
  <w:style w:type="paragraph" w:customStyle="1" w:styleId="pb">
    <w:name w:val="pb"/>
    <w:basedOn w:val="Normal"/>
    <w:rsid w:val="004B5504"/>
    <w:pPr>
      <w:spacing w:before="100" w:beforeAutospacing="1" w:after="100" w:afterAutospacing="1"/>
    </w:pPr>
    <w:rPr>
      <w:sz w:val="24"/>
      <w:szCs w:val="24"/>
      <w:lang w:eastAsia="ro-RO"/>
    </w:rPr>
  </w:style>
  <w:style w:type="character" w:styleId="Hyperlink">
    <w:name w:val="Hyperlink"/>
    <w:basedOn w:val="Fontdeparagrafimplicit"/>
    <w:uiPriority w:val="99"/>
    <w:unhideWhenUsed/>
    <w:rsid w:val="004B5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31998">
      <w:bodyDiv w:val="1"/>
      <w:marLeft w:val="0"/>
      <w:marRight w:val="0"/>
      <w:marTop w:val="0"/>
      <w:marBottom w:val="0"/>
      <w:divBdr>
        <w:top w:val="none" w:sz="0" w:space="0" w:color="auto"/>
        <w:left w:val="none" w:sz="0" w:space="0" w:color="auto"/>
        <w:bottom w:val="none" w:sz="0" w:space="0" w:color="auto"/>
        <w:right w:val="none" w:sz="0" w:space="0" w:color="auto"/>
      </w:divBdr>
    </w:div>
    <w:div w:id="274562846">
      <w:bodyDiv w:val="1"/>
      <w:marLeft w:val="0"/>
      <w:marRight w:val="0"/>
      <w:marTop w:val="0"/>
      <w:marBottom w:val="0"/>
      <w:divBdr>
        <w:top w:val="none" w:sz="0" w:space="0" w:color="auto"/>
        <w:left w:val="none" w:sz="0" w:space="0" w:color="auto"/>
        <w:bottom w:val="none" w:sz="0" w:space="0" w:color="auto"/>
        <w:right w:val="none" w:sz="0" w:space="0" w:color="auto"/>
      </w:divBdr>
    </w:div>
    <w:div w:id="338314630">
      <w:bodyDiv w:val="1"/>
      <w:marLeft w:val="0"/>
      <w:marRight w:val="0"/>
      <w:marTop w:val="0"/>
      <w:marBottom w:val="0"/>
      <w:divBdr>
        <w:top w:val="none" w:sz="0" w:space="0" w:color="auto"/>
        <w:left w:val="none" w:sz="0" w:space="0" w:color="auto"/>
        <w:bottom w:val="none" w:sz="0" w:space="0" w:color="auto"/>
        <w:right w:val="none" w:sz="0" w:space="0" w:color="auto"/>
      </w:divBdr>
      <w:divsChild>
        <w:div w:id="1853644600">
          <w:marLeft w:val="0"/>
          <w:marRight w:val="0"/>
          <w:marTop w:val="0"/>
          <w:marBottom w:val="0"/>
          <w:divBdr>
            <w:top w:val="none" w:sz="0" w:space="0" w:color="auto"/>
            <w:left w:val="none" w:sz="0" w:space="0" w:color="auto"/>
            <w:bottom w:val="none" w:sz="0" w:space="0" w:color="auto"/>
            <w:right w:val="none" w:sz="0" w:space="0" w:color="auto"/>
          </w:divBdr>
        </w:div>
      </w:divsChild>
    </w:div>
    <w:div w:id="503715437">
      <w:bodyDiv w:val="1"/>
      <w:marLeft w:val="0"/>
      <w:marRight w:val="0"/>
      <w:marTop w:val="0"/>
      <w:marBottom w:val="0"/>
      <w:divBdr>
        <w:top w:val="none" w:sz="0" w:space="0" w:color="auto"/>
        <w:left w:val="none" w:sz="0" w:space="0" w:color="auto"/>
        <w:bottom w:val="none" w:sz="0" w:space="0" w:color="auto"/>
        <w:right w:val="none" w:sz="0" w:space="0" w:color="auto"/>
      </w:divBdr>
    </w:div>
    <w:div w:id="721514156">
      <w:bodyDiv w:val="1"/>
      <w:marLeft w:val="0"/>
      <w:marRight w:val="0"/>
      <w:marTop w:val="0"/>
      <w:marBottom w:val="0"/>
      <w:divBdr>
        <w:top w:val="none" w:sz="0" w:space="0" w:color="auto"/>
        <w:left w:val="none" w:sz="0" w:space="0" w:color="auto"/>
        <w:bottom w:val="none" w:sz="0" w:space="0" w:color="auto"/>
        <w:right w:val="none" w:sz="0" w:space="0" w:color="auto"/>
      </w:divBdr>
    </w:div>
    <w:div w:id="747462343">
      <w:bodyDiv w:val="1"/>
      <w:marLeft w:val="0"/>
      <w:marRight w:val="0"/>
      <w:marTop w:val="0"/>
      <w:marBottom w:val="0"/>
      <w:divBdr>
        <w:top w:val="none" w:sz="0" w:space="0" w:color="auto"/>
        <w:left w:val="none" w:sz="0" w:space="0" w:color="auto"/>
        <w:bottom w:val="none" w:sz="0" w:space="0" w:color="auto"/>
        <w:right w:val="none" w:sz="0" w:space="0" w:color="auto"/>
      </w:divBdr>
    </w:div>
    <w:div w:id="1130590818">
      <w:bodyDiv w:val="1"/>
      <w:marLeft w:val="0"/>
      <w:marRight w:val="0"/>
      <w:marTop w:val="0"/>
      <w:marBottom w:val="0"/>
      <w:divBdr>
        <w:top w:val="none" w:sz="0" w:space="0" w:color="auto"/>
        <w:left w:val="none" w:sz="0" w:space="0" w:color="auto"/>
        <w:bottom w:val="none" w:sz="0" w:space="0" w:color="auto"/>
        <w:right w:val="none" w:sz="0" w:space="0" w:color="auto"/>
      </w:divBdr>
    </w:div>
    <w:div w:id="1302535881">
      <w:bodyDiv w:val="1"/>
      <w:marLeft w:val="0"/>
      <w:marRight w:val="0"/>
      <w:marTop w:val="0"/>
      <w:marBottom w:val="0"/>
      <w:divBdr>
        <w:top w:val="none" w:sz="0" w:space="0" w:color="auto"/>
        <w:left w:val="none" w:sz="0" w:space="0" w:color="auto"/>
        <w:bottom w:val="none" w:sz="0" w:space="0" w:color="auto"/>
        <w:right w:val="none" w:sz="0" w:space="0" w:color="auto"/>
      </w:divBdr>
    </w:div>
    <w:div w:id="1489328131">
      <w:bodyDiv w:val="1"/>
      <w:marLeft w:val="0"/>
      <w:marRight w:val="0"/>
      <w:marTop w:val="0"/>
      <w:marBottom w:val="0"/>
      <w:divBdr>
        <w:top w:val="none" w:sz="0" w:space="0" w:color="auto"/>
        <w:left w:val="none" w:sz="0" w:space="0" w:color="auto"/>
        <w:bottom w:val="none" w:sz="0" w:space="0" w:color="auto"/>
        <w:right w:val="none" w:sz="0" w:space="0" w:color="auto"/>
      </w:divBdr>
    </w:div>
    <w:div w:id="1545562594">
      <w:bodyDiv w:val="1"/>
      <w:marLeft w:val="0"/>
      <w:marRight w:val="0"/>
      <w:marTop w:val="0"/>
      <w:marBottom w:val="0"/>
      <w:divBdr>
        <w:top w:val="none" w:sz="0" w:space="0" w:color="auto"/>
        <w:left w:val="none" w:sz="0" w:space="0" w:color="auto"/>
        <w:bottom w:val="none" w:sz="0" w:space="0" w:color="auto"/>
        <w:right w:val="none" w:sz="0" w:space="0" w:color="auto"/>
      </w:divBdr>
    </w:div>
    <w:div w:id="1548906581">
      <w:bodyDiv w:val="1"/>
      <w:marLeft w:val="0"/>
      <w:marRight w:val="0"/>
      <w:marTop w:val="0"/>
      <w:marBottom w:val="0"/>
      <w:divBdr>
        <w:top w:val="none" w:sz="0" w:space="0" w:color="auto"/>
        <w:left w:val="none" w:sz="0" w:space="0" w:color="auto"/>
        <w:bottom w:val="none" w:sz="0" w:space="0" w:color="auto"/>
        <w:right w:val="none" w:sz="0" w:space="0" w:color="auto"/>
      </w:divBdr>
    </w:div>
    <w:div w:id="182986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a.gov.md" TargetMode="External"/><Relationship Id="rId3" Type="http://schemas.openxmlformats.org/officeDocument/2006/relationships/styles" Target="styles.xml"/><Relationship Id="rId7" Type="http://schemas.openxmlformats.org/officeDocument/2006/relationships/hyperlink" Target="https://www.madrm.gov.md/ro/content/proiecte-de-document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ia.gov.m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icip.gov.md/ro/document/stages/anuntprivind-initierea-consultarilor-publice-asupra-analizei-impactului-la-proiectului-hotararii-cu-privire-la-modificarea-unor-hotarari-ale-guvernului-si-abrogarea-unei-hotarari/10100" TargetMode="External"/><Relationship Id="rId4" Type="http://schemas.openxmlformats.org/officeDocument/2006/relationships/settings" Target="settings.xml"/><Relationship Id="rId9" Type="http://schemas.openxmlformats.org/officeDocument/2006/relationships/hyperlink" Target="https://www.madrm.gov.md/ro/content/proiecte-de-documen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E87E5-7981-476D-8A8A-6E969A10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3992</Words>
  <Characters>23154</Characters>
  <Application>Microsoft Office Word</Application>
  <DocSecurity>0</DocSecurity>
  <Lines>192</Lines>
  <Paragraphs>54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27092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Timciuc Denis</dc:creator>
  <cp:lastModifiedBy>Lilia DUMITRAȘ</cp:lastModifiedBy>
  <cp:revision>43</cp:revision>
  <cp:lastPrinted>2023-03-10T07:09:00Z</cp:lastPrinted>
  <dcterms:created xsi:type="dcterms:W3CDTF">2023-03-09T12:43:00Z</dcterms:created>
  <dcterms:modified xsi:type="dcterms:W3CDTF">2023-03-27T12:54:00Z</dcterms:modified>
</cp:coreProperties>
</file>