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E636" w14:textId="77777777" w:rsidR="002A5B12" w:rsidRDefault="002A5B12" w:rsidP="00E07EA5">
      <w:pPr>
        <w:shd w:val="clear" w:color="auto" w:fill="FFFFFF"/>
        <w:spacing w:before="120" w:after="120" w:line="240" w:lineRule="auto"/>
        <w:jc w:val="center"/>
        <w:rPr>
          <w:rFonts w:ascii="Arial" w:eastAsia="Arial" w:hAnsi="Arial" w:cs="Arial"/>
          <w:color w:val="000000"/>
          <w:sz w:val="24"/>
          <w:szCs w:val="24"/>
        </w:rPr>
      </w:pPr>
    </w:p>
    <w:tbl>
      <w:tblPr>
        <w:tblStyle w:val="a"/>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566"/>
        <w:gridCol w:w="1397"/>
        <w:gridCol w:w="1397"/>
      </w:tblGrid>
      <w:tr w:rsidR="002A5B12" w14:paraId="219519A5" w14:textId="77777777">
        <w:trPr>
          <w:jc w:val="center"/>
        </w:trPr>
        <w:tc>
          <w:tcPr>
            <w:tcW w:w="10033" w:type="dxa"/>
            <w:gridSpan w:val="4"/>
            <w:tcMar>
              <w:top w:w="24" w:type="dxa"/>
              <w:left w:w="48" w:type="dxa"/>
              <w:bottom w:w="24" w:type="dxa"/>
              <w:right w:w="48" w:type="dxa"/>
            </w:tcMar>
          </w:tcPr>
          <w:p w14:paraId="1B188E8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1820432F"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Formularul tipizat al documentului de analiză a impactului</w:t>
            </w:r>
          </w:p>
          <w:p w14:paraId="28BE24C3" w14:textId="77777777" w:rsidR="002A5B12" w:rsidRDefault="007C6886" w:rsidP="00E07EA5">
            <w:pPr>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w:t>
            </w:r>
          </w:p>
        </w:tc>
      </w:tr>
      <w:tr w:rsidR="002A5B12" w14:paraId="4FDA69CB" w14:textId="77777777">
        <w:trPr>
          <w:jc w:val="center"/>
        </w:trPr>
        <w:tc>
          <w:tcPr>
            <w:tcW w:w="4673" w:type="dxa"/>
            <w:tcMar>
              <w:top w:w="24" w:type="dxa"/>
              <w:left w:w="48" w:type="dxa"/>
              <w:bottom w:w="24" w:type="dxa"/>
              <w:right w:w="48" w:type="dxa"/>
            </w:tcMar>
          </w:tcPr>
          <w:p w14:paraId="7005896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Titlul analizei impactului</w:t>
            </w:r>
            <w:r>
              <w:rPr>
                <w:rFonts w:ascii="Times New Roman" w:eastAsia="Times New Roman" w:hAnsi="Times New Roman" w:cs="Times New Roman"/>
              </w:rPr>
              <w:t xml:space="preserve"> (poate </w:t>
            </w:r>
            <w:proofErr w:type="spellStart"/>
            <w:r>
              <w:rPr>
                <w:rFonts w:ascii="Times New Roman" w:eastAsia="Times New Roman" w:hAnsi="Times New Roman" w:cs="Times New Roman"/>
              </w:rPr>
              <w:t>conţine</w:t>
            </w:r>
            <w:proofErr w:type="spellEnd"/>
            <w:r>
              <w:rPr>
                <w:rFonts w:ascii="Times New Roman" w:eastAsia="Times New Roman" w:hAnsi="Times New Roman" w:cs="Times New Roman"/>
              </w:rPr>
              <w:t xml:space="preserve"> titlul propunerii de act normativ):</w:t>
            </w:r>
          </w:p>
        </w:tc>
        <w:tc>
          <w:tcPr>
            <w:tcW w:w="5360" w:type="dxa"/>
            <w:gridSpan w:val="3"/>
            <w:tcMar>
              <w:top w:w="24" w:type="dxa"/>
              <w:left w:w="48" w:type="dxa"/>
              <w:bottom w:w="24" w:type="dxa"/>
              <w:right w:w="48" w:type="dxa"/>
            </w:tcMar>
          </w:tcPr>
          <w:p w14:paraId="1F746885" w14:textId="25C7397D" w:rsidR="002A5B12" w:rsidRDefault="007C6886" w:rsidP="007C6886">
            <w:pPr>
              <w:pStyle w:val="NoSpacing"/>
              <w:spacing w:after="120"/>
              <w:ind w:left="113" w:right="113"/>
              <w:jc w:val="both"/>
              <w:rPr>
                <w:rFonts w:ascii="Times New Roman" w:eastAsia="Times New Roman" w:hAnsi="Times New Roman" w:cs="Times New Roman"/>
              </w:rPr>
            </w:pPr>
            <w:r>
              <w:rPr>
                <w:rFonts w:ascii="Times New Roman" w:eastAsia="Times New Roman" w:hAnsi="Times New Roman" w:cs="Times New Roman"/>
              </w:rPr>
              <w:t xml:space="preserve">Proiectul de lege pentru modificarea unor acte normative </w:t>
            </w:r>
            <w:r w:rsidRPr="007C6886">
              <w:rPr>
                <w:rFonts w:ascii="Times New Roman" w:hAnsi="Times New Roman"/>
                <w:bCs/>
                <w:i/>
              </w:rPr>
              <w:t xml:space="preserve">(Legea concurenței nr.183/2012, </w:t>
            </w:r>
            <w:r w:rsidRPr="007C6886">
              <w:rPr>
                <w:rFonts w:ascii="Times New Roman" w:eastAsia="Times New Roman" w:hAnsi="Times New Roman"/>
                <w:i/>
                <w:color w:val="000000"/>
              </w:rPr>
              <w:t xml:space="preserve">Legea cu privire la funcția publică și statutul funcționarului public nr.158/2008, </w:t>
            </w:r>
            <w:r w:rsidRPr="007C6886">
              <w:rPr>
                <w:rFonts w:ascii="Times New Roman" w:hAnsi="Times New Roman"/>
                <w:i/>
              </w:rPr>
              <w:t>Legea pentru aprobarea Clasificatorului unic al funcțiilor publice nr.155/2011)</w:t>
            </w:r>
          </w:p>
        </w:tc>
      </w:tr>
      <w:tr w:rsidR="002A5B12" w14:paraId="3E68E491" w14:textId="77777777">
        <w:trPr>
          <w:jc w:val="center"/>
        </w:trPr>
        <w:tc>
          <w:tcPr>
            <w:tcW w:w="4673" w:type="dxa"/>
            <w:tcMar>
              <w:top w:w="24" w:type="dxa"/>
              <w:left w:w="48" w:type="dxa"/>
              <w:bottom w:w="24" w:type="dxa"/>
              <w:right w:w="48" w:type="dxa"/>
            </w:tcMar>
          </w:tcPr>
          <w:p w14:paraId="0919626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Data:</w:t>
            </w:r>
          </w:p>
        </w:tc>
        <w:tc>
          <w:tcPr>
            <w:tcW w:w="5360" w:type="dxa"/>
            <w:gridSpan w:val="3"/>
            <w:tcMar>
              <w:top w:w="24" w:type="dxa"/>
              <w:left w:w="48" w:type="dxa"/>
              <w:bottom w:w="24" w:type="dxa"/>
              <w:right w:w="48" w:type="dxa"/>
            </w:tcMar>
          </w:tcPr>
          <w:p w14:paraId="2DE17C4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23.03.2023</w:t>
            </w:r>
          </w:p>
        </w:tc>
      </w:tr>
      <w:tr w:rsidR="002A5B12" w14:paraId="28934D12" w14:textId="77777777">
        <w:trPr>
          <w:jc w:val="center"/>
        </w:trPr>
        <w:tc>
          <w:tcPr>
            <w:tcW w:w="4673" w:type="dxa"/>
            <w:tcMar>
              <w:top w:w="24" w:type="dxa"/>
              <w:left w:w="48" w:type="dxa"/>
              <w:bottom w:w="24" w:type="dxa"/>
              <w:right w:w="48" w:type="dxa"/>
            </w:tcMar>
          </w:tcPr>
          <w:p w14:paraId="59155A6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 xml:space="preserve">Autoritatea </w:t>
            </w:r>
            <w:proofErr w:type="spellStart"/>
            <w:r>
              <w:rPr>
                <w:rFonts w:ascii="Times New Roman" w:eastAsia="Times New Roman" w:hAnsi="Times New Roman" w:cs="Times New Roman"/>
                <w:b/>
              </w:rPr>
              <w:t>administraţiei</w:t>
            </w:r>
            <w:proofErr w:type="spellEnd"/>
            <w:r>
              <w:rPr>
                <w:rFonts w:ascii="Times New Roman" w:eastAsia="Times New Roman" w:hAnsi="Times New Roman" w:cs="Times New Roman"/>
                <w:b/>
              </w:rPr>
              <w:t xml:space="preserve"> publice (autor):</w:t>
            </w:r>
          </w:p>
        </w:tc>
        <w:tc>
          <w:tcPr>
            <w:tcW w:w="5360" w:type="dxa"/>
            <w:gridSpan w:val="3"/>
            <w:tcMar>
              <w:top w:w="24" w:type="dxa"/>
              <w:left w:w="48" w:type="dxa"/>
              <w:bottom w:w="24" w:type="dxa"/>
              <w:right w:w="48" w:type="dxa"/>
            </w:tcMar>
          </w:tcPr>
          <w:p w14:paraId="233AF9F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Ministerul Dezvoltării Economice și Digitalizării</w:t>
            </w:r>
          </w:p>
        </w:tc>
      </w:tr>
      <w:tr w:rsidR="002A5B12" w14:paraId="718D84CB" w14:textId="77777777">
        <w:trPr>
          <w:jc w:val="center"/>
        </w:trPr>
        <w:tc>
          <w:tcPr>
            <w:tcW w:w="4673" w:type="dxa"/>
            <w:tcMar>
              <w:top w:w="24" w:type="dxa"/>
              <w:left w:w="48" w:type="dxa"/>
              <w:bottom w:w="24" w:type="dxa"/>
              <w:right w:w="48" w:type="dxa"/>
            </w:tcMar>
          </w:tcPr>
          <w:p w14:paraId="3600800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Subdiviziunea:</w:t>
            </w:r>
          </w:p>
        </w:tc>
        <w:tc>
          <w:tcPr>
            <w:tcW w:w="5360" w:type="dxa"/>
            <w:gridSpan w:val="3"/>
            <w:tcMar>
              <w:top w:w="24" w:type="dxa"/>
              <w:left w:w="48" w:type="dxa"/>
              <w:bottom w:w="24" w:type="dxa"/>
              <w:right w:w="48" w:type="dxa"/>
            </w:tcMar>
          </w:tcPr>
          <w:p w14:paraId="4C3D951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725EFD51" w14:textId="77777777">
        <w:trPr>
          <w:jc w:val="center"/>
        </w:trPr>
        <w:tc>
          <w:tcPr>
            <w:tcW w:w="4673" w:type="dxa"/>
            <w:tcMar>
              <w:top w:w="24" w:type="dxa"/>
              <w:left w:w="48" w:type="dxa"/>
              <w:bottom w:w="24" w:type="dxa"/>
              <w:right w:w="48" w:type="dxa"/>
            </w:tcMar>
          </w:tcPr>
          <w:p w14:paraId="5D2C601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 xml:space="preserve">Persoana responsabilă </w:t>
            </w:r>
            <w:proofErr w:type="spellStart"/>
            <w:r>
              <w:rPr>
                <w:rFonts w:ascii="Times New Roman" w:eastAsia="Times New Roman" w:hAnsi="Times New Roman" w:cs="Times New Roman"/>
                <w:b/>
              </w:rPr>
              <w:t>şi</w:t>
            </w:r>
            <w:proofErr w:type="spellEnd"/>
            <w:r>
              <w:rPr>
                <w:rFonts w:ascii="Times New Roman" w:eastAsia="Times New Roman" w:hAnsi="Times New Roman" w:cs="Times New Roman"/>
                <w:b/>
              </w:rPr>
              <w:t xml:space="preserve"> datele de contact:</w:t>
            </w:r>
          </w:p>
        </w:tc>
        <w:tc>
          <w:tcPr>
            <w:tcW w:w="5360" w:type="dxa"/>
            <w:gridSpan w:val="3"/>
            <w:tcMar>
              <w:top w:w="24" w:type="dxa"/>
              <w:left w:w="48" w:type="dxa"/>
              <w:bottom w:w="24" w:type="dxa"/>
              <w:right w:w="48" w:type="dxa"/>
            </w:tcMar>
          </w:tcPr>
          <w:p w14:paraId="0A6F7EC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C976819" w14:textId="77777777">
        <w:trPr>
          <w:jc w:val="center"/>
        </w:trPr>
        <w:tc>
          <w:tcPr>
            <w:tcW w:w="10033" w:type="dxa"/>
            <w:gridSpan w:val="4"/>
            <w:tcMar>
              <w:top w:w="24" w:type="dxa"/>
              <w:left w:w="48" w:type="dxa"/>
              <w:bottom w:w="24" w:type="dxa"/>
              <w:right w:w="48" w:type="dxa"/>
            </w:tcMar>
          </w:tcPr>
          <w:p w14:paraId="4128FDA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Compartimentele analizei impactului</w:t>
            </w:r>
          </w:p>
        </w:tc>
      </w:tr>
      <w:tr w:rsidR="002A5B12" w14:paraId="7D330414" w14:textId="77777777">
        <w:trPr>
          <w:jc w:val="center"/>
        </w:trPr>
        <w:tc>
          <w:tcPr>
            <w:tcW w:w="10033" w:type="dxa"/>
            <w:gridSpan w:val="4"/>
            <w:tcMar>
              <w:top w:w="24" w:type="dxa"/>
              <w:left w:w="48" w:type="dxa"/>
              <w:bottom w:w="24" w:type="dxa"/>
              <w:right w:w="48" w:type="dxa"/>
            </w:tcMar>
          </w:tcPr>
          <w:p w14:paraId="37817A0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1. Definirea problemei</w:t>
            </w:r>
          </w:p>
        </w:tc>
      </w:tr>
      <w:tr w:rsidR="002A5B12" w14:paraId="42CD7423" w14:textId="77777777">
        <w:trPr>
          <w:jc w:val="center"/>
        </w:trPr>
        <w:tc>
          <w:tcPr>
            <w:tcW w:w="10033" w:type="dxa"/>
            <w:gridSpan w:val="4"/>
            <w:tcMar>
              <w:top w:w="24" w:type="dxa"/>
              <w:left w:w="48" w:type="dxa"/>
              <w:bottom w:w="24" w:type="dxa"/>
              <w:right w:w="48" w:type="dxa"/>
            </w:tcMar>
          </w:tcPr>
          <w:p w14:paraId="2930738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Determinaţi</w:t>
            </w:r>
            <w:proofErr w:type="spellEnd"/>
            <w:r>
              <w:rPr>
                <w:rFonts w:ascii="Times New Roman" w:eastAsia="Times New Roman" w:hAnsi="Times New Roman" w:cs="Times New Roman"/>
              </w:rPr>
              <w:t xml:space="preserve"> clar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concis problema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/sau problemele care urmează să fie </w:t>
            </w:r>
            <w:proofErr w:type="spellStart"/>
            <w:r>
              <w:rPr>
                <w:rFonts w:ascii="Times New Roman" w:eastAsia="Times New Roman" w:hAnsi="Times New Roman" w:cs="Times New Roman"/>
              </w:rPr>
              <w:t>soluţionate</w:t>
            </w:r>
            <w:proofErr w:type="spellEnd"/>
          </w:p>
        </w:tc>
      </w:tr>
      <w:tr w:rsidR="002A5B12" w14:paraId="4D898D25" w14:textId="77777777">
        <w:trPr>
          <w:jc w:val="center"/>
        </w:trPr>
        <w:tc>
          <w:tcPr>
            <w:tcW w:w="10033" w:type="dxa"/>
            <w:gridSpan w:val="4"/>
            <w:tcMar>
              <w:top w:w="24" w:type="dxa"/>
              <w:left w:w="48" w:type="dxa"/>
              <w:bottom w:w="24" w:type="dxa"/>
              <w:right w:w="48" w:type="dxa"/>
            </w:tcMar>
          </w:tcPr>
          <w:p w14:paraId="5EED37FB"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Acțiunea de elaborare a propunerilor de modificare a unor acte normative este necesară pentru </w:t>
            </w:r>
            <w:r>
              <w:rPr>
                <w:rFonts w:ascii="Times New Roman" w:eastAsia="Times New Roman" w:hAnsi="Times New Roman" w:cs="Times New Roman"/>
              </w:rPr>
              <w:t>reformarea și asigurarea independenței operaționale a Consiliului Concurenței, inclusiv pentru exercitarea eficientă a atribuțiilor conferite de lege la investigarea și asigurarea respectării principiilor generale ale dreptului Uniunii Europene</w:t>
            </w:r>
            <w:r>
              <w:rPr>
                <w:rFonts w:ascii="Times New Roman" w:eastAsia="Times New Roman" w:hAnsi="Times New Roman" w:cs="Times New Roman"/>
                <w:b/>
                <w:i/>
              </w:rPr>
              <w:t xml:space="preserve"> </w:t>
            </w:r>
            <w:r>
              <w:rPr>
                <w:rFonts w:ascii="Times New Roman" w:eastAsia="Times New Roman" w:hAnsi="Times New Roman" w:cs="Times New Roman"/>
              </w:rPr>
              <w:t xml:space="preserve">în materie </w:t>
            </w:r>
            <w:r>
              <w:rPr>
                <w:rFonts w:ascii="Times New Roman" w:eastAsia="Times New Roman" w:hAnsi="Times New Roman" w:cs="Times New Roman"/>
              </w:rPr>
              <w:t>de concurență și a Convenției pentru apărarea Drepturilor Omului și a Libertăților Fundamentale.</w:t>
            </w:r>
          </w:p>
        </w:tc>
      </w:tr>
      <w:tr w:rsidR="002A5B12" w14:paraId="4FF93E01" w14:textId="77777777">
        <w:trPr>
          <w:jc w:val="center"/>
        </w:trPr>
        <w:tc>
          <w:tcPr>
            <w:tcW w:w="10033" w:type="dxa"/>
            <w:gridSpan w:val="4"/>
            <w:tcMar>
              <w:top w:w="24" w:type="dxa"/>
              <w:left w:w="48" w:type="dxa"/>
              <w:bottom w:w="24" w:type="dxa"/>
              <w:right w:w="48" w:type="dxa"/>
            </w:tcMar>
          </w:tcPr>
          <w:p w14:paraId="30F8B30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problema, persoanele/</w:t>
            </w:r>
            <w:proofErr w:type="spellStart"/>
            <w:r>
              <w:rPr>
                <w:rFonts w:ascii="Times New Roman" w:eastAsia="Times New Roman" w:hAnsi="Times New Roman" w:cs="Times New Roman"/>
              </w:rPr>
              <w:t>entităţile</w:t>
            </w:r>
            <w:proofErr w:type="spellEnd"/>
            <w:r>
              <w:rPr>
                <w:rFonts w:ascii="Times New Roman" w:eastAsia="Times New Roman" w:hAnsi="Times New Roman" w:cs="Times New Roman"/>
              </w:rPr>
              <w:t xml:space="preserve"> afectate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cele care contribuie la </w:t>
            </w:r>
            <w:proofErr w:type="spellStart"/>
            <w:r>
              <w:rPr>
                <w:rFonts w:ascii="Times New Roman" w:eastAsia="Times New Roman" w:hAnsi="Times New Roman" w:cs="Times New Roman"/>
              </w:rPr>
              <w:t>apariţia</w:t>
            </w:r>
            <w:proofErr w:type="spellEnd"/>
            <w:r>
              <w:rPr>
                <w:rFonts w:ascii="Times New Roman" w:eastAsia="Times New Roman" w:hAnsi="Times New Roman" w:cs="Times New Roman"/>
              </w:rPr>
              <w:t xml:space="preserve"> problemei, cu justificarea </w:t>
            </w:r>
            <w:proofErr w:type="spellStart"/>
            <w:r>
              <w:rPr>
                <w:rFonts w:ascii="Times New Roman" w:eastAsia="Times New Roman" w:hAnsi="Times New Roman" w:cs="Times New Roman"/>
              </w:rPr>
              <w:t>necesităţii</w:t>
            </w:r>
            <w:proofErr w:type="spellEnd"/>
            <w:r>
              <w:rPr>
                <w:rFonts w:ascii="Times New Roman" w:eastAsia="Times New Roman" w:hAnsi="Times New Roman" w:cs="Times New Roman"/>
              </w:rPr>
              <w:t xml:space="preserve"> schimbării </w:t>
            </w:r>
            <w:proofErr w:type="spellStart"/>
            <w:r>
              <w:rPr>
                <w:rFonts w:ascii="Times New Roman" w:eastAsia="Times New Roman" w:hAnsi="Times New Roman" w:cs="Times New Roman"/>
              </w:rPr>
              <w:t>situaţiei</w:t>
            </w:r>
            <w:proofErr w:type="spellEnd"/>
            <w:r>
              <w:rPr>
                <w:rFonts w:ascii="Times New Roman" w:eastAsia="Times New Roman" w:hAnsi="Times New Roman" w:cs="Times New Roman"/>
              </w:rPr>
              <w:t xml:space="preserve"> curente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viitoare, în baza dovezilor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datelor colectate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examinate</w:t>
            </w:r>
          </w:p>
        </w:tc>
      </w:tr>
      <w:tr w:rsidR="002A5B12" w14:paraId="09C8FF78" w14:textId="77777777">
        <w:trPr>
          <w:jc w:val="center"/>
        </w:trPr>
        <w:tc>
          <w:tcPr>
            <w:tcW w:w="10033" w:type="dxa"/>
            <w:gridSpan w:val="4"/>
            <w:tcMar>
              <w:top w:w="24" w:type="dxa"/>
              <w:left w:w="48" w:type="dxa"/>
              <w:bottom w:w="24" w:type="dxa"/>
              <w:right w:w="48" w:type="dxa"/>
            </w:tcMar>
          </w:tcPr>
          <w:p w14:paraId="27CC8F1F"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Concurența loială este un factor de bază al economiei naționale, iar statul trebuie să asigure protecția concurenței loiale, prevederi care sunt consfințite în Constituția Republicii Moldova</w:t>
            </w:r>
            <w:r>
              <w:rPr>
                <w:rFonts w:ascii="Times New Roman" w:eastAsia="Times New Roman" w:hAnsi="Times New Roman" w:cs="Times New Roman"/>
              </w:rPr>
              <w:t>.</w:t>
            </w:r>
          </w:p>
          <w:p w14:paraId="6D9B5B2C"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conformitate cu Art. 335 alin. (1) al Acordului de Asociere între Republica Moldova, pe de o parte,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Uniunea Europeană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Comunitatea Europeană a Energiei Atomice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statele membre ale acestora, pe de altă parte, ratificat prin Legea nr. 112/2014, f</w:t>
            </w:r>
            <w:r>
              <w:rPr>
                <w:rFonts w:ascii="Times New Roman" w:eastAsia="Times New Roman" w:hAnsi="Times New Roman" w:cs="Times New Roman"/>
              </w:rPr>
              <w:t>iecare parte menține pe teritoriul său o legislație cuprinzătoare în materie de concurență care abordează în mod eficace acordurile anticoncurențiale, practicile concertate și comportamentul anticoncurențial unilateral al întreprinderilor cu putere dominan</w:t>
            </w:r>
            <w:r>
              <w:rPr>
                <w:rFonts w:ascii="Times New Roman" w:eastAsia="Times New Roman" w:hAnsi="Times New Roman" w:cs="Times New Roman"/>
              </w:rPr>
              <w:t>tă pe piață și asigură un control eficace al concentrărilor între întreprinderi.</w:t>
            </w:r>
          </w:p>
          <w:p w14:paraId="7C0588B0"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Concomitent, în contextul obținerii de către Republica Moldova a statutului de țară-candidat pentru aderare la Uniunea Europeană și Programului de Asociere dintre Uniunea Euro</w:t>
            </w:r>
            <w:r>
              <w:rPr>
                <w:rFonts w:ascii="Times New Roman" w:eastAsia="Times New Roman" w:hAnsi="Times New Roman" w:cs="Times New Roman"/>
              </w:rPr>
              <w:t>peană și Republica Moldova 2021-2027, în vederea realizării angajamentelor internaționale asumate de Republica Moldova, și anume, de a menține și armoniza cadrul normativ național, în vederea asigurării liberei concurențe pentru întreprinderi, Ministerul D</w:t>
            </w:r>
            <w:r>
              <w:rPr>
                <w:rFonts w:ascii="Times New Roman" w:eastAsia="Times New Roman" w:hAnsi="Times New Roman" w:cs="Times New Roman"/>
              </w:rPr>
              <w:t>ezvoltării Economice și Digitalizării a inițiat procesul de transpunere la nivel de cadru normativ național a Directivei (UE) 2019/1 a Parlamentului European și a Consiliului din 11 decembrie 2018 privind oferirea de mijloace autorităților de concurență di</w:t>
            </w:r>
            <w:r>
              <w:rPr>
                <w:rFonts w:ascii="Times New Roman" w:eastAsia="Times New Roman" w:hAnsi="Times New Roman" w:cs="Times New Roman"/>
              </w:rPr>
              <w:t>n statele membre astfel încât să fie mai eficace în aplicarea legii și privind garantarea funcționării corespunzătoare a pieței interne, publicată în Jurnalul Oficial al Uniunii Europene nr. L 11/3 din 14.1.2019.</w:t>
            </w:r>
          </w:p>
          <w:p w14:paraId="7B59C2BE"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Subsecvent, acțiunea de elaborare a propune</w:t>
            </w:r>
            <w:r>
              <w:rPr>
                <w:rFonts w:ascii="Times New Roman" w:eastAsia="Times New Roman" w:hAnsi="Times New Roman" w:cs="Times New Roman"/>
              </w:rPr>
              <w:t>rilor de modificare a unor acte normative este necesară pentru reformarea și asigurarea independenței operaționale a Consiliului Concurenței, inclusiv pentru exercitarea eficientă a atribuțiilor conferite de lege la investigarea și asigurarea respectării p</w:t>
            </w:r>
            <w:r>
              <w:rPr>
                <w:rFonts w:ascii="Times New Roman" w:eastAsia="Times New Roman" w:hAnsi="Times New Roman" w:cs="Times New Roman"/>
              </w:rPr>
              <w:t xml:space="preserve">rincipiilor generale ale dreptului </w:t>
            </w:r>
            <w:r>
              <w:rPr>
                <w:rFonts w:ascii="Times New Roman" w:eastAsia="Times New Roman" w:hAnsi="Times New Roman" w:cs="Times New Roman"/>
              </w:rPr>
              <w:lastRenderedPageBreak/>
              <w:t>Uniunii Europene</w:t>
            </w:r>
            <w:r>
              <w:rPr>
                <w:rFonts w:ascii="Times New Roman" w:eastAsia="Times New Roman" w:hAnsi="Times New Roman" w:cs="Times New Roman"/>
                <w:b/>
                <w:i/>
              </w:rPr>
              <w:t xml:space="preserve"> </w:t>
            </w:r>
            <w:r>
              <w:rPr>
                <w:rFonts w:ascii="Times New Roman" w:eastAsia="Times New Roman" w:hAnsi="Times New Roman" w:cs="Times New Roman"/>
              </w:rPr>
              <w:t>în materie de concurență și a Convenției pentru apărarea Drepturilor Omului și a Libertăților Fundamentale.</w:t>
            </w:r>
          </w:p>
          <w:p w14:paraId="3D90E823"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Totodată, aceasta reprezintă una dintre acțiunile prioritare ale Guvernului, inclusă în Programu</w:t>
            </w:r>
            <w:r>
              <w:rPr>
                <w:rFonts w:ascii="Times New Roman" w:eastAsia="Times New Roman" w:hAnsi="Times New Roman" w:cs="Times New Roman"/>
              </w:rPr>
              <w:t>l de activitate al Guvernului ,,Moldova vremurilor bune’’ și Planul de acțiuni al Guvernului pentru anul 2023, aprobat prin Hotărârea Guvernului nr. 90/2023 și Planul  de acțiuni privind ridicarea nivelului de pregătire pentru aderarea la Uniunea Europeană</w:t>
            </w:r>
            <w:r>
              <w:rPr>
                <w:rFonts w:ascii="Times New Roman" w:eastAsia="Times New Roman" w:hAnsi="Times New Roman" w:cs="Times New Roman"/>
              </w:rPr>
              <w:t xml:space="preserve"> și alinierea la legislația UE. </w:t>
            </w:r>
          </w:p>
          <w:p w14:paraId="7B265CF4"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Respectiv, propunerile din proiectul de lege privind modificarea unor acte normative urmăresc scopul ajustării cadrului legal în domeniul concurenței și a mecanismelor de desfășurare a procedurilor de examinare a presupusel</w:t>
            </w:r>
            <w:r>
              <w:rPr>
                <w:rFonts w:ascii="Times New Roman" w:eastAsia="Times New Roman" w:hAnsi="Times New Roman" w:cs="Times New Roman"/>
              </w:rPr>
              <w:t xml:space="preserve">or cazuri de încălcare a legislației concurențiale, astfel încât să fie asigurată eficiența instituției și randamentul maxim în domeniile specifice de activitate ale Consiliului Concurenței. </w:t>
            </w:r>
          </w:p>
        </w:tc>
      </w:tr>
      <w:tr w:rsidR="002A5B12" w14:paraId="581CC462" w14:textId="77777777">
        <w:trPr>
          <w:jc w:val="center"/>
        </w:trPr>
        <w:tc>
          <w:tcPr>
            <w:tcW w:w="10033" w:type="dxa"/>
            <w:gridSpan w:val="4"/>
            <w:tcMar>
              <w:top w:w="24" w:type="dxa"/>
              <w:left w:w="48" w:type="dxa"/>
              <w:bottom w:w="24" w:type="dxa"/>
              <w:right w:w="48" w:type="dxa"/>
            </w:tcMar>
          </w:tcPr>
          <w:p w14:paraId="7EFD57C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clar cauzele care au dus la </w:t>
            </w:r>
            <w:proofErr w:type="spellStart"/>
            <w:r>
              <w:rPr>
                <w:rFonts w:ascii="Times New Roman" w:eastAsia="Times New Roman" w:hAnsi="Times New Roman" w:cs="Times New Roman"/>
              </w:rPr>
              <w:t>apariţia</w:t>
            </w:r>
            <w:proofErr w:type="spellEnd"/>
            <w:r>
              <w:rPr>
                <w:rFonts w:ascii="Times New Roman" w:eastAsia="Times New Roman" w:hAnsi="Times New Roman" w:cs="Times New Roman"/>
              </w:rPr>
              <w:t xml:space="preserve"> </w:t>
            </w:r>
            <w:r>
              <w:rPr>
                <w:rFonts w:ascii="Times New Roman" w:eastAsia="Times New Roman" w:hAnsi="Times New Roman" w:cs="Times New Roman"/>
              </w:rPr>
              <w:t>problemei</w:t>
            </w:r>
          </w:p>
        </w:tc>
      </w:tr>
      <w:tr w:rsidR="002A5B12" w14:paraId="5556A4F6" w14:textId="77777777">
        <w:trPr>
          <w:jc w:val="center"/>
        </w:trPr>
        <w:tc>
          <w:tcPr>
            <w:tcW w:w="10033" w:type="dxa"/>
            <w:gridSpan w:val="4"/>
            <w:tcMar>
              <w:top w:w="24" w:type="dxa"/>
              <w:left w:w="48" w:type="dxa"/>
              <w:bottom w:w="24" w:type="dxa"/>
              <w:right w:w="48" w:type="dxa"/>
            </w:tcMar>
          </w:tcPr>
          <w:p w14:paraId="08B65139" w14:textId="1D75DF11"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Soluțiile propuse vin să soluționeze anumite cauze care afectează/influențează eficiența și randamentul maxim ale Consiliului Concurenței. Mai multe detalii despre argumentele pentru fiecare soluție propusă sunt expuse în secțiunile </w:t>
            </w:r>
            <w:r>
              <w:rPr>
                <w:rFonts w:ascii="Times New Roman" w:eastAsia="Times New Roman" w:hAnsi="Times New Roman" w:cs="Times New Roman"/>
              </w:rPr>
              <w:t>privind opțiunea recomandată și impacturile acesteia.</w:t>
            </w:r>
          </w:p>
        </w:tc>
      </w:tr>
      <w:tr w:rsidR="002A5B12" w14:paraId="357F52DA" w14:textId="77777777">
        <w:trPr>
          <w:jc w:val="center"/>
        </w:trPr>
        <w:tc>
          <w:tcPr>
            <w:tcW w:w="10033" w:type="dxa"/>
            <w:gridSpan w:val="4"/>
            <w:tcMar>
              <w:top w:w="24" w:type="dxa"/>
              <w:left w:w="48" w:type="dxa"/>
              <w:bottom w:w="24" w:type="dxa"/>
              <w:right w:w="48" w:type="dxa"/>
            </w:tcMar>
          </w:tcPr>
          <w:p w14:paraId="7803667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cum a evoluat problema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cum va evolua fără o </w:t>
            </w:r>
            <w:proofErr w:type="spellStart"/>
            <w:r>
              <w:rPr>
                <w:rFonts w:ascii="Times New Roman" w:eastAsia="Times New Roman" w:hAnsi="Times New Roman" w:cs="Times New Roman"/>
              </w:rPr>
              <w:t>intervenţie</w:t>
            </w:r>
            <w:proofErr w:type="spellEnd"/>
          </w:p>
        </w:tc>
      </w:tr>
      <w:tr w:rsidR="002A5B12" w14:paraId="6EAF0329" w14:textId="77777777">
        <w:trPr>
          <w:jc w:val="center"/>
        </w:trPr>
        <w:tc>
          <w:tcPr>
            <w:tcW w:w="10033" w:type="dxa"/>
            <w:gridSpan w:val="4"/>
            <w:tcMar>
              <w:top w:w="24" w:type="dxa"/>
              <w:left w:w="48" w:type="dxa"/>
              <w:bottom w:w="24" w:type="dxa"/>
              <w:right w:w="48" w:type="dxa"/>
            </w:tcMar>
          </w:tcPr>
          <w:p w14:paraId="30A61637" w14:textId="3EB6CA1F" w:rsidR="002A5B12" w:rsidRPr="00E07EA5"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highlight w:val="yellow"/>
              </w:rPr>
            </w:pPr>
            <w:r>
              <w:rPr>
                <w:rFonts w:ascii="Times New Roman" w:eastAsia="Times New Roman" w:hAnsi="Times New Roman" w:cs="Times New Roman"/>
              </w:rPr>
              <w:t>Fără o intervenție, problema va continua să existe pe viitor.</w:t>
            </w:r>
          </w:p>
        </w:tc>
      </w:tr>
      <w:tr w:rsidR="002A5B12" w14:paraId="1F99BA0F" w14:textId="77777777">
        <w:trPr>
          <w:jc w:val="center"/>
        </w:trPr>
        <w:tc>
          <w:tcPr>
            <w:tcW w:w="10033" w:type="dxa"/>
            <w:gridSpan w:val="4"/>
            <w:tcMar>
              <w:top w:w="24" w:type="dxa"/>
              <w:left w:w="48" w:type="dxa"/>
              <w:bottom w:w="24" w:type="dxa"/>
              <w:right w:w="48" w:type="dxa"/>
            </w:tcMar>
          </w:tcPr>
          <w:p w14:paraId="4B192B2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cadrul juridic actual aplicabil raporturilor analiza</w:t>
            </w:r>
            <w:r>
              <w:rPr>
                <w:rFonts w:ascii="Times New Roman" w:eastAsia="Times New Roman" w:hAnsi="Times New Roman" w:cs="Times New Roman"/>
              </w:rPr>
              <w:t xml:space="preserve">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carenţele</w:t>
            </w:r>
            <w:proofErr w:type="spellEnd"/>
            <w:r>
              <w:rPr>
                <w:rFonts w:ascii="Times New Roman" w:eastAsia="Times New Roman" w:hAnsi="Times New Roman" w:cs="Times New Roman"/>
              </w:rPr>
              <w:t xml:space="preserve"> prevederilor normative în vigoare,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documentele de politici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reglementările existente care </w:t>
            </w:r>
            <w:proofErr w:type="spellStart"/>
            <w:r>
              <w:rPr>
                <w:rFonts w:ascii="Times New Roman" w:eastAsia="Times New Roman" w:hAnsi="Times New Roman" w:cs="Times New Roman"/>
              </w:rPr>
              <w:t>condiţionează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intervenţia</w:t>
            </w:r>
            <w:proofErr w:type="spellEnd"/>
            <w:r>
              <w:rPr>
                <w:rFonts w:ascii="Times New Roman" w:eastAsia="Times New Roman" w:hAnsi="Times New Roman" w:cs="Times New Roman"/>
              </w:rPr>
              <w:t xml:space="preserve"> statului</w:t>
            </w:r>
          </w:p>
        </w:tc>
      </w:tr>
      <w:tr w:rsidR="002A5B12" w14:paraId="11686574" w14:textId="77777777">
        <w:trPr>
          <w:jc w:val="center"/>
        </w:trPr>
        <w:tc>
          <w:tcPr>
            <w:tcW w:w="10033" w:type="dxa"/>
            <w:gridSpan w:val="4"/>
            <w:tcMar>
              <w:top w:w="24" w:type="dxa"/>
              <w:left w:w="48" w:type="dxa"/>
              <w:bottom w:w="24" w:type="dxa"/>
              <w:right w:w="48" w:type="dxa"/>
            </w:tcMar>
          </w:tcPr>
          <w:p w14:paraId="3E218C28"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Actul normativ de bază: Legea concurenței nr. 183/2012 </w:t>
            </w:r>
          </w:p>
          <w:p w14:paraId="3A32BAAA"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Acte normative complementare: </w:t>
            </w:r>
          </w:p>
          <w:p w14:paraId="472FD6B0"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Legea cu privire la funcția publică și statutul funcționarului public nr. 158/2008, </w:t>
            </w:r>
          </w:p>
          <w:p w14:paraId="114BE9FE"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Legea privind sistemul unitar de salarizare în sectorul bugetar nr. 270/2018, </w:t>
            </w:r>
          </w:p>
          <w:p w14:paraId="285C76C3"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Legea</w:t>
            </w:r>
            <w:r>
              <w:rPr>
                <w:rFonts w:ascii="Times New Roman" w:eastAsia="Times New Roman" w:hAnsi="Times New Roman" w:cs="Times New Roman"/>
              </w:rPr>
              <w:t xml:space="preserve"> bugetului de stat pentru anul 2023 nr. 359/2022, </w:t>
            </w:r>
          </w:p>
          <w:p w14:paraId="7E44E73C"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Legea pentru aprobarea Clasificatorului unic al funcțiilor publice nr. 155/2011, </w:t>
            </w:r>
          </w:p>
          <w:p w14:paraId="10CFDD45" w14:textId="7DCF62FA"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Codul contravențional al Republicii Moldova nr. 218/2008</w:t>
            </w:r>
          </w:p>
        </w:tc>
      </w:tr>
      <w:tr w:rsidR="002A5B12" w14:paraId="05DD9FE2" w14:textId="77777777">
        <w:trPr>
          <w:jc w:val="center"/>
        </w:trPr>
        <w:tc>
          <w:tcPr>
            <w:tcW w:w="10033" w:type="dxa"/>
            <w:gridSpan w:val="4"/>
            <w:tcMar>
              <w:top w:w="24" w:type="dxa"/>
              <w:left w:w="48" w:type="dxa"/>
              <w:bottom w:w="24" w:type="dxa"/>
              <w:right w:w="48" w:type="dxa"/>
            </w:tcMar>
          </w:tcPr>
          <w:p w14:paraId="6D08CE4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2. Stabilirea obiectivelor</w:t>
            </w:r>
          </w:p>
        </w:tc>
      </w:tr>
      <w:tr w:rsidR="002A5B12" w14:paraId="3F26815E" w14:textId="77777777">
        <w:trPr>
          <w:jc w:val="center"/>
        </w:trPr>
        <w:tc>
          <w:tcPr>
            <w:tcW w:w="10033" w:type="dxa"/>
            <w:gridSpan w:val="4"/>
            <w:tcMar>
              <w:top w:w="24" w:type="dxa"/>
              <w:left w:w="48" w:type="dxa"/>
              <w:bottom w:w="24" w:type="dxa"/>
              <w:right w:w="48" w:type="dxa"/>
            </w:tcMar>
          </w:tcPr>
          <w:p w14:paraId="224B55C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obiectivele (care trebuie</w:t>
            </w:r>
            <w:r>
              <w:rPr>
                <w:rFonts w:ascii="Times New Roman" w:eastAsia="Times New Roman" w:hAnsi="Times New Roman" w:cs="Times New Roman"/>
              </w:rPr>
              <w:t xml:space="preserve"> să fie legate direct de problemă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cauzele acesteia, formulate cuantificat, măsurabil, fixat în timp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realist)</w:t>
            </w:r>
          </w:p>
        </w:tc>
      </w:tr>
      <w:tr w:rsidR="002A5B12" w14:paraId="4C168D2B" w14:textId="77777777">
        <w:trPr>
          <w:jc w:val="center"/>
        </w:trPr>
        <w:tc>
          <w:tcPr>
            <w:tcW w:w="10033" w:type="dxa"/>
            <w:gridSpan w:val="4"/>
            <w:tcMar>
              <w:top w:w="24" w:type="dxa"/>
              <w:left w:w="48" w:type="dxa"/>
              <w:bottom w:w="24" w:type="dxa"/>
              <w:right w:w="48" w:type="dxa"/>
            </w:tcMar>
          </w:tcPr>
          <w:p w14:paraId="433DD754"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contextul obținerii de către Republica Moldova a statutului de țară-candidat pentru aderare la Uniunea Europeană și </w:t>
            </w:r>
            <w:r>
              <w:rPr>
                <w:rFonts w:ascii="Times New Roman" w:eastAsia="Times New Roman" w:hAnsi="Times New Roman" w:cs="Times New Roman"/>
              </w:rPr>
              <w:t>Programului de Asociere dintre Uniunea Europeană și Republica Moldova 2021-2027, în vederea realizării angajamentelor internaționale asumate de Republica Moldova, și anume, de a menține și armoniza cadrul normativ național, în vederea asigurării liberei co</w:t>
            </w:r>
            <w:r>
              <w:rPr>
                <w:rFonts w:ascii="Times New Roman" w:eastAsia="Times New Roman" w:hAnsi="Times New Roman" w:cs="Times New Roman"/>
              </w:rPr>
              <w:t>ncurențe pentru întreprinderi, Ministerul Dezvoltării Economice și Digitalizării urmează să transpună la nivel de cadru normativ național Directiva (UE) 2019/1 a Parlamentului European și a Consiliului din 11 decembrie 2018 privind oferirea de mijloace aut</w:t>
            </w:r>
            <w:r>
              <w:rPr>
                <w:rFonts w:ascii="Times New Roman" w:eastAsia="Times New Roman" w:hAnsi="Times New Roman" w:cs="Times New Roman"/>
              </w:rPr>
              <w:t>orităților de concurență din statele membre astfel încât să fie mai eficace în aplicarea legii și privind garantarea funcționării corespunzătoare a pieței interne, publicată în Jurnalul Oficial al Uniunii Europene nr. L 11/3 din 14.1.2019.</w:t>
            </w:r>
          </w:p>
          <w:p w14:paraId="367A85BC"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Modificările mai</w:t>
            </w:r>
            <w:r>
              <w:rPr>
                <w:rFonts w:ascii="Times New Roman" w:eastAsia="Times New Roman" w:hAnsi="Times New Roman" w:cs="Times New Roman"/>
              </w:rPr>
              <w:t xml:space="preserve"> urmăresc obiectivul de reformare și asigurare a independenței operaționale a Consiliului Concurenței, inclusiv pentru exercitarea eficientă a atribuțiilor conferite de lege la investigarea și asigurarea respectării principiilor generale ale dreptului Uniu</w:t>
            </w:r>
            <w:r>
              <w:rPr>
                <w:rFonts w:ascii="Times New Roman" w:eastAsia="Times New Roman" w:hAnsi="Times New Roman" w:cs="Times New Roman"/>
              </w:rPr>
              <w:t>nii Europene</w:t>
            </w:r>
            <w:r>
              <w:rPr>
                <w:rFonts w:ascii="Times New Roman" w:eastAsia="Times New Roman" w:hAnsi="Times New Roman" w:cs="Times New Roman"/>
                <w:b/>
                <w:i/>
              </w:rPr>
              <w:t xml:space="preserve"> </w:t>
            </w:r>
            <w:r>
              <w:rPr>
                <w:rFonts w:ascii="Times New Roman" w:eastAsia="Times New Roman" w:hAnsi="Times New Roman" w:cs="Times New Roman"/>
              </w:rPr>
              <w:t>în materie de concurență și a Convenției pentru apărarea Drepturilor Omului și a Libertăților Fundamentale.</w:t>
            </w:r>
          </w:p>
          <w:p w14:paraId="15695D6F"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Astfel de obiective reies și din acțiunile prioritare ale Guvernului, incluse în Programul de activitate al Guvernului ,,Moldova vremur</w:t>
            </w:r>
            <w:r>
              <w:rPr>
                <w:rFonts w:ascii="Times New Roman" w:eastAsia="Times New Roman" w:hAnsi="Times New Roman" w:cs="Times New Roman"/>
              </w:rPr>
              <w:t xml:space="preserve">ilor bune’’ și Planul de acțiuni al Guvernului pentru anul 2023, aprobat prin </w:t>
            </w:r>
            <w:r>
              <w:rPr>
                <w:rFonts w:ascii="Times New Roman" w:eastAsia="Times New Roman" w:hAnsi="Times New Roman" w:cs="Times New Roman"/>
              </w:rPr>
              <w:lastRenderedPageBreak/>
              <w:t xml:space="preserve">Hotărârea Guvernului nr. 90/2023 și Planul  de acțiuni privind ridicarea nivelului de pregătire pentru aderarea la Uniunea Europeană și alinierea la legislația UE. </w:t>
            </w:r>
          </w:p>
          <w:p w14:paraId="06322087" w14:textId="77777777" w:rsidR="002A5B12" w:rsidRDefault="007C6886" w:rsidP="00E07EA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Respectiv, pr</w:t>
            </w:r>
            <w:r>
              <w:rPr>
                <w:rFonts w:ascii="Times New Roman" w:eastAsia="Times New Roman" w:hAnsi="Times New Roman" w:cs="Times New Roman"/>
              </w:rPr>
              <w:t>opunerile din proiectul de lege privind modificarea unor acte normative urmăresc scopul ajustării cadrului legal în domeniul concurenței și a mecanismelor de desfășurare a procedurilor de examinare a presupuselor cazuri de încălcare a legislației concurenț</w:t>
            </w:r>
            <w:r>
              <w:rPr>
                <w:rFonts w:ascii="Times New Roman" w:eastAsia="Times New Roman" w:hAnsi="Times New Roman" w:cs="Times New Roman"/>
              </w:rPr>
              <w:t xml:space="preserve">iale, astfel încât să fie asigurată eficiența instituției și randamentul maxim în domeniile specifice de activitate ale Consiliului Concurenței. </w:t>
            </w:r>
          </w:p>
        </w:tc>
      </w:tr>
      <w:tr w:rsidR="002A5B12" w14:paraId="680A3244" w14:textId="77777777">
        <w:trPr>
          <w:jc w:val="center"/>
        </w:trPr>
        <w:tc>
          <w:tcPr>
            <w:tcW w:w="10033" w:type="dxa"/>
            <w:gridSpan w:val="4"/>
            <w:tcMar>
              <w:top w:w="24" w:type="dxa"/>
              <w:left w:w="48" w:type="dxa"/>
              <w:bottom w:w="24" w:type="dxa"/>
              <w:right w:w="48" w:type="dxa"/>
            </w:tcMar>
          </w:tcPr>
          <w:p w14:paraId="1832985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3. Identificarea </w:t>
            </w:r>
            <w:proofErr w:type="spellStart"/>
            <w:r>
              <w:rPr>
                <w:rFonts w:ascii="Times New Roman" w:eastAsia="Times New Roman" w:hAnsi="Times New Roman" w:cs="Times New Roman"/>
                <w:b/>
              </w:rPr>
              <w:t>opţiunilor</w:t>
            </w:r>
            <w:proofErr w:type="spellEnd"/>
          </w:p>
        </w:tc>
      </w:tr>
      <w:tr w:rsidR="002A5B12" w14:paraId="65E707A3" w14:textId="77777777">
        <w:trPr>
          <w:jc w:val="center"/>
        </w:trPr>
        <w:tc>
          <w:tcPr>
            <w:tcW w:w="10033" w:type="dxa"/>
            <w:gridSpan w:val="4"/>
            <w:tcMar>
              <w:top w:w="24" w:type="dxa"/>
              <w:left w:w="48" w:type="dxa"/>
              <w:bottom w:w="24" w:type="dxa"/>
              <w:right w:w="48" w:type="dxa"/>
            </w:tcMar>
          </w:tcPr>
          <w:p w14:paraId="6A37488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succint </w:t>
            </w:r>
            <w:proofErr w:type="spellStart"/>
            <w:r>
              <w:rPr>
                <w:rFonts w:ascii="Times New Roman" w:eastAsia="Times New Roman" w:hAnsi="Times New Roman" w:cs="Times New Roman"/>
              </w:rPr>
              <w:t>opţiunea</w:t>
            </w:r>
            <w:proofErr w:type="spellEnd"/>
            <w:r>
              <w:rPr>
                <w:rFonts w:ascii="Times New Roman" w:eastAsia="Times New Roman" w:hAnsi="Times New Roman" w:cs="Times New Roman"/>
              </w:rPr>
              <w:t xml:space="preserve"> "a nu face nimic", care presupune lipsa de </w:t>
            </w:r>
            <w:proofErr w:type="spellStart"/>
            <w:r>
              <w:rPr>
                <w:rFonts w:ascii="Times New Roman" w:eastAsia="Times New Roman" w:hAnsi="Times New Roman" w:cs="Times New Roman"/>
              </w:rPr>
              <w:t>interven</w:t>
            </w:r>
            <w:r>
              <w:rPr>
                <w:rFonts w:ascii="Times New Roman" w:eastAsia="Times New Roman" w:hAnsi="Times New Roman" w:cs="Times New Roman"/>
              </w:rPr>
              <w:t>ţie</w:t>
            </w:r>
            <w:proofErr w:type="spellEnd"/>
          </w:p>
        </w:tc>
      </w:tr>
      <w:tr w:rsidR="002A5B12" w14:paraId="41325594" w14:textId="77777777">
        <w:trPr>
          <w:jc w:val="center"/>
        </w:trPr>
        <w:tc>
          <w:tcPr>
            <w:tcW w:w="10033" w:type="dxa"/>
            <w:gridSpan w:val="4"/>
            <w:tcMar>
              <w:top w:w="24" w:type="dxa"/>
              <w:left w:w="48" w:type="dxa"/>
              <w:bottom w:w="24" w:type="dxa"/>
              <w:right w:w="48" w:type="dxa"/>
            </w:tcMar>
          </w:tcPr>
          <w:p w14:paraId="562AC0C6" w14:textId="42599FC3"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Opțiunea a nu face nimic presupune păstrarea cadrului normativ existent și a capacităților administrative existente, după cum sunt implicate în definirea problemei.</w:t>
            </w:r>
          </w:p>
        </w:tc>
      </w:tr>
      <w:tr w:rsidR="002A5B12" w14:paraId="6ED40C7A" w14:textId="77777777">
        <w:trPr>
          <w:jc w:val="center"/>
        </w:trPr>
        <w:tc>
          <w:tcPr>
            <w:tcW w:w="10033" w:type="dxa"/>
            <w:gridSpan w:val="4"/>
            <w:tcMar>
              <w:top w:w="24" w:type="dxa"/>
              <w:left w:w="48" w:type="dxa"/>
              <w:bottom w:w="24" w:type="dxa"/>
              <w:right w:w="48" w:type="dxa"/>
            </w:tcMar>
          </w:tcPr>
          <w:p w14:paraId="4309ECF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principalele prevederi ale proiectului, cu impact, </w:t>
            </w:r>
            <w:proofErr w:type="spellStart"/>
            <w:r>
              <w:rPr>
                <w:rFonts w:ascii="Times New Roman" w:eastAsia="Times New Roman" w:hAnsi="Times New Roman" w:cs="Times New Roman"/>
              </w:rPr>
              <w:t>explicînd</w:t>
            </w:r>
            <w:proofErr w:type="spellEnd"/>
            <w:r>
              <w:rPr>
                <w:rFonts w:ascii="Times New Roman" w:eastAsia="Times New Roman" w:hAnsi="Times New Roman" w:cs="Times New Roman"/>
              </w:rPr>
              <w:t xml:space="preserve"> cum </w:t>
            </w:r>
            <w:r>
              <w:rPr>
                <w:rFonts w:ascii="Times New Roman" w:eastAsia="Times New Roman" w:hAnsi="Times New Roman" w:cs="Times New Roman"/>
              </w:rPr>
              <w:t xml:space="preserve">acestea </w:t>
            </w:r>
            <w:proofErr w:type="spellStart"/>
            <w:r>
              <w:rPr>
                <w:rFonts w:ascii="Times New Roman" w:eastAsia="Times New Roman" w:hAnsi="Times New Roman" w:cs="Times New Roman"/>
              </w:rPr>
              <w:t>ţintesc</w:t>
            </w:r>
            <w:proofErr w:type="spellEnd"/>
            <w:r>
              <w:rPr>
                <w:rFonts w:ascii="Times New Roman" w:eastAsia="Times New Roman" w:hAnsi="Times New Roman" w:cs="Times New Roman"/>
              </w:rPr>
              <w:t xml:space="preserve"> cauzele problemei, cu indicarea </w:t>
            </w:r>
            <w:proofErr w:type="spellStart"/>
            <w:r>
              <w:rPr>
                <w:rFonts w:ascii="Times New Roman" w:eastAsia="Times New Roman" w:hAnsi="Times New Roman" w:cs="Times New Roman"/>
              </w:rPr>
              <w:t>novaţiilor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întregului spectru de </w:t>
            </w:r>
            <w:proofErr w:type="spellStart"/>
            <w:r>
              <w:rPr>
                <w:rFonts w:ascii="Times New Roman" w:eastAsia="Times New Roman" w:hAnsi="Times New Roman" w:cs="Times New Roman"/>
              </w:rPr>
              <w:t>soluţii</w:t>
            </w:r>
            <w:proofErr w:type="spellEnd"/>
            <w:r>
              <w:rPr>
                <w:rFonts w:ascii="Times New Roman" w:eastAsia="Times New Roman" w:hAnsi="Times New Roman" w:cs="Times New Roman"/>
              </w:rPr>
              <w:t>/drepturi/</w:t>
            </w:r>
            <w:proofErr w:type="spellStart"/>
            <w:r>
              <w:rPr>
                <w:rFonts w:ascii="Times New Roman" w:eastAsia="Times New Roman" w:hAnsi="Times New Roman" w:cs="Times New Roman"/>
              </w:rPr>
              <w:t>obligaţii</w:t>
            </w:r>
            <w:proofErr w:type="spellEnd"/>
            <w:r>
              <w:rPr>
                <w:rFonts w:ascii="Times New Roman" w:eastAsia="Times New Roman" w:hAnsi="Times New Roman" w:cs="Times New Roman"/>
              </w:rPr>
              <w:t xml:space="preserve"> ce se doresc să fie aprobate</w:t>
            </w:r>
          </w:p>
        </w:tc>
      </w:tr>
      <w:tr w:rsidR="002A5B12" w14:paraId="066FE001" w14:textId="77777777">
        <w:trPr>
          <w:jc w:val="center"/>
        </w:trPr>
        <w:tc>
          <w:tcPr>
            <w:tcW w:w="10033" w:type="dxa"/>
            <w:gridSpan w:val="4"/>
            <w:tcMar>
              <w:top w:w="24" w:type="dxa"/>
              <w:left w:w="48" w:type="dxa"/>
              <w:bottom w:w="24" w:type="dxa"/>
              <w:right w:w="48" w:type="dxa"/>
            </w:tcMar>
          </w:tcPr>
          <w:p w14:paraId="57EF9B3B"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Opțiunea propusă (proiectul de modificări legislative) prevede transpunerea anumitor norme UE și introducerea unor </w:t>
            </w:r>
            <w:r>
              <w:rPr>
                <w:rFonts w:ascii="Times New Roman" w:eastAsia="Times New Roman" w:hAnsi="Times New Roman" w:cs="Times New Roman"/>
              </w:rPr>
              <w:t>modificări naționale, care vin să soluționeze cauzele problemelor. Principalele modificări sunt explicate mai jos:</w:t>
            </w:r>
          </w:p>
          <w:p w14:paraId="1E230A77"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Micșorarea pragului legal al cotei de piață pentru stabilirea prezumției dominanței de la 50% la 40%</w:t>
            </w:r>
          </w:p>
          <w:p w14:paraId="41553D83"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Modificarea dată micșorează pragului leg</w:t>
            </w:r>
            <w:r>
              <w:rPr>
                <w:rFonts w:ascii="Times New Roman" w:eastAsia="Times New Roman" w:hAnsi="Times New Roman" w:cs="Times New Roman"/>
              </w:rPr>
              <w:t xml:space="preserve">al stabilit de art. 10 din Legea concurenței al prezumției relative a poziției dominante de la cota de piață de 50%, după cum este prevăzut în prezent, la 40%. </w:t>
            </w:r>
          </w:p>
          <w:p w14:paraId="7E25B2F6"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Micșorarea pragului legal al cotelor de piață care reprezintă prezumția relativă a poziției dom</w:t>
            </w:r>
            <w:r>
              <w:rPr>
                <w:rFonts w:ascii="Times New Roman" w:eastAsia="Times New Roman" w:hAnsi="Times New Roman" w:cs="Times New Roman"/>
              </w:rPr>
              <w:t>inante este similară cu practica unor state membre ale Uniunii Europene, cum ar fi România, Germania, Estonia, Lituania, Slovenia, Polonia, ș.a.  De asemenea, micșorarea cotei ar putea să contribuie la realizarea unei economii de resurse, prin reducerea du</w:t>
            </w:r>
            <w:r>
              <w:rPr>
                <w:rFonts w:ascii="Times New Roman" w:eastAsia="Times New Roman" w:hAnsi="Times New Roman" w:cs="Times New Roman"/>
              </w:rPr>
              <w:t>ratei și costurilor aferente realizării unei investigații și implicit la eficientizarea activității Consiliului Concurenței, deoarece pentru aplicarea art. 11 din Legea concurenței este necesară o analiză economică detaliată, iar prezumțiile legale sunt ut</w:t>
            </w:r>
            <w:r>
              <w:rPr>
                <w:rFonts w:ascii="Times New Roman" w:eastAsia="Times New Roman" w:hAnsi="Times New Roman" w:cs="Times New Roman"/>
              </w:rPr>
              <w:t xml:space="preserve">ilizate pentru a ușura sarcina probei și costurile de executare pentru autoritățile de concurență, cât și pentru a reduce incertitudinea juridică. </w:t>
            </w:r>
          </w:p>
          <w:p w14:paraId="074F888C"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Tratatului privind funcționarea Uniunii Europene (TFUE) precum nici Directiva 2019/1 nu stabilește obligația</w:t>
            </w:r>
            <w:r>
              <w:rPr>
                <w:rFonts w:ascii="Times New Roman" w:eastAsia="Times New Roman" w:hAnsi="Times New Roman" w:cs="Times New Roman"/>
              </w:rPr>
              <w:t xml:space="preserve"> Republicii Moldova de a stabili în legislația națională un prag legal al cotelor de piață pentru stabilirea prezumției relative a dominanței.  De asemenea, TFUE precum nici Directiva 2019/1 nu stabilește obligația Republicii Moldova de a stabili în legisl</w:t>
            </w:r>
            <w:r>
              <w:rPr>
                <w:rFonts w:ascii="Times New Roman" w:eastAsia="Times New Roman" w:hAnsi="Times New Roman" w:cs="Times New Roman"/>
              </w:rPr>
              <w:t xml:space="preserve">ația națională un prag legal al cotelor de piață de 40% din piața relevantă pentru stabilirea prezumției relative a dominanței.  </w:t>
            </w:r>
            <w:r>
              <w:rPr>
                <w:rFonts w:ascii="Times New Roman" w:eastAsia="Times New Roman" w:hAnsi="Times New Roman" w:cs="Times New Roman"/>
                <w:highlight w:val="white"/>
              </w:rPr>
              <w:t>Prezumțiile de dominanță bazate pe cotele de piață deținute de întreprinderi reprezintă rezultatul practicii judiciare europene</w:t>
            </w:r>
            <w:r>
              <w:rPr>
                <w:rFonts w:ascii="Times New Roman" w:eastAsia="Times New Roman" w:hAnsi="Times New Roman" w:cs="Times New Roman"/>
                <w:highlight w:val="white"/>
              </w:rPr>
              <w:t xml:space="preserve"> de aplicare a normelor concurențiale.  Astfel, de exemplu, în cazul AZCO </w:t>
            </w:r>
            <w:proofErr w:type="spellStart"/>
            <w:r>
              <w:rPr>
                <w:rFonts w:ascii="Times New Roman" w:eastAsia="Times New Roman" w:hAnsi="Times New Roman" w:cs="Times New Roman"/>
                <w:highlight w:val="white"/>
              </w:rPr>
              <w:t>Chemie</w:t>
            </w:r>
            <w:proofErr w:type="spellEnd"/>
            <w:r>
              <w:rPr>
                <w:rFonts w:ascii="Times New Roman" w:eastAsia="Times New Roman" w:hAnsi="Times New Roman" w:cs="Times New Roman"/>
                <w:highlight w:val="white"/>
              </w:rPr>
              <w:t xml:space="preserve"> BV împotriva Comisiei[1], Curtea Europeană de Justiție a constatat că deținerea unei cote extrem de importante de 50% constituie prin ea însăși, cu excepția uneori situații ex</w:t>
            </w:r>
            <w:r>
              <w:rPr>
                <w:rFonts w:ascii="Times New Roman" w:eastAsia="Times New Roman" w:hAnsi="Times New Roman" w:cs="Times New Roman"/>
                <w:highlight w:val="white"/>
              </w:rPr>
              <w:t xml:space="preserve">cepționale, dovada existenței unei poziții dominante. </w:t>
            </w:r>
          </w:p>
          <w:p w14:paraId="11361C08" w14:textId="77777777" w:rsidR="002A5B12" w:rsidRDefault="007C6886" w:rsidP="00E07EA5">
            <w:pPr>
              <w:numPr>
                <w:ilvl w:val="0"/>
                <w:numId w:val="1"/>
              </w:numP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 xml:space="preserve">Excluderea sintagmei „în măsura în care aceasta poate afecta </w:t>
            </w:r>
            <w:proofErr w:type="spellStart"/>
            <w:r>
              <w:rPr>
                <w:rFonts w:ascii="Times New Roman" w:eastAsia="Times New Roman" w:hAnsi="Times New Roman" w:cs="Times New Roman"/>
                <w:u w:val="single"/>
              </w:rPr>
              <w:t>concurenţa</w:t>
            </w:r>
            <w:proofErr w:type="spellEnd"/>
            <w:r>
              <w:rPr>
                <w:rFonts w:ascii="Times New Roman" w:eastAsia="Times New Roman" w:hAnsi="Times New Roman" w:cs="Times New Roman"/>
                <w:u w:val="single"/>
              </w:rPr>
              <w:t xml:space="preserve"> sau leza interesele colective ale consumatorilor finali”</w:t>
            </w:r>
          </w:p>
          <w:p w14:paraId="63DE2915"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articolul 11 alin. (1) al Legii concurenței, se propune </w:t>
            </w:r>
            <w:r>
              <w:rPr>
                <w:rFonts w:ascii="Times New Roman" w:eastAsia="Times New Roman" w:hAnsi="Times New Roman" w:cs="Times New Roman"/>
              </w:rPr>
              <w:t>excluderea din componența actuală a abuzului de poziție dominantă a elementului calificativ „</w:t>
            </w:r>
            <w:r>
              <w:rPr>
                <w:rFonts w:ascii="Times New Roman" w:eastAsia="Times New Roman" w:hAnsi="Times New Roman" w:cs="Times New Roman"/>
                <w:i/>
              </w:rPr>
              <w:t>în măsura în care aceasta poate afecta concurența sau leza interesele colective ale consumatorilor finali</w:t>
            </w:r>
            <w:r>
              <w:rPr>
                <w:rFonts w:ascii="Times New Roman" w:eastAsia="Times New Roman" w:hAnsi="Times New Roman" w:cs="Times New Roman"/>
              </w:rPr>
              <w:t>”.</w:t>
            </w:r>
          </w:p>
          <w:p w14:paraId="5CDB0416"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De asemenea, în art. 72 alin. (3) lit. c), care prevede</w:t>
            </w:r>
            <w:r>
              <w:rPr>
                <w:rFonts w:ascii="Times New Roman" w:eastAsia="Times New Roman" w:hAnsi="Times New Roman" w:cs="Times New Roman"/>
              </w:rPr>
              <w:t xml:space="preserve"> nivelul de bază a amenzii pentru încălcarea gravă de abuz de poziție dominantă, se propun excluderea criteriului geografic calificativ și anume producerea efectelor acestui comportament pe zone întinse ale pieței. </w:t>
            </w:r>
          </w:p>
          <w:p w14:paraId="5938AAB0"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TFUE precum nici Directiva 2019/1 nu sta</w:t>
            </w:r>
            <w:r>
              <w:rPr>
                <w:rFonts w:ascii="Times New Roman" w:eastAsia="Times New Roman" w:hAnsi="Times New Roman" w:cs="Times New Roman"/>
              </w:rPr>
              <w:t>bilește obligația Republicii Moldova de a exclude din legislația națională sintagma „</w:t>
            </w:r>
            <w:r>
              <w:rPr>
                <w:rFonts w:ascii="Times New Roman" w:eastAsia="Times New Roman" w:hAnsi="Times New Roman" w:cs="Times New Roman"/>
                <w:i/>
              </w:rPr>
              <w:t>în măsura în care aceasta poate afecta concurența sau leza interesele colective ale consumatorilor finali</w:t>
            </w:r>
            <w:r>
              <w:rPr>
                <w:rFonts w:ascii="Times New Roman" w:eastAsia="Times New Roman" w:hAnsi="Times New Roman" w:cs="Times New Roman"/>
              </w:rPr>
              <w:t>” din normele care definesc abuzul de poziție dominantă.</w:t>
            </w:r>
          </w:p>
          <w:p w14:paraId="6DF914F3"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w:t>
            </w:r>
            <w:r>
              <w:rPr>
                <w:rFonts w:ascii="Times New Roman" w:eastAsia="Times New Roman" w:hAnsi="Times New Roman" w:cs="Times New Roman"/>
                <w:u w:val="single"/>
              </w:rPr>
              <w:t xml:space="preserve"> pragurilor amenzilor, penalităților cu titlu cominatoriu și a bazei de calcul a acestora</w:t>
            </w:r>
          </w:p>
          <w:p w14:paraId="07A5A784"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În art. 4 (Noțiuni), se propune introducerea noțiunii de </w:t>
            </w:r>
            <w:r>
              <w:rPr>
                <w:rFonts w:ascii="Times New Roman" w:eastAsia="Times New Roman" w:hAnsi="Times New Roman" w:cs="Times New Roman"/>
                <w:b/>
                <w:i/>
              </w:rPr>
              <w:t>cifră mondială totală de afaceri</w:t>
            </w:r>
            <w:r>
              <w:rPr>
                <w:rFonts w:ascii="Times New Roman" w:eastAsia="Times New Roman" w:hAnsi="Times New Roman" w:cs="Times New Roman"/>
              </w:rPr>
              <w:t>, reprezentând valoarea totală a vânzărilor de produse realizată de o întrepr</w:t>
            </w:r>
            <w:r>
              <w:rPr>
                <w:rFonts w:ascii="Times New Roman" w:eastAsia="Times New Roman" w:hAnsi="Times New Roman" w:cs="Times New Roman"/>
              </w:rPr>
              <w:t>indere în cursul perioadei de gestiune, inclusiv la nivel mondial.  Conform proiectului, cifra mondială totală de afaceri este asimilată:</w:t>
            </w:r>
          </w:p>
          <w:p w14:paraId="79182288"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ab/>
              <w:t xml:space="preserve">cu suma veniturilor aferente </w:t>
            </w:r>
            <w:proofErr w:type="spellStart"/>
            <w:r>
              <w:rPr>
                <w:rFonts w:ascii="Times New Roman" w:eastAsia="Times New Roman" w:hAnsi="Times New Roman" w:cs="Times New Roman"/>
              </w:rPr>
              <w:t>dobînzilor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suma veniturilor neaferente </w:t>
            </w:r>
            <w:proofErr w:type="spellStart"/>
            <w:r>
              <w:rPr>
                <w:rFonts w:ascii="Times New Roman" w:eastAsia="Times New Roman" w:hAnsi="Times New Roman" w:cs="Times New Roman"/>
              </w:rPr>
              <w:t>dobînzilor</w:t>
            </w:r>
            <w:proofErr w:type="spellEnd"/>
            <w:r>
              <w:rPr>
                <w:rFonts w:ascii="Times New Roman" w:eastAsia="Times New Roman" w:hAnsi="Times New Roman" w:cs="Times New Roman"/>
              </w:rPr>
              <w:t>, venituri din comisioane și</w:t>
            </w:r>
            <w:r>
              <w:rPr>
                <w:rFonts w:ascii="Times New Roman" w:eastAsia="Times New Roman" w:hAnsi="Times New Roman" w:cs="Times New Roman"/>
              </w:rPr>
              <w:t xml:space="preserve"> profitul net din operațiuni financiare – pentru bănci, </w:t>
            </w:r>
            <w:proofErr w:type="spellStart"/>
            <w:r>
              <w:rPr>
                <w:rFonts w:ascii="Times New Roman" w:eastAsia="Times New Roman" w:hAnsi="Times New Roman" w:cs="Times New Roman"/>
              </w:rPr>
              <w:t>instituţiile</w:t>
            </w:r>
            <w:proofErr w:type="spellEnd"/>
            <w:r>
              <w:rPr>
                <w:rFonts w:ascii="Times New Roman" w:eastAsia="Times New Roman" w:hAnsi="Times New Roman" w:cs="Times New Roman"/>
              </w:rPr>
              <w:t xml:space="preserve"> care acordă împrumuturi;</w:t>
            </w:r>
          </w:p>
          <w:p w14:paraId="2DF1A25C"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 xml:space="preserve">cu valoarea totală a primelor brute subscrise, inclusiv de reasigurare – pentru </w:t>
            </w:r>
            <w:proofErr w:type="spellStart"/>
            <w:r>
              <w:rPr>
                <w:rFonts w:ascii="Times New Roman" w:eastAsia="Times New Roman" w:hAnsi="Times New Roman" w:cs="Times New Roman"/>
              </w:rPr>
              <w:t>societăţile</w:t>
            </w:r>
            <w:proofErr w:type="spellEnd"/>
            <w:r>
              <w:rPr>
                <w:rFonts w:ascii="Times New Roman" w:eastAsia="Times New Roman" w:hAnsi="Times New Roman" w:cs="Times New Roman"/>
              </w:rPr>
              <w:t xml:space="preserve"> de asigurări;</w:t>
            </w:r>
          </w:p>
          <w:p w14:paraId="29EE6D14"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cu venituri obținute din Republica Mol</w:t>
            </w:r>
            <w:r>
              <w:rPr>
                <w:rFonts w:ascii="Times New Roman" w:eastAsia="Times New Roman" w:hAnsi="Times New Roman" w:cs="Times New Roman"/>
              </w:rPr>
              <w:t xml:space="preserve">dova – în cazurile în care, din motive obiective, nu este posibilă determinarea cifrei mondiale totale de afaceri. </w:t>
            </w:r>
          </w:p>
          <w:p w14:paraId="3ADB60F2"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Totodată, se propune ca cifra de afaceri mondială să reprezinte baza de calcul care se va lua în considerare pentru determinarea nivelului d</w:t>
            </w:r>
            <w:r>
              <w:rPr>
                <w:rFonts w:ascii="Times New Roman" w:eastAsia="Times New Roman" w:hAnsi="Times New Roman" w:cs="Times New Roman"/>
              </w:rPr>
              <w:t xml:space="preserve">e bază al amenzilor pentru încălcările normelor materiale ale legislației concurențiale și a nivelului maxim al amenzii pentru încălcările de procedură. </w:t>
            </w:r>
          </w:p>
          <w:p w14:paraId="0D230519"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același timp, proiectul propune majorarea nivelurilor de bază al amenzilor aplicate pentru încălcăr</w:t>
            </w:r>
            <w:r>
              <w:rPr>
                <w:rFonts w:ascii="Times New Roman" w:eastAsia="Times New Roman" w:hAnsi="Times New Roman" w:cs="Times New Roman"/>
              </w:rPr>
              <w:t>i ale normelor de procedură și pentru încălcări ale normelor materiale ale legislației concurenței. Nivelurile de bază al amenzilor aplicate conform prevederilor actuale ale Legii concurenței, și conform proiectului propus, sunt expuse într-un tabel din se</w:t>
            </w:r>
            <w:r>
              <w:rPr>
                <w:rFonts w:ascii="Times New Roman" w:eastAsia="Times New Roman" w:hAnsi="Times New Roman" w:cs="Times New Roman"/>
              </w:rPr>
              <w:t xml:space="preserve">cțiunea </w:t>
            </w:r>
            <w:proofErr w:type="spellStart"/>
            <w:r>
              <w:rPr>
                <w:rFonts w:ascii="Times New Roman" w:eastAsia="Times New Roman" w:hAnsi="Times New Roman" w:cs="Times New Roman"/>
              </w:rPr>
              <w:t>privin</w:t>
            </w:r>
            <w:proofErr w:type="spellEnd"/>
            <w:r>
              <w:rPr>
                <w:rFonts w:ascii="Times New Roman" w:eastAsia="Times New Roman" w:hAnsi="Times New Roman" w:cs="Times New Roman"/>
              </w:rPr>
              <w:t xml:space="preserve"> impacturile.</w:t>
            </w:r>
          </w:p>
          <w:p w14:paraId="13875A1D"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Argumentul majorării amenzilor este pentru a face sancțiunile impuse a fi amenzi eficace, proporționale și disuasive, după cum este prevăzut de Articolul 13 alineatul (1) și alineatul (2) din Directiva nr. 1/2019.  Drept obiecti</w:t>
            </w:r>
            <w:r>
              <w:rPr>
                <w:rFonts w:ascii="Times New Roman" w:eastAsia="Times New Roman" w:hAnsi="Times New Roman" w:cs="Times New Roman"/>
              </w:rPr>
              <w:t xml:space="preserve">v general al acestor propuneri de modificare este ridicarea nivelului culturii concurențiale, atât a agenților economici, cât și a persoanelor fizice, întrucât dezvoltarea mediului concurențial va determina și creșterea bunăstării consumatorilor, generând </w:t>
            </w:r>
            <w:r>
              <w:rPr>
                <w:rFonts w:ascii="Times New Roman" w:eastAsia="Times New Roman" w:hAnsi="Times New Roman" w:cs="Times New Roman"/>
              </w:rPr>
              <w:t xml:space="preserve">rezultate pozitive semnificative în tendința Consiliului Concurenței de a încuraja întreprinderile să își elaboreze și să implementeze programe eficiente de conformare.  De asemenea, modificările propuse ar putea deschide calea pentru colaborarea efectivă </w:t>
            </w:r>
            <w:r>
              <w:rPr>
                <w:rFonts w:ascii="Times New Roman" w:eastAsia="Times New Roman" w:hAnsi="Times New Roman" w:cs="Times New Roman"/>
              </w:rPr>
              <w:t>a întreprinderilor și asociațiilor de întreprinderi cu Consiliul Concurenței, în cazul în care acestea sunt sau au fost parte al unui acord anticoncurențial și doresc să beneficieze de politica de clemență sub forma recompensei.</w:t>
            </w:r>
          </w:p>
          <w:p w14:paraId="4A98CFB2"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Art. 15 din Directiva (UE) </w:t>
            </w:r>
            <w:r>
              <w:rPr>
                <w:rFonts w:ascii="Times New Roman" w:eastAsia="Times New Roman" w:hAnsi="Times New Roman" w:cs="Times New Roman"/>
              </w:rPr>
              <w:t>2019/1 a Parlamentului European și a Consiliului din 11 decembrie 2018 privind oferirea de mijloace autorităților de concurență din statele membre astfel încât să fie mai eficace în aplicarea legii și privind garantarea funcționării corespunzătoare a piețe</w:t>
            </w:r>
            <w:r>
              <w:rPr>
                <w:rFonts w:ascii="Times New Roman" w:eastAsia="Times New Roman" w:hAnsi="Times New Roman" w:cs="Times New Roman"/>
              </w:rPr>
              <w:t xml:space="preserve">i interne, prevede că </w:t>
            </w:r>
            <w:r>
              <w:rPr>
                <w:rFonts w:ascii="Times New Roman" w:eastAsia="Times New Roman" w:hAnsi="Times New Roman" w:cs="Times New Roman"/>
                <w:b/>
                <w:u w:val="single"/>
              </w:rPr>
              <w:t>statele membre</w:t>
            </w:r>
            <w:r>
              <w:rPr>
                <w:rFonts w:ascii="Times New Roman" w:eastAsia="Times New Roman" w:hAnsi="Times New Roman" w:cs="Times New Roman"/>
              </w:rPr>
              <w:t xml:space="preserve"> se asigură ca cuantumul maxim al amenzii pe care autoritățile naționale de concurență o pot impune fiecărei întreprinderi sau asocieri de întreprinderi care participă la o încălcare a articolului 101 sau 102 din TFUE </w:t>
            </w:r>
            <w:r>
              <w:rPr>
                <w:rFonts w:ascii="Times New Roman" w:eastAsia="Times New Roman" w:hAnsi="Times New Roman" w:cs="Times New Roman"/>
                <w:b/>
              </w:rPr>
              <w:t>nu</w:t>
            </w:r>
            <w:r>
              <w:rPr>
                <w:rFonts w:ascii="Times New Roman" w:eastAsia="Times New Roman" w:hAnsi="Times New Roman" w:cs="Times New Roman"/>
                <w:b/>
              </w:rPr>
              <w:t xml:space="preserve"> este mai mic de 10 % din cuantumul cifrei de afaceri mondiale totale</w:t>
            </w:r>
            <w:r>
              <w:rPr>
                <w:rFonts w:ascii="Times New Roman" w:eastAsia="Times New Roman" w:hAnsi="Times New Roman" w:cs="Times New Roman"/>
              </w:rPr>
              <w:t xml:space="preserve"> a întreprinderii sau a asocierii de întreprinderi realizate în cursul anului financiar care precedă decizia menționată la articolul 13 alineatul (1).</w:t>
            </w:r>
          </w:p>
          <w:p w14:paraId="6364AC3D"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 pragurilor pentru notifica</w:t>
            </w:r>
            <w:r>
              <w:rPr>
                <w:rFonts w:ascii="Times New Roman" w:eastAsia="Times New Roman" w:hAnsi="Times New Roman" w:cs="Times New Roman"/>
                <w:u w:val="single"/>
              </w:rPr>
              <w:t>rea operațiunilor de concentrare economică.</w:t>
            </w:r>
          </w:p>
          <w:p w14:paraId="2830926D"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 xml:space="preserve">Proiectul vine cu propunerea de majorare a cuantumului cifrei de afaceri realizată cumulativ de întreprinderile </w:t>
            </w:r>
            <w:r w:rsidRPr="00826835">
              <w:rPr>
                <w:rFonts w:ascii="Times New Roman" w:eastAsia="Times New Roman" w:hAnsi="Times New Roman" w:cs="Times New Roman"/>
              </w:rPr>
              <w:t>implicate</w:t>
            </w:r>
            <w:r>
              <w:rPr>
                <w:rFonts w:ascii="Times New Roman" w:eastAsia="Times New Roman" w:hAnsi="Times New Roman" w:cs="Times New Roman"/>
                <w:color w:val="16181D"/>
              </w:rPr>
              <w:t xml:space="preserve"> în operațiune, înregistrată în anul anterior operațiunii de la 25.000.000 lei, după cum prevede redacția actuală a Legii concurenței, </w:t>
            </w:r>
            <w:r>
              <w:rPr>
                <w:rFonts w:ascii="Times New Roman" w:eastAsia="Times New Roman" w:hAnsi="Times New Roman" w:cs="Times New Roman"/>
                <w:color w:val="16181D"/>
              </w:rPr>
              <w:t>la valoarea cifrei de afaceri ce va depăși 50.000.000 lei, înregistrată în anul anterior operațiunii. Totodată, proiectul își propune majorarea cifrei totale de afaceri ce urmează a fi realizată de către fiecare întreprindere în parte de la 10.000.000 lei,</w:t>
            </w:r>
            <w:r>
              <w:rPr>
                <w:rFonts w:ascii="Times New Roman" w:eastAsia="Times New Roman" w:hAnsi="Times New Roman" w:cs="Times New Roman"/>
                <w:color w:val="16181D"/>
              </w:rPr>
              <w:t xml:space="preserve"> după cum prevede redacția actuală a Legii concurenței, la 20.000.000 lei.</w:t>
            </w:r>
          </w:p>
          <w:p w14:paraId="6A6E3982"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 xml:space="preserve">Dublarea pragurilor de notificare menționate mai sus rezultă din realitatea economică actuală a Republicii </w:t>
            </w:r>
            <w:r w:rsidRPr="00826835">
              <w:rPr>
                <w:rFonts w:ascii="Times New Roman" w:eastAsia="Times New Roman" w:hAnsi="Times New Roman" w:cs="Times New Roman"/>
              </w:rPr>
              <w:t>Moldova</w:t>
            </w:r>
            <w:r>
              <w:rPr>
                <w:rFonts w:ascii="Times New Roman" w:eastAsia="Times New Roman" w:hAnsi="Times New Roman" w:cs="Times New Roman"/>
                <w:color w:val="16181D"/>
              </w:rPr>
              <w:t xml:space="preserve"> și dinamica Produsului Intern Brut înregistrată din momentul aprob</w:t>
            </w:r>
            <w:r>
              <w:rPr>
                <w:rFonts w:ascii="Times New Roman" w:eastAsia="Times New Roman" w:hAnsi="Times New Roman" w:cs="Times New Roman"/>
                <w:color w:val="16181D"/>
              </w:rPr>
              <w:t>ării Legii concurenței. Conform datelor BNS, în perioada 2012-2022, Produsul Intern Brut în prețuri curente s-a majorat de 2,6 ori. Rata inflației a constituit în aceeași perioadă 132%.</w:t>
            </w:r>
          </w:p>
          <w:p w14:paraId="21A12F3B"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Pragurile de notificare stabilite în anul 2012 la adoptarea Legii conc</w:t>
            </w:r>
            <w:r>
              <w:rPr>
                <w:rFonts w:ascii="Times New Roman" w:eastAsia="Times New Roman" w:hAnsi="Times New Roman" w:cs="Times New Roman"/>
                <w:color w:val="16181D"/>
              </w:rPr>
              <w:t xml:space="preserve">urenței – 10.000.000 și 25.000.000 lei – </w:t>
            </w:r>
            <w:r w:rsidRPr="00826835">
              <w:rPr>
                <w:rFonts w:ascii="Times New Roman" w:eastAsia="Times New Roman" w:hAnsi="Times New Roman" w:cs="Times New Roman"/>
              </w:rPr>
              <w:t>constituiau</w:t>
            </w:r>
            <w:r>
              <w:rPr>
                <w:rFonts w:ascii="Times New Roman" w:eastAsia="Times New Roman" w:hAnsi="Times New Roman" w:cs="Times New Roman"/>
                <w:color w:val="16181D"/>
              </w:rPr>
              <w:t xml:space="preserve"> respectiv 0,010% și 0,024% din PIB. Proiectul propune recuperarea parțială a valorii relative a pragurilor comparativ cu dimensiunea economiei naționale și a pieței interne. Astfel, noile praguri de cifr</w:t>
            </w:r>
            <w:r>
              <w:rPr>
                <w:rFonts w:ascii="Times New Roman" w:eastAsia="Times New Roman" w:hAnsi="Times New Roman" w:cs="Times New Roman"/>
                <w:color w:val="16181D"/>
              </w:rPr>
              <w:t>e totale de afaceri vor constitui 0,007% și, respectiv, 0,018% din PIB înregistrat în anul 2022.</w:t>
            </w:r>
          </w:p>
          <w:p w14:paraId="3F9DBFB4"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 taxei de notificare a operațiunilor de concentrare economică.</w:t>
            </w:r>
          </w:p>
          <w:p w14:paraId="21D02AFE"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Proiectul propune păstrarea mărimii taxei de examinare a notificării privind concentrar</w:t>
            </w:r>
            <w:r>
              <w:rPr>
                <w:rFonts w:ascii="Times New Roman" w:eastAsia="Times New Roman" w:hAnsi="Times New Roman" w:cs="Times New Roman"/>
              </w:rPr>
              <w:t>ea economică la 0,1% din cifra totală de afaceri realizată cumulat pe teritoriul Republicii Moldova de către întreprinderile implicate în concentrarea economică. Totodată, se propune dublarea de la 75 000 lei la 150 000 lei a plafonului maxim al taxei.</w:t>
            </w:r>
          </w:p>
          <w:p w14:paraId="4A0E1A81"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Ca </w:t>
            </w:r>
            <w:r>
              <w:rPr>
                <w:rFonts w:ascii="Times New Roman" w:eastAsia="Times New Roman" w:hAnsi="Times New Roman" w:cs="Times New Roman"/>
              </w:rPr>
              <w:t>și majorarea pragurilor de notificare, majorarea de 2 ori a plafonului taxei de examinare a notificării este argumentată prin necesitatea adaptării acestuia la evoluția PIB și a inflației din perioada de după aprobarea redacției actuale a legii.</w:t>
            </w:r>
          </w:p>
          <w:p w14:paraId="1A1BA49A"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Modificări legate de exercitarea dreptului la apărare în cadrul investigațiilor</w:t>
            </w:r>
          </w:p>
          <w:p w14:paraId="31866457"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Proiectul propune completarea art. 58 alin. (4) din Legea concurenței, astfel încât să permită Plenului Consiliului Concurenței să își bazeze deciziile doar pe constatările din</w:t>
            </w:r>
            <w:r>
              <w:rPr>
                <w:rFonts w:ascii="Times New Roman" w:eastAsia="Times New Roman" w:hAnsi="Times New Roman" w:cs="Times New Roman"/>
              </w:rPr>
              <w:t xml:space="preserve"> raportul de investigație și alte probe pe care Plenul își întemeiază decizia asupra cărora părțile în cauză și-au putut prezenta observațiile. </w:t>
            </w:r>
          </w:p>
          <w:p w14:paraId="0BC42085"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același timp, art. 41 alin. (1) </w:t>
            </w:r>
            <w:proofErr w:type="spellStart"/>
            <w:r>
              <w:rPr>
                <w:rFonts w:ascii="Times New Roman" w:eastAsia="Times New Roman" w:hAnsi="Times New Roman" w:cs="Times New Roman"/>
              </w:rPr>
              <w:t>lit</w:t>
            </w:r>
            <w:proofErr w:type="spellEnd"/>
            <w:r>
              <w:rPr>
                <w:rFonts w:ascii="Times New Roman" w:eastAsia="Times New Roman" w:hAnsi="Times New Roman" w:cs="Times New Roman"/>
              </w:rPr>
              <w:t xml:space="preserve"> h) din proiect prevede atribuția Plenului Consiliului Concurenței de a d</w:t>
            </w:r>
            <w:r>
              <w:rPr>
                <w:rFonts w:ascii="Times New Roman" w:eastAsia="Times New Roman" w:hAnsi="Times New Roman" w:cs="Times New Roman"/>
              </w:rPr>
              <w:t xml:space="preserve">ispune investigarea suplimentară. </w:t>
            </w:r>
          </w:p>
          <w:p w14:paraId="7E2049A8"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Totodată în art. 60 alin. (4) a Legii se propune includerea prevederii conform căreia, Consiliul Concurenței poate acorda acces suplimentar la documentele primite după comunicarea raportului de investigație în etapele ult</w:t>
            </w:r>
            <w:r>
              <w:rPr>
                <w:rFonts w:ascii="Times New Roman" w:eastAsia="Times New Roman" w:hAnsi="Times New Roman" w:cs="Times New Roman"/>
              </w:rPr>
              <w:t xml:space="preserve">erioare ale procedurii, în cazul în care aceste documente constituie probe noi ce vizează partea respectivă. </w:t>
            </w:r>
          </w:p>
          <w:p w14:paraId="37B6ACD7"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Suplimentar, în art. 59 alin. (1) din Legea concurenței se propune excluderea sintagmei „în urma finalizării investigației” prin care se exclude d</w:t>
            </w:r>
            <w:r>
              <w:rPr>
                <w:rFonts w:ascii="Times New Roman" w:eastAsia="Times New Roman" w:hAnsi="Times New Roman" w:cs="Times New Roman"/>
              </w:rPr>
              <w:t xml:space="preserve">in Lege momentul când este elaborat raportul de investigație. </w:t>
            </w:r>
          </w:p>
          <w:p w14:paraId="761182DA" w14:textId="77777777" w:rsidR="002A5B12" w:rsidRDefault="007C6886" w:rsidP="00826835">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Aceste propuneri vin să asigure transpunerea principiilor și prevederilor Regulamentului nr.1/2003 și Directiva 2019/1 ce țin de obligația de asigurare efectivă și deplină a drepturilor întrepr</w:t>
            </w:r>
            <w:r>
              <w:rPr>
                <w:rFonts w:ascii="Times New Roman" w:eastAsia="Times New Roman" w:hAnsi="Times New Roman" w:cs="Times New Roman"/>
              </w:rPr>
              <w:t>inderilor de apărare și realizarea procedurilor administrative de aplicarea Legii concurenței în acord cu principiile și standardele europene în materie de concurență. În acest scop, se asigură dreptul părților de a prezenta și a fi reținute de Plen ca pro</w:t>
            </w:r>
            <w:r>
              <w:rPr>
                <w:rFonts w:ascii="Times New Roman" w:eastAsia="Times New Roman" w:hAnsi="Times New Roman" w:cs="Times New Roman"/>
              </w:rPr>
              <w:t>be, după caz, opinia întreprinderii formulate în cadrul ședinței de audiere, sau a declarațiilor făcute în cadrul audierilor și a altor elemente probatorii care vin în susținerea poziției întreprinderii.</w:t>
            </w:r>
          </w:p>
          <w:p w14:paraId="18D5E1B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Dacă, după transmiterea raportului de investigație, </w:t>
            </w:r>
            <w:r>
              <w:rPr>
                <w:rFonts w:ascii="Times New Roman" w:eastAsia="Times New Roman" w:hAnsi="Times New Roman" w:cs="Times New Roman"/>
              </w:rPr>
              <w:t xml:space="preserve">o parte va prezenta noi probe Consiliului Concurenței, în vederea asigurării dreptului la apărare a </w:t>
            </w:r>
            <w:proofErr w:type="spellStart"/>
            <w:r>
              <w:rPr>
                <w:rFonts w:ascii="Times New Roman" w:eastAsia="Times New Roman" w:hAnsi="Times New Roman" w:cs="Times New Roman"/>
              </w:rPr>
              <w:t>celelaltei</w:t>
            </w:r>
            <w:proofErr w:type="spellEnd"/>
            <w:r>
              <w:rPr>
                <w:rFonts w:ascii="Times New Roman" w:eastAsia="Times New Roman" w:hAnsi="Times New Roman" w:cs="Times New Roman"/>
              </w:rPr>
              <w:t xml:space="preserve"> părți, Consiliul Concurenței va solicita opinia </w:t>
            </w:r>
            <w:proofErr w:type="spellStart"/>
            <w:r>
              <w:rPr>
                <w:rFonts w:ascii="Times New Roman" w:eastAsia="Times New Roman" w:hAnsi="Times New Roman" w:cs="Times New Roman"/>
              </w:rPr>
              <w:t>celelaltei</w:t>
            </w:r>
            <w:proofErr w:type="spellEnd"/>
            <w:r>
              <w:rPr>
                <w:rFonts w:ascii="Times New Roman" w:eastAsia="Times New Roman" w:hAnsi="Times New Roman" w:cs="Times New Roman"/>
              </w:rPr>
              <w:t xml:space="preserve"> părți asupra noii probe prezentate, având în vedere că autoritatea are obligația de a </w:t>
            </w:r>
            <w:r>
              <w:rPr>
                <w:rFonts w:ascii="Times New Roman" w:eastAsia="Times New Roman" w:hAnsi="Times New Roman" w:cs="Times New Roman"/>
              </w:rPr>
              <w:t xml:space="preserve">cerceta </w:t>
            </w:r>
            <w:proofErr w:type="spellStart"/>
            <w:r>
              <w:rPr>
                <w:rFonts w:ascii="Times New Roman" w:eastAsia="Times New Roman" w:hAnsi="Times New Roman" w:cs="Times New Roman"/>
              </w:rPr>
              <w:t>multeaspectual</w:t>
            </w:r>
            <w:proofErr w:type="spellEnd"/>
            <w:r>
              <w:rPr>
                <w:rFonts w:ascii="Times New Roman" w:eastAsia="Times New Roman" w:hAnsi="Times New Roman" w:cs="Times New Roman"/>
              </w:rPr>
              <w:t xml:space="preserve"> și a elucida toate circumstanțele de fapt ale cauzei, fără a se limita doar la expunerea unei singure părți implicate. </w:t>
            </w:r>
          </w:p>
          <w:p w14:paraId="60417236"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La formularea propunerii de </w:t>
            </w:r>
            <w:proofErr w:type="spellStart"/>
            <w:r>
              <w:rPr>
                <w:rFonts w:ascii="Times New Roman" w:eastAsia="Times New Roman" w:hAnsi="Times New Roman" w:cs="Times New Roman"/>
              </w:rPr>
              <w:t>reexamaninare</w:t>
            </w:r>
            <w:proofErr w:type="spellEnd"/>
            <w:r>
              <w:rPr>
                <w:rFonts w:ascii="Times New Roman" w:eastAsia="Times New Roman" w:hAnsi="Times New Roman" w:cs="Times New Roman"/>
              </w:rPr>
              <w:t>/rejudecare s-a ținut cont de bunele practici ale autorității de concurență din Lituania. Potrivit art. 28 alin. (1) din Legea despre Concurență nr. VIII-1099 din 23.03.1999, a Lituaniei, în vederea realizării oport</w:t>
            </w:r>
            <w:r>
              <w:rPr>
                <w:rFonts w:ascii="Times New Roman" w:eastAsia="Times New Roman" w:hAnsi="Times New Roman" w:cs="Times New Roman"/>
              </w:rPr>
              <w:t xml:space="preserve">unității și rentabilității investigației, Consiliul Concurenței are dreptul de a adopta o rezoluție care </w:t>
            </w:r>
            <w:r>
              <w:rPr>
                <w:rFonts w:ascii="Times New Roman" w:eastAsia="Times New Roman" w:hAnsi="Times New Roman" w:cs="Times New Roman"/>
                <w:b/>
              </w:rPr>
              <w:t>să completeze ancheta.</w:t>
            </w:r>
            <w:r>
              <w:rPr>
                <w:rFonts w:ascii="Times New Roman" w:eastAsia="Times New Roman" w:hAnsi="Times New Roman" w:cs="Times New Roman"/>
              </w:rPr>
              <w:t xml:space="preserve"> Concomitent, potrivit art. 28 alin. (5) din Legea prenotat, în cazul în care apar noi </w:t>
            </w:r>
            <w:proofErr w:type="spellStart"/>
            <w:r>
              <w:rPr>
                <w:rFonts w:ascii="Times New Roman" w:eastAsia="Times New Roman" w:hAnsi="Times New Roman" w:cs="Times New Roman"/>
              </w:rPr>
              <w:t>împrejurări,Consiliul</w:t>
            </w:r>
            <w:proofErr w:type="spellEnd"/>
            <w:r>
              <w:rPr>
                <w:rFonts w:ascii="Times New Roman" w:eastAsia="Times New Roman" w:hAnsi="Times New Roman" w:cs="Times New Roman"/>
              </w:rPr>
              <w:t xml:space="preserve"> Concurenței este în </w:t>
            </w:r>
            <w:r>
              <w:rPr>
                <w:rFonts w:ascii="Times New Roman" w:eastAsia="Times New Roman" w:hAnsi="Times New Roman" w:cs="Times New Roman"/>
              </w:rPr>
              <w:t>drept să adopte o rezoluție de redeschidere a anchetei închise.  Art. 34 alin. (2) din Legea menționată supra, prevede posibilitatea instanței de judecată la judecarea contestației împotriva hotărârii Consiliului Concurenței de a trimite cauza pentru o cer</w:t>
            </w:r>
            <w:r>
              <w:rPr>
                <w:rFonts w:ascii="Times New Roman" w:eastAsia="Times New Roman" w:hAnsi="Times New Roman" w:cs="Times New Roman"/>
              </w:rPr>
              <w:t>cetare suplimentară.)</w:t>
            </w:r>
          </w:p>
          <w:p w14:paraId="49C7730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Dacă probele noi prezentate după transmiterea raportului de investigație nu vor duce la o altă apreciere/calificare a circumstanțelor cazului, nu va fi emis un supliment la raportul de investigație în baza probelor noi acumulate după </w:t>
            </w:r>
            <w:r>
              <w:rPr>
                <w:rFonts w:ascii="Times New Roman" w:eastAsia="Times New Roman" w:hAnsi="Times New Roman" w:cs="Times New Roman"/>
              </w:rPr>
              <w:t>comunicarea raportului de investigație. Dar, în caz contrar, dacă probele prezentate ulterior vor determina necesitatea revizuirii concluziei raportorului sau recalificarea presupuselor fapte anticoncurențiale constatate sau constatarea unor alte circumsta</w:t>
            </w:r>
            <w:r>
              <w:rPr>
                <w:rFonts w:ascii="Times New Roman" w:eastAsia="Times New Roman" w:hAnsi="Times New Roman" w:cs="Times New Roman"/>
              </w:rPr>
              <w:t>nțe importante cazului, se va elabora după caz un nou raport de investigație sau un supliment al raportului unde se vor constata noile circumstanțe ale cauzei, în condițiile în care Plenul își întemeiază decizia pe constatările expuse în raportul de invest</w:t>
            </w:r>
            <w:r>
              <w:rPr>
                <w:rFonts w:ascii="Times New Roman" w:eastAsia="Times New Roman" w:hAnsi="Times New Roman" w:cs="Times New Roman"/>
              </w:rPr>
              <w:t>igație.</w:t>
            </w:r>
          </w:p>
          <w:p w14:paraId="0395E07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cazul dispunerii investigației suplimentare va fi emis un raport nou, iar părțile vor avea dreptul de a prezenta observații în termenul general stabilit de art. 59 alin. (3) din Legea concurenței 183/2012 și acces la dosar, de 30 de zile lucrăto</w:t>
            </w:r>
            <w:r>
              <w:rPr>
                <w:rFonts w:ascii="Times New Roman" w:eastAsia="Times New Roman" w:hAnsi="Times New Roman" w:cs="Times New Roman"/>
              </w:rPr>
              <w:t>are pentru prezentarea observațiilor asupra raportului de investigație.</w:t>
            </w:r>
          </w:p>
          <w:p w14:paraId="27D0084C" w14:textId="77777777" w:rsidR="002A5B12" w:rsidRDefault="007C6886" w:rsidP="00E07EA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(Ne)Calcularea cotelor de piață în cazul licitațiilor sau altor forme de concurs de oferte.</w:t>
            </w:r>
          </w:p>
          <w:p w14:paraId="72DB1CC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proiect se propune completarea art. 31 din Legea concurenței cu un nou alineat (4) cu urm</w:t>
            </w:r>
            <w:r>
              <w:rPr>
                <w:rFonts w:ascii="Times New Roman" w:eastAsia="Times New Roman" w:hAnsi="Times New Roman" w:cs="Times New Roman"/>
              </w:rPr>
              <w:t xml:space="preserve">ătorul conținut: „În cazul acordurilor anticoncurențiale realizate în cadrul licitațiilor sau orice alte forme de concurs de oferte, nu se calculează cota de piață, concurența </w:t>
            </w:r>
            <w:proofErr w:type="spellStart"/>
            <w:r>
              <w:rPr>
                <w:rFonts w:ascii="Times New Roman" w:eastAsia="Times New Roman" w:hAnsi="Times New Roman" w:cs="Times New Roman"/>
              </w:rPr>
              <w:t>realizîndu</w:t>
            </w:r>
            <w:proofErr w:type="spellEnd"/>
            <w:r>
              <w:rPr>
                <w:rFonts w:ascii="Times New Roman" w:eastAsia="Times New Roman" w:hAnsi="Times New Roman" w:cs="Times New Roman"/>
              </w:rPr>
              <w:t>-se în cadrul procedurii sau procedurilor de achiziții”.</w:t>
            </w:r>
          </w:p>
          <w:p w14:paraId="5AEB0D7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Prevederea in</w:t>
            </w:r>
            <w:r>
              <w:rPr>
                <w:rFonts w:ascii="Times New Roman" w:eastAsia="Times New Roman" w:hAnsi="Times New Roman" w:cs="Times New Roman"/>
              </w:rPr>
              <w:t>tenționează să clarifice modul de aplicare a normelor de concurență pentru scenariile în care acordurile anticoncurențiale sunt realizate în cadrul unei proceduri de licitație publică sau orice altă formă de concurs de oferte. Scopul modificării constituie</w:t>
            </w:r>
            <w:r>
              <w:rPr>
                <w:rFonts w:ascii="Times New Roman" w:eastAsia="Times New Roman" w:hAnsi="Times New Roman" w:cs="Times New Roman"/>
              </w:rPr>
              <w:t xml:space="preserve"> eficientizarea activității de investigare a trucărilor de licitații sau altor forme de concurs cu oferte, care sunt printre cele mai grave tipuri de încălcări anticoncurențiale. Trucarea licitațiilor, fiind o formă de cartel, este o încălcare a normei leg</w:t>
            </w:r>
            <w:r>
              <w:rPr>
                <w:rFonts w:ascii="Times New Roman" w:eastAsia="Times New Roman" w:hAnsi="Times New Roman" w:cs="Times New Roman"/>
              </w:rPr>
              <w:t xml:space="preserve">ale prin însăși obiectul său, astfel demonstrarea efectului asupra mediului concurențial nu este necesară. În același timp, trucările de licitații nu pot face obiectul </w:t>
            </w:r>
            <w:r>
              <w:rPr>
                <w:rFonts w:ascii="Times New Roman" w:eastAsia="Times New Roman" w:hAnsi="Times New Roman" w:cs="Times New Roman"/>
              </w:rPr>
              <w:lastRenderedPageBreak/>
              <w:t>unor exceptări de la interdicția generală. Respectiv, în acest caz specific analiza stru</w:t>
            </w:r>
            <w:r>
              <w:rPr>
                <w:rFonts w:ascii="Times New Roman" w:eastAsia="Times New Roman" w:hAnsi="Times New Roman" w:cs="Times New Roman"/>
              </w:rPr>
              <w:t>cturii pieței, inclusiv prin prisma cotelor de piață, ar fi o irosire de resurse.</w:t>
            </w:r>
          </w:p>
        </w:tc>
      </w:tr>
      <w:tr w:rsidR="002A5B12" w14:paraId="1CDA6391" w14:textId="77777777">
        <w:trPr>
          <w:jc w:val="center"/>
        </w:trPr>
        <w:tc>
          <w:tcPr>
            <w:tcW w:w="10033" w:type="dxa"/>
            <w:gridSpan w:val="4"/>
            <w:tcMar>
              <w:top w:w="24" w:type="dxa"/>
              <w:left w:w="48" w:type="dxa"/>
              <w:bottom w:w="24" w:type="dxa"/>
              <w:right w:w="48" w:type="dxa"/>
            </w:tcMar>
          </w:tcPr>
          <w:p w14:paraId="0CF1371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opţiunile</w:t>
            </w:r>
            <w:proofErr w:type="spellEnd"/>
            <w:r>
              <w:rPr>
                <w:rFonts w:ascii="Times New Roman" w:eastAsia="Times New Roman" w:hAnsi="Times New Roman" w:cs="Times New Roman"/>
              </w:rPr>
              <w:t xml:space="preserve"> alternative analizate sau </w:t>
            </w:r>
            <w:proofErr w:type="spellStart"/>
            <w:r>
              <w:rPr>
                <w:rFonts w:ascii="Times New Roman" w:eastAsia="Times New Roman" w:hAnsi="Times New Roman" w:cs="Times New Roman"/>
              </w:rPr>
              <w:t>explicaţi</w:t>
            </w:r>
            <w:proofErr w:type="spellEnd"/>
            <w:r>
              <w:rPr>
                <w:rFonts w:ascii="Times New Roman" w:eastAsia="Times New Roman" w:hAnsi="Times New Roman" w:cs="Times New Roman"/>
              </w:rPr>
              <w:t xml:space="preserve"> motivul de ce acestea nu au fost luate în considerare</w:t>
            </w:r>
          </w:p>
        </w:tc>
      </w:tr>
      <w:tr w:rsidR="002A5B12" w14:paraId="6F82C4F9" w14:textId="77777777">
        <w:trPr>
          <w:jc w:val="center"/>
        </w:trPr>
        <w:tc>
          <w:tcPr>
            <w:tcW w:w="10033" w:type="dxa"/>
            <w:gridSpan w:val="4"/>
            <w:tcMar>
              <w:top w:w="24" w:type="dxa"/>
              <w:left w:w="48" w:type="dxa"/>
              <w:bottom w:w="24" w:type="dxa"/>
              <w:right w:w="48" w:type="dxa"/>
            </w:tcMar>
          </w:tcPr>
          <w:p w14:paraId="18AAE794" w14:textId="6F59EEDA" w:rsidR="002A5B12" w:rsidRDefault="007C6886" w:rsidP="003A7A88">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Opțiunea </w:t>
            </w:r>
            <w:proofErr w:type="spellStart"/>
            <w:r>
              <w:rPr>
                <w:rFonts w:ascii="Times New Roman" w:eastAsia="Times New Roman" w:hAnsi="Times New Roman" w:cs="Times New Roman"/>
              </w:rPr>
              <w:t>laternativă</w:t>
            </w:r>
            <w:proofErr w:type="spellEnd"/>
            <w:r>
              <w:rPr>
                <w:rFonts w:ascii="Times New Roman" w:eastAsia="Times New Roman" w:hAnsi="Times New Roman" w:cs="Times New Roman"/>
              </w:rPr>
              <w:t xml:space="preserve"> este de </w:t>
            </w:r>
            <w:proofErr w:type="spellStart"/>
            <w:r>
              <w:rPr>
                <w:rFonts w:ascii="Times New Roman" w:eastAsia="Times New Roman" w:hAnsi="Times New Roman" w:cs="Times New Roman"/>
              </w:rPr>
              <w:t>tranpune</w:t>
            </w:r>
            <w:proofErr w:type="spellEnd"/>
            <w:r>
              <w:rPr>
                <w:rFonts w:ascii="Times New Roman" w:eastAsia="Times New Roman" w:hAnsi="Times New Roman" w:cs="Times New Roman"/>
              </w:rPr>
              <w:t xml:space="preserve"> exact doar </w:t>
            </w:r>
            <w:r>
              <w:rPr>
                <w:rFonts w:ascii="Times New Roman" w:eastAsia="Times New Roman" w:hAnsi="Times New Roman" w:cs="Times New Roman"/>
              </w:rPr>
              <w:t xml:space="preserve">prevederile legislației UE cu care Moldova încă nu s-a armonizat. Prevederile minime, care țin </w:t>
            </w:r>
            <w:proofErr w:type="spellStart"/>
            <w:r>
              <w:rPr>
                <w:rFonts w:ascii="Times New Roman" w:eastAsia="Times New Roman" w:hAnsi="Times New Roman" w:cs="Times New Roman"/>
              </w:rPr>
              <w:t>daor</w:t>
            </w:r>
            <w:proofErr w:type="spellEnd"/>
            <w:r>
              <w:rPr>
                <w:rFonts w:ascii="Times New Roman" w:eastAsia="Times New Roman" w:hAnsi="Times New Roman" w:cs="Times New Roman"/>
              </w:rPr>
              <w:t xml:space="preserve"> de UE, sunt expuse în tabelul din secțiunea anterioară, unde se menționează prevederile din proiect care țin de legislația UE, precum și alte prevederi care</w:t>
            </w:r>
            <w:r>
              <w:rPr>
                <w:rFonts w:ascii="Times New Roman" w:eastAsia="Times New Roman" w:hAnsi="Times New Roman" w:cs="Times New Roman"/>
              </w:rPr>
              <w:t xml:space="preserve"> nu țin de UE și sunt propuse pentru opțiunea preferată.</w:t>
            </w:r>
          </w:p>
        </w:tc>
      </w:tr>
      <w:tr w:rsidR="002A5B12" w14:paraId="43E4903C" w14:textId="77777777">
        <w:trPr>
          <w:jc w:val="center"/>
        </w:trPr>
        <w:tc>
          <w:tcPr>
            <w:tcW w:w="10033" w:type="dxa"/>
            <w:gridSpan w:val="4"/>
            <w:tcMar>
              <w:top w:w="24" w:type="dxa"/>
              <w:left w:w="48" w:type="dxa"/>
              <w:bottom w:w="24" w:type="dxa"/>
              <w:right w:w="48" w:type="dxa"/>
            </w:tcMar>
          </w:tcPr>
          <w:p w14:paraId="06CB64B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 xml:space="preserve">4. Analiza impacturilor </w:t>
            </w:r>
            <w:proofErr w:type="spellStart"/>
            <w:r>
              <w:rPr>
                <w:rFonts w:ascii="Times New Roman" w:eastAsia="Times New Roman" w:hAnsi="Times New Roman" w:cs="Times New Roman"/>
                <w:b/>
              </w:rPr>
              <w:t>opţiunilor</w:t>
            </w:r>
            <w:proofErr w:type="spellEnd"/>
          </w:p>
        </w:tc>
      </w:tr>
      <w:tr w:rsidR="002A5B12" w14:paraId="2C5ECE6A" w14:textId="77777777">
        <w:trPr>
          <w:jc w:val="center"/>
        </w:trPr>
        <w:tc>
          <w:tcPr>
            <w:tcW w:w="10033" w:type="dxa"/>
            <w:gridSpan w:val="4"/>
            <w:tcMar>
              <w:top w:w="24" w:type="dxa"/>
              <w:left w:w="48" w:type="dxa"/>
              <w:bottom w:w="24" w:type="dxa"/>
              <w:right w:w="48" w:type="dxa"/>
            </w:tcMar>
          </w:tcPr>
          <w:p w14:paraId="327E250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efectele negative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pozitive ale stării actuale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evoluţia</w:t>
            </w:r>
            <w:proofErr w:type="spellEnd"/>
            <w:r>
              <w:rPr>
                <w:rFonts w:ascii="Times New Roman" w:eastAsia="Times New Roman" w:hAnsi="Times New Roman" w:cs="Times New Roman"/>
              </w:rPr>
              <w:t xml:space="preserve"> acestora în viitor, care vor sta la baza calculării impacturilor </w:t>
            </w:r>
            <w:proofErr w:type="spellStart"/>
            <w:r>
              <w:rPr>
                <w:rFonts w:ascii="Times New Roman" w:eastAsia="Times New Roman" w:hAnsi="Times New Roman" w:cs="Times New Roman"/>
              </w:rPr>
              <w:t>opţiunii</w:t>
            </w:r>
            <w:proofErr w:type="spellEnd"/>
            <w:r>
              <w:rPr>
                <w:rFonts w:ascii="Times New Roman" w:eastAsia="Times New Roman" w:hAnsi="Times New Roman" w:cs="Times New Roman"/>
              </w:rPr>
              <w:t xml:space="preserve"> recomandate</w:t>
            </w:r>
          </w:p>
        </w:tc>
      </w:tr>
      <w:tr w:rsidR="002A5B12" w14:paraId="2F11352F" w14:textId="77777777">
        <w:trPr>
          <w:jc w:val="center"/>
        </w:trPr>
        <w:tc>
          <w:tcPr>
            <w:tcW w:w="10033" w:type="dxa"/>
            <w:gridSpan w:val="4"/>
            <w:tcMar>
              <w:top w:w="24" w:type="dxa"/>
              <w:left w:w="48" w:type="dxa"/>
              <w:bottom w:w="24" w:type="dxa"/>
              <w:right w:w="48" w:type="dxa"/>
            </w:tcMar>
          </w:tcPr>
          <w:p w14:paraId="4127CDDC" w14:textId="29EAD047" w:rsidR="002A5B12" w:rsidRDefault="007C6886" w:rsidP="003A7A88">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Si</w:t>
            </w:r>
            <w:r>
              <w:rPr>
                <w:rFonts w:ascii="Times New Roman" w:eastAsia="Times New Roman" w:hAnsi="Times New Roman" w:cs="Times New Roman"/>
              </w:rPr>
              <w:t>tuația actuală va continua cu efectele care sunt descrise în definirea problemei.</w:t>
            </w:r>
          </w:p>
        </w:tc>
      </w:tr>
      <w:tr w:rsidR="002A5B12" w14:paraId="15E01679" w14:textId="77777777">
        <w:trPr>
          <w:jc w:val="center"/>
        </w:trPr>
        <w:tc>
          <w:tcPr>
            <w:tcW w:w="10033" w:type="dxa"/>
            <w:gridSpan w:val="4"/>
            <w:tcMar>
              <w:top w:w="24" w:type="dxa"/>
              <w:left w:w="48" w:type="dxa"/>
              <w:bottom w:w="24" w:type="dxa"/>
              <w:right w:w="48" w:type="dxa"/>
            </w:tcMar>
          </w:tcPr>
          <w:p w14:paraId="423211C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Pentru </w:t>
            </w:r>
            <w:proofErr w:type="spellStart"/>
            <w:r>
              <w:rPr>
                <w:rFonts w:ascii="Times New Roman" w:eastAsia="Times New Roman" w:hAnsi="Times New Roman" w:cs="Times New Roman"/>
              </w:rPr>
              <w:t>opţiunea</w:t>
            </w:r>
            <w:proofErr w:type="spellEnd"/>
            <w:r>
              <w:rPr>
                <w:rFonts w:ascii="Times New Roman" w:eastAsia="Times New Roman" w:hAnsi="Times New Roman" w:cs="Times New Roman"/>
              </w:rPr>
              <w:t xml:space="preserve"> recomandată,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impacturile </w:t>
            </w:r>
            <w:proofErr w:type="spellStart"/>
            <w:r>
              <w:rPr>
                <w:rFonts w:ascii="Times New Roman" w:eastAsia="Times New Roman" w:hAnsi="Times New Roman" w:cs="Times New Roman"/>
              </w:rPr>
              <w:t>completînd</w:t>
            </w:r>
            <w:proofErr w:type="spellEnd"/>
            <w:r>
              <w:rPr>
                <w:rFonts w:ascii="Times New Roman" w:eastAsia="Times New Roman" w:hAnsi="Times New Roman" w:cs="Times New Roman"/>
              </w:rPr>
              <w:t xml:space="preserve"> tabelul din anexa la prezentul formular.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pe larg impacturile sub formă de costuri sau benefici</w:t>
            </w:r>
            <w:r>
              <w:rPr>
                <w:rFonts w:ascii="Times New Roman" w:eastAsia="Times New Roman" w:hAnsi="Times New Roman" w:cs="Times New Roman"/>
              </w:rPr>
              <w:t xml:space="preserve">i, inclusiv </w:t>
            </w:r>
            <w:proofErr w:type="spellStart"/>
            <w:r>
              <w:rPr>
                <w:rFonts w:ascii="Times New Roman" w:eastAsia="Times New Roman" w:hAnsi="Times New Roman" w:cs="Times New Roman"/>
              </w:rPr>
              <w:t>părţile</w:t>
            </w:r>
            <w:proofErr w:type="spellEnd"/>
            <w:r>
              <w:rPr>
                <w:rFonts w:ascii="Times New Roman" w:eastAsia="Times New Roman" w:hAnsi="Times New Roman" w:cs="Times New Roman"/>
              </w:rPr>
              <w:t xml:space="preserve"> interesate care ar putea fi afectate pozitiv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negativ de acestea</w:t>
            </w:r>
          </w:p>
        </w:tc>
      </w:tr>
      <w:tr w:rsidR="002A5B12" w14:paraId="76D75163" w14:textId="77777777">
        <w:trPr>
          <w:jc w:val="center"/>
        </w:trPr>
        <w:tc>
          <w:tcPr>
            <w:tcW w:w="10033" w:type="dxa"/>
            <w:gridSpan w:val="4"/>
            <w:tcMar>
              <w:top w:w="24" w:type="dxa"/>
              <w:left w:w="48" w:type="dxa"/>
              <w:bottom w:w="24" w:type="dxa"/>
              <w:right w:w="48" w:type="dxa"/>
            </w:tcMar>
          </w:tcPr>
          <w:p w14:paraId="50CACF0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Pentru opțiunea recomandată, care ține de modificarea Legii concurenței, au fost examinate potențialele impacturi conform principalelor modificări expuse mai jos:</w:t>
            </w:r>
          </w:p>
          <w:p w14:paraId="0F7482A1" w14:textId="77777777" w:rsidR="002A5B12" w:rsidRDefault="007C6886" w:rsidP="00E07EA5">
            <w:pPr>
              <w:numPr>
                <w:ilvl w:val="0"/>
                <w:numId w:val="2"/>
              </w:numP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Micșorarea pragului legal al cotei de piață pentru stabilirea prezumției dominanței de la 50% la 40%</w:t>
            </w:r>
            <w:r>
              <w:rPr>
                <w:rFonts w:ascii="Times New Roman" w:eastAsia="Times New Roman" w:hAnsi="Times New Roman" w:cs="Times New Roman"/>
              </w:rPr>
              <w:t xml:space="preserve"> </w:t>
            </w:r>
          </w:p>
          <w:p w14:paraId="03C41A7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Micșorarea cotei o să contribuie la realizarea unei economii de resurse, prin reducerea duratei și costurilor aferente realizării unei investigații și imp</w:t>
            </w:r>
            <w:r>
              <w:rPr>
                <w:rFonts w:ascii="Times New Roman" w:eastAsia="Times New Roman" w:hAnsi="Times New Roman" w:cs="Times New Roman"/>
              </w:rPr>
              <w:t xml:space="preserve">licit la eficientizarea activității Consiliului Concurenței, deoarece pentru aplicarea art. 11 din Legea concurenței este necesară o analiză economică detaliată, iar prezumțiile legale sunt utilizate pentru a ușura sarcina probei și costurile de executare </w:t>
            </w:r>
            <w:r>
              <w:rPr>
                <w:rFonts w:ascii="Times New Roman" w:eastAsia="Times New Roman" w:hAnsi="Times New Roman" w:cs="Times New Roman"/>
              </w:rPr>
              <w:t xml:space="preserve">pentru autoritățile de concurență, cât și pentru a reduce incertitudinea juridică.  </w:t>
            </w:r>
          </w:p>
          <w:p w14:paraId="153898C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Conform proiectului, prezumția dominanței doar în baza cotei de piață de 40% se va stabili de Consiliul Concurenței până la proba contrară, în aceste cazuri întreprinderea</w:t>
            </w:r>
            <w:r>
              <w:rPr>
                <w:rFonts w:ascii="Times New Roman" w:eastAsia="Times New Roman" w:hAnsi="Times New Roman" w:cs="Times New Roman"/>
              </w:rPr>
              <w:t xml:space="preserve"> supusă investigației este în drept să probeze că nu deține o poziție dominantă pe piața relevantă.  O asemenea micșorare a pragului legal al dominanței ar permite Consiliul Concurenței să reducă costurile operaționale, de timp și de a asigura eficiența pr</w:t>
            </w:r>
            <w:r>
              <w:rPr>
                <w:rFonts w:ascii="Times New Roman" w:eastAsia="Times New Roman" w:hAnsi="Times New Roman" w:cs="Times New Roman"/>
              </w:rPr>
              <w:t xml:space="preserve">ocedurii de examinare a unui presupus abuz de poziție dominantă, la stabilirea poziției dominante a unei întreprinderi. </w:t>
            </w:r>
          </w:p>
          <w:p w14:paraId="374AF28D"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Punerea în sarcina întreprinderilor de a proba lipsa poziției dominante pentru cote de piață de 40% va avea impact asupra întreprinderi</w:t>
            </w:r>
            <w:r>
              <w:rPr>
                <w:rFonts w:ascii="Times New Roman" w:eastAsia="Times New Roman" w:hAnsi="Times New Roman" w:cs="Times New Roman"/>
              </w:rPr>
              <w:t>lor prin creșterea incertitudinii cu privire la întinderea limitărilor juridice pe care le impune deținerea unei poziții dominante.  Acest fapt se datorează în primul rând incertitudinii privind interpretarea Legii concurenței de către întreprinderi la eva</w:t>
            </w:r>
            <w:r>
              <w:rPr>
                <w:rFonts w:ascii="Times New Roman" w:eastAsia="Times New Roman" w:hAnsi="Times New Roman" w:cs="Times New Roman"/>
              </w:rPr>
              <w:t xml:space="preserve">luarea propriilor practici în scopul respectării normelor stabilite de Legea concurenței privind interzicerea abuzului de poziție dominantă, sau a obligației de a contracta prevăzută de art. 997 Cod civil. </w:t>
            </w:r>
          </w:p>
          <w:p w14:paraId="5147CB4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Este necesar de menționat că Legea concurenței co</w:t>
            </w:r>
            <w:r>
              <w:rPr>
                <w:rFonts w:ascii="Times New Roman" w:eastAsia="Times New Roman" w:hAnsi="Times New Roman" w:cs="Times New Roman"/>
              </w:rPr>
              <w:t xml:space="preserve">nține prevederi generale, care permite interpretări extensive la stabilirea piețelor relevante, cotelor pe piață, deținerea puterii economice ceea poate să nu permită întreprinderilor de sine stătător să își stabilească cotele de piață și să își aprecieze </w:t>
            </w:r>
            <w:r>
              <w:rPr>
                <w:rFonts w:ascii="Times New Roman" w:eastAsia="Times New Roman" w:hAnsi="Times New Roman" w:cs="Times New Roman"/>
              </w:rPr>
              <w:t>comportamentul în vederea conformării reglementărilor concurențiale.  Totodată, Legea concurenței oferă o discreție largă Consiliului Concurenței la definirea piețelor relevante, determinarea cotelor de piață și analizarea criteriilor care demonstrează deț</w:t>
            </w:r>
            <w:r>
              <w:rPr>
                <w:rFonts w:ascii="Times New Roman" w:eastAsia="Times New Roman" w:hAnsi="Times New Roman" w:cs="Times New Roman"/>
              </w:rPr>
              <w:t xml:space="preserve">inerea unei poziții dominante, precum și instrumentele de care dispune exclusiv Consiliul Concurenței în special la solicitarea și obținerii informației necesare pentru analiza concurențială a piețelor, în special al piețelor nereglementate. </w:t>
            </w:r>
          </w:p>
          <w:p w14:paraId="4A4E94F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contextul </w:t>
            </w:r>
            <w:r>
              <w:rPr>
                <w:rFonts w:ascii="Times New Roman" w:eastAsia="Times New Roman" w:hAnsi="Times New Roman" w:cs="Times New Roman"/>
              </w:rPr>
              <w:t>determinării cotelor de piață, Legea concurenței stabilește câteva praguri legale care stabilește fie prezumții de exceptare, fie prezumții de caracter anticoncurențial, fie prezumții de dominanță, și anume:</w:t>
            </w:r>
          </w:p>
          <w:p w14:paraId="43B5EC0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t xml:space="preserve">cote de piață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(10% sau 15% </w:t>
            </w:r>
            <w:r>
              <w:rPr>
                <w:rFonts w:ascii="Times New Roman" w:eastAsia="Times New Roman" w:hAnsi="Times New Roman" w:cs="Times New Roman"/>
              </w:rPr>
              <w:t>pentru acorduri verticale sau orizontale, după caz),</w:t>
            </w:r>
          </w:p>
          <w:p w14:paraId="352D6F2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cote de piață pentru cazuri în care exceptările pe categorii nu se aplică (25% și mai mult pentru categoriile speciale de acorduri orizontale și 30% și mai mult pentru unele categorii de acordu</w:t>
            </w:r>
            <w:r>
              <w:rPr>
                <w:rFonts w:ascii="Times New Roman" w:eastAsia="Times New Roman" w:hAnsi="Times New Roman" w:cs="Times New Roman"/>
              </w:rPr>
              <w:t xml:space="preserve">ri </w:t>
            </w:r>
            <w:proofErr w:type="spellStart"/>
            <w:r>
              <w:rPr>
                <w:rFonts w:ascii="Times New Roman" w:eastAsia="Times New Roman" w:hAnsi="Times New Roman" w:cs="Times New Roman"/>
              </w:rPr>
              <w:t>veritcale</w:t>
            </w:r>
            <w:proofErr w:type="spellEnd"/>
            <w:r>
              <w:rPr>
                <w:rFonts w:ascii="Times New Roman" w:eastAsia="Times New Roman" w:hAnsi="Times New Roman" w:cs="Times New Roman"/>
              </w:rPr>
              <w:t xml:space="preserve">), și </w:t>
            </w:r>
          </w:p>
          <w:p w14:paraId="2B0E59D4"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(iii)    </w:t>
            </w:r>
            <w:r>
              <w:rPr>
                <w:rFonts w:ascii="Times New Roman" w:eastAsia="Times New Roman" w:hAnsi="Times New Roman" w:cs="Times New Roman"/>
              </w:rPr>
              <w:tab/>
              <w:t xml:space="preserve">cote de piață relative la deținerea unei poziții dominante (50% și mai mult). </w:t>
            </w:r>
          </w:p>
          <w:p w14:paraId="6098DD00"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toate cazurile în care cotele de piață reprezintă un element important la calificarea comportamentului </w:t>
            </w:r>
            <w:proofErr w:type="spellStart"/>
            <w:r>
              <w:rPr>
                <w:rFonts w:ascii="Times New Roman" w:eastAsia="Times New Roman" w:hAnsi="Times New Roman" w:cs="Times New Roman"/>
              </w:rPr>
              <w:t>înreprinderilor</w:t>
            </w:r>
            <w:proofErr w:type="spellEnd"/>
            <w:r>
              <w:rPr>
                <w:rFonts w:ascii="Times New Roman" w:eastAsia="Times New Roman" w:hAnsi="Times New Roman" w:cs="Times New Roman"/>
              </w:rPr>
              <w:t xml:space="preserve"> prin prisma Legii concuren</w:t>
            </w:r>
            <w:r>
              <w:rPr>
                <w:rFonts w:ascii="Times New Roman" w:eastAsia="Times New Roman" w:hAnsi="Times New Roman" w:cs="Times New Roman"/>
              </w:rPr>
              <w:t>ței, întreprinderile trebuie să aibă posibilitatea să determine în mod independent piețele relevante, inclusiv dimensiunile produsului și geografice ale acestora.  Regulile privind definirea piețelor relevante conținute în art. 29 – 31 din Legea concurențe</w:t>
            </w:r>
            <w:r>
              <w:rPr>
                <w:rFonts w:ascii="Times New Roman" w:eastAsia="Times New Roman" w:hAnsi="Times New Roman" w:cs="Times New Roman"/>
              </w:rPr>
              <w:t xml:space="preserve">i stabilesc discreția largă a Consiliului Concurenței la determinarea corectitudinii definirii pieței relevante și a calculării corecte a cotelor de piață ale întreprinderilor. </w:t>
            </w:r>
          </w:p>
          <w:p w14:paraId="636331A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Drept exemplu pot fi invocate câteva norme conținute de Legea concurenței în c</w:t>
            </w:r>
            <w:r>
              <w:rPr>
                <w:rFonts w:ascii="Times New Roman" w:eastAsia="Times New Roman" w:hAnsi="Times New Roman" w:cs="Times New Roman"/>
              </w:rPr>
              <w:t>eea ce privește definirea pieței relevante și determinarea cotelor de piață:</w:t>
            </w:r>
          </w:p>
          <w:p w14:paraId="6F758A2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art. 29 alin. (2) prevede că „</w:t>
            </w:r>
            <w:r>
              <w:rPr>
                <w:rFonts w:ascii="Times New Roman" w:eastAsia="Times New Roman" w:hAnsi="Times New Roman" w:cs="Times New Roman"/>
                <w:i/>
              </w:rPr>
              <w:t xml:space="preserve">la determinarea pieței relevante a produsului se vor utiliza </w:t>
            </w:r>
            <w:r>
              <w:rPr>
                <w:rFonts w:ascii="Times New Roman" w:eastAsia="Times New Roman" w:hAnsi="Times New Roman" w:cs="Times New Roman"/>
                <w:b/>
                <w:i/>
              </w:rPr>
              <w:t>elemente probatorii suficiente</w:t>
            </w:r>
            <w:r>
              <w:rPr>
                <w:rFonts w:ascii="Times New Roman" w:eastAsia="Times New Roman" w:hAnsi="Times New Roman" w:cs="Times New Roman"/>
                <w:i/>
              </w:rPr>
              <w:t xml:space="preserve"> pentru a ajunge la o concluzie privind dimensiunile pieței, în scopul rezolvării problemei concurențiale aferente unui caz concret, precum și a altor sarcini nominalizate la art. 28 alin. (2) din Legea concurenței”</w:t>
            </w:r>
            <w:r>
              <w:rPr>
                <w:rFonts w:ascii="Times New Roman" w:eastAsia="Times New Roman" w:hAnsi="Times New Roman" w:cs="Times New Roman"/>
              </w:rPr>
              <w:t>.  Legea nu stabilește anumite criterii c</w:t>
            </w:r>
            <w:r>
              <w:rPr>
                <w:rFonts w:ascii="Times New Roman" w:eastAsia="Times New Roman" w:hAnsi="Times New Roman" w:cs="Times New Roman"/>
              </w:rPr>
              <w:t xml:space="preserve">are i-ar permite întreprinderii în mod independent să stabilească dacă elementele probatorii acumulate și prezentate de aceasta are „caracter suficient”. </w:t>
            </w:r>
          </w:p>
          <w:p w14:paraId="0B42890A"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Articolul 29 alin. (7) din Legea concurenței stabilește că „</w:t>
            </w:r>
            <w:r>
              <w:rPr>
                <w:rFonts w:ascii="Times New Roman" w:eastAsia="Times New Roman" w:hAnsi="Times New Roman" w:cs="Times New Roman"/>
                <w:i/>
              </w:rPr>
              <w:t>procesul de determinare a pieței</w:t>
            </w:r>
            <w:r>
              <w:rPr>
                <w:rFonts w:ascii="Times New Roman" w:eastAsia="Times New Roman" w:hAnsi="Times New Roman" w:cs="Times New Roman"/>
                <w:i/>
              </w:rPr>
              <w:t xml:space="preserve"> geografice relevante constă în selectarea și sistematizarea informațiilor care contribuie la identificarea obstacolelor și a barierelor ce izolează întreprinderile situate într-o anumită zonă de presiunea </w:t>
            </w:r>
            <w:proofErr w:type="spellStart"/>
            <w:r>
              <w:rPr>
                <w:rFonts w:ascii="Times New Roman" w:eastAsia="Times New Roman" w:hAnsi="Times New Roman" w:cs="Times New Roman"/>
                <w:i/>
              </w:rPr>
              <w:t>concurenţială</w:t>
            </w:r>
            <w:proofErr w:type="spellEnd"/>
            <w:r>
              <w:rPr>
                <w:rFonts w:ascii="Times New Roman" w:eastAsia="Times New Roman" w:hAnsi="Times New Roman" w:cs="Times New Roman"/>
                <w:i/>
              </w:rPr>
              <w:t xml:space="preserve"> a întreprinderilor situate în afara </w:t>
            </w:r>
            <w:r>
              <w:rPr>
                <w:rFonts w:ascii="Times New Roman" w:eastAsia="Times New Roman" w:hAnsi="Times New Roman" w:cs="Times New Roman"/>
                <w:i/>
              </w:rPr>
              <w:t xml:space="preserve">acestei zone, astfel </w:t>
            </w:r>
            <w:proofErr w:type="spellStart"/>
            <w:r>
              <w:rPr>
                <w:rFonts w:ascii="Times New Roman" w:eastAsia="Times New Roman" w:hAnsi="Times New Roman" w:cs="Times New Roman"/>
                <w:i/>
              </w:rPr>
              <w:t>încît</w:t>
            </w:r>
            <w:proofErr w:type="spellEnd"/>
            <w:r>
              <w:rPr>
                <w:rFonts w:ascii="Times New Roman" w:eastAsia="Times New Roman" w:hAnsi="Times New Roman" w:cs="Times New Roman"/>
                <w:i/>
              </w:rPr>
              <w:t xml:space="preserve"> să se clarifice </w:t>
            </w:r>
            <w:r>
              <w:rPr>
                <w:rFonts w:ascii="Times New Roman" w:eastAsia="Times New Roman" w:hAnsi="Times New Roman" w:cs="Times New Roman"/>
                <w:b/>
                <w:i/>
              </w:rPr>
              <w:t>cu precizie</w:t>
            </w:r>
            <w:r>
              <w:rPr>
                <w:rFonts w:ascii="Times New Roman" w:eastAsia="Times New Roman" w:hAnsi="Times New Roman" w:cs="Times New Roman"/>
                <w:i/>
              </w:rPr>
              <w:t xml:space="preserve"> gradul de interpenetrare a </w:t>
            </w:r>
            <w:proofErr w:type="spellStart"/>
            <w:r>
              <w:rPr>
                <w:rFonts w:ascii="Times New Roman" w:eastAsia="Times New Roman" w:hAnsi="Times New Roman" w:cs="Times New Roman"/>
                <w:i/>
              </w:rPr>
              <w:t>pieţelor</w:t>
            </w:r>
            <w:proofErr w:type="spellEnd"/>
            <w:r>
              <w:rPr>
                <w:rFonts w:ascii="Times New Roman" w:eastAsia="Times New Roman" w:hAnsi="Times New Roman" w:cs="Times New Roman"/>
                <w:i/>
              </w:rPr>
              <w:t xml:space="preserve"> la nivel </w:t>
            </w:r>
            <w:proofErr w:type="spellStart"/>
            <w:r>
              <w:rPr>
                <w:rFonts w:ascii="Times New Roman" w:eastAsia="Times New Roman" w:hAnsi="Times New Roman" w:cs="Times New Roman"/>
                <w:i/>
              </w:rPr>
              <w:t>national</w:t>
            </w:r>
            <w:proofErr w:type="spellEnd"/>
            <w:r>
              <w:rPr>
                <w:rFonts w:ascii="Times New Roman" w:eastAsia="Times New Roman" w:hAnsi="Times New Roman" w:cs="Times New Roman"/>
              </w:rPr>
              <w:t>”. Legea nu stabilește anumite criterii care i-ar permite întreprinderii în mod independent să stabilească dacă elementele probatorii acumulate și p</w:t>
            </w:r>
            <w:r>
              <w:rPr>
                <w:rFonts w:ascii="Times New Roman" w:eastAsia="Times New Roman" w:hAnsi="Times New Roman" w:cs="Times New Roman"/>
              </w:rPr>
              <w:t>rezentate de aceasta clarifică „cu precizie” gradul de interpenetrare a piețelor la nivel național.</w:t>
            </w:r>
          </w:p>
          <w:p w14:paraId="128FEA06"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Articolul 31 alin. (2) stabilește că „</w:t>
            </w:r>
            <w:r>
              <w:rPr>
                <w:rFonts w:ascii="Times New Roman" w:eastAsia="Times New Roman" w:hAnsi="Times New Roman" w:cs="Times New Roman"/>
                <w:i/>
              </w:rPr>
              <w:t>mărimea totală a pieței și cotele de piață deținute pot fi cunoscute consultând surse de informație cum ar fi</w:t>
            </w:r>
            <w:r>
              <w:rPr>
                <w:rFonts w:ascii="Times New Roman" w:eastAsia="Times New Roman" w:hAnsi="Times New Roman" w:cs="Times New Roman"/>
                <w:i/>
              </w:rPr>
              <w:t xml:space="preserve"> previziunile întreprinderilor sau studiile comandate întreprinderilor de consultanță și/sau asociațiilor profesionale competente, rapoartele financiare și statistice, informațiile de la autoritățile vamale, de la autoritățile de reglementare etc.  </w:t>
            </w:r>
            <w:r>
              <w:rPr>
                <w:rFonts w:ascii="Times New Roman" w:eastAsia="Times New Roman" w:hAnsi="Times New Roman" w:cs="Times New Roman"/>
                <w:b/>
                <w:i/>
              </w:rPr>
              <w:t>În abse</w:t>
            </w:r>
            <w:r>
              <w:rPr>
                <w:rFonts w:ascii="Times New Roman" w:eastAsia="Times New Roman" w:hAnsi="Times New Roman" w:cs="Times New Roman"/>
                <w:b/>
                <w:i/>
              </w:rPr>
              <w:t xml:space="preserve">nța unor astfel de surse de informație sau atunci când previziunile disponibile nu sânt fiabile, Consiliul Concurenței solicită, de obicei, fiecărui furnizor de pe piața relevantă să îi </w:t>
            </w:r>
            <w:proofErr w:type="spellStart"/>
            <w:r>
              <w:rPr>
                <w:rFonts w:ascii="Times New Roman" w:eastAsia="Times New Roman" w:hAnsi="Times New Roman" w:cs="Times New Roman"/>
                <w:b/>
                <w:i/>
              </w:rPr>
              <w:t>comunce</w:t>
            </w:r>
            <w:proofErr w:type="spellEnd"/>
            <w:r>
              <w:rPr>
                <w:rFonts w:ascii="Times New Roman" w:eastAsia="Times New Roman" w:hAnsi="Times New Roman" w:cs="Times New Roman"/>
                <w:b/>
                <w:i/>
              </w:rPr>
              <w:t xml:space="preserve"> propria cifră de afaceri, astfel încât să poată calcula mărime</w:t>
            </w:r>
            <w:r>
              <w:rPr>
                <w:rFonts w:ascii="Times New Roman" w:eastAsia="Times New Roman" w:hAnsi="Times New Roman" w:cs="Times New Roman"/>
                <w:b/>
                <w:i/>
              </w:rPr>
              <w:t>a totală a pieței și cotele de piață deținute</w:t>
            </w:r>
            <w:r>
              <w:rPr>
                <w:rFonts w:ascii="Times New Roman" w:eastAsia="Times New Roman" w:hAnsi="Times New Roman" w:cs="Times New Roman"/>
                <w:i/>
              </w:rPr>
              <w:t xml:space="preserve">.  </w:t>
            </w:r>
            <w:r>
              <w:rPr>
                <w:rFonts w:ascii="Times New Roman" w:eastAsia="Times New Roman" w:hAnsi="Times New Roman" w:cs="Times New Roman"/>
              </w:rPr>
              <w:t>Întreprinderile nu dispun de dreptul de acces la informația fiecărui furnizor de pe piața relevantă pentru a determina mărimea totală a pieței și cotele de piață deținute, în lipsa unor surse de informații sa</w:t>
            </w:r>
            <w:r>
              <w:rPr>
                <w:rFonts w:ascii="Times New Roman" w:eastAsia="Times New Roman" w:hAnsi="Times New Roman" w:cs="Times New Roman"/>
              </w:rPr>
              <w:t xml:space="preserve">u atunci când previziunile disponibile nu sunt fiabile, astfel încât să asigure o analiză concurențială corectă.  </w:t>
            </w:r>
          </w:p>
          <w:p w14:paraId="3611B42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Cât privește capacitatea întreprinderilor de a-și determina de sine  stătător poziția dominantă, Legea concurenței conține o definiție cu car</w:t>
            </w:r>
            <w:r>
              <w:rPr>
                <w:rFonts w:ascii="Times New Roman" w:eastAsia="Times New Roman" w:hAnsi="Times New Roman" w:cs="Times New Roman"/>
              </w:rPr>
              <w:t>acter general al poziției dominante ca fiind „</w:t>
            </w:r>
            <w:r>
              <w:rPr>
                <w:rFonts w:ascii="Times New Roman" w:eastAsia="Times New Roman" w:hAnsi="Times New Roman" w:cs="Times New Roman"/>
                <w:i/>
              </w:rPr>
              <w:t>poziție de putere economică de care beneficiază o întreprindere ce îi permite să împiedice menținerea unei concurențe efective pe o piață relevantă, acordându-i posibilitatea de a se comporta, în mare măsură, î</w:t>
            </w:r>
            <w:r>
              <w:rPr>
                <w:rFonts w:ascii="Times New Roman" w:eastAsia="Times New Roman" w:hAnsi="Times New Roman" w:cs="Times New Roman"/>
                <w:i/>
              </w:rPr>
              <w:t>n mod independent față de concurenți, de clienții săi și, în ultima instanță, față de consumatori</w:t>
            </w:r>
            <w:r>
              <w:rPr>
                <w:rFonts w:ascii="Times New Roman" w:eastAsia="Times New Roman" w:hAnsi="Times New Roman" w:cs="Times New Roman"/>
              </w:rPr>
              <w:t xml:space="preserve">”. </w:t>
            </w:r>
          </w:p>
          <w:p w14:paraId="6039436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i/>
              </w:rPr>
            </w:pPr>
            <w:r>
              <w:rPr>
                <w:rFonts w:ascii="Times New Roman" w:eastAsia="Times New Roman" w:hAnsi="Times New Roman" w:cs="Times New Roman"/>
              </w:rPr>
              <w:t>Stabilirea unei poziții dominante reprezintă un exercițiu economic complex care necesită informații precise din piață, precum și o definire corectă a piețe</w:t>
            </w:r>
            <w:r>
              <w:rPr>
                <w:rFonts w:ascii="Times New Roman" w:eastAsia="Times New Roman" w:hAnsi="Times New Roman" w:cs="Times New Roman"/>
              </w:rPr>
              <w:t>lor relevante și a cotelor de piață a întreprinderilor din piață.  Factorii de care întreprinderile ar putea să țină cont sunt conținuți în art. 10 alin. (3) din Legea concurenței, însă aceștia nu sunt exhaustivi.  Astfel, art. 10 alin. (3) din Legea concu</w:t>
            </w:r>
            <w:r>
              <w:rPr>
                <w:rFonts w:ascii="Times New Roman" w:eastAsia="Times New Roman" w:hAnsi="Times New Roman" w:cs="Times New Roman"/>
              </w:rPr>
              <w:t>renței stabilește că „</w:t>
            </w:r>
            <w:proofErr w:type="spellStart"/>
            <w:r>
              <w:rPr>
                <w:rFonts w:ascii="Times New Roman" w:eastAsia="Times New Roman" w:hAnsi="Times New Roman" w:cs="Times New Roman"/>
                <w:i/>
              </w:rPr>
              <w:t>poziţia</w:t>
            </w:r>
            <w:proofErr w:type="spellEnd"/>
            <w:r>
              <w:rPr>
                <w:rFonts w:ascii="Times New Roman" w:eastAsia="Times New Roman" w:hAnsi="Times New Roman" w:cs="Times New Roman"/>
                <w:i/>
              </w:rPr>
              <w:t xml:space="preserve"> dominantă rezultă dintr-o </w:t>
            </w:r>
            <w:proofErr w:type="spellStart"/>
            <w:r>
              <w:rPr>
                <w:rFonts w:ascii="Times New Roman" w:eastAsia="Times New Roman" w:hAnsi="Times New Roman" w:cs="Times New Roman"/>
                <w:i/>
              </w:rPr>
              <w:t>combinaţie</w:t>
            </w:r>
            <w:proofErr w:type="spellEnd"/>
            <w:r>
              <w:rPr>
                <w:rFonts w:ascii="Times New Roman" w:eastAsia="Times New Roman" w:hAnsi="Times New Roman" w:cs="Times New Roman"/>
                <w:i/>
              </w:rPr>
              <w:t xml:space="preserve"> de mai </w:t>
            </w:r>
            <w:proofErr w:type="spellStart"/>
            <w:r>
              <w:rPr>
                <w:rFonts w:ascii="Times New Roman" w:eastAsia="Times New Roman" w:hAnsi="Times New Roman" w:cs="Times New Roman"/>
                <w:i/>
              </w:rPr>
              <w:t>mulţi</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 xml:space="preserve">factori care, </w:t>
            </w:r>
            <w:proofErr w:type="spellStart"/>
            <w:r>
              <w:rPr>
                <w:rFonts w:ascii="Times New Roman" w:eastAsia="Times New Roman" w:hAnsi="Times New Roman" w:cs="Times New Roman"/>
                <w:b/>
                <w:i/>
              </w:rPr>
              <w:t>luaţi</w:t>
            </w:r>
            <w:proofErr w:type="spellEnd"/>
            <w:r>
              <w:rPr>
                <w:rFonts w:ascii="Times New Roman" w:eastAsia="Times New Roman" w:hAnsi="Times New Roman" w:cs="Times New Roman"/>
                <w:b/>
                <w:i/>
              </w:rPr>
              <w:t xml:space="preserve"> separat, nu </w:t>
            </w:r>
            <w:proofErr w:type="spellStart"/>
            <w:r>
              <w:rPr>
                <w:rFonts w:ascii="Times New Roman" w:eastAsia="Times New Roman" w:hAnsi="Times New Roman" w:cs="Times New Roman"/>
                <w:b/>
                <w:i/>
              </w:rPr>
              <w:t>sînt</w:t>
            </w:r>
            <w:proofErr w:type="spellEnd"/>
            <w:r>
              <w:rPr>
                <w:rFonts w:ascii="Times New Roman" w:eastAsia="Times New Roman" w:hAnsi="Times New Roman" w:cs="Times New Roman"/>
                <w:b/>
                <w:i/>
              </w:rPr>
              <w:t xml:space="preserve"> neapărat </w:t>
            </w:r>
            <w:proofErr w:type="spellStart"/>
            <w:r>
              <w:rPr>
                <w:rFonts w:ascii="Times New Roman" w:eastAsia="Times New Roman" w:hAnsi="Times New Roman" w:cs="Times New Roman"/>
                <w:b/>
                <w:i/>
              </w:rPr>
              <w:t>hotărîtori</w:t>
            </w:r>
            <w:proofErr w:type="spellEnd"/>
            <w:r>
              <w:rPr>
                <w:rFonts w:ascii="Times New Roman" w:eastAsia="Times New Roman" w:hAnsi="Times New Roman" w:cs="Times New Roman"/>
                <w:i/>
              </w:rPr>
              <w:t xml:space="preserve">. Evaluarea unei </w:t>
            </w:r>
            <w:proofErr w:type="spellStart"/>
            <w:r>
              <w:rPr>
                <w:rFonts w:ascii="Times New Roman" w:eastAsia="Times New Roman" w:hAnsi="Times New Roman" w:cs="Times New Roman"/>
                <w:i/>
              </w:rPr>
              <w:t>poziţii</w:t>
            </w:r>
            <w:proofErr w:type="spellEnd"/>
            <w:r>
              <w:rPr>
                <w:rFonts w:ascii="Times New Roman" w:eastAsia="Times New Roman" w:hAnsi="Times New Roman" w:cs="Times New Roman"/>
                <w:i/>
              </w:rPr>
              <w:t xml:space="preserve"> dominante va </w:t>
            </w:r>
            <w:proofErr w:type="spellStart"/>
            <w:r>
              <w:rPr>
                <w:rFonts w:ascii="Times New Roman" w:eastAsia="Times New Roman" w:hAnsi="Times New Roman" w:cs="Times New Roman"/>
                <w:i/>
              </w:rPr>
              <w:t>ţine</w:t>
            </w:r>
            <w:proofErr w:type="spellEnd"/>
            <w:r>
              <w:rPr>
                <w:rFonts w:ascii="Times New Roman" w:eastAsia="Times New Roman" w:hAnsi="Times New Roman" w:cs="Times New Roman"/>
                <w:i/>
              </w:rPr>
              <w:t xml:space="preserve"> seama de structura </w:t>
            </w:r>
            <w:proofErr w:type="spellStart"/>
            <w:r>
              <w:rPr>
                <w:rFonts w:ascii="Times New Roman" w:eastAsia="Times New Roman" w:hAnsi="Times New Roman" w:cs="Times New Roman"/>
                <w:i/>
              </w:rPr>
              <w:t>concurenţială</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pieţei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w:t>
            </w:r>
            <w:r>
              <w:rPr>
                <w:rFonts w:ascii="Times New Roman" w:eastAsia="Times New Roman" w:hAnsi="Times New Roman" w:cs="Times New Roman"/>
                <w:b/>
                <w:i/>
              </w:rPr>
              <w:t>în special de următorii factori</w:t>
            </w:r>
            <w:r>
              <w:rPr>
                <w:rFonts w:ascii="Times New Roman" w:eastAsia="Times New Roman" w:hAnsi="Times New Roman" w:cs="Times New Roman"/>
                <w:i/>
              </w:rPr>
              <w:t>:</w:t>
            </w:r>
          </w:p>
          <w:p w14:paraId="0FDC0E0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i/>
              </w:rPr>
            </w:pPr>
            <w:r>
              <w:rPr>
                <w:rFonts w:ascii="Times New Roman" w:eastAsia="Times New Roman" w:hAnsi="Times New Roman" w:cs="Times New Roman"/>
                <w:i/>
              </w:rPr>
              <w:t xml:space="preserve">a)      </w:t>
            </w:r>
            <w:r>
              <w:rPr>
                <w:rFonts w:ascii="Times New Roman" w:eastAsia="Times New Roman" w:hAnsi="Times New Roman" w:cs="Times New Roman"/>
                <w:i/>
              </w:rPr>
              <w:tab/>
              <w:t xml:space="preserve">presiunea exercitată de ofertele existente ale </w:t>
            </w:r>
            <w:proofErr w:type="spellStart"/>
            <w:r>
              <w:rPr>
                <w:rFonts w:ascii="Times New Roman" w:eastAsia="Times New Roman" w:hAnsi="Times New Roman" w:cs="Times New Roman"/>
                <w:i/>
              </w:rPr>
              <w:t>concurenţilor</w:t>
            </w:r>
            <w:proofErr w:type="spellEnd"/>
            <w:r>
              <w:rPr>
                <w:rFonts w:ascii="Times New Roman" w:eastAsia="Times New Roman" w:hAnsi="Times New Roman" w:cs="Times New Roman"/>
                <w:i/>
              </w:rPr>
              <w:t xml:space="preserve"> actuali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poziţia</w:t>
            </w:r>
            <w:proofErr w:type="spellEnd"/>
            <w:r>
              <w:rPr>
                <w:rFonts w:ascii="Times New Roman" w:eastAsia="Times New Roman" w:hAnsi="Times New Roman" w:cs="Times New Roman"/>
                <w:i/>
              </w:rPr>
              <w:t xml:space="preserve">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a acestora (</w:t>
            </w:r>
            <w:proofErr w:type="spellStart"/>
            <w:r>
              <w:rPr>
                <w:rFonts w:ascii="Times New Roman" w:eastAsia="Times New Roman" w:hAnsi="Times New Roman" w:cs="Times New Roman"/>
                <w:i/>
              </w:rPr>
              <w:t>poziţia</w:t>
            </w:r>
            <w:proofErr w:type="spellEnd"/>
            <w:r>
              <w:rPr>
                <w:rFonts w:ascii="Times New Roman" w:eastAsia="Times New Roman" w:hAnsi="Times New Roman" w:cs="Times New Roman"/>
                <w:i/>
              </w:rPr>
              <w:t xml:space="preserve">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a întreprinderii dominante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concurenţilor</w:t>
            </w:r>
            <w:proofErr w:type="spellEnd"/>
            <w:r>
              <w:rPr>
                <w:rFonts w:ascii="Times New Roman" w:eastAsia="Times New Roman" w:hAnsi="Times New Roman" w:cs="Times New Roman"/>
                <w:i/>
              </w:rPr>
              <w:t xml:space="preserve"> ei). Cotele de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oferă o primă </w:t>
            </w:r>
            <w:proofErr w:type="spellStart"/>
            <w:r>
              <w:rPr>
                <w:rFonts w:ascii="Times New Roman" w:eastAsia="Times New Roman" w:hAnsi="Times New Roman" w:cs="Times New Roman"/>
                <w:i/>
              </w:rPr>
              <w:t>indicaţie</w:t>
            </w:r>
            <w:proofErr w:type="spellEnd"/>
            <w:r>
              <w:rPr>
                <w:rFonts w:ascii="Times New Roman" w:eastAsia="Times New Roman" w:hAnsi="Times New Roman" w:cs="Times New Roman"/>
                <w:i/>
              </w:rPr>
              <w:t xml:space="preserve"> utilă în legătură cu structura </w:t>
            </w:r>
            <w:proofErr w:type="spellStart"/>
            <w:r>
              <w:rPr>
                <w:rFonts w:ascii="Times New Roman" w:eastAsia="Times New Roman" w:hAnsi="Times New Roman" w:cs="Times New Roman"/>
                <w:i/>
              </w:rPr>
              <w:t>pie</w:t>
            </w:r>
            <w:r>
              <w:rPr>
                <w:rFonts w:ascii="Times New Roman" w:eastAsia="Times New Roman" w:hAnsi="Times New Roman" w:cs="Times New Roman"/>
                <w:i/>
              </w:rPr>
              <w:t>ţei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cu </w:t>
            </w:r>
            <w:proofErr w:type="spellStart"/>
            <w:r>
              <w:rPr>
                <w:rFonts w:ascii="Times New Roman" w:eastAsia="Times New Roman" w:hAnsi="Times New Roman" w:cs="Times New Roman"/>
                <w:i/>
              </w:rPr>
              <w:t>importanţa</w:t>
            </w:r>
            <w:proofErr w:type="spellEnd"/>
            <w:r>
              <w:rPr>
                <w:rFonts w:ascii="Times New Roman" w:eastAsia="Times New Roman" w:hAnsi="Times New Roman" w:cs="Times New Roman"/>
                <w:i/>
              </w:rPr>
              <w:t xml:space="preserve"> relativă a diferitelor întreprinderi active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Cu toate acestea, cotele de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vor fi interpretate prin prisma </w:t>
            </w:r>
            <w:proofErr w:type="spellStart"/>
            <w:r>
              <w:rPr>
                <w:rFonts w:ascii="Times New Roman" w:eastAsia="Times New Roman" w:hAnsi="Times New Roman" w:cs="Times New Roman"/>
                <w:i/>
              </w:rPr>
              <w:t>condiţiilor</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relevantă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în special a dinamicii </w:t>
            </w:r>
            <w:proofErr w:type="spellStart"/>
            <w:r>
              <w:rPr>
                <w:rFonts w:ascii="Times New Roman" w:eastAsia="Times New Roman" w:hAnsi="Times New Roman" w:cs="Times New Roman"/>
                <w:i/>
              </w:rPr>
              <w:t>pieţei</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tendinţei</w:t>
            </w:r>
            <w:proofErr w:type="spellEnd"/>
            <w:r>
              <w:rPr>
                <w:rFonts w:ascii="Times New Roman" w:eastAsia="Times New Roman" w:hAnsi="Times New Roman" w:cs="Times New Roman"/>
                <w:i/>
              </w:rPr>
              <w:t xml:space="preserve"> sau </w:t>
            </w:r>
            <w:proofErr w:type="spellStart"/>
            <w:r>
              <w:rPr>
                <w:rFonts w:ascii="Times New Roman" w:eastAsia="Times New Roman" w:hAnsi="Times New Roman" w:cs="Times New Roman"/>
                <w:i/>
              </w:rPr>
              <w:t>evoluţiei</w:t>
            </w:r>
            <w:proofErr w:type="spellEnd"/>
            <w:r>
              <w:rPr>
                <w:rFonts w:ascii="Times New Roman" w:eastAsia="Times New Roman" w:hAnsi="Times New Roman" w:cs="Times New Roman"/>
                <w:i/>
              </w:rPr>
              <w:t xml:space="preserve"> cotelor de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de-a lu</w:t>
            </w:r>
            <w:r>
              <w:rPr>
                <w:rFonts w:ascii="Times New Roman" w:eastAsia="Times New Roman" w:hAnsi="Times New Roman" w:cs="Times New Roman"/>
                <w:i/>
              </w:rPr>
              <w:t xml:space="preserve">ngul timpului, a gradului de </w:t>
            </w:r>
            <w:proofErr w:type="spellStart"/>
            <w:r>
              <w:rPr>
                <w:rFonts w:ascii="Times New Roman" w:eastAsia="Times New Roman" w:hAnsi="Times New Roman" w:cs="Times New Roman"/>
                <w:i/>
              </w:rPr>
              <w:t>diferenţiere</w:t>
            </w:r>
            <w:proofErr w:type="spellEnd"/>
            <w:r>
              <w:rPr>
                <w:rFonts w:ascii="Times New Roman" w:eastAsia="Times New Roman" w:hAnsi="Times New Roman" w:cs="Times New Roman"/>
                <w:i/>
              </w:rPr>
              <w:t xml:space="preserve"> a produselor, precum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a altor factori care pot fi </w:t>
            </w:r>
            <w:proofErr w:type="spellStart"/>
            <w:r>
              <w:rPr>
                <w:rFonts w:ascii="Times New Roman" w:eastAsia="Times New Roman" w:hAnsi="Times New Roman" w:cs="Times New Roman"/>
                <w:i/>
              </w:rPr>
              <w:t>suficienţi</w:t>
            </w:r>
            <w:proofErr w:type="spellEnd"/>
            <w:r>
              <w:rPr>
                <w:rFonts w:ascii="Times New Roman" w:eastAsia="Times New Roman" w:hAnsi="Times New Roman" w:cs="Times New Roman"/>
                <w:i/>
              </w:rPr>
              <w:t xml:space="preserve"> pentru a exercita presiuni asupra comportamentului pretinsei întreprinderi dominante;</w:t>
            </w:r>
          </w:p>
          <w:p w14:paraId="0812F83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i/>
              </w:rPr>
            </w:pPr>
            <w:r>
              <w:rPr>
                <w:rFonts w:ascii="Times New Roman" w:eastAsia="Times New Roman" w:hAnsi="Times New Roman" w:cs="Times New Roman"/>
                <w:i/>
              </w:rPr>
              <w:t xml:space="preserve">b)      </w:t>
            </w:r>
            <w:r>
              <w:rPr>
                <w:rFonts w:ascii="Times New Roman" w:eastAsia="Times New Roman" w:hAnsi="Times New Roman" w:cs="Times New Roman"/>
                <w:i/>
              </w:rPr>
              <w:tab/>
              <w:t xml:space="preserve">presiunea exercitată de </w:t>
            </w:r>
            <w:proofErr w:type="spellStart"/>
            <w:r>
              <w:rPr>
                <w:rFonts w:ascii="Times New Roman" w:eastAsia="Times New Roman" w:hAnsi="Times New Roman" w:cs="Times New Roman"/>
                <w:i/>
              </w:rPr>
              <w:t>ameninţarea</w:t>
            </w:r>
            <w:proofErr w:type="spellEnd"/>
            <w:r>
              <w:rPr>
                <w:rFonts w:ascii="Times New Roman" w:eastAsia="Times New Roman" w:hAnsi="Times New Roman" w:cs="Times New Roman"/>
                <w:i/>
              </w:rPr>
              <w:t xml:space="preserve"> credibilă a unei vii</w:t>
            </w:r>
            <w:r>
              <w:rPr>
                <w:rFonts w:ascii="Times New Roman" w:eastAsia="Times New Roman" w:hAnsi="Times New Roman" w:cs="Times New Roman"/>
                <w:i/>
              </w:rPr>
              <w:t xml:space="preserve">toare expansiuni a </w:t>
            </w:r>
            <w:proofErr w:type="spellStart"/>
            <w:r>
              <w:rPr>
                <w:rFonts w:ascii="Times New Roman" w:eastAsia="Times New Roman" w:hAnsi="Times New Roman" w:cs="Times New Roman"/>
                <w:i/>
              </w:rPr>
              <w:t>concurenţilor</w:t>
            </w:r>
            <w:proofErr w:type="spellEnd"/>
            <w:r>
              <w:rPr>
                <w:rFonts w:ascii="Times New Roman" w:eastAsia="Times New Roman" w:hAnsi="Times New Roman" w:cs="Times New Roman"/>
                <w:i/>
              </w:rPr>
              <w:t xml:space="preserve"> actuali sau a intrării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a unor </w:t>
            </w:r>
            <w:proofErr w:type="spellStart"/>
            <w:r>
              <w:rPr>
                <w:rFonts w:ascii="Times New Roman" w:eastAsia="Times New Roman" w:hAnsi="Times New Roman" w:cs="Times New Roman"/>
                <w:i/>
              </w:rPr>
              <w:t>concurenţi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potenţiali</w:t>
            </w:r>
            <w:proofErr w:type="spellEnd"/>
            <w:r>
              <w:rPr>
                <w:rFonts w:ascii="Times New Roman" w:eastAsia="Times New Roman" w:hAnsi="Times New Roman" w:cs="Times New Roman"/>
                <w:i/>
              </w:rPr>
              <w:t xml:space="preserve"> (expansiunea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intrarea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Pentru a exercita presiuni asupra comportamentului pretinsei întreprinderi dominante, expansiunea </w:t>
            </w:r>
            <w:proofErr w:type="spellStart"/>
            <w:r>
              <w:rPr>
                <w:rFonts w:ascii="Times New Roman" w:eastAsia="Times New Roman" w:hAnsi="Times New Roman" w:cs="Times New Roman"/>
                <w:i/>
              </w:rPr>
              <w:t>concurenţilor</w:t>
            </w:r>
            <w:proofErr w:type="spellEnd"/>
            <w:r>
              <w:rPr>
                <w:rFonts w:ascii="Times New Roman" w:eastAsia="Times New Roman" w:hAnsi="Times New Roman" w:cs="Times New Roman"/>
                <w:i/>
              </w:rPr>
              <w:t xml:space="preserve"> actuali sau in</w:t>
            </w:r>
            <w:r>
              <w:rPr>
                <w:rFonts w:ascii="Times New Roman" w:eastAsia="Times New Roman" w:hAnsi="Times New Roman" w:cs="Times New Roman"/>
                <w:i/>
              </w:rPr>
              <w:t xml:space="preserve">trarea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a unor </w:t>
            </w:r>
            <w:proofErr w:type="spellStart"/>
            <w:r>
              <w:rPr>
                <w:rFonts w:ascii="Times New Roman" w:eastAsia="Times New Roman" w:hAnsi="Times New Roman" w:cs="Times New Roman"/>
                <w:i/>
              </w:rPr>
              <w:t>concurenţi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potenţiali</w:t>
            </w:r>
            <w:proofErr w:type="spellEnd"/>
            <w:r>
              <w:rPr>
                <w:rFonts w:ascii="Times New Roman" w:eastAsia="Times New Roman" w:hAnsi="Times New Roman" w:cs="Times New Roman"/>
                <w:i/>
              </w:rPr>
              <w:t xml:space="preserve"> trebuie să fie probabilă, oportună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suficientă;</w:t>
            </w:r>
          </w:p>
          <w:p w14:paraId="5AC81484"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i/>
              </w:rPr>
              <w:t xml:space="preserve">c)      </w:t>
            </w:r>
            <w:r>
              <w:rPr>
                <w:rFonts w:ascii="Times New Roman" w:eastAsia="Times New Roman" w:hAnsi="Times New Roman" w:cs="Times New Roman"/>
                <w:i/>
              </w:rPr>
              <w:tab/>
              <w:t xml:space="preserve">presiunea exercitată de puterea de negociere a </w:t>
            </w:r>
            <w:proofErr w:type="spellStart"/>
            <w:r>
              <w:rPr>
                <w:rFonts w:ascii="Times New Roman" w:eastAsia="Times New Roman" w:hAnsi="Times New Roman" w:cs="Times New Roman"/>
                <w:i/>
              </w:rPr>
              <w:t>clienţilor</w:t>
            </w:r>
            <w:proofErr w:type="spellEnd"/>
            <w:r>
              <w:rPr>
                <w:rFonts w:ascii="Times New Roman" w:eastAsia="Times New Roman" w:hAnsi="Times New Roman" w:cs="Times New Roman"/>
                <w:i/>
              </w:rPr>
              <w:t xml:space="preserve"> întreprinderii (puterea compensatorie a cumpărătorilor). Puterea compensatorie a cumpărătorilo</w:t>
            </w:r>
            <w:r>
              <w:rPr>
                <w:rFonts w:ascii="Times New Roman" w:eastAsia="Times New Roman" w:hAnsi="Times New Roman" w:cs="Times New Roman"/>
                <w:i/>
              </w:rPr>
              <w:t xml:space="preserve">r poate rezulta din dimensiunea </w:t>
            </w:r>
            <w:proofErr w:type="spellStart"/>
            <w:r>
              <w:rPr>
                <w:rFonts w:ascii="Times New Roman" w:eastAsia="Times New Roman" w:hAnsi="Times New Roman" w:cs="Times New Roman"/>
                <w:i/>
              </w:rPr>
              <w:t>clienţilor</w:t>
            </w:r>
            <w:proofErr w:type="spellEnd"/>
            <w:r>
              <w:rPr>
                <w:rFonts w:ascii="Times New Roman" w:eastAsia="Times New Roman" w:hAnsi="Times New Roman" w:cs="Times New Roman"/>
                <w:i/>
              </w:rPr>
              <w:t xml:space="preserve"> sau din </w:t>
            </w:r>
            <w:proofErr w:type="spellStart"/>
            <w:r>
              <w:rPr>
                <w:rFonts w:ascii="Times New Roman" w:eastAsia="Times New Roman" w:hAnsi="Times New Roman" w:cs="Times New Roman"/>
                <w:i/>
              </w:rPr>
              <w:lastRenderedPageBreak/>
              <w:t>importanţa</w:t>
            </w:r>
            <w:proofErr w:type="spellEnd"/>
            <w:r>
              <w:rPr>
                <w:rFonts w:ascii="Times New Roman" w:eastAsia="Times New Roman" w:hAnsi="Times New Roman" w:cs="Times New Roman"/>
                <w:i/>
              </w:rPr>
              <w:t xml:space="preserve"> lor comercială pentru pretinsa întreprindere dominantă, precum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din capacitatea lor de a schimba </w:t>
            </w:r>
            <w:proofErr w:type="spellStart"/>
            <w:r>
              <w:rPr>
                <w:rFonts w:ascii="Times New Roman" w:eastAsia="Times New Roman" w:hAnsi="Times New Roman" w:cs="Times New Roman"/>
                <w:i/>
              </w:rPr>
              <w:t>uşor</w:t>
            </w:r>
            <w:proofErr w:type="spellEnd"/>
            <w:r>
              <w:rPr>
                <w:rFonts w:ascii="Times New Roman" w:eastAsia="Times New Roman" w:hAnsi="Times New Roman" w:cs="Times New Roman"/>
                <w:i/>
              </w:rPr>
              <w:t xml:space="preserve"> furnizorii, de a favoriza o nouă intrare pe </w:t>
            </w:r>
            <w:proofErr w:type="spellStart"/>
            <w:r>
              <w:rPr>
                <w:rFonts w:ascii="Times New Roman" w:eastAsia="Times New Roman" w:hAnsi="Times New Roman" w:cs="Times New Roman"/>
                <w:i/>
              </w:rPr>
              <w:t>piaţă</w:t>
            </w:r>
            <w:proofErr w:type="spellEnd"/>
            <w:r>
              <w:rPr>
                <w:rFonts w:ascii="Times New Roman" w:eastAsia="Times New Roman" w:hAnsi="Times New Roman" w:cs="Times New Roman"/>
                <w:i/>
              </w:rPr>
              <w:t xml:space="preserve"> sau de a se integra vertical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de a </w:t>
            </w:r>
            <w:proofErr w:type="spellStart"/>
            <w:r>
              <w:rPr>
                <w:rFonts w:ascii="Times New Roman" w:eastAsia="Times New Roman" w:hAnsi="Times New Roman" w:cs="Times New Roman"/>
                <w:i/>
              </w:rPr>
              <w:t>ame</w:t>
            </w:r>
            <w:r>
              <w:rPr>
                <w:rFonts w:ascii="Times New Roman" w:eastAsia="Times New Roman" w:hAnsi="Times New Roman" w:cs="Times New Roman"/>
                <w:i/>
              </w:rPr>
              <w:t>ninţa</w:t>
            </w:r>
            <w:proofErr w:type="spellEnd"/>
            <w:r>
              <w:rPr>
                <w:rFonts w:ascii="Times New Roman" w:eastAsia="Times New Roman" w:hAnsi="Times New Roman" w:cs="Times New Roman"/>
                <w:i/>
              </w:rPr>
              <w:t xml:space="preserve"> în mod credibil cu astfel de </w:t>
            </w:r>
            <w:proofErr w:type="spellStart"/>
            <w:r>
              <w:rPr>
                <w:rFonts w:ascii="Times New Roman" w:eastAsia="Times New Roman" w:hAnsi="Times New Roman" w:cs="Times New Roman"/>
                <w:i/>
              </w:rPr>
              <w:t>acţiuni</w:t>
            </w:r>
            <w:proofErr w:type="spellEnd"/>
            <w:r>
              <w:rPr>
                <w:rFonts w:ascii="Times New Roman" w:eastAsia="Times New Roman" w:hAnsi="Times New Roman" w:cs="Times New Roman"/>
              </w:rPr>
              <w:t>.</w:t>
            </w:r>
            <w:r>
              <w:rPr>
                <w:rFonts w:ascii="Times New Roman" w:eastAsia="Times New Roman" w:hAnsi="Times New Roman" w:cs="Times New Roman"/>
                <w:i/>
              </w:rPr>
              <w:t>”</w:t>
            </w:r>
            <w:r>
              <w:rPr>
                <w:rFonts w:ascii="Times New Roman" w:eastAsia="Times New Roman" w:hAnsi="Times New Roman" w:cs="Times New Roman"/>
              </w:rPr>
              <w:t xml:space="preserve"> </w:t>
            </w:r>
          </w:p>
          <w:p w14:paraId="48C7E5F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La analiza impactului reducerii pragului legal al cotei de piață care creează prezumția legală a este necesar să se țină cont și de obligațiile speciale care sunt puse în sarcina unei întreprinderi care deține </w:t>
            </w:r>
            <w:r>
              <w:rPr>
                <w:rFonts w:ascii="Times New Roman" w:eastAsia="Times New Roman" w:hAnsi="Times New Roman" w:cs="Times New Roman"/>
              </w:rPr>
              <w:t xml:space="preserve">poziție dominantă în circuitul civil. </w:t>
            </w:r>
          </w:p>
          <w:p w14:paraId="37CD2E2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Astfel, conform art. 997 alin. (1) Codul civil, dacă deține o poziție dominantă, una din părțile contractante este obligată să </w:t>
            </w:r>
            <w:proofErr w:type="spellStart"/>
            <w:r>
              <w:rPr>
                <w:rFonts w:ascii="Times New Roman" w:eastAsia="Times New Roman" w:hAnsi="Times New Roman" w:cs="Times New Roman"/>
              </w:rPr>
              <w:t>contracteze</w:t>
            </w:r>
            <w:proofErr w:type="spellEnd"/>
            <w:r>
              <w:rPr>
                <w:rFonts w:ascii="Times New Roman" w:eastAsia="Times New Roman" w:hAnsi="Times New Roman" w:cs="Times New Roman"/>
              </w:rPr>
              <w:t xml:space="preserve"> în acest domeniu.  Conform alin. (3) al aceluiași articol, în cazul neexecutăr</w:t>
            </w:r>
            <w:r>
              <w:rPr>
                <w:rFonts w:ascii="Times New Roman" w:eastAsia="Times New Roman" w:hAnsi="Times New Roman" w:cs="Times New Roman"/>
              </w:rPr>
              <w:t xml:space="preserve">ii fără justificare a obligației de a încheia contractul, persoana îndreptățită la încheierea contractului poate cere instanței de judecată să pronunțe o hotărâre care să țină loc de contract. </w:t>
            </w:r>
          </w:p>
          <w:p w14:paraId="5570AC0A"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sidRPr="0033589C">
              <w:rPr>
                <w:rFonts w:ascii="Times New Roman" w:eastAsia="Times New Roman" w:hAnsi="Times New Roman" w:cs="Times New Roman"/>
                <w:u w:val="single"/>
              </w:rPr>
              <w:t>Concluzie</w:t>
            </w:r>
            <w:r>
              <w:rPr>
                <w:rFonts w:ascii="Times New Roman" w:eastAsia="Times New Roman" w:hAnsi="Times New Roman" w:cs="Times New Roman"/>
                <w:u w:val="single"/>
              </w:rPr>
              <w:t xml:space="preserve"> la pct.1</w:t>
            </w:r>
            <w:r>
              <w:rPr>
                <w:rFonts w:ascii="Times New Roman" w:eastAsia="Times New Roman" w:hAnsi="Times New Roman" w:cs="Times New Roman"/>
                <w:b/>
              </w:rPr>
              <w:t>:</w:t>
            </w:r>
          </w:p>
          <w:p w14:paraId="5E84F0F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r>
            <w:r>
              <w:rPr>
                <w:rFonts w:ascii="Times New Roman" w:eastAsia="Times New Roman" w:hAnsi="Times New Roman" w:cs="Times New Roman"/>
              </w:rPr>
              <w:t>Micșorarea pragului legal al cotei de piață pentru stabilirea prezumției dominanței de la 50% la 40% nu reprezintă o transpunere a Directivei 2019/1, a TFEU, a instrumentelor de interpretare sau a practicii judiciare europene de aplicare a normelor dreptul</w:t>
            </w:r>
            <w:r>
              <w:rPr>
                <w:rFonts w:ascii="Times New Roman" w:eastAsia="Times New Roman" w:hAnsi="Times New Roman" w:cs="Times New Roman"/>
              </w:rPr>
              <w:t>ui concurenței a UE.  Asemenea micșorare nu reprezintă obligația Republicii Moldova în baza Acordului de Asociere sau a Planului de acțiuni pentru implementarea măsurilor propuse de către Comisia Europeană în Avizul său privind cererea de aderare a Republi</w:t>
            </w:r>
            <w:r>
              <w:rPr>
                <w:rFonts w:ascii="Times New Roman" w:eastAsia="Times New Roman" w:hAnsi="Times New Roman" w:cs="Times New Roman"/>
              </w:rPr>
              <w:t xml:space="preserve">cii Moldova la Uniunea Europeană. </w:t>
            </w:r>
          </w:p>
          <w:p w14:paraId="2D1D452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Punerea în sarcina întreprinderilor a obligației de probare a existenței sau lipsei unei poziții dominante în situații în care cotele lor de piață sunt mai mari de 40% va crește costurile pentru întreprinderi în </w:t>
            </w:r>
            <w:r>
              <w:rPr>
                <w:rFonts w:ascii="Times New Roman" w:eastAsia="Times New Roman" w:hAnsi="Times New Roman" w:cs="Times New Roman"/>
              </w:rPr>
              <w:t xml:space="preserve">vederea efectuării analizelor concurențiale de calitate. </w:t>
            </w:r>
          </w:p>
          <w:p w14:paraId="56F34BC0"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Punerea în sarcina întreprinderilor a obligației de probare a existenței sau lipsei unei poziții dominante în situații în care cotele lor de piață sunt mai mari de 40% va crește gradul de i</w:t>
            </w:r>
            <w:r>
              <w:rPr>
                <w:rFonts w:ascii="Times New Roman" w:eastAsia="Times New Roman" w:hAnsi="Times New Roman" w:cs="Times New Roman"/>
              </w:rPr>
              <w:t>ncertitudine juridică pentru întreprinderi în legătură caracterul admisibil al comportamentului lor pe piață.  Lipsa accesului la informații fiabile care ar oferi întreprinderilor posibilitatea ca în mod independent să definească cu certitudine piețele rel</w:t>
            </w:r>
            <w:r>
              <w:rPr>
                <w:rFonts w:ascii="Times New Roman" w:eastAsia="Times New Roman" w:hAnsi="Times New Roman" w:cs="Times New Roman"/>
              </w:rPr>
              <w:t>evante, mărimea totală a acestora și cotele de piață deținute de întreprinderi și concurenți, precum și să analizeze toți factorii care ar putea fi hotărâtori la determinarea corectă a poziției lor pe piață va descuraja întreprinderile să investească, în s</w:t>
            </w:r>
            <w:r>
              <w:rPr>
                <w:rFonts w:ascii="Times New Roman" w:eastAsia="Times New Roman" w:hAnsi="Times New Roman" w:cs="Times New Roman"/>
              </w:rPr>
              <w:t>pecial pe piețele cu caracter dinamic.</w:t>
            </w:r>
          </w:p>
          <w:p w14:paraId="4EADE96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Punerea în sarcina întreprinderilor a obligației de probare a existenței sau lipsei unei poziții dominante în situații în care cotele lor de piață sunt mai mari de 40% va crește riscul intervenției inadmisib</w:t>
            </w:r>
            <w:r>
              <w:rPr>
                <w:rFonts w:ascii="Times New Roman" w:eastAsia="Times New Roman" w:hAnsi="Times New Roman" w:cs="Times New Roman"/>
              </w:rPr>
              <w:t xml:space="preserve">ile în libertatea contractuală a părților, acestea fiind obligate să confirme sau infirme deținerea unei poziții dominante pentru a nu încălca prevederile art. 997 din Codul civil. </w:t>
            </w:r>
          </w:p>
          <w:p w14:paraId="00DF05E9" w14:textId="77777777" w:rsidR="002A5B12" w:rsidRDefault="002A5B12" w:rsidP="00E07EA5">
            <w:pPr>
              <w:spacing w:before="120" w:after="120" w:line="240" w:lineRule="auto"/>
              <w:rPr>
                <w:rFonts w:ascii="Times New Roman" w:eastAsia="Times New Roman" w:hAnsi="Times New Roman" w:cs="Times New Roman"/>
              </w:rPr>
            </w:pPr>
          </w:p>
          <w:p w14:paraId="06F25CB1" w14:textId="77777777" w:rsidR="002A5B12" w:rsidRDefault="007C6886" w:rsidP="00E07EA5">
            <w:pPr>
              <w:spacing w:before="120" w:after="120" w:line="240" w:lineRule="auto"/>
              <w:rPr>
                <w:rFonts w:ascii="Times New Roman" w:eastAsia="Times New Roman" w:hAnsi="Times New Roman" w:cs="Times New Roman"/>
              </w:rPr>
            </w:pPr>
            <w:r>
              <w:pict w14:anchorId="18C9953F">
                <v:rect id="_x0000_i1025" style="width:0;height:1.5pt" o:hralign="center" o:hrstd="t" o:hr="t" fillcolor="#a0a0a0" stroked="f"/>
              </w:pict>
            </w:r>
          </w:p>
          <w:p w14:paraId="1ADAA9C0" w14:textId="77777777" w:rsidR="002A5B12" w:rsidRDefault="007C6886" w:rsidP="00E07EA5">
            <w:pPr>
              <w:spacing w:before="120" w:after="120" w:line="240" w:lineRule="auto"/>
              <w:rPr>
                <w:rFonts w:ascii="Times New Roman" w:eastAsia="Times New Roman" w:hAnsi="Times New Roman" w:cs="Times New Roman"/>
                <w:color w:val="1155CC"/>
                <w:u w:val="single"/>
              </w:rPr>
            </w:pPr>
            <w:r>
              <w:t>[1]</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1155CC"/>
                  <w:u w:val="single"/>
                </w:rPr>
                <w:t>EUR-</w:t>
              </w:r>
              <w:proofErr w:type="spellStart"/>
              <w:r>
                <w:rPr>
                  <w:rFonts w:ascii="Times New Roman" w:eastAsia="Times New Roman" w:hAnsi="Times New Roman" w:cs="Times New Roman"/>
                  <w:color w:val="1155CC"/>
                  <w:u w:val="single"/>
                </w:rPr>
                <w:t>Lex</w:t>
              </w:r>
              <w:proofErr w:type="spellEnd"/>
              <w:r>
                <w:rPr>
                  <w:rFonts w:ascii="Times New Roman" w:eastAsia="Times New Roman" w:hAnsi="Times New Roman" w:cs="Times New Roman"/>
                  <w:color w:val="1155CC"/>
                  <w:u w:val="single"/>
                </w:rPr>
                <w:t xml:space="preserve"> - 61986CJ0062 - EN - EUR-</w:t>
              </w:r>
              <w:proofErr w:type="spellStart"/>
              <w:r>
                <w:rPr>
                  <w:rFonts w:ascii="Times New Roman" w:eastAsia="Times New Roman" w:hAnsi="Times New Roman" w:cs="Times New Roman"/>
                  <w:color w:val="1155CC"/>
                  <w:u w:val="single"/>
                </w:rPr>
                <w:t>Lex</w:t>
              </w:r>
              <w:proofErr w:type="spellEnd"/>
              <w:r>
                <w:rPr>
                  <w:rFonts w:ascii="Times New Roman" w:eastAsia="Times New Roman" w:hAnsi="Times New Roman" w:cs="Times New Roman"/>
                  <w:color w:val="1155CC"/>
                  <w:u w:val="single"/>
                </w:rPr>
                <w:t xml:space="preserve"> (europa.eu)</w:t>
              </w:r>
            </w:hyperlink>
          </w:p>
          <w:p w14:paraId="51AEF99C" w14:textId="77777777" w:rsidR="002A5B12" w:rsidRDefault="002A5B12" w:rsidP="00E07EA5">
            <w:pPr>
              <w:spacing w:before="120" w:after="120" w:line="240" w:lineRule="auto"/>
              <w:rPr>
                <w:rFonts w:ascii="Times New Roman" w:eastAsia="Times New Roman" w:hAnsi="Times New Roman" w:cs="Times New Roman"/>
              </w:rPr>
            </w:pPr>
          </w:p>
          <w:p w14:paraId="40AAC979"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 xml:space="preserve">Excluderea sintagmei „în </w:t>
            </w:r>
            <w:r>
              <w:rPr>
                <w:rFonts w:ascii="Times New Roman" w:eastAsia="Times New Roman" w:hAnsi="Times New Roman" w:cs="Times New Roman"/>
                <w:u w:val="single"/>
              </w:rPr>
              <w:t xml:space="preserve">măsura în care aceasta poate afecta </w:t>
            </w:r>
            <w:proofErr w:type="spellStart"/>
            <w:r>
              <w:rPr>
                <w:rFonts w:ascii="Times New Roman" w:eastAsia="Times New Roman" w:hAnsi="Times New Roman" w:cs="Times New Roman"/>
                <w:u w:val="single"/>
              </w:rPr>
              <w:t>concurenţa</w:t>
            </w:r>
            <w:proofErr w:type="spellEnd"/>
            <w:r>
              <w:rPr>
                <w:rFonts w:ascii="Times New Roman" w:eastAsia="Times New Roman" w:hAnsi="Times New Roman" w:cs="Times New Roman"/>
                <w:u w:val="single"/>
              </w:rPr>
              <w:t xml:space="preserve"> sau leza interesele colective ale consumatorilor finali”</w:t>
            </w:r>
          </w:p>
          <w:p w14:paraId="7300096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Se propune excluderea din componența actuală a abuzului de poziție dominantă a elementului calificativ „</w:t>
            </w:r>
            <w:r>
              <w:rPr>
                <w:rFonts w:ascii="Times New Roman" w:eastAsia="Times New Roman" w:hAnsi="Times New Roman" w:cs="Times New Roman"/>
                <w:i/>
              </w:rPr>
              <w:t>în măsura în care aceasta poate afecta concurenț</w:t>
            </w:r>
            <w:r>
              <w:rPr>
                <w:rFonts w:ascii="Times New Roman" w:eastAsia="Times New Roman" w:hAnsi="Times New Roman" w:cs="Times New Roman"/>
                <w:i/>
              </w:rPr>
              <w:t>a sau leza interesele colective ale consumatorilor finali</w:t>
            </w:r>
            <w:r>
              <w:rPr>
                <w:rFonts w:ascii="Times New Roman" w:eastAsia="Times New Roman" w:hAnsi="Times New Roman" w:cs="Times New Roman"/>
              </w:rPr>
              <w:t>”. Suplimentar, în art. 72 alin. (3) lit. c), care prevede nivelul de bază a amenzii pentru încălcarea gravă de abuz de poziție dominantă, se propune excluderea criteriului geografic calificativ și a</w:t>
            </w:r>
            <w:r>
              <w:rPr>
                <w:rFonts w:ascii="Times New Roman" w:eastAsia="Times New Roman" w:hAnsi="Times New Roman" w:cs="Times New Roman"/>
              </w:rPr>
              <w:t xml:space="preserve">nume producerea efectelor acestui comportament pe zone întinse ale pieței. </w:t>
            </w:r>
          </w:p>
          <w:p w14:paraId="6375F4E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versiunea curentă a art. 11 alin. (1) din Legea concurenței, este interzisă folosirea unei poziții dominante pe </w:t>
            </w:r>
            <w:proofErr w:type="spellStart"/>
            <w:r>
              <w:rPr>
                <w:rFonts w:ascii="Times New Roman" w:eastAsia="Times New Roman" w:hAnsi="Times New Roman" w:cs="Times New Roman"/>
              </w:rPr>
              <w:t>piaţa</w:t>
            </w:r>
            <w:proofErr w:type="spellEnd"/>
            <w:r>
              <w:rPr>
                <w:rFonts w:ascii="Times New Roman" w:eastAsia="Times New Roman" w:hAnsi="Times New Roman" w:cs="Times New Roman"/>
              </w:rPr>
              <w:t xml:space="preserve"> relevantă </w:t>
            </w:r>
            <w:r>
              <w:rPr>
                <w:rFonts w:ascii="Times New Roman" w:eastAsia="Times New Roman" w:hAnsi="Times New Roman" w:cs="Times New Roman"/>
                <w:i/>
              </w:rPr>
              <w:t xml:space="preserve">în măsura în care aceasta poate afecta </w:t>
            </w:r>
            <w:proofErr w:type="spellStart"/>
            <w:r>
              <w:rPr>
                <w:rFonts w:ascii="Times New Roman" w:eastAsia="Times New Roman" w:hAnsi="Times New Roman" w:cs="Times New Roman"/>
                <w:i/>
              </w:rPr>
              <w:t>concurenţa</w:t>
            </w:r>
            <w:proofErr w:type="spellEnd"/>
            <w:r>
              <w:rPr>
                <w:rFonts w:ascii="Times New Roman" w:eastAsia="Times New Roman" w:hAnsi="Times New Roman" w:cs="Times New Roman"/>
                <w:i/>
              </w:rPr>
              <w:t xml:space="preserve"> sau leza interesele colective ale consumatorilor finali</w:t>
            </w:r>
            <w:r>
              <w:rPr>
                <w:rFonts w:ascii="Times New Roman" w:eastAsia="Times New Roman" w:hAnsi="Times New Roman" w:cs="Times New Roman"/>
              </w:rPr>
              <w:t>.  Sintagma dată pune accent pe faptul că comportamentele anticoncurențiale unilaterale care pot fi calificate drept abuz de poziție dominantă sunt anticoncurențiale dacă există efectul real sau poten</w:t>
            </w:r>
            <w:r>
              <w:rPr>
                <w:rFonts w:ascii="Times New Roman" w:eastAsia="Times New Roman" w:hAnsi="Times New Roman" w:cs="Times New Roman"/>
              </w:rPr>
              <w:t xml:space="preserve">țial de afectare a concurenței sau de lezare a intereselor colective ale consumatorilor. </w:t>
            </w:r>
          </w:p>
          <w:p w14:paraId="3F415A8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Legea concurenței trebuie să conțină norme clare care să permită întreprinderilor să stabilească în mod independent comportamentele și încadrarea acestora în limitele</w:t>
            </w:r>
            <w:r>
              <w:rPr>
                <w:rFonts w:ascii="Times New Roman" w:eastAsia="Times New Roman" w:hAnsi="Times New Roman" w:cs="Times New Roman"/>
              </w:rPr>
              <w:t xml:space="preserve"> stabilite de Legea concurenței.  Legea concurenței nu prevede definiția de abuz de poziție dominantă.  În lipsa unei asemenea definiții legale, excluderea criteriu de calificare care pune accent pe efectul practicii abuzive asupra concurenței efective, va</w:t>
            </w:r>
            <w:r>
              <w:rPr>
                <w:rFonts w:ascii="Times New Roman" w:eastAsia="Times New Roman" w:hAnsi="Times New Roman" w:cs="Times New Roman"/>
              </w:rPr>
              <w:t xml:space="preserve"> spori incertitudinea cu privire la limitele libertății contractuale a întreprinderii cu poziție dominantă.  De asemenea, înlăturarea acestui </w:t>
            </w:r>
            <w:r>
              <w:rPr>
                <w:rFonts w:ascii="Times New Roman" w:eastAsia="Times New Roman" w:hAnsi="Times New Roman" w:cs="Times New Roman"/>
              </w:rPr>
              <w:lastRenderedPageBreak/>
              <w:t>criteriu poate duce la pierderea delimitării între comportamentele abuzive, sancționabile conform Codului civil, ș</w:t>
            </w:r>
            <w:r>
              <w:rPr>
                <w:rFonts w:ascii="Times New Roman" w:eastAsia="Times New Roman" w:hAnsi="Times New Roman" w:cs="Times New Roman"/>
              </w:rPr>
              <w:t xml:space="preserve">i cele sancționabile de Legea concurenței. Mai mult, înlăturarea criteriului „efectului” asupra concurenței și consumatorilor va spori riscul aplicării formale a normelor concurențiale, cu posibilitatea calificării drept abuz de poziție dominant a actelor </w:t>
            </w:r>
            <w:r>
              <w:rPr>
                <w:rFonts w:ascii="Times New Roman" w:eastAsia="Times New Roman" w:hAnsi="Times New Roman" w:cs="Times New Roman"/>
              </w:rPr>
              <w:t xml:space="preserve">care nu afectează real sau potențial concurența. </w:t>
            </w:r>
          </w:p>
          <w:p w14:paraId="493B86C6"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Schimbarea abordării formaliste de analizare a cazurilor de abuz de poziție dominantă, în abordare economică bazată pe efectele reale sau potențiale asupra concurenței pe care le poate avea un asemenea comp</w:t>
            </w:r>
            <w:r>
              <w:rPr>
                <w:rFonts w:ascii="Times New Roman" w:eastAsia="Times New Roman" w:hAnsi="Times New Roman" w:cs="Times New Roman"/>
              </w:rPr>
              <w:t xml:space="preserve">ortament este în acord cu politica promovată de Comisia Europeană, după cum este reflectat și în Orientările privind prioritățile Comisiei în aplicarea art. 82 (102) din Tratat. </w:t>
            </w:r>
          </w:p>
          <w:p w14:paraId="0BAE329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Conform art. 5 din Orientări, în aplicarea articolului 82 (102) la practicile</w:t>
            </w:r>
            <w:r>
              <w:rPr>
                <w:rFonts w:ascii="Times New Roman" w:eastAsia="Times New Roman" w:hAnsi="Times New Roman" w:cs="Times New Roman"/>
              </w:rPr>
              <w:t xml:space="preserve"> de excludere ale întreprinderilor dominante, Comisia se va concentra asupra acelor tipuri de practici care sunt cele mai prejudiciabile pentru consumatori. Consumatorii beneficiază de pe urma concurenței prin prețuri mai scăzute, o calitate mai bună și o </w:t>
            </w:r>
            <w:r>
              <w:rPr>
                <w:rFonts w:ascii="Times New Roman" w:eastAsia="Times New Roman" w:hAnsi="Times New Roman" w:cs="Times New Roman"/>
              </w:rPr>
              <w:t>alegere mai largă în materie de prețuri și servicii noi sau îmbunătățite. Prin urmare, Comisia își va orienta acțiunea pentru a se asigura că piețele funcționează în mod corespunzător și consumatorii beneficiază de pe urma eficienței și productivității car</w:t>
            </w:r>
            <w:r>
              <w:rPr>
                <w:rFonts w:ascii="Times New Roman" w:eastAsia="Times New Roman" w:hAnsi="Times New Roman" w:cs="Times New Roman"/>
              </w:rPr>
              <w:t>e rezultă din concurența efectivă între întreprinderi.</w:t>
            </w:r>
          </w:p>
          <w:p w14:paraId="34D6E04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Conform art. 6 din Orientări, în activitatea sa de aplicare a normelor de concurență la practicile de excludere, Comisia pune accentul pe protejarea procesului concurențial pe piața internă și pe asigurarea faptului că întreprinderile care dețin o poziție </w:t>
            </w:r>
            <w:r>
              <w:rPr>
                <w:rFonts w:ascii="Times New Roman" w:eastAsia="Times New Roman" w:hAnsi="Times New Roman" w:cs="Times New Roman"/>
              </w:rPr>
              <w:t>dominantă nu își exclud concurenții prin alte mijloace decât concurența pe baza meritelor produselor sau serviciilor furnizate. În acțiunea sa, Comisia este conștientă că este important să fie protejată concurența efectivă și nu doar concurenții. Aceasta p</w:t>
            </w:r>
            <w:r>
              <w:rPr>
                <w:rFonts w:ascii="Times New Roman" w:eastAsia="Times New Roman" w:hAnsi="Times New Roman" w:cs="Times New Roman"/>
              </w:rPr>
              <w:t xml:space="preserve">oate însemna și că acei concurenți care au oferte mai puțin interesante din punctul de vedere al prețului, calității și inovării vor ieși de pe piață. </w:t>
            </w:r>
          </w:p>
          <w:p w14:paraId="3268054D"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u w:val="single"/>
              </w:rPr>
              <w:t>Concluzie la pct. 2.</w:t>
            </w:r>
          </w:p>
          <w:p w14:paraId="5BA02334"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Excluderea sintagmei „</w:t>
            </w:r>
            <w:r>
              <w:rPr>
                <w:rFonts w:ascii="Times New Roman" w:eastAsia="Times New Roman" w:hAnsi="Times New Roman" w:cs="Times New Roman"/>
                <w:i/>
              </w:rPr>
              <w:t>în măsura în care aceasta poate afecta concurența sau leza in</w:t>
            </w:r>
            <w:r>
              <w:rPr>
                <w:rFonts w:ascii="Times New Roman" w:eastAsia="Times New Roman" w:hAnsi="Times New Roman" w:cs="Times New Roman"/>
                <w:i/>
              </w:rPr>
              <w:t>teresele colective ale consumatorilor finali</w:t>
            </w:r>
            <w:r>
              <w:rPr>
                <w:rFonts w:ascii="Times New Roman" w:eastAsia="Times New Roman" w:hAnsi="Times New Roman" w:cs="Times New Roman"/>
              </w:rPr>
              <w:t>” sporește incertitudinea juridică cu privire la comportamentele admisibile și cele interzise unei întreprinderi cu poziție dominantă conform art. 11 din Legea concurenței.  Creșterea incertitudinii juridice poat</w:t>
            </w:r>
            <w:r>
              <w:rPr>
                <w:rFonts w:ascii="Times New Roman" w:eastAsia="Times New Roman" w:hAnsi="Times New Roman" w:cs="Times New Roman"/>
              </w:rPr>
              <w:t xml:space="preserve">e duce la descurajarea întreprinderilor să investească în activitatea lor pentru a deveni mai eficienți. </w:t>
            </w:r>
          </w:p>
          <w:p w14:paraId="29735FA1"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A285FE1"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 pragurilor amenzilor, penalităților cu titlu cominatoriu și a bazei de calcul a acestora</w:t>
            </w:r>
          </w:p>
          <w:p w14:paraId="09F32404"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Se propune introducerea noțiunii de </w:t>
            </w:r>
            <w:r>
              <w:rPr>
                <w:rFonts w:ascii="Times New Roman" w:eastAsia="Times New Roman" w:hAnsi="Times New Roman" w:cs="Times New Roman"/>
                <w:b/>
                <w:i/>
              </w:rPr>
              <w:t>cifră mondial</w:t>
            </w:r>
            <w:r>
              <w:rPr>
                <w:rFonts w:ascii="Times New Roman" w:eastAsia="Times New Roman" w:hAnsi="Times New Roman" w:cs="Times New Roman"/>
                <w:b/>
                <w:i/>
              </w:rPr>
              <w:t>ă totală de afaceri</w:t>
            </w:r>
            <w:r>
              <w:rPr>
                <w:rFonts w:ascii="Times New Roman" w:eastAsia="Times New Roman" w:hAnsi="Times New Roman" w:cs="Times New Roman"/>
              </w:rPr>
              <w:t>, reprezentând valoarea totală a vânzărilor de produse realizată de o întreprindere în cursul perioadei de gestiune, inclusiv la nivel mondial.</w:t>
            </w:r>
          </w:p>
          <w:p w14:paraId="4FB968C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tabelul de mai jos sunt indicate nivelurile de bază al amenzilor aplicate conform preveder</w:t>
            </w:r>
            <w:r>
              <w:rPr>
                <w:rFonts w:ascii="Times New Roman" w:eastAsia="Times New Roman" w:hAnsi="Times New Roman" w:cs="Times New Roman"/>
              </w:rPr>
              <w:t xml:space="preserve">ilor actuale ale Legii concurenței, și conform proiectului: </w:t>
            </w:r>
          </w:p>
          <w:p w14:paraId="16F62E8E"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Tabel. Informație privind mărimea amenzilor conform Legii concurenței (versiunea actuală și proiect)</w:t>
            </w:r>
          </w:p>
          <w:tbl>
            <w:tblPr>
              <w:tblStyle w:val="a0"/>
              <w:tblW w:w="9330" w:type="dxa"/>
              <w:tblBorders>
                <w:top w:val="nil"/>
                <w:left w:val="nil"/>
                <w:bottom w:val="nil"/>
                <w:right w:val="nil"/>
                <w:insideH w:val="nil"/>
                <w:insideV w:val="nil"/>
              </w:tblBorders>
              <w:tblLayout w:type="fixed"/>
              <w:tblLook w:val="0600" w:firstRow="0" w:lastRow="0" w:firstColumn="0" w:lastColumn="0" w:noHBand="1" w:noVBand="1"/>
            </w:tblPr>
            <w:tblGrid>
              <w:gridCol w:w="1620"/>
              <w:gridCol w:w="3435"/>
              <w:gridCol w:w="4275"/>
            </w:tblGrid>
            <w:tr w:rsidR="002A5B12" w14:paraId="1EFCF58B" w14:textId="77777777">
              <w:trPr>
                <w:trHeight w:val="440"/>
              </w:trPr>
              <w:tc>
                <w:tcPr>
                  <w:tcW w:w="9330" w:type="dxa"/>
                  <w:gridSpan w:val="3"/>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tcPr>
                <w:p w14:paraId="7D64CC42"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1. Încălcări de procedură</w:t>
                  </w:r>
                </w:p>
              </w:tc>
            </w:tr>
            <w:tr w:rsidR="002A5B12" w14:paraId="50E1CA63" w14:textId="77777777">
              <w:trPr>
                <w:trHeight w:val="440"/>
              </w:trPr>
              <w:tc>
                <w:tcPr>
                  <w:tcW w:w="9330" w:type="dxa"/>
                  <w:gridSpan w:val="3"/>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696488D2"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1.1. nivel de bază calculat după gravitatea faptei:</w:t>
                  </w:r>
                </w:p>
              </w:tc>
            </w:tr>
            <w:tr w:rsidR="002A5B12" w14:paraId="05772554"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E199A"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gravitatea faptei</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8D00E"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actual</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2A240"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proiect</w:t>
                  </w:r>
                </w:p>
              </w:tc>
            </w:tr>
            <w:tr w:rsidR="002A5B12" w14:paraId="1FA6DB81"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FC435"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 mică:</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7040B"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până la 0,15%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2C4DC"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0,1% - 0,25% din cifra totală de afaceri</w:t>
                  </w:r>
                </w:p>
              </w:tc>
            </w:tr>
            <w:tr w:rsidR="002A5B12" w14:paraId="7286FBC8" w14:textId="77777777">
              <w:trPr>
                <w:trHeight w:val="68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FA473"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 medie:</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4BFA6"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0,15% - 0,25%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8FE0D"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0,25% - 0,5% din cifra totală de afaceri</w:t>
                  </w:r>
                </w:p>
              </w:tc>
            </w:tr>
            <w:tr w:rsidR="002A5B12" w14:paraId="109F79DF" w14:textId="77777777">
              <w:trPr>
                <w:trHeight w:val="68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6174D"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 mare</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8B153"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0,25% - 0,45% din </w:t>
                  </w:r>
                  <w:r>
                    <w:rPr>
                      <w:rFonts w:ascii="Times New Roman" w:eastAsia="Times New Roman" w:hAnsi="Times New Roman" w:cs="Times New Roman"/>
                    </w:rPr>
                    <w:t>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79A83"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0,5% - 0,75% din cifra totală de afaceri</w:t>
                  </w:r>
                </w:p>
              </w:tc>
            </w:tr>
            <w:tr w:rsidR="002A5B12" w14:paraId="63865817" w14:textId="77777777">
              <w:trPr>
                <w:trHeight w:val="440"/>
              </w:trPr>
              <w:tc>
                <w:tcPr>
                  <w:tcW w:w="93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3112A"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1.2. nivelul maxim</w:t>
                  </w:r>
                </w:p>
              </w:tc>
            </w:tr>
            <w:tr w:rsidR="002A5B12" w14:paraId="25E8B1A1"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E5069"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F8EC1"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actual</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46E50"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proiect</w:t>
                  </w:r>
                </w:p>
              </w:tc>
            </w:tr>
            <w:tr w:rsidR="002A5B12" w14:paraId="09852DD9"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33AAA"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E690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0,5%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0AA60"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 din </w:t>
                  </w:r>
                  <w:r>
                    <w:rPr>
                      <w:rFonts w:ascii="Times New Roman" w:eastAsia="Times New Roman" w:hAnsi="Times New Roman" w:cs="Times New Roman"/>
                      <w:b/>
                    </w:rPr>
                    <w:t>cifra de afaceri mondială totală</w:t>
                  </w:r>
                </w:p>
              </w:tc>
            </w:tr>
            <w:tr w:rsidR="002A5B12" w14:paraId="0FD8D2CA" w14:textId="77777777">
              <w:trPr>
                <w:trHeight w:val="440"/>
              </w:trPr>
              <w:tc>
                <w:tcPr>
                  <w:tcW w:w="9330" w:type="dxa"/>
                  <w:gridSpan w:val="3"/>
                  <w:tcBorders>
                    <w:top w:val="nil"/>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tcPr>
                <w:p w14:paraId="553C92CE"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2. Încălcări ale normelor materiale</w:t>
                  </w:r>
                </w:p>
              </w:tc>
            </w:tr>
            <w:tr w:rsidR="002A5B12" w14:paraId="0BF50E34" w14:textId="77777777">
              <w:trPr>
                <w:trHeight w:val="440"/>
              </w:trPr>
              <w:tc>
                <w:tcPr>
                  <w:tcW w:w="9330" w:type="dxa"/>
                  <w:gridSpan w:val="3"/>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C1B3CB8"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2.1. nivel de bază calculat după </w:t>
                  </w:r>
                  <w:r>
                    <w:rPr>
                      <w:rFonts w:ascii="Times New Roman" w:eastAsia="Times New Roman" w:hAnsi="Times New Roman" w:cs="Times New Roman"/>
                    </w:rPr>
                    <w:t>gravitatea faptei:</w:t>
                  </w:r>
                </w:p>
              </w:tc>
            </w:tr>
            <w:tr w:rsidR="002A5B12" w14:paraId="3478FC59"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E8C93"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gravitatea faptei</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3B945"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actual</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76C0D"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proiect</w:t>
                  </w:r>
                </w:p>
              </w:tc>
            </w:tr>
            <w:tr w:rsidR="002A5B12" w14:paraId="4B2D1B1D"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5C311"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 mică:</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929C2"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până la 1%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3D55D"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0,5% - 2% din </w:t>
                  </w:r>
                  <w:r>
                    <w:rPr>
                      <w:rFonts w:ascii="Times New Roman" w:eastAsia="Times New Roman" w:hAnsi="Times New Roman" w:cs="Times New Roman"/>
                      <w:b/>
                    </w:rPr>
                    <w:t>cifra de afaceri mondială totală</w:t>
                  </w:r>
                </w:p>
              </w:tc>
            </w:tr>
            <w:tr w:rsidR="002A5B12" w14:paraId="744C5603"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60892"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b) medie:</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38521"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1% - 2%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736C1"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2% - 4% din </w:t>
                  </w:r>
                  <w:r>
                    <w:rPr>
                      <w:rFonts w:ascii="Times New Roman" w:eastAsia="Times New Roman" w:hAnsi="Times New Roman" w:cs="Times New Roman"/>
                      <w:b/>
                    </w:rPr>
                    <w:t>cifra de afaceri mondială totală</w:t>
                  </w:r>
                </w:p>
              </w:tc>
            </w:tr>
            <w:tr w:rsidR="002A5B12" w14:paraId="568C9A44"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B15E"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 mare</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D3BCA"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r>
                    <w:rPr>
                      <w:rFonts w:ascii="Times New Roman" w:eastAsia="Times New Roman" w:hAnsi="Times New Roman" w:cs="Times New Roman"/>
                    </w:rPr>
                    <w:t>4%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B89A7"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4% - 8% din </w:t>
                  </w:r>
                  <w:r>
                    <w:rPr>
                      <w:rFonts w:ascii="Times New Roman" w:eastAsia="Times New Roman" w:hAnsi="Times New Roman" w:cs="Times New Roman"/>
                      <w:b/>
                    </w:rPr>
                    <w:t>cifra de afaceri mondială totală</w:t>
                  </w:r>
                </w:p>
              </w:tc>
            </w:tr>
            <w:tr w:rsidR="002A5B12" w14:paraId="092F6E59" w14:textId="77777777">
              <w:trPr>
                <w:trHeight w:val="440"/>
              </w:trPr>
              <w:tc>
                <w:tcPr>
                  <w:tcW w:w="93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7114C"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2.2. nivelul maxim</w:t>
                  </w:r>
                </w:p>
              </w:tc>
            </w:tr>
            <w:tr w:rsidR="002A5B12" w14:paraId="5FBC4AB7"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908CC"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36A5B"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actual</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3DC6E"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proiect</w:t>
                  </w:r>
                </w:p>
              </w:tc>
            </w:tr>
            <w:tr w:rsidR="002A5B12" w14:paraId="74639EF8" w14:textId="77777777">
              <w:trPr>
                <w:trHeight w:val="44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B37C1"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6C8D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5% din cifra totală de afaceri</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2F4BC" w14:textId="77777777" w:rsidR="002A5B12" w:rsidRDefault="007C6886" w:rsidP="00E07EA5">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10% din </w:t>
                  </w:r>
                  <w:r>
                    <w:rPr>
                      <w:rFonts w:ascii="Times New Roman" w:eastAsia="Times New Roman" w:hAnsi="Times New Roman" w:cs="Times New Roman"/>
                      <w:b/>
                    </w:rPr>
                    <w:t>cifra de afaceri mondială totală</w:t>
                  </w:r>
                </w:p>
              </w:tc>
            </w:tr>
          </w:tbl>
          <w:p w14:paraId="2CD685A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Argumentul majorării amenzilor este pentru a face sancțiunile impuse a fi amenzi eficace, proporționale și disuasive, după cum este prevăzut de Articolul 13 alineatul (1) și alineatul (2) din Directiva nr. 1/2019.  Drept obiectiv general al acestor propune</w:t>
            </w:r>
            <w:r>
              <w:rPr>
                <w:rFonts w:ascii="Times New Roman" w:eastAsia="Times New Roman" w:hAnsi="Times New Roman" w:cs="Times New Roman"/>
              </w:rPr>
              <w:t>ri de modificare este ridicarea nivelului culturii concurențiale, atât a agenților economici, cât și a persoanelor fizice, întrucât dezvoltarea mediului concurențial va determina și creșterea bunăstării consumatorilor, generând rezultate pozitive semnifica</w:t>
            </w:r>
            <w:r>
              <w:rPr>
                <w:rFonts w:ascii="Times New Roman" w:eastAsia="Times New Roman" w:hAnsi="Times New Roman" w:cs="Times New Roman"/>
              </w:rPr>
              <w:t>tive în tendința Consiliului Concurenței de a încuraja întreprinderile să își elaboreze și să implementeze programe eficiente de conformare.  De asemenea, modificările propuse ar putea deschide calea pentru colaborarea efectivă a întreprinderilor și asocia</w:t>
            </w:r>
            <w:r>
              <w:rPr>
                <w:rFonts w:ascii="Times New Roman" w:eastAsia="Times New Roman" w:hAnsi="Times New Roman" w:cs="Times New Roman"/>
              </w:rPr>
              <w:t>țiilor de întreprinderi cu Consiliul Concurenței, în cazul în care acestea sunt sau au fost parte al unui acord anticoncurențial și doresc să beneficieze de politica de clemență sub forma recompensei.</w:t>
            </w:r>
          </w:p>
          <w:p w14:paraId="3CD257B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Art. 15 din Directiva (UE) 2019/1 a Parlamentului Europ</w:t>
            </w:r>
            <w:r>
              <w:rPr>
                <w:rFonts w:ascii="Times New Roman" w:eastAsia="Times New Roman" w:hAnsi="Times New Roman" w:cs="Times New Roman"/>
              </w:rPr>
              <w:t xml:space="preserve">ean și a Consiliului din 11 decembrie 2018 privind oferirea de mijloace autorităților de concurență din statele membre astfel încât să fie mai eficace în aplicarea legii și privind garantarea funcționării corespunzătoare a pieței interne, prevede că </w:t>
            </w:r>
            <w:r>
              <w:rPr>
                <w:rFonts w:ascii="Times New Roman" w:eastAsia="Times New Roman" w:hAnsi="Times New Roman" w:cs="Times New Roman"/>
                <w:b/>
                <w:u w:val="single"/>
              </w:rPr>
              <w:t>statel</w:t>
            </w:r>
            <w:r>
              <w:rPr>
                <w:rFonts w:ascii="Times New Roman" w:eastAsia="Times New Roman" w:hAnsi="Times New Roman" w:cs="Times New Roman"/>
                <w:b/>
                <w:u w:val="single"/>
              </w:rPr>
              <w:t>e membre</w:t>
            </w:r>
            <w:r>
              <w:rPr>
                <w:rFonts w:ascii="Times New Roman" w:eastAsia="Times New Roman" w:hAnsi="Times New Roman" w:cs="Times New Roman"/>
              </w:rPr>
              <w:t xml:space="preserve"> se asigură ca cuantumul maxim al amenzii pe care autoritățile naționale de concurență o pot impune fiecărei întreprinderi sau asocieri de întreprinderi care participă la o încălcare a articolului 101 sau 102 din TFUE </w:t>
            </w:r>
            <w:r>
              <w:rPr>
                <w:rFonts w:ascii="Times New Roman" w:eastAsia="Times New Roman" w:hAnsi="Times New Roman" w:cs="Times New Roman"/>
                <w:b/>
              </w:rPr>
              <w:t>nu este mai mic de 10 % din cu</w:t>
            </w:r>
            <w:r>
              <w:rPr>
                <w:rFonts w:ascii="Times New Roman" w:eastAsia="Times New Roman" w:hAnsi="Times New Roman" w:cs="Times New Roman"/>
                <w:b/>
              </w:rPr>
              <w:t>antumul cifrei de afaceri mondiale totale</w:t>
            </w:r>
            <w:r>
              <w:rPr>
                <w:rFonts w:ascii="Times New Roman" w:eastAsia="Times New Roman" w:hAnsi="Times New Roman" w:cs="Times New Roman"/>
              </w:rPr>
              <w:t xml:space="preserve"> a întreprinderii sau a asocierii de întreprinderi realizate în cursul anului financiar care precedă decizia menționată la articolul 13 alineatul (1).</w:t>
            </w:r>
          </w:p>
          <w:p w14:paraId="6C7C17F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Este necesar de menționat că la baza adoptării Directivei 2019/1</w:t>
            </w:r>
            <w:r>
              <w:rPr>
                <w:rFonts w:ascii="Times New Roman" w:eastAsia="Times New Roman" w:hAnsi="Times New Roman" w:cs="Times New Roman"/>
              </w:rPr>
              <w:t xml:space="preserve"> a stat propunerea Comisiei Europene, care făcea parte din Programul de lucru al Comisiei pentru 2017 și se baza pe experiența acumulată din 2004 în cadrul Rețelei europene în domeniul concurenței în ceea ce privește asigurarea respectării normelor în stat</w:t>
            </w:r>
            <w:r>
              <w:rPr>
                <w:rFonts w:ascii="Times New Roman" w:eastAsia="Times New Roman" w:hAnsi="Times New Roman" w:cs="Times New Roman"/>
              </w:rPr>
              <w:t xml:space="preserve">ele membre[1]. </w:t>
            </w:r>
          </w:p>
          <w:p w14:paraId="6FAF5A2E"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Analizând experiența acumulată, Comisia Europeană a ajuns la concluzia că există un potențial neexploatat pentru o asigurare mai eficace a respectării normelor UE în materie de concurență de către autoritățile naționale de concurență din st</w:t>
            </w:r>
            <w:r>
              <w:rPr>
                <w:rFonts w:ascii="Times New Roman" w:eastAsia="Times New Roman" w:hAnsi="Times New Roman" w:cs="Times New Roman"/>
              </w:rPr>
              <w:t>atele membre (ANC). Regulamentul (CE) nr. 1/2003 nu abordează mijloacele și instrumentele prin care autoritățile naționale de concurență aplică normele UE în materie de concurență și multe dintre acestea nu dispun de toate mijloacele și instrumentele de ca</w:t>
            </w:r>
            <w:r>
              <w:rPr>
                <w:rFonts w:ascii="Times New Roman" w:eastAsia="Times New Roman" w:hAnsi="Times New Roman" w:cs="Times New Roman"/>
              </w:rPr>
              <w:t>re au nevoie pentru a asigura în mod eficient respectarea articolelor 101 și 102 din TFUE, și anume:</w:t>
            </w:r>
          </w:p>
          <w:p w14:paraId="35238AA0"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1.      </w:t>
            </w:r>
            <w:r>
              <w:rPr>
                <w:rFonts w:ascii="Times New Roman" w:eastAsia="Times New Roman" w:hAnsi="Times New Roman" w:cs="Times New Roman"/>
              </w:rPr>
              <w:tab/>
              <w:t>Anumite ANC nu au garanții reale că pot aplica normele UE în materie de concurență în mod independent, fără a primi instrucțiuni de la entități pu</w:t>
            </w:r>
            <w:r>
              <w:rPr>
                <w:rFonts w:ascii="Times New Roman" w:eastAsia="Times New Roman" w:hAnsi="Times New Roman" w:cs="Times New Roman"/>
              </w:rPr>
              <w:t>blice sau private. O serie de autorități se confruntă cu probleme legate de insuficiența resurselor umane și financiare. Acest lucru poate avea un impact asupra capacității lor de a asigura în mod eficace respectarea normelor. De exemplu, anumite ANC nu su</w:t>
            </w:r>
            <w:r>
              <w:rPr>
                <w:rFonts w:ascii="Times New Roman" w:eastAsia="Times New Roman" w:hAnsi="Times New Roman" w:cs="Times New Roman"/>
              </w:rPr>
              <w:t>nt în măsură să efectueze inspecții simultane asupra tuturor membrilor unui cartel prezumat, membrii neanchetați beneficiind prin urmare de un timp prețios pentru a distruge probe și a scăpa de cercetări. Alte autorități nu dispun de instrumente IT adecvat</w:t>
            </w:r>
            <w:r>
              <w:rPr>
                <w:rFonts w:ascii="Times New Roman" w:eastAsia="Times New Roman" w:hAnsi="Times New Roman" w:cs="Times New Roman"/>
              </w:rPr>
              <w:t>e de investigare pentru a găsi dovezi ale încălcărilor.</w:t>
            </w:r>
          </w:p>
          <w:p w14:paraId="2F89F5F7"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Multe ANC nu dispun de instrumentele de care au nevoie pentru a detecta și a combate în mod eficient încălcările dreptului concurenței. Anumite ANC nu dispun de competențe esențiale de invest</w:t>
            </w:r>
            <w:r>
              <w:rPr>
                <w:rFonts w:ascii="Times New Roman" w:eastAsia="Times New Roman" w:hAnsi="Times New Roman" w:cs="Times New Roman"/>
              </w:rPr>
              <w:t>igare, cum ar fi colectarea de probe stocate pe telefoanele mobile, laptopuri, tablete etc., ceea ce reprezintă un dezavantaj major în era digitală. Competențele de investigare ale acestora sunt adesea lipsite de forță, nefiind dublate de sancțiuni eficace</w:t>
            </w:r>
            <w:r>
              <w:rPr>
                <w:rFonts w:ascii="Times New Roman" w:eastAsia="Times New Roman" w:hAnsi="Times New Roman" w:cs="Times New Roman"/>
              </w:rPr>
              <w:t xml:space="preserve"> atunci când societățile refuză să se supună acestora.</w:t>
            </w:r>
          </w:p>
          <w:p w14:paraId="5AADD667"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Nu toate ANC pot aplica amenzi eficace. În unele state membre, competența ANC de a aplica amenzi eficace pentru încălcarea legislației UE privind concurența este afectată de prevederile legisl</w:t>
            </w:r>
            <w:r>
              <w:rPr>
                <w:rFonts w:ascii="Times New Roman" w:eastAsia="Times New Roman" w:hAnsi="Times New Roman" w:cs="Times New Roman"/>
              </w:rPr>
              <w:t xml:space="preserve">ative naționale, de exemplu, în unele state membre, societățile se pot restructura pentru a evita plata amenzilor. În unele state membre nu se aplică deloc sau doar în mod limitat amenzi pentru încălcarea articolelor 101 și 102 din TFUE. Nivelul amenzilor </w:t>
            </w:r>
            <w:r>
              <w:rPr>
                <w:rFonts w:ascii="Times New Roman" w:eastAsia="Times New Roman" w:hAnsi="Times New Roman" w:cs="Times New Roman"/>
              </w:rPr>
              <w:t>aplicate variază foarte mult: pentru aceeași încălcare, sancțiunea aplicată într-un stat membru poate fi mult mai mare față de cea aplicată în alt stat membru, fără ca diferența să fie justificată de circumstanțe obiective.</w:t>
            </w:r>
          </w:p>
          <w:p w14:paraId="5A0706CE"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 xml:space="preserve">Programele de clemență </w:t>
            </w:r>
            <w:r>
              <w:rPr>
                <w:rFonts w:ascii="Times New Roman" w:eastAsia="Times New Roman" w:hAnsi="Times New Roman" w:cs="Times New Roman"/>
              </w:rPr>
              <w:t>sunt un instrument esențial pentru identificarea cartelurilor, întrucât încurajează societățile să furnizeze informații utile referitoare la cartelurile la care au participat, în schimbul unei imunități totale sau parțiale la amenzi. Societățile care ar do</w:t>
            </w:r>
            <w:r>
              <w:rPr>
                <w:rFonts w:ascii="Times New Roman" w:eastAsia="Times New Roman" w:hAnsi="Times New Roman" w:cs="Times New Roman"/>
              </w:rPr>
              <w:t>ri să se prevaleze de normele privind clemența au nevoie de un grad suficient de securitate juridică pentru a fi încurajate să coopereze cu autoritățile, cu precădere atunci când trebuie să facă acest demers în diferite state membre deoarece cartelul afect</w:t>
            </w:r>
            <w:r>
              <w:rPr>
                <w:rFonts w:ascii="Times New Roman" w:eastAsia="Times New Roman" w:hAnsi="Times New Roman" w:cs="Times New Roman"/>
              </w:rPr>
              <w:t>ează mai multe jurisdicții. Cu toate acestea, divergențele dintre programele de clemență din Europa descurajează societățile să recunoască faptele și să furnizeze dovezi ale acestor practici anticoncurențiale.</w:t>
            </w:r>
          </w:p>
          <w:p w14:paraId="5A9D016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Lacunele și limitările care afectează</w:t>
            </w:r>
            <w:r>
              <w:rPr>
                <w:rFonts w:ascii="Times New Roman" w:eastAsia="Times New Roman" w:hAnsi="Times New Roman" w:cs="Times New Roman"/>
              </w:rPr>
              <w:t xml:space="preserve"> instrumentele și garanțiile ANC subminează și sistemul paralel de competențe pentru asigurarea respectării articolelor 101 și 102 din TFUE, care se bazează pe o cooperare strânsă în cadrul Rețelei europene în domeniul concurenței. Acest sistem depinde de </w:t>
            </w:r>
            <w:r>
              <w:rPr>
                <w:rFonts w:ascii="Times New Roman" w:eastAsia="Times New Roman" w:hAnsi="Times New Roman" w:cs="Times New Roman"/>
              </w:rPr>
              <w:t>capacitatea autorităților de a se baza unele pe altele pentru a desfășura acțiuni de stabilire a faptelor în numele celeilalte, iar sistemul nu funcționează bine atunci când există încă ANC care nu dispun de instrumente adecvate în acest sens. Există și al</w:t>
            </w:r>
            <w:r>
              <w:rPr>
                <w:rFonts w:ascii="Times New Roman" w:eastAsia="Times New Roman" w:hAnsi="Times New Roman" w:cs="Times New Roman"/>
              </w:rPr>
              <w:t>te lacune privind capacitatea ANC de a furniza asistență reciprocă ceea ce subminează, de asemenea, sistemul european de asigurare a respectării normelor privind concurența, conceput să funcționeze ca un întreg coerent. De exemplu, autoritățile administrat</w:t>
            </w:r>
            <w:r>
              <w:rPr>
                <w:rFonts w:ascii="Times New Roman" w:eastAsia="Times New Roman" w:hAnsi="Times New Roman" w:cs="Times New Roman"/>
              </w:rPr>
              <w:t xml:space="preserve">ive nu pot solicita executarea transfrontalieră a amenzilor pe care le-au impus dacă societatea care a săvârșit încălcarea nu are o prezență legală pe teritoriul lor. În era digitală, multe societăți vând pe internet în numeroase țări, dar au, eventual, o </w:t>
            </w:r>
            <w:r>
              <w:rPr>
                <w:rFonts w:ascii="Times New Roman" w:eastAsia="Times New Roman" w:hAnsi="Times New Roman" w:cs="Times New Roman"/>
              </w:rPr>
              <w:t>singură prezență legală, de exemplu într-un singur stat membru. În prezent, aceste societăți profită de o situație care le permite să nu plătească amenzi.</w:t>
            </w:r>
          </w:p>
          <w:p w14:paraId="544C7E5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Din cauza acestor lacune și limitări care afectează instrumentele și garanțiile ANC, rezultatele proc</w:t>
            </w:r>
            <w:r>
              <w:rPr>
                <w:rFonts w:ascii="Times New Roman" w:eastAsia="Times New Roman" w:hAnsi="Times New Roman" w:cs="Times New Roman"/>
              </w:rPr>
              <w:t>edurilor inițiate împotriva companiilor implicate în practici anticoncurențiale pot varia foarte mult, în funcție de statul membru în care acestea își desfășoară activitatea: nicio sancțiune în temeiul articolelor 101 sau 102 din TFUE sau sancțiuni inefici</w:t>
            </w:r>
            <w:r>
              <w:rPr>
                <w:rFonts w:ascii="Times New Roman" w:eastAsia="Times New Roman" w:hAnsi="Times New Roman" w:cs="Times New Roman"/>
              </w:rPr>
              <w:t>ente deoarece, de exemplu, nu pot fi colectate probe privind practicile anticoncurențiale sau întreprinderile pot evita antrenarea răspunderii în materie de amenzi. Asigurarea inegală a respectării normelor UE în acest domeniu denaturează concurența pe pia</w:t>
            </w:r>
            <w:r>
              <w:rPr>
                <w:rFonts w:ascii="Times New Roman" w:eastAsia="Times New Roman" w:hAnsi="Times New Roman" w:cs="Times New Roman"/>
              </w:rPr>
              <w:t>ța internă și subminează sistemul de asigurare descentralizată a respectării normelor instituit prin Regulamentul (CE) nr. 1/2003. Prin urmare, este necesară o propunere legislativă care să le confere ANC mijloacele de a fi organisme mai eficace de asigura</w:t>
            </w:r>
            <w:r>
              <w:rPr>
                <w:rFonts w:ascii="Times New Roman" w:eastAsia="Times New Roman" w:hAnsi="Times New Roman" w:cs="Times New Roman"/>
              </w:rPr>
              <w:t>re a respectării normelor UE în materie de concurență, asigurându-se faptul că acestea dispun de garanțiile de independență, de resursele și de competențele necesare în materie de asigurare a respectării normelor și de impunere de amenzi. Înlăturarea obsta</w:t>
            </w:r>
            <w:r>
              <w:rPr>
                <w:rFonts w:ascii="Times New Roman" w:eastAsia="Times New Roman" w:hAnsi="Times New Roman" w:cs="Times New Roman"/>
              </w:rPr>
              <w:t>colelor de la nivel național care împiedică ANC să asigure în mod eficace respectarea normelor va contribui la eliminarea denaturărilor concurenței pe piața internă și a situațiilor în care consumatorii și întreprinderile, inclusiv IMM-urile, sunt dezavant</w:t>
            </w:r>
            <w:r>
              <w:rPr>
                <w:rFonts w:ascii="Times New Roman" w:eastAsia="Times New Roman" w:hAnsi="Times New Roman" w:cs="Times New Roman"/>
              </w:rPr>
              <w:t>ajate de astfel de măsuri și suferă prejudicii de pe urma acestora. În plus, faptul că autoritățile naționale competente își vor putea oferi efectiv asistență reciprocă va asigura condiții de concurență mai echitabile și o cooperare strânsă în cadrul Rețel</w:t>
            </w:r>
            <w:r>
              <w:rPr>
                <w:rFonts w:ascii="Times New Roman" w:eastAsia="Times New Roman" w:hAnsi="Times New Roman" w:cs="Times New Roman"/>
              </w:rPr>
              <w:t>ei europene în domeniul concurenței.</w:t>
            </w:r>
          </w:p>
          <w:p w14:paraId="15980EAD"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ceea ce privește Republica Moldova, nu a fost făcută o evaluare externă a capacităților instituționale ale Consiliului Concurenței astfel încât a determina în ce măsură problemele cu care se ciocnește Consiliul Concu</w:t>
            </w:r>
            <w:r>
              <w:rPr>
                <w:rFonts w:ascii="Times New Roman" w:eastAsia="Times New Roman" w:hAnsi="Times New Roman" w:cs="Times New Roman"/>
              </w:rPr>
              <w:t xml:space="preserve">renței pot fi soluționate prin majorarea pragurilor de amenzi și penalități cominatorii, calculate din cifrele mondiale de afaceri, în limitele exacte după cum au fost propuse de Comisia Europeană prin propunerea de Directivă 2019/1.  În Raportul Analitic </w:t>
            </w:r>
            <w:r>
              <w:rPr>
                <w:rFonts w:ascii="Times New Roman" w:eastAsia="Times New Roman" w:hAnsi="Times New Roman" w:cs="Times New Roman"/>
              </w:rPr>
              <w:t xml:space="preserve">care a urmat Notificarea Comisiei către Parlamentul European, Consiliul </w:t>
            </w:r>
            <w:r>
              <w:rPr>
                <w:rFonts w:ascii="Times New Roman" w:eastAsia="Times New Roman" w:hAnsi="Times New Roman" w:cs="Times New Roman"/>
              </w:rPr>
              <w:lastRenderedPageBreak/>
              <w:t>Europei și Consiliul, Opinia Comisiei privind cererea de aderare a Republicii Moldova pentru calitatea de membru al Uniunii Europene[2], Comisia a menționat:</w:t>
            </w:r>
          </w:p>
          <w:p w14:paraId="0577BD5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ceea ce privește polit</w:t>
            </w:r>
            <w:r>
              <w:rPr>
                <w:rFonts w:ascii="Times New Roman" w:eastAsia="Times New Roman" w:hAnsi="Times New Roman" w:cs="Times New Roman"/>
              </w:rPr>
              <w:t>ica de concurență și controlul concentrărilor, legislația Moldovei este în mare parte aliniată la acquis-</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UE. Legea concurenței reflectă în mare măsură dispozițiile TFUE cu privire la acordurile restrictive și abuzul de poziție dominantă.  Legea concuren</w:t>
            </w:r>
            <w:r>
              <w:rPr>
                <w:rFonts w:ascii="Times New Roman" w:eastAsia="Times New Roman" w:hAnsi="Times New Roman" w:cs="Times New Roman"/>
              </w:rPr>
              <w:t xml:space="preserve">ței de asemenea monitorizarea </w:t>
            </w:r>
            <w:r>
              <w:rPr>
                <w:rFonts w:ascii="Times New Roman" w:eastAsia="Times New Roman" w:hAnsi="Times New Roman" w:cs="Times New Roman"/>
                <w:i/>
              </w:rPr>
              <w:t>ex ante</w:t>
            </w:r>
            <w:r>
              <w:rPr>
                <w:rFonts w:ascii="Times New Roman" w:eastAsia="Times New Roman" w:hAnsi="Times New Roman" w:cs="Times New Roman"/>
              </w:rPr>
              <w:t xml:space="preserve"> a efectelor concentrărilor economice asupra concurenței care depășesc anumite praguri de cifră de afaceri, în mare parte în conformitate cu principiile Regulamentului UE privind concentrările economice. Moldova a adopt</w:t>
            </w:r>
            <w:r>
              <w:rPr>
                <w:rFonts w:ascii="Times New Roman" w:eastAsia="Times New Roman" w:hAnsi="Times New Roman" w:cs="Times New Roman"/>
              </w:rPr>
              <w:t>at o legislație secundară de punere în aplicare care prevede norme suplimentare, care vizează, în linii mari, respectarea acquis-</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UE. Este necesară o aliniere suplimentară pentru a reflecta pe deplin acquis-</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privind politica în domeniul concurenței. În</w:t>
            </w:r>
            <w:r>
              <w:rPr>
                <w:rFonts w:ascii="Times New Roman" w:eastAsia="Times New Roman" w:hAnsi="Times New Roman" w:cs="Times New Roman"/>
              </w:rPr>
              <w:t xml:space="preserve"> ceea ce privește cadrul instituțional, Consiliul Concurenței este un organism independent cu competență exclusivă în domeniul politicii de concurență. Acesta este responsabil în fața Parlamentului și este finanțat de la bugetul de stat. Este un organism c</w:t>
            </w:r>
            <w:r>
              <w:rPr>
                <w:rFonts w:ascii="Times New Roman" w:eastAsia="Times New Roman" w:hAnsi="Times New Roman" w:cs="Times New Roman"/>
              </w:rPr>
              <w:t>olegial format din cinci membri, numiți de Parlament pentru un mandat de cinci ani.”</w:t>
            </w:r>
          </w:p>
          <w:p w14:paraId="5DA893AB" w14:textId="77777777" w:rsidR="002A5B12" w:rsidRDefault="007C6886" w:rsidP="00E07EA5">
            <w:pPr>
              <w:spacing w:before="120" w:after="120" w:line="240" w:lineRule="auto"/>
              <w:ind w:left="700"/>
              <w:jc w:val="both"/>
              <w:rPr>
                <w:rFonts w:ascii="Times New Roman" w:eastAsia="Times New Roman" w:hAnsi="Times New Roman" w:cs="Times New Roman"/>
              </w:rPr>
            </w:pPr>
            <w:r>
              <w:rPr>
                <w:rFonts w:ascii="Times New Roman" w:eastAsia="Times New Roman" w:hAnsi="Times New Roman" w:cs="Times New Roman"/>
              </w:rPr>
              <w:t>[…]</w:t>
            </w:r>
          </w:p>
          <w:p w14:paraId="2735DCC4"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„Moldova are un anumit nivel de pregătire în domeniul politicii în domeniul concurenței. Este necesară o aliniere legislativă suplimentară. Consiliul Concurenței trebu</w:t>
            </w:r>
            <w:r>
              <w:rPr>
                <w:rFonts w:ascii="Times New Roman" w:eastAsia="Times New Roman" w:hAnsi="Times New Roman" w:cs="Times New Roman"/>
              </w:rPr>
              <w:t>ie să obțină rezultate solide în ceea ce privește deciziile puse în aplicare în domeniul concurenței, al controlului concentrărilor economice și al ajutoarelor de stat. Aceasta trebuie să își sporească în mod substanțial capacitatea administrativă. De asem</w:t>
            </w:r>
            <w:r>
              <w:rPr>
                <w:rFonts w:ascii="Times New Roman" w:eastAsia="Times New Roman" w:hAnsi="Times New Roman" w:cs="Times New Roman"/>
              </w:rPr>
              <w:t xml:space="preserve">enea, este necesară sensibilizarea furnizorilor de ajutoare cu privire la normele privind ajutoarele de stat”. </w:t>
            </w:r>
          </w:p>
          <w:p w14:paraId="5863164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Opinia Comisiei Europene, precum nici Programul de activitate al Guvernului ,,Moldova vremurilor bune”, Planul de acțiuni al Guvernului pentru a</w:t>
            </w:r>
            <w:r>
              <w:rPr>
                <w:rFonts w:ascii="Times New Roman" w:eastAsia="Times New Roman" w:hAnsi="Times New Roman" w:cs="Times New Roman"/>
              </w:rPr>
              <w:t>nul 2023, aprobat prin Hotărârea Guvernului nr. 90/2023, Planul de acțiuni privind ridicarea nivelului de pregătire pentru aderarea la Uniunea Europeană și alinierea la legislația UE nu impun în mod expres obligația Republicii Moldova de a majora pragurile</w:t>
            </w:r>
            <w:r>
              <w:rPr>
                <w:rFonts w:ascii="Times New Roman" w:eastAsia="Times New Roman" w:hAnsi="Times New Roman" w:cs="Times New Roman"/>
              </w:rPr>
              <w:t xml:space="preserve"> sancțiunilor sau calcularea lor din cifra mondială totală de afaceri a întreprinderilor implicate.</w:t>
            </w:r>
          </w:p>
          <w:p w14:paraId="6C5AA225"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Consiliul Concurenței are posibilitatea să aplice sancțiuni pentru încălcarea Legii concurenței, numărul și mărimea cărora a variat în ultimii cinci ani de </w:t>
            </w:r>
            <w:r>
              <w:rPr>
                <w:rFonts w:ascii="Times New Roman" w:eastAsia="Times New Roman" w:hAnsi="Times New Roman" w:cs="Times New Roman"/>
              </w:rPr>
              <w:t xml:space="preserve">activitate (2018 - 2022).  În această perioadă, Consiliu Concurenței a adoptat decizii prin care a aplicat </w:t>
            </w:r>
            <w:proofErr w:type="spellStart"/>
            <w:r>
              <w:rPr>
                <w:rFonts w:ascii="Times New Roman" w:eastAsia="Times New Roman" w:hAnsi="Times New Roman" w:cs="Times New Roman"/>
              </w:rPr>
              <w:t>sanțiuni</w:t>
            </w:r>
            <w:proofErr w:type="spellEnd"/>
            <w:r>
              <w:rPr>
                <w:rFonts w:ascii="Times New Roman" w:eastAsia="Times New Roman" w:hAnsi="Times New Roman" w:cs="Times New Roman"/>
              </w:rPr>
              <w:t xml:space="preserve"> sub formă de amenzi și penalități cu titlul cominatoriu în număr de </w:t>
            </w:r>
            <w:r>
              <w:rPr>
                <w:rFonts w:ascii="Times New Roman" w:eastAsia="Times New Roman" w:hAnsi="Times New Roman" w:cs="Times New Roman"/>
                <w:b/>
              </w:rPr>
              <w:t>155 sancțiuni</w:t>
            </w:r>
            <w:r>
              <w:rPr>
                <w:rFonts w:ascii="Times New Roman" w:eastAsia="Times New Roman" w:hAnsi="Times New Roman" w:cs="Times New Roman"/>
              </w:rPr>
              <w:t xml:space="preserve">, în valoare totală de </w:t>
            </w:r>
            <w:r>
              <w:rPr>
                <w:rFonts w:ascii="Times New Roman" w:eastAsia="Times New Roman" w:hAnsi="Times New Roman" w:cs="Times New Roman"/>
                <w:b/>
              </w:rPr>
              <w:t>240,648,072.36 lei</w:t>
            </w:r>
            <w:r>
              <w:rPr>
                <w:rFonts w:ascii="Times New Roman" w:eastAsia="Times New Roman" w:hAnsi="Times New Roman" w:cs="Times New Roman"/>
              </w:rPr>
              <w:t>, dintre care</w:t>
            </w:r>
            <w:r>
              <w:rPr>
                <w:rFonts w:ascii="Times New Roman" w:eastAsia="Times New Roman" w:hAnsi="Times New Roman" w:cs="Times New Roman"/>
                <w:b/>
              </w:rPr>
              <w:t xml:space="preserve"> 96 s</w:t>
            </w:r>
            <w:r>
              <w:rPr>
                <w:rFonts w:ascii="Times New Roman" w:eastAsia="Times New Roman" w:hAnsi="Times New Roman" w:cs="Times New Roman"/>
                <w:b/>
              </w:rPr>
              <w:t>ancțiuni</w:t>
            </w:r>
            <w:r>
              <w:rPr>
                <w:rFonts w:ascii="Times New Roman" w:eastAsia="Times New Roman" w:hAnsi="Times New Roman" w:cs="Times New Roman"/>
              </w:rPr>
              <w:t xml:space="preserve"> în valoare totală de </w:t>
            </w:r>
            <w:r>
              <w:rPr>
                <w:rFonts w:ascii="Times New Roman" w:eastAsia="Times New Roman" w:hAnsi="Times New Roman" w:cs="Times New Roman"/>
                <w:b/>
              </w:rPr>
              <w:t>206.744.041,92 lei</w:t>
            </w:r>
            <w:r>
              <w:rPr>
                <w:rFonts w:ascii="Times New Roman" w:eastAsia="Times New Roman" w:hAnsi="Times New Roman" w:cs="Times New Roman"/>
              </w:rPr>
              <w:t xml:space="preserve"> reprezintă amenzi pentru încălcarea normelor de drept material. </w:t>
            </w:r>
          </w:p>
          <w:p w14:paraId="6C0B450C"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Cele mai mari cinci sancțiuni aplicate în ultimii cinci ani sunt reflectate în tabelul de mai jos:</w:t>
            </w:r>
          </w:p>
          <w:p w14:paraId="0764D4E0"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Tabel. Informații privind</w:t>
            </w:r>
            <w:r>
              <w:rPr>
                <w:rFonts w:ascii="Times New Roman" w:eastAsia="Times New Roman" w:hAnsi="Times New Roman" w:cs="Times New Roman"/>
              </w:rPr>
              <w:t xml:space="preserve"> </w:t>
            </w:r>
            <w:r>
              <w:rPr>
                <w:rFonts w:ascii="Times New Roman" w:eastAsia="Times New Roman" w:hAnsi="Times New Roman" w:cs="Times New Roman"/>
                <w:b/>
              </w:rPr>
              <w:t xml:space="preserve">top cinci </w:t>
            </w:r>
            <w:r>
              <w:rPr>
                <w:rFonts w:ascii="Times New Roman" w:eastAsia="Times New Roman" w:hAnsi="Times New Roman" w:cs="Times New Roman"/>
                <w:b/>
              </w:rPr>
              <w:t>cele mai mari amenzi aplicate de Consiliul Concurenței în anii 2018-2022</w:t>
            </w:r>
          </w:p>
          <w:tbl>
            <w:tblPr>
              <w:tblStyle w:val="a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37"/>
              <w:gridCol w:w="1971"/>
              <w:gridCol w:w="292"/>
              <w:gridCol w:w="1522"/>
              <w:gridCol w:w="1530"/>
              <w:gridCol w:w="1350"/>
              <w:gridCol w:w="1218"/>
              <w:gridCol w:w="1225"/>
            </w:tblGrid>
            <w:tr w:rsidR="002A5B12" w14:paraId="6773285C" w14:textId="77777777" w:rsidTr="001225DD">
              <w:trPr>
                <w:trHeight w:val="590"/>
              </w:trPr>
              <w:tc>
                <w:tcPr>
                  <w:tcW w:w="837" w:type="dxa"/>
                  <w:shd w:val="clear" w:color="auto" w:fill="auto"/>
                  <w:tcMar>
                    <w:top w:w="100" w:type="dxa"/>
                    <w:left w:w="100" w:type="dxa"/>
                    <w:bottom w:w="100" w:type="dxa"/>
                    <w:right w:w="100" w:type="dxa"/>
                  </w:tcMar>
                  <w:vAlign w:val="bottom"/>
                </w:tcPr>
                <w:p w14:paraId="42473E1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N/O</w:t>
                  </w:r>
                </w:p>
              </w:tc>
              <w:tc>
                <w:tcPr>
                  <w:tcW w:w="1971" w:type="dxa"/>
                  <w:shd w:val="clear" w:color="auto" w:fill="auto"/>
                  <w:tcMar>
                    <w:top w:w="100" w:type="dxa"/>
                    <w:left w:w="100" w:type="dxa"/>
                    <w:bottom w:w="100" w:type="dxa"/>
                    <w:right w:w="100" w:type="dxa"/>
                  </w:tcMar>
                  <w:vAlign w:val="bottom"/>
                </w:tcPr>
                <w:p w14:paraId="4224B77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Anii de referință</w:t>
                  </w:r>
                </w:p>
              </w:tc>
              <w:tc>
                <w:tcPr>
                  <w:tcW w:w="1814" w:type="dxa"/>
                  <w:gridSpan w:val="2"/>
                  <w:shd w:val="clear" w:color="auto" w:fill="auto"/>
                  <w:tcMar>
                    <w:top w:w="100" w:type="dxa"/>
                    <w:left w:w="100" w:type="dxa"/>
                    <w:bottom w:w="100" w:type="dxa"/>
                    <w:right w:w="100" w:type="dxa"/>
                  </w:tcMar>
                </w:tcPr>
                <w:p w14:paraId="15A021C9"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2018</w:t>
                  </w:r>
                </w:p>
              </w:tc>
              <w:tc>
                <w:tcPr>
                  <w:tcW w:w="1530" w:type="dxa"/>
                  <w:shd w:val="clear" w:color="auto" w:fill="auto"/>
                  <w:tcMar>
                    <w:top w:w="100" w:type="dxa"/>
                    <w:left w:w="100" w:type="dxa"/>
                    <w:bottom w:w="100" w:type="dxa"/>
                    <w:right w:w="100" w:type="dxa"/>
                  </w:tcMar>
                </w:tcPr>
                <w:p w14:paraId="3B3CDAA9"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2019</w:t>
                  </w:r>
                </w:p>
              </w:tc>
              <w:tc>
                <w:tcPr>
                  <w:tcW w:w="1350" w:type="dxa"/>
                  <w:shd w:val="clear" w:color="auto" w:fill="auto"/>
                  <w:tcMar>
                    <w:top w:w="100" w:type="dxa"/>
                    <w:left w:w="100" w:type="dxa"/>
                    <w:bottom w:w="100" w:type="dxa"/>
                    <w:right w:w="100" w:type="dxa"/>
                  </w:tcMar>
                </w:tcPr>
                <w:p w14:paraId="289D598A"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2020</w:t>
                  </w:r>
                </w:p>
              </w:tc>
              <w:tc>
                <w:tcPr>
                  <w:tcW w:w="1218" w:type="dxa"/>
                  <w:shd w:val="clear" w:color="auto" w:fill="auto"/>
                  <w:tcMar>
                    <w:top w:w="100" w:type="dxa"/>
                    <w:left w:w="100" w:type="dxa"/>
                    <w:bottom w:w="100" w:type="dxa"/>
                    <w:right w:w="100" w:type="dxa"/>
                  </w:tcMar>
                </w:tcPr>
                <w:p w14:paraId="3780DC4C"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2021</w:t>
                  </w:r>
                </w:p>
              </w:tc>
              <w:tc>
                <w:tcPr>
                  <w:tcW w:w="1225" w:type="dxa"/>
                  <w:shd w:val="clear" w:color="auto" w:fill="auto"/>
                  <w:tcMar>
                    <w:top w:w="100" w:type="dxa"/>
                    <w:left w:w="100" w:type="dxa"/>
                    <w:bottom w:w="100" w:type="dxa"/>
                    <w:right w:w="100" w:type="dxa"/>
                  </w:tcMar>
                </w:tcPr>
                <w:p w14:paraId="65902F4A"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2022</w:t>
                  </w:r>
                </w:p>
              </w:tc>
            </w:tr>
            <w:tr w:rsidR="002A5B12" w14:paraId="12636D68" w14:textId="77777777" w:rsidTr="001225DD">
              <w:trPr>
                <w:trHeight w:val="725"/>
              </w:trPr>
              <w:tc>
                <w:tcPr>
                  <w:tcW w:w="837" w:type="dxa"/>
                  <w:vMerge w:val="restart"/>
                  <w:shd w:val="clear" w:color="auto" w:fill="auto"/>
                  <w:tcMar>
                    <w:top w:w="100" w:type="dxa"/>
                    <w:left w:w="100" w:type="dxa"/>
                    <w:bottom w:w="100" w:type="dxa"/>
                    <w:right w:w="100" w:type="dxa"/>
                  </w:tcMar>
                  <w:vAlign w:val="bottom"/>
                </w:tcPr>
                <w:p w14:paraId="47E042A3"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1971" w:type="dxa"/>
                  <w:vMerge w:val="restart"/>
                  <w:shd w:val="clear" w:color="auto" w:fill="auto"/>
                  <w:tcMar>
                    <w:top w:w="100" w:type="dxa"/>
                    <w:left w:w="100" w:type="dxa"/>
                    <w:bottom w:w="100" w:type="dxa"/>
                    <w:right w:w="100" w:type="dxa"/>
                  </w:tcMar>
                  <w:vAlign w:val="bottom"/>
                </w:tcPr>
                <w:p w14:paraId="016952A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Încălcări de procedură</w:t>
                  </w:r>
                </w:p>
                <w:p w14:paraId="4095095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(lei)</w:t>
                  </w:r>
                </w:p>
              </w:tc>
              <w:tc>
                <w:tcPr>
                  <w:tcW w:w="292" w:type="dxa"/>
                  <w:shd w:val="clear" w:color="auto" w:fill="auto"/>
                  <w:tcMar>
                    <w:top w:w="100" w:type="dxa"/>
                    <w:left w:w="100" w:type="dxa"/>
                    <w:bottom w:w="100" w:type="dxa"/>
                    <w:right w:w="100" w:type="dxa"/>
                  </w:tcMar>
                  <w:vAlign w:val="bottom"/>
                </w:tcPr>
                <w:p w14:paraId="30952B2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w:t>
                  </w:r>
                </w:p>
              </w:tc>
              <w:tc>
                <w:tcPr>
                  <w:tcW w:w="1522" w:type="dxa"/>
                  <w:shd w:val="clear" w:color="auto" w:fill="auto"/>
                  <w:tcMar>
                    <w:top w:w="100" w:type="dxa"/>
                    <w:left w:w="100" w:type="dxa"/>
                    <w:bottom w:w="100" w:type="dxa"/>
                    <w:right w:w="100" w:type="dxa"/>
                  </w:tcMar>
                  <w:vAlign w:val="center"/>
                </w:tcPr>
                <w:p w14:paraId="65A61BFC"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491.139,32</w:t>
                  </w:r>
                </w:p>
              </w:tc>
              <w:tc>
                <w:tcPr>
                  <w:tcW w:w="1530" w:type="dxa"/>
                  <w:shd w:val="clear" w:color="auto" w:fill="auto"/>
                  <w:tcMar>
                    <w:top w:w="100" w:type="dxa"/>
                    <w:left w:w="100" w:type="dxa"/>
                    <w:bottom w:w="100" w:type="dxa"/>
                    <w:right w:w="100" w:type="dxa"/>
                  </w:tcMar>
                  <w:vAlign w:val="center"/>
                </w:tcPr>
                <w:p w14:paraId="308C8D0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53.224,02</w:t>
                  </w:r>
                </w:p>
              </w:tc>
              <w:tc>
                <w:tcPr>
                  <w:tcW w:w="1350" w:type="dxa"/>
                  <w:shd w:val="clear" w:color="auto" w:fill="auto"/>
                  <w:tcMar>
                    <w:top w:w="100" w:type="dxa"/>
                    <w:left w:w="100" w:type="dxa"/>
                    <w:bottom w:w="100" w:type="dxa"/>
                    <w:right w:w="100" w:type="dxa"/>
                  </w:tcMar>
                  <w:vAlign w:val="center"/>
                </w:tcPr>
                <w:p w14:paraId="1B0C2B4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18" w:type="dxa"/>
                  <w:shd w:val="clear" w:color="auto" w:fill="auto"/>
                  <w:tcMar>
                    <w:top w:w="100" w:type="dxa"/>
                    <w:left w:w="100" w:type="dxa"/>
                    <w:bottom w:w="100" w:type="dxa"/>
                    <w:right w:w="100" w:type="dxa"/>
                  </w:tcMar>
                  <w:vAlign w:val="center"/>
                </w:tcPr>
                <w:p w14:paraId="3CE415E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25" w:type="dxa"/>
                  <w:shd w:val="clear" w:color="auto" w:fill="auto"/>
                  <w:tcMar>
                    <w:top w:w="100" w:type="dxa"/>
                    <w:left w:w="100" w:type="dxa"/>
                    <w:bottom w:w="100" w:type="dxa"/>
                    <w:right w:w="100" w:type="dxa"/>
                  </w:tcMar>
                  <w:vAlign w:val="center"/>
                </w:tcPr>
                <w:p w14:paraId="152A49F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71932</w:t>
                  </w:r>
                </w:p>
              </w:tc>
            </w:tr>
            <w:tr w:rsidR="002A5B12" w14:paraId="1E21B26D" w14:textId="77777777" w:rsidTr="001225DD">
              <w:trPr>
                <w:trHeight w:val="575"/>
              </w:trPr>
              <w:tc>
                <w:tcPr>
                  <w:tcW w:w="837" w:type="dxa"/>
                  <w:vMerge/>
                  <w:shd w:val="clear" w:color="auto" w:fill="auto"/>
                  <w:tcMar>
                    <w:top w:w="100" w:type="dxa"/>
                    <w:left w:w="100" w:type="dxa"/>
                    <w:bottom w:w="100" w:type="dxa"/>
                    <w:right w:w="100" w:type="dxa"/>
                  </w:tcMar>
                </w:tcPr>
                <w:p w14:paraId="0B68F3DE"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54605142"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0E1A210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w:t>
                  </w:r>
                </w:p>
              </w:tc>
              <w:tc>
                <w:tcPr>
                  <w:tcW w:w="1522" w:type="dxa"/>
                  <w:shd w:val="clear" w:color="auto" w:fill="auto"/>
                  <w:tcMar>
                    <w:top w:w="100" w:type="dxa"/>
                    <w:left w:w="100" w:type="dxa"/>
                    <w:bottom w:w="100" w:type="dxa"/>
                    <w:right w:w="100" w:type="dxa"/>
                  </w:tcMar>
                  <w:vAlign w:val="center"/>
                </w:tcPr>
                <w:p w14:paraId="1B70D68B"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818.277,03</w:t>
                  </w:r>
                </w:p>
              </w:tc>
              <w:tc>
                <w:tcPr>
                  <w:tcW w:w="1530" w:type="dxa"/>
                  <w:shd w:val="clear" w:color="auto" w:fill="auto"/>
                  <w:tcMar>
                    <w:top w:w="100" w:type="dxa"/>
                    <w:left w:w="100" w:type="dxa"/>
                    <w:bottom w:w="100" w:type="dxa"/>
                    <w:right w:w="100" w:type="dxa"/>
                  </w:tcMar>
                  <w:vAlign w:val="center"/>
                </w:tcPr>
                <w:p w14:paraId="52E3484B"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350" w:type="dxa"/>
                  <w:shd w:val="clear" w:color="auto" w:fill="auto"/>
                  <w:tcMar>
                    <w:top w:w="100" w:type="dxa"/>
                    <w:left w:w="100" w:type="dxa"/>
                    <w:bottom w:w="100" w:type="dxa"/>
                    <w:right w:w="100" w:type="dxa"/>
                  </w:tcMar>
                  <w:vAlign w:val="center"/>
                </w:tcPr>
                <w:p w14:paraId="74594F1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18" w:type="dxa"/>
                  <w:shd w:val="clear" w:color="auto" w:fill="auto"/>
                  <w:tcMar>
                    <w:top w:w="100" w:type="dxa"/>
                    <w:left w:w="100" w:type="dxa"/>
                    <w:bottom w:w="100" w:type="dxa"/>
                    <w:right w:w="100" w:type="dxa"/>
                  </w:tcMar>
                  <w:vAlign w:val="center"/>
                </w:tcPr>
                <w:p w14:paraId="213D24F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25" w:type="dxa"/>
                  <w:shd w:val="clear" w:color="auto" w:fill="auto"/>
                  <w:tcMar>
                    <w:top w:w="100" w:type="dxa"/>
                    <w:left w:w="100" w:type="dxa"/>
                    <w:bottom w:w="100" w:type="dxa"/>
                    <w:right w:w="100" w:type="dxa"/>
                  </w:tcMar>
                  <w:vAlign w:val="center"/>
                </w:tcPr>
                <w:p w14:paraId="41C0D7C0"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2A5B12" w14:paraId="3B870896" w14:textId="77777777" w:rsidTr="001225DD">
              <w:trPr>
                <w:trHeight w:val="575"/>
              </w:trPr>
              <w:tc>
                <w:tcPr>
                  <w:tcW w:w="837" w:type="dxa"/>
                  <w:vMerge/>
                  <w:shd w:val="clear" w:color="auto" w:fill="auto"/>
                  <w:tcMar>
                    <w:top w:w="100" w:type="dxa"/>
                    <w:left w:w="100" w:type="dxa"/>
                    <w:bottom w:w="100" w:type="dxa"/>
                    <w:right w:w="100" w:type="dxa"/>
                  </w:tcMar>
                </w:tcPr>
                <w:p w14:paraId="0DC6B2A1"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1ABF725A"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3D92B27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3</w:t>
                  </w:r>
                </w:p>
              </w:tc>
              <w:tc>
                <w:tcPr>
                  <w:tcW w:w="1522" w:type="dxa"/>
                  <w:shd w:val="clear" w:color="auto" w:fill="auto"/>
                  <w:tcMar>
                    <w:top w:w="100" w:type="dxa"/>
                    <w:left w:w="100" w:type="dxa"/>
                    <w:bottom w:w="100" w:type="dxa"/>
                    <w:right w:w="100" w:type="dxa"/>
                  </w:tcMar>
                  <w:vAlign w:val="center"/>
                </w:tcPr>
                <w:p w14:paraId="3FD4B1C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717.50,38</w:t>
                  </w:r>
                </w:p>
              </w:tc>
              <w:tc>
                <w:tcPr>
                  <w:tcW w:w="1530" w:type="dxa"/>
                  <w:shd w:val="clear" w:color="auto" w:fill="auto"/>
                  <w:tcMar>
                    <w:top w:w="100" w:type="dxa"/>
                    <w:left w:w="100" w:type="dxa"/>
                    <w:bottom w:w="100" w:type="dxa"/>
                    <w:right w:w="100" w:type="dxa"/>
                  </w:tcMar>
                  <w:vAlign w:val="center"/>
                </w:tcPr>
                <w:p w14:paraId="5DB419F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350" w:type="dxa"/>
                  <w:shd w:val="clear" w:color="auto" w:fill="auto"/>
                  <w:tcMar>
                    <w:top w:w="100" w:type="dxa"/>
                    <w:left w:w="100" w:type="dxa"/>
                    <w:bottom w:w="100" w:type="dxa"/>
                    <w:right w:w="100" w:type="dxa"/>
                  </w:tcMar>
                  <w:vAlign w:val="center"/>
                </w:tcPr>
                <w:p w14:paraId="61562027"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18" w:type="dxa"/>
                  <w:shd w:val="clear" w:color="auto" w:fill="auto"/>
                  <w:tcMar>
                    <w:top w:w="100" w:type="dxa"/>
                    <w:left w:w="100" w:type="dxa"/>
                    <w:bottom w:w="100" w:type="dxa"/>
                    <w:right w:w="100" w:type="dxa"/>
                  </w:tcMar>
                  <w:vAlign w:val="center"/>
                </w:tcPr>
                <w:p w14:paraId="401C742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25" w:type="dxa"/>
                  <w:shd w:val="clear" w:color="auto" w:fill="auto"/>
                  <w:tcMar>
                    <w:top w:w="100" w:type="dxa"/>
                    <w:left w:w="100" w:type="dxa"/>
                    <w:bottom w:w="100" w:type="dxa"/>
                    <w:right w:w="100" w:type="dxa"/>
                  </w:tcMar>
                  <w:vAlign w:val="center"/>
                </w:tcPr>
                <w:p w14:paraId="1EA1AD6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2A5B12" w14:paraId="54978C50" w14:textId="77777777" w:rsidTr="001225DD">
              <w:trPr>
                <w:trHeight w:val="575"/>
              </w:trPr>
              <w:tc>
                <w:tcPr>
                  <w:tcW w:w="837" w:type="dxa"/>
                  <w:vMerge/>
                  <w:shd w:val="clear" w:color="auto" w:fill="auto"/>
                  <w:tcMar>
                    <w:top w:w="100" w:type="dxa"/>
                    <w:left w:w="100" w:type="dxa"/>
                    <w:bottom w:w="100" w:type="dxa"/>
                    <w:right w:w="100" w:type="dxa"/>
                  </w:tcMar>
                </w:tcPr>
                <w:p w14:paraId="4661421A"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1C31B098"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3950863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4</w:t>
                  </w:r>
                </w:p>
              </w:tc>
              <w:tc>
                <w:tcPr>
                  <w:tcW w:w="1522" w:type="dxa"/>
                  <w:shd w:val="clear" w:color="auto" w:fill="auto"/>
                  <w:tcMar>
                    <w:top w:w="100" w:type="dxa"/>
                    <w:left w:w="100" w:type="dxa"/>
                    <w:bottom w:w="100" w:type="dxa"/>
                    <w:right w:w="100" w:type="dxa"/>
                  </w:tcMar>
                  <w:vAlign w:val="center"/>
                </w:tcPr>
                <w:p w14:paraId="6138F0D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54.582,15</w:t>
                  </w:r>
                </w:p>
              </w:tc>
              <w:tc>
                <w:tcPr>
                  <w:tcW w:w="1530" w:type="dxa"/>
                  <w:shd w:val="clear" w:color="auto" w:fill="auto"/>
                  <w:tcMar>
                    <w:top w:w="100" w:type="dxa"/>
                    <w:left w:w="100" w:type="dxa"/>
                    <w:bottom w:w="100" w:type="dxa"/>
                    <w:right w:w="100" w:type="dxa"/>
                  </w:tcMar>
                  <w:vAlign w:val="center"/>
                </w:tcPr>
                <w:p w14:paraId="607D8A8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350" w:type="dxa"/>
                  <w:shd w:val="clear" w:color="auto" w:fill="auto"/>
                  <w:tcMar>
                    <w:top w:w="100" w:type="dxa"/>
                    <w:left w:w="100" w:type="dxa"/>
                    <w:bottom w:w="100" w:type="dxa"/>
                    <w:right w:w="100" w:type="dxa"/>
                  </w:tcMar>
                  <w:vAlign w:val="center"/>
                </w:tcPr>
                <w:p w14:paraId="4B375B7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18" w:type="dxa"/>
                  <w:shd w:val="clear" w:color="auto" w:fill="auto"/>
                  <w:tcMar>
                    <w:top w:w="100" w:type="dxa"/>
                    <w:left w:w="100" w:type="dxa"/>
                    <w:bottom w:w="100" w:type="dxa"/>
                    <w:right w:w="100" w:type="dxa"/>
                  </w:tcMar>
                  <w:vAlign w:val="center"/>
                </w:tcPr>
                <w:p w14:paraId="25BDC87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25" w:type="dxa"/>
                  <w:shd w:val="clear" w:color="auto" w:fill="auto"/>
                  <w:tcMar>
                    <w:top w:w="100" w:type="dxa"/>
                    <w:left w:w="100" w:type="dxa"/>
                    <w:bottom w:w="100" w:type="dxa"/>
                    <w:right w:w="100" w:type="dxa"/>
                  </w:tcMar>
                  <w:vAlign w:val="center"/>
                </w:tcPr>
                <w:p w14:paraId="7CBF5E74"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2A5B12" w14:paraId="08EF16CF" w14:textId="77777777" w:rsidTr="001225DD">
              <w:trPr>
                <w:trHeight w:val="590"/>
              </w:trPr>
              <w:tc>
                <w:tcPr>
                  <w:tcW w:w="837" w:type="dxa"/>
                  <w:vMerge/>
                  <w:shd w:val="clear" w:color="auto" w:fill="auto"/>
                  <w:tcMar>
                    <w:top w:w="100" w:type="dxa"/>
                    <w:left w:w="100" w:type="dxa"/>
                    <w:bottom w:w="100" w:type="dxa"/>
                    <w:right w:w="100" w:type="dxa"/>
                  </w:tcMar>
                </w:tcPr>
                <w:p w14:paraId="54EEC2C9"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66B37E2C"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0EFC401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5</w:t>
                  </w:r>
                </w:p>
              </w:tc>
              <w:tc>
                <w:tcPr>
                  <w:tcW w:w="1522" w:type="dxa"/>
                  <w:shd w:val="clear" w:color="auto" w:fill="auto"/>
                  <w:tcMar>
                    <w:top w:w="100" w:type="dxa"/>
                    <w:left w:w="100" w:type="dxa"/>
                    <w:bottom w:w="100" w:type="dxa"/>
                    <w:right w:w="100" w:type="dxa"/>
                  </w:tcMar>
                  <w:vAlign w:val="center"/>
                </w:tcPr>
                <w:p w14:paraId="7E329D1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54.162,07</w:t>
                  </w:r>
                </w:p>
              </w:tc>
              <w:tc>
                <w:tcPr>
                  <w:tcW w:w="1530" w:type="dxa"/>
                  <w:shd w:val="clear" w:color="auto" w:fill="auto"/>
                  <w:tcMar>
                    <w:top w:w="100" w:type="dxa"/>
                    <w:left w:w="100" w:type="dxa"/>
                    <w:bottom w:w="100" w:type="dxa"/>
                    <w:right w:w="100" w:type="dxa"/>
                  </w:tcMar>
                  <w:vAlign w:val="center"/>
                </w:tcPr>
                <w:p w14:paraId="76C1A88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350" w:type="dxa"/>
                  <w:shd w:val="clear" w:color="auto" w:fill="auto"/>
                  <w:tcMar>
                    <w:top w:w="100" w:type="dxa"/>
                    <w:left w:w="100" w:type="dxa"/>
                    <w:bottom w:w="100" w:type="dxa"/>
                    <w:right w:w="100" w:type="dxa"/>
                  </w:tcMar>
                  <w:vAlign w:val="center"/>
                </w:tcPr>
                <w:p w14:paraId="7E6AA119"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18" w:type="dxa"/>
                  <w:shd w:val="clear" w:color="auto" w:fill="auto"/>
                  <w:tcMar>
                    <w:top w:w="100" w:type="dxa"/>
                    <w:left w:w="100" w:type="dxa"/>
                    <w:bottom w:w="100" w:type="dxa"/>
                    <w:right w:w="100" w:type="dxa"/>
                  </w:tcMar>
                  <w:vAlign w:val="center"/>
                </w:tcPr>
                <w:p w14:paraId="5BB3317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225" w:type="dxa"/>
                  <w:shd w:val="clear" w:color="auto" w:fill="auto"/>
                  <w:tcMar>
                    <w:top w:w="100" w:type="dxa"/>
                    <w:left w:w="100" w:type="dxa"/>
                    <w:bottom w:w="100" w:type="dxa"/>
                    <w:right w:w="100" w:type="dxa"/>
                  </w:tcMar>
                  <w:vAlign w:val="center"/>
                </w:tcPr>
                <w:p w14:paraId="047EA0E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r>
            <w:tr w:rsidR="002A5B12" w14:paraId="1C411D60" w14:textId="77777777" w:rsidTr="001225DD">
              <w:trPr>
                <w:trHeight w:val="575"/>
              </w:trPr>
              <w:tc>
                <w:tcPr>
                  <w:tcW w:w="837" w:type="dxa"/>
                  <w:vMerge w:val="restart"/>
                  <w:shd w:val="clear" w:color="auto" w:fill="auto"/>
                  <w:tcMar>
                    <w:top w:w="100" w:type="dxa"/>
                    <w:left w:w="100" w:type="dxa"/>
                    <w:bottom w:w="100" w:type="dxa"/>
                    <w:right w:w="100" w:type="dxa"/>
                  </w:tcMar>
                  <w:vAlign w:val="bottom"/>
                </w:tcPr>
                <w:p w14:paraId="574ABDB8"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971" w:type="dxa"/>
                  <w:vMerge w:val="restart"/>
                  <w:shd w:val="clear" w:color="auto" w:fill="auto"/>
                  <w:tcMar>
                    <w:top w:w="100" w:type="dxa"/>
                    <w:left w:w="100" w:type="dxa"/>
                    <w:bottom w:w="100" w:type="dxa"/>
                    <w:right w:w="100" w:type="dxa"/>
                  </w:tcMar>
                  <w:vAlign w:val="bottom"/>
                </w:tcPr>
                <w:p w14:paraId="695D105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Încălcări ale normelor</w:t>
                  </w:r>
                </w:p>
                <w:p w14:paraId="3249956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materiale</w:t>
                  </w:r>
                </w:p>
                <w:p w14:paraId="4BF6680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(lei)</w:t>
                  </w:r>
                </w:p>
              </w:tc>
              <w:tc>
                <w:tcPr>
                  <w:tcW w:w="292" w:type="dxa"/>
                  <w:shd w:val="clear" w:color="auto" w:fill="auto"/>
                  <w:tcMar>
                    <w:top w:w="100" w:type="dxa"/>
                    <w:left w:w="100" w:type="dxa"/>
                    <w:bottom w:w="100" w:type="dxa"/>
                    <w:right w:w="100" w:type="dxa"/>
                  </w:tcMar>
                  <w:vAlign w:val="bottom"/>
                </w:tcPr>
                <w:p w14:paraId="4702219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w:t>
                  </w:r>
                </w:p>
              </w:tc>
              <w:tc>
                <w:tcPr>
                  <w:tcW w:w="1522" w:type="dxa"/>
                  <w:shd w:val="clear" w:color="auto" w:fill="auto"/>
                  <w:tcMar>
                    <w:top w:w="100" w:type="dxa"/>
                    <w:left w:w="100" w:type="dxa"/>
                    <w:bottom w:w="100" w:type="dxa"/>
                    <w:right w:w="100" w:type="dxa"/>
                  </w:tcMar>
                  <w:vAlign w:val="center"/>
                </w:tcPr>
                <w:p w14:paraId="37D0B05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4.480.833,18</w:t>
                  </w:r>
                </w:p>
              </w:tc>
              <w:tc>
                <w:tcPr>
                  <w:tcW w:w="1530" w:type="dxa"/>
                  <w:shd w:val="clear" w:color="auto" w:fill="auto"/>
                  <w:tcMar>
                    <w:top w:w="100" w:type="dxa"/>
                    <w:left w:w="100" w:type="dxa"/>
                    <w:bottom w:w="100" w:type="dxa"/>
                    <w:right w:w="100" w:type="dxa"/>
                  </w:tcMar>
                  <w:vAlign w:val="center"/>
                </w:tcPr>
                <w:p w14:paraId="5C0AFDA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7.190.453,43</w:t>
                  </w:r>
                </w:p>
              </w:tc>
              <w:tc>
                <w:tcPr>
                  <w:tcW w:w="1350" w:type="dxa"/>
                  <w:shd w:val="clear" w:color="auto" w:fill="auto"/>
                  <w:tcMar>
                    <w:top w:w="100" w:type="dxa"/>
                    <w:left w:w="100" w:type="dxa"/>
                    <w:bottom w:w="100" w:type="dxa"/>
                    <w:right w:w="100" w:type="dxa"/>
                  </w:tcMar>
                  <w:vAlign w:val="center"/>
                </w:tcPr>
                <w:p w14:paraId="2CB20B5F" w14:textId="79012369"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31.635.271</w:t>
                  </w:r>
                </w:p>
              </w:tc>
              <w:tc>
                <w:tcPr>
                  <w:tcW w:w="1218" w:type="dxa"/>
                  <w:shd w:val="clear" w:color="auto" w:fill="auto"/>
                  <w:tcMar>
                    <w:top w:w="100" w:type="dxa"/>
                    <w:left w:w="100" w:type="dxa"/>
                    <w:bottom w:w="100" w:type="dxa"/>
                    <w:right w:w="100" w:type="dxa"/>
                  </w:tcMar>
                  <w:vAlign w:val="center"/>
                </w:tcPr>
                <w:p w14:paraId="456B0039"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32.580.712</w:t>
                  </w:r>
                </w:p>
              </w:tc>
              <w:tc>
                <w:tcPr>
                  <w:tcW w:w="1225" w:type="dxa"/>
                  <w:shd w:val="clear" w:color="auto" w:fill="auto"/>
                  <w:tcMar>
                    <w:top w:w="100" w:type="dxa"/>
                    <w:left w:w="100" w:type="dxa"/>
                    <w:bottom w:w="100" w:type="dxa"/>
                    <w:right w:w="100" w:type="dxa"/>
                  </w:tcMar>
                  <w:vAlign w:val="center"/>
                </w:tcPr>
                <w:p w14:paraId="34F453D7" w14:textId="621B072A"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31.214.336</w:t>
                  </w:r>
                </w:p>
              </w:tc>
            </w:tr>
            <w:tr w:rsidR="002A5B12" w14:paraId="20002DA7" w14:textId="77777777" w:rsidTr="001225DD">
              <w:trPr>
                <w:trHeight w:val="575"/>
              </w:trPr>
              <w:tc>
                <w:tcPr>
                  <w:tcW w:w="837" w:type="dxa"/>
                  <w:vMerge/>
                  <w:shd w:val="clear" w:color="auto" w:fill="auto"/>
                  <w:tcMar>
                    <w:top w:w="100" w:type="dxa"/>
                    <w:left w:w="100" w:type="dxa"/>
                    <w:bottom w:w="100" w:type="dxa"/>
                    <w:right w:w="100" w:type="dxa"/>
                  </w:tcMar>
                </w:tcPr>
                <w:p w14:paraId="09109D2E"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5D6AB51E"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61B31DB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w:t>
                  </w:r>
                </w:p>
              </w:tc>
              <w:tc>
                <w:tcPr>
                  <w:tcW w:w="1522" w:type="dxa"/>
                  <w:shd w:val="clear" w:color="auto" w:fill="auto"/>
                  <w:tcMar>
                    <w:top w:w="100" w:type="dxa"/>
                    <w:left w:w="100" w:type="dxa"/>
                    <w:bottom w:w="100" w:type="dxa"/>
                    <w:right w:w="100" w:type="dxa"/>
                  </w:tcMar>
                  <w:vAlign w:val="center"/>
                </w:tcPr>
                <w:p w14:paraId="2F87927B"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790.178,88</w:t>
                  </w:r>
                </w:p>
              </w:tc>
              <w:tc>
                <w:tcPr>
                  <w:tcW w:w="1530" w:type="dxa"/>
                  <w:shd w:val="clear" w:color="auto" w:fill="auto"/>
                  <w:tcMar>
                    <w:top w:w="100" w:type="dxa"/>
                    <w:left w:w="100" w:type="dxa"/>
                    <w:bottom w:w="100" w:type="dxa"/>
                    <w:right w:w="100" w:type="dxa"/>
                  </w:tcMar>
                  <w:vAlign w:val="center"/>
                </w:tcPr>
                <w:p w14:paraId="7F0B377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353.145,62</w:t>
                  </w:r>
                </w:p>
              </w:tc>
              <w:tc>
                <w:tcPr>
                  <w:tcW w:w="1350" w:type="dxa"/>
                  <w:shd w:val="clear" w:color="auto" w:fill="auto"/>
                  <w:tcMar>
                    <w:top w:w="100" w:type="dxa"/>
                    <w:left w:w="100" w:type="dxa"/>
                    <w:bottom w:w="100" w:type="dxa"/>
                    <w:right w:w="100" w:type="dxa"/>
                  </w:tcMar>
                  <w:vAlign w:val="center"/>
                </w:tcPr>
                <w:p w14:paraId="6C5BFF09" w14:textId="704B70C1"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2.053.70</w:t>
                  </w:r>
                  <w:r w:rsidR="001225DD">
                    <w:rPr>
                      <w:rFonts w:ascii="Times New Roman" w:eastAsia="Times New Roman" w:hAnsi="Times New Roman" w:cs="Times New Roman"/>
                    </w:rPr>
                    <w:t>2</w:t>
                  </w:r>
                </w:p>
              </w:tc>
              <w:tc>
                <w:tcPr>
                  <w:tcW w:w="1218" w:type="dxa"/>
                  <w:shd w:val="clear" w:color="auto" w:fill="auto"/>
                  <w:tcMar>
                    <w:top w:w="100" w:type="dxa"/>
                    <w:left w:w="100" w:type="dxa"/>
                    <w:bottom w:w="100" w:type="dxa"/>
                    <w:right w:w="100" w:type="dxa"/>
                  </w:tcMar>
                  <w:vAlign w:val="center"/>
                </w:tcPr>
                <w:p w14:paraId="2053F3A2"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28.225.971</w:t>
                  </w:r>
                </w:p>
              </w:tc>
              <w:tc>
                <w:tcPr>
                  <w:tcW w:w="1225" w:type="dxa"/>
                  <w:shd w:val="clear" w:color="auto" w:fill="auto"/>
                  <w:tcMar>
                    <w:top w:w="100" w:type="dxa"/>
                    <w:left w:w="100" w:type="dxa"/>
                    <w:bottom w:w="100" w:type="dxa"/>
                    <w:right w:w="100" w:type="dxa"/>
                  </w:tcMar>
                  <w:vAlign w:val="center"/>
                </w:tcPr>
                <w:p w14:paraId="4FB64EF7" w14:textId="0EA535B8"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17.480.02</w:t>
                  </w:r>
                  <w:r w:rsidR="001225DD">
                    <w:rPr>
                      <w:rFonts w:ascii="Times New Roman" w:eastAsia="Times New Roman" w:hAnsi="Times New Roman" w:cs="Times New Roman"/>
                    </w:rPr>
                    <w:t>8</w:t>
                  </w:r>
                </w:p>
              </w:tc>
            </w:tr>
            <w:tr w:rsidR="002A5B12" w14:paraId="1F54ED31" w14:textId="77777777" w:rsidTr="001225DD">
              <w:trPr>
                <w:trHeight w:val="575"/>
              </w:trPr>
              <w:tc>
                <w:tcPr>
                  <w:tcW w:w="837" w:type="dxa"/>
                  <w:vMerge/>
                  <w:shd w:val="clear" w:color="auto" w:fill="auto"/>
                  <w:tcMar>
                    <w:top w:w="100" w:type="dxa"/>
                    <w:left w:w="100" w:type="dxa"/>
                    <w:bottom w:w="100" w:type="dxa"/>
                    <w:right w:w="100" w:type="dxa"/>
                  </w:tcMar>
                </w:tcPr>
                <w:p w14:paraId="41E423EE"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68432724"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73418D6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3</w:t>
                  </w:r>
                </w:p>
              </w:tc>
              <w:tc>
                <w:tcPr>
                  <w:tcW w:w="1522" w:type="dxa"/>
                  <w:shd w:val="clear" w:color="auto" w:fill="auto"/>
                  <w:tcMar>
                    <w:top w:w="100" w:type="dxa"/>
                    <w:left w:w="100" w:type="dxa"/>
                    <w:bottom w:w="100" w:type="dxa"/>
                    <w:right w:w="100" w:type="dxa"/>
                  </w:tcMar>
                  <w:vAlign w:val="center"/>
                </w:tcPr>
                <w:p w14:paraId="34DBB0B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545.082,72</w:t>
                  </w:r>
                </w:p>
              </w:tc>
              <w:tc>
                <w:tcPr>
                  <w:tcW w:w="1530" w:type="dxa"/>
                  <w:shd w:val="clear" w:color="auto" w:fill="auto"/>
                  <w:tcMar>
                    <w:top w:w="100" w:type="dxa"/>
                    <w:left w:w="100" w:type="dxa"/>
                    <w:bottom w:w="100" w:type="dxa"/>
                    <w:right w:w="100" w:type="dxa"/>
                  </w:tcMar>
                  <w:vAlign w:val="center"/>
                </w:tcPr>
                <w:p w14:paraId="6B18458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221.058,08</w:t>
                  </w:r>
                </w:p>
              </w:tc>
              <w:tc>
                <w:tcPr>
                  <w:tcW w:w="1350" w:type="dxa"/>
                  <w:shd w:val="clear" w:color="auto" w:fill="auto"/>
                  <w:tcMar>
                    <w:top w:w="100" w:type="dxa"/>
                    <w:left w:w="100" w:type="dxa"/>
                    <w:bottom w:w="100" w:type="dxa"/>
                    <w:right w:w="100" w:type="dxa"/>
                  </w:tcMar>
                  <w:vAlign w:val="center"/>
                </w:tcPr>
                <w:p w14:paraId="1D31654E" w14:textId="5FB349EF"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1.852.89</w:t>
                  </w:r>
                  <w:r w:rsidR="001225DD">
                    <w:rPr>
                      <w:rFonts w:ascii="Times New Roman" w:eastAsia="Times New Roman" w:hAnsi="Times New Roman" w:cs="Times New Roman"/>
                    </w:rPr>
                    <w:t>7</w:t>
                  </w:r>
                </w:p>
              </w:tc>
              <w:tc>
                <w:tcPr>
                  <w:tcW w:w="1218" w:type="dxa"/>
                  <w:shd w:val="clear" w:color="auto" w:fill="auto"/>
                  <w:tcMar>
                    <w:top w:w="100" w:type="dxa"/>
                    <w:left w:w="100" w:type="dxa"/>
                    <w:bottom w:w="100" w:type="dxa"/>
                    <w:right w:w="100" w:type="dxa"/>
                  </w:tcMar>
                  <w:vAlign w:val="center"/>
                </w:tcPr>
                <w:p w14:paraId="0B08199C"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22.695.654</w:t>
                  </w:r>
                </w:p>
              </w:tc>
              <w:tc>
                <w:tcPr>
                  <w:tcW w:w="1225" w:type="dxa"/>
                  <w:shd w:val="clear" w:color="auto" w:fill="auto"/>
                  <w:tcMar>
                    <w:top w:w="100" w:type="dxa"/>
                    <w:left w:w="100" w:type="dxa"/>
                    <w:bottom w:w="100" w:type="dxa"/>
                    <w:right w:w="100" w:type="dxa"/>
                  </w:tcMar>
                  <w:vAlign w:val="center"/>
                </w:tcPr>
                <w:p w14:paraId="50CB38F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489.833</w:t>
                  </w:r>
                </w:p>
              </w:tc>
            </w:tr>
            <w:tr w:rsidR="002A5B12" w14:paraId="3FE899B8" w14:textId="77777777" w:rsidTr="001225DD">
              <w:trPr>
                <w:trHeight w:val="590"/>
              </w:trPr>
              <w:tc>
                <w:tcPr>
                  <w:tcW w:w="837" w:type="dxa"/>
                  <w:vMerge/>
                  <w:shd w:val="clear" w:color="auto" w:fill="auto"/>
                  <w:tcMar>
                    <w:top w:w="100" w:type="dxa"/>
                    <w:left w:w="100" w:type="dxa"/>
                    <w:bottom w:w="100" w:type="dxa"/>
                    <w:right w:w="100" w:type="dxa"/>
                  </w:tcMar>
                </w:tcPr>
                <w:p w14:paraId="181C30A4"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0C82D421"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1210B39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4</w:t>
                  </w:r>
                </w:p>
              </w:tc>
              <w:tc>
                <w:tcPr>
                  <w:tcW w:w="1522" w:type="dxa"/>
                  <w:shd w:val="clear" w:color="auto" w:fill="auto"/>
                  <w:tcMar>
                    <w:top w:w="100" w:type="dxa"/>
                    <w:left w:w="100" w:type="dxa"/>
                    <w:bottom w:w="100" w:type="dxa"/>
                    <w:right w:w="100" w:type="dxa"/>
                  </w:tcMar>
                  <w:vAlign w:val="center"/>
                </w:tcPr>
                <w:p w14:paraId="25C61A72"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516.352,24</w:t>
                  </w:r>
                </w:p>
              </w:tc>
              <w:tc>
                <w:tcPr>
                  <w:tcW w:w="1530" w:type="dxa"/>
                  <w:shd w:val="clear" w:color="auto" w:fill="auto"/>
                  <w:tcMar>
                    <w:top w:w="100" w:type="dxa"/>
                    <w:left w:w="100" w:type="dxa"/>
                    <w:bottom w:w="100" w:type="dxa"/>
                    <w:right w:w="100" w:type="dxa"/>
                  </w:tcMar>
                  <w:vAlign w:val="center"/>
                </w:tcPr>
                <w:p w14:paraId="3BF14D8C"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203.921,95</w:t>
                  </w:r>
                </w:p>
              </w:tc>
              <w:tc>
                <w:tcPr>
                  <w:tcW w:w="1350" w:type="dxa"/>
                  <w:shd w:val="clear" w:color="auto" w:fill="auto"/>
                  <w:tcMar>
                    <w:top w:w="100" w:type="dxa"/>
                    <w:left w:w="100" w:type="dxa"/>
                    <w:bottom w:w="100" w:type="dxa"/>
                    <w:right w:w="100" w:type="dxa"/>
                  </w:tcMar>
                  <w:vAlign w:val="center"/>
                </w:tcPr>
                <w:p w14:paraId="3338CE4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549.609,14</w:t>
                  </w:r>
                </w:p>
              </w:tc>
              <w:tc>
                <w:tcPr>
                  <w:tcW w:w="1218" w:type="dxa"/>
                  <w:shd w:val="clear" w:color="auto" w:fill="auto"/>
                  <w:tcMar>
                    <w:top w:w="100" w:type="dxa"/>
                    <w:left w:w="100" w:type="dxa"/>
                    <w:bottom w:w="100" w:type="dxa"/>
                    <w:right w:w="100" w:type="dxa"/>
                  </w:tcMar>
                  <w:vAlign w:val="center"/>
                </w:tcPr>
                <w:p w14:paraId="254F1CAB"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13.563.921</w:t>
                  </w:r>
                </w:p>
              </w:tc>
              <w:tc>
                <w:tcPr>
                  <w:tcW w:w="1225" w:type="dxa"/>
                  <w:shd w:val="clear" w:color="auto" w:fill="auto"/>
                  <w:tcMar>
                    <w:top w:w="100" w:type="dxa"/>
                    <w:left w:w="100" w:type="dxa"/>
                    <w:bottom w:w="100" w:type="dxa"/>
                    <w:right w:w="100" w:type="dxa"/>
                  </w:tcMar>
                  <w:vAlign w:val="center"/>
                </w:tcPr>
                <w:p w14:paraId="670B848A"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338.319</w:t>
                  </w:r>
                </w:p>
              </w:tc>
            </w:tr>
            <w:tr w:rsidR="002A5B12" w14:paraId="4ADA3534" w14:textId="77777777" w:rsidTr="001225DD">
              <w:trPr>
                <w:trHeight w:val="590"/>
              </w:trPr>
              <w:tc>
                <w:tcPr>
                  <w:tcW w:w="837" w:type="dxa"/>
                  <w:vMerge/>
                  <w:shd w:val="clear" w:color="auto" w:fill="auto"/>
                  <w:tcMar>
                    <w:top w:w="100" w:type="dxa"/>
                    <w:left w:w="100" w:type="dxa"/>
                    <w:bottom w:w="100" w:type="dxa"/>
                    <w:right w:w="100" w:type="dxa"/>
                  </w:tcMar>
                </w:tcPr>
                <w:p w14:paraId="595DFDC9" w14:textId="77777777" w:rsidR="002A5B12" w:rsidRDefault="002A5B12" w:rsidP="00E07EA5">
                  <w:pPr>
                    <w:spacing w:before="120" w:after="120" w:line="240" w:lineRule="auto"/>
                    <w:rPr>
                      <w:rFonts w:ascii="Times New Roman" w:eastAsia="Times New Roman" w:hAnsi="Times New Roman" w:cs="Times New Roman"/>
                    </w:rPr>
                  </w:pPr>
                </w:p>
              </w:tc>
              <w:tc>
                <w:tcPr>
                  <w:tcW w:w="1971" w:type="dxa"/>
                  <w:vMerge/>
                  <w:shd w:val="clear" w:color="auto" w:fill="auto"/>
                  <w:tcMar>
                    <w:top w:w="100" w:type="dxa"/>
                    <w:left w:w="100" w:type="dxa"/>
                    <w:bottom w:w="100" w:type="dxa"/>
                    <w:right w:w="100" w:type="dxa"/>
                  </w:tcMar>
                </w:tcPr>
                <w:p w14:paraId="05DDEEFA" w14:textId="77777777" w:rsidR="002A5B12" w:rsidRDefault="002A5B12" w:rsidP="00E07EA5">
                  <w:pPr>
                    <w:spacing w:before="120" w:after="120" w:line="240" w:lineRule="auto"/>
                    <w:rPr>
                      <w:rFonts w:ascii="Times New Roman" w:eastAsia="Times New Roman" w:hAnsi="Times New Roman" w:cs="Times New Roman"/>
                    </w:rPr>
                  </w:pPr>
                </w:p>
              </w:tc>
              <w:tc>
                <w:tcPr>
                  <w:tcW w:w="292" w:type="dxa"/>
                  <w:shd w:val="clear" w:color="auto" w:fill="auto"/>
                  <w:tcMar>
                    <w:top w:w="100" w:type="dxa"/>
                    <w:left w:w="100" w:type="dxa"/>
                    <w:bottom w:w="100" w:type="dxa"/>
                    <w:right w:w="100" w:type="dxa"/>
                  </w:tcMar>
                  <w:vAlign w:val="bottom"/>
                </w:tcPr>
                <w:p w14:paraId="2E258FF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5</w:t>
                  </w:r>
                </w:p>
              </w:tc>
              <w:tc>
                <w:tcPr>
                  <w:tcW w:w="1522" w:type="dxa"/>
                  <w:shd w:val="clear" w:color="auto" w:fill="auto"/>
                  <w:tcMar>
                    <w:top w:w="100" w:type="dxa"/>
                    <w:left w:w="100" w:type="dxa"/>
                    <w:bottom w:w="100" w:type="dxa"/>
                    <w:right w:w="100" w:type="dxa"/>
                  </w:tcMar>
                  <w:vAlign w:val="center"/>
                </w:tcPr>
                <w:p w14:paraId="7210B179"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501.157,82</w:t>
                  </w:r>
                </w:p>
              </w:tc>
              <w:tc>
                <w:tcPr>
                  <w:tcW w:w="1530" w:type="dxa"/>
                  <w:shd w:val="clear" w:color="auto" w:fill="auto"/>
                  <w:tcMar>
                    <w:top w:w="100" w:type="dxa"/>
                    <w:left w:w="100" w:type="dxa"/>
                    <w:bottom w:w="100" w:type="dxa"/>
                    <w:right w:w="100" w:type="dxa"/>
                  </w:tcMar>
                  <w:vAlign w:val="center"/>
                </w:tcPr>
                <w:p w14:paraId="0575586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152.100,24</w:t>
                  </w:r>
                </w:p>
              </w:tc>
              <w:tc>
                <w:tcPr>
                  <w:tcW w:w="1350" w:type="dxa"/>
                  <w:shd w:val="clear" w:color="auto" w:fill="auto"/>
                  <w:tcMar>
                    <w:top w:w="100" w:type="dxa"/>
                    <w:left w:w="100" w:type="dxa"/>
                    <w:bottom w:w="100" w:type="dxa"/>
                    <w:right w:w="100" w:type="dxa"/>
                  </w:tcMar>
                  <w:vAlign w:val="center"/>
                </w:tcPr>
                <w:p w14:paraId="01CC70F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205.033,45</w:t>
                  </w:r>
                </w:p>
              </w:tc>
              <w:tc>
                <w:tcPr>
                  <w:tcW w:w="1218" w:type="dxa"/>
                  <w:shd w:val="clear" w:color="auto" w:fill="auto"/>
                  <w:tcMar>
                    <w:top w:w="100" w:type="dxa"/>
                    <w:left w:w="100" w:type="dxa"/>
                    <w:bottom w:w="100" w:type="dxa"/>
                    <w:right w:w="100" w:type="dxa"/>
                  </w:tcMar>
                  <w:vAlign w:val="center"/>
                </w:tcPr>
                <w:p w14:paraId="1B163A2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7.531.622</w:t>
                  </w:r>
                </w:p>
              </w:tc>
              <w:tc>
                <w:tcPr>
                  <w:tcW w:w="1225" w:type="dxa"/>
                  <w:shd w:val="clear" w:color="auto" w:fill="auto"/>
                  <w:tcMar>
                    <w:top w:w="100" w:type="dxa"/>
                    <w:left w:w="100" w:type="dxa"/>
                    <w:bottom w:w="100" w:type="dxa"/>
                    <w:right w:w="100" w:type="dxa"/>
                  </w:tcMar>
                  <w:vAlign w:val="center"/>
                </w:tcPr>
                <w:p w14:paraId="3EC29BA7"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169.527</w:t>
                  </w:r>
                </w:p>
              </w:tc>
            </w:tr>
          </w:tbl>
          <w:p w14:paraId="3037D612" w14:textId="77777777" w:rsidR="002A5B12" w:rsidRDefault="007C6886" w:rsidP="0033589C">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Cele mai mici cinci sancțiuni aplicate în ultimii cinci ani sunt reflectate în tabelul de mai jos:</w:t>
            </w:r>
          </w:p>
          <w:p w14:paraId="691C43A2"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Tabel. Informații privind</w:t>
            </w:r>
            <w:r>
              <w:rPr>
                <w:rFonts w:ascii="Times New Roman" w:eastAsia="Times New Roman" w:hAnsi="Times New Roman" w:cs="Times New Roman"/>
              </w:rPr>
              <w:t xml:space="preserve"> </w:t>
            </w:r>
            <w:r>
              <w:rPr>
                <w:rFonts w:ascii="Times New Roman" w:eastAsia="Times New Roman" w:hAnsi="Times New Roman" w:cs="Times New Roman"/>
                <w:b/>
              </w:rPr>
              <w:t xml:space="preserve">top cinci cele mai </w:t>
            </w:r>
            <w:r>
              <w:rPr>
                <w:rFonts w:ascii="Times New Roman" w:eastAsia="Times New Roman" w:hAnsi="Times New Roman" w:cs="Times New Roman"/>
                <w:b/>
              </w:rPr>
              <w:t>mici amenzi aplicate de Consiliul Concurenței în anii 2018-2022</w:t>
            </w:r>
          </w:p>
          <w:tbl>
            <w:tblPr>
              <w:tblStyle w:val="a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4"/>
              <w:gridCol w:w="2007"/>
              <w:gridCol w:w="379"/>
              <w:gridCol w:w="1625"/>
              <w:gridCol w:w="1490"/>
              <w:gridCol w:w="1368"/>
              <w:gridCol w:w="1111"/>
              <w:gridCol w:w="1111"/>
            </w:tblGrid>
            <w:tr w:rsidR="002A5B12" w14:paraId="3A0DDC88" w14:textId="77777777" w:rsidTr="003A7A88">
              <w:trPr>
                <w:trHeight w:val="590"/>
              </w:trPr>
              <w:tc>
                <w:tcPr>
                  <w:tcW w:w="853" w:type="dxa"/>
                  <w:shd w:val="clear" w:color="auto" w:fill="auto"/>
                  <w:tcMar>
                    <w:top w:w="100" w:type="dxa"/>
                    <w:left w:w="100" w:type="dxa"/>
                    <w:bottom w:w="100" w:type="dxa"/>
                    <w:right w:w="100" w:type="dxa"/>
                  </w:tcMar>
                  <w:vAlign w:val="bottom"/>
                </w:tcPr>
                <w:p w14:paraId="7C5B888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Nr.</w:t>
                  </w:r>
                </w:p>
              </w:tc>
              <w:tc>
                <w:tcPr>
                  <w:tcW w:w="2384" w:type="dxa"/>
                  <w:gridSpan w:val="2"/>
                  <w:shd w:val="clear" w:color="auto" w:fill="auto"/>
                  <w:tcMar>
                    <w:top w:w="100" w:type="dxa"/>
                    <w:left w:w="100" w:type="dxa"/>
                    <w:bottom w:w="100" w:type="dxa"/>
                    <w:right w:w="100" w:type="dxa"/>
                  </w:tcMar>
                  <w:vAlign w:val="bottom"/>
                </w:tcPr>
                <w:p w14:paraId="5E9255D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Anii de referință</w:t>
                  </w:r>
                </w:p>
              </w:tc>
              <w:tc>
                <w:tcPr>
                  <w:tcW w:w="1625" w:type="dxa"/>
                  <w:shd w:val="clear" w:color="auto" w:fill="auto"/>
                  <w:tcMar>
                    <w:top w:w="100" w:type="dxa"/>
                    <w:left w:w="100" w:type="dxa"/>
                    <w:bottom w:w="100" w:type="dxa"/>
                    <w:right w:w="100" w:type="dxa"/>
                  </w:tcMar>
                </w:tcPr>
                <w:p w14:paraId="2EF54552"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2018</w:t>
                  </w:r>
                </w:p>
              </w:tc>
              <w:tc>
                <w:tcPr>
                  <w:tcW w:w="1490" w:type="dxa"/>
                  <w:shd w:val="clear" w:color="auto" w:fill="auto"/>
                  <w:tcMar>
                    <w:top w:w="100" w:type="dxa"/>
                    <w:left w:w="100" w:type="dxa"/>
                    <w:bottom w:w="100" w:type="dxa"/>
                    <w:right w:w="100" w:type="dxa"/>
                  </w:tcMar>
                </w:tcPr>
                <w:p w14:paraId="1271378E"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2019</w:t>
                  </w:r>
                </w:p>
              </w:tc>
              <w:tc>
                <w:tcPr>
                  <w:tcW w:w="1368" w:type="dxa"/>
                  <w:shd w:val="clear" w:color="auto" w:fill="auto"/>
                  <w:tcMar>
                    <w:top w:w="100" w:type="dxa"/>
                    <w:left w:w="100" w:type="dxa"/>
                    <w:bottom w:w="100" w:type="dxa"/>
                    <w:right w:w="100" w:type="dxa"/>
                  </w:tcMar>
                </w:tcPr>
                <w:p w14:paraId="1C6CF11E"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2020</w:t>
                  </w:r>
                </w:p>
              </w:tc>
              <w:tc>
                <w:tcPr>
                  <w:tcW w:w="1111" w:type="dxa"/>
                  <w:shd w:val="clear" w:color="auto" w:fill="auto"/>
                  <w:tcMar>
                    <w:top w:w="100" w:type="dxa"/>
                    <w:left w:w="100" w:type="dxa"/>
                    <w:bottom w:w="100" w:type="dxa"/>
                    <w:right w:w="100" w:type="dxa"/>
                  </w:tcMar>
                </w:tcPr>
                <w:p w14:paraId="1A6ADE06"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2021</w:t>
                  </w:r>
                </w:p>
              </w:tc>
              <w:tc>
                <w:tcPr>
                  <w:tcW w:w="1111" w:type="dxa"/>
                  <w:shd w:val="clear" w:color="auto" w:fill="auto"/>
                  <w:tcMar>
                    <w:top w:w="100" w:type="dxa"/>
                    <w:left w:w="100" w:type="dxa"/>
                    <w:bottom w:w="100" w:type="dxa"/>
                    <w:right w:w="100" w:type="dxa"/>
                  </w:tcMar>
                </w:tcPr>
                <w:p w14:paraId="10D442A8"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2022</w:t>
                  </w:r>
                </w:p>
              </w:tc>
            </w:tr>
            <w:tr w:rsidR="002A5B12" w14:paraId="675E8C53" w14:textId="77777777" w:rsidTr="003A7A88">
              <w:trPr>
                <w:trHeight w:val="1355"/>
              </w:trPr>
              <w:tc>
                <w:tcPr>
                  <w:tcW w:w="853" w:type="dxa"/>
                  <w:vMerge w:val="restart"/>
                  <w:shd w:val="clear" w:color="auto" w:fill="auto"/>
                  <w:tcMar>
                    <w:top w:w="100" w:type="dxa"/>
                    <w:left w:w="100" w:type="dxa"/>
                    <w:bottom w:w="100" w:type="dxa"/>
                    <w:right w:w="100" w:type="dxa"/>
                  </w:tcMar>
                  <w:vAlign w:val="bottom"/>
                </w:tcPr>
                <w:p w14:paraId="40D21B68"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005" w:type="dxa"/>
                  <w:vMerge w:val="restart"/>
                  <w:shd w:val="clear" w:color="auto" w:fill="auto"/>
                  <w:tcMar>
                    <w:top w:w="100" w:type="dxa"/>
                    <w:left w:w="100" w:type="dxa"/>
                    <w:bottom w:w="100" w:type="dxa"/>
                    <w:right w:w="100" w:type="dxa"/>
                  </w:tcMar>
                  <w:vAlign w:val="bottom"/>
                </w:tcPr>
                <w:p w14:paraId="577241F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Încălcări de procedură</w:t>
                  </w:r>
                </w:p>
                <w:p w14:paraId="555A859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(lei)</w:t>
                  </w:r>
                </w:p>
              </w:tc>
              <w:tc>
                <w:tcPr>
                  <w:tcW w:w="379" w:type="dxa"/>
                  <w:shd w:val="clear" w:color="auto" w:fill="auto"/>
                  <w:tcMar>
                    <w:top w:w="100" w:type="dxa"/>
                    <w:left w:w="100" w:type="dxa"/>
                    <w:bottom w:w="100" w:type="dxa"/>
                    <w:right w:w="100" w:type="dxa"/>
                  </w:tcMar>
                  <w:vAlign w:val="bottom"/>
                </w:tcPr>
                <w:p w14:paraId="0CC4B7C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w:t>
                  </w:r>
                </w:p>
                <w:p w14:paraId="71CBC5D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171431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625" w:type="dxa"/>
                  <w:shd w:val="clear" w:color="auto" w:fill="auto"/>
                  <w:tcMar>
                    <w:top w:w="100" w:type="dxa"/>
                    <w:left w:w="100" w:type="dxa"/>
                    <w:bottom w:w="100" w:type="dxa"/>
                    <w:right w:w="100" w:type="dxa"/>
                  </w:tcMar>
                  <w:vAlign w:val="center"/>
                </w:tcPr>
                <w:p w14:paraId="612874F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20690.23</w:t>
                  </w:r>
                </w:p>
              </w:tc>
              <w:tc>
                <w:tcPr>
                  <w:tcW w:w="1490" w:type="dxa"/>
                  <w:shd w:val="clear" w:color="auto" w:fill="auto"/>
                  <w:tcMar>
                    <w:top w:w="100" w:type="dxa"/>
                    <w:left w:w="100" w:type="dxa"/>
                    <w:bottom w:w="100" w:type="dxa"/>
                    <w:right w:w="100" w:type="dxa"/>
                  </w:tcMar>
                  <w:vAlign w:val="center"/>
                </w:tcPr>
                <w:p w14:paraId="681D1CB9"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53224.02</w:t>
                  </w:r>
                </w:p>
              </w:tc>
              <w:tc>
                <w:tcPr>
                  <w:tcW w:w="1368" w:type="dxa"/>
                  <w:shd w:val="clear" w:color="auto" w:fill="auto"/>
                  <w:tcMar>
                    <w:top w:w="100" w:type="dxa"/>
                    <w:left w:w="100" w:type="dxa"/>
                    <w:bottom w:w="100" w:type="dxa"/>
                    <w:right w:w="100" w:type="dxa"/>
                  </w:tcMar>
                  <w:vAlign w:val="center"/>
                </w:tcPr>
                <w:p w14:paraId="3FE3C6F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111" w:type="dxa"/>
                  <w:shd w:val="clear" w:color="auto" w:fill="auto"/>
                  <w:tcMar>
                    <w:top w:w="100" w:type="dxa"/>
                    <w:left w:w="100" w:type="dxa"/>
                    <w:bottom w:w="100" w:type="dxa"/>
                    <w:right w:w="100" w:type="dxa"/>
                  </w:tcMar>
                  <w:vAlign w:val="center"/>
                </w:tcPr>
                <w:p w14:paraId="2055B35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0</w:t>
                  </w:r>
                </w:p>
              </w:tc>
              <w:tc>
                <w:tcPr>
                  <w:tcW w:w="1111" w:type="dxa"/>
                  <w:shd w:val="clear" w:color="auto" w:fill="auto"/>
                  <w:tcMar>
                    <w:top w:w="100" w:type="dxa"/>
                    <w:left w:w="100" w:type="dxa"/>
                    <w:bottom w:w="100" w:type="dxa"/>
                    <w:right w:w="100" w:type="dxa"/>
                  </w:tcMar>
                  <w:vAlign w:val="center"/>
                </w:tcPr>
                <w:p w14:paraId="12CD41B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71932</w:t>
                  </w:r>
                </w:p>
              </w:tc>
            </w:tr>
            <w:tr w:rsidR="002A5B12" w14:paraId="629FAFE9" w14:textId="77777777" w:rsidTr="003A7A88">
              <w:trPr>
                <w:trHeight w:val="575"/>
              </w:trPr>
              <w:tc>
                <w:tcPr>
                  <w:tcW w:w="853" w:type="dxa"/>
                  <w:vMerge/>
                  <w:shd w:val="clear" w:color="auto" w:fill="auto"/>
                  <w:tcMar>
                    <w:top w:w="100" w:type="dxa"/>
                    <w:left w:w="100" w:type="dxa"/>
                    <w:bottom w:w="100" w:type="dxa"/>
                    <w:right w:w="100" w:type="dxa"/>
                  </w:tcMar>
                </w:tcPr>
                <w:p w14:paraId="313A489C"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24005733"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3C1E00C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w:t>
                  </w:r>
                </w:p>
              </w:tc>
              <w:tc>
                <w:tcPr>
                  <w:tcW w:w="1625" w:type="dxa"/>
                  <w:shd w:val="clear" w:color="auto" w:fill="auto"/>
                  <w:tcMar>
                    <w:top w:w="100" w:type="dxa"/>
                    <w:left w:w="100" w:type="dxa"/>
                    <w:bottom w:w="100" w:type="dxa"/>
                    <w:right w:w="100" w:type="dxa"/>
                  </w:tcMar>
                  <w:vAlign w:val="center"/>
                </w:tcPr>
                <w:p w14:paraId="6611273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21248.21</w:t>
                  </w:r>
                </w:p>
              </w:tc>
              <w:tc>
                <w:tcPr>
                  <w:tcW w:w="1490" w:type="dxa"/>
                  <w:shd w:val="clear" w:color="auto" w:fill="auto"/>
                  <w:tcMar>
                    <w:top w:w="100" w:type="dxa"/>
                    <w:left w:w="100" w:type="dxa"/>
                    <w:bottom w:w="100" w:type="dxa"/>
                    <w:right w:w="100" w:type="dxa"/>
                  </w:tcMar>
                  <w:vAlign w:val="center"/>
                </w:tcPr>
                <w:p w14:paraId="3B1B318B"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0 </w:t>
                  </w:r>
                </w:p>
              </w:tc>
              <w:tc>
                <w:tcPr>
                  <w:tcW w:w="1368" w:type="dxa"/>
                  <w:shd w:val="clear" w:color="auto" w:fill="auto"/>
                  <w:tcMar>
                    <w:top w:w="100" w:type="dxa"/>
                    <w:left w:w="100" w:type="dxa"/>
                    <w:bottom w:w="100" w:type="dxa"/>
                    <w:right w:w="100" w:type="dxa"/>
                  </w:tcMar>
                  <w:vAlign w:val="center"/>
                </w:tcPr>
                <w:p w14:paraId="1D4867E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7DC7E56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78B8BFB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r>
            <w:tr w:rsidR="002A5B12" w14:paraId="6394FB9F" w14:textId="77777777" w:rsidTr="003A7A88">
              <w:trPr>
                <w:trHeight w:val="575"/>
              </w:trPr>
              <w:tc>
                <w:tcPr>
                  <w:tcW w:w="853" w:type="dxa"/>
                  <w:vMerge/>
                  <w:shd w:val="clear" w:color="auto" w:fill="auto"/>
                  <w:tcMar>
                    <w:top w:w="100" w:type="dxa"/>
                    <w:left w:w="100" w:type="dxa"/>
                    <w:bottom w:w="100" w:type="dxa"/>
                    <w:right w:w="100" w:type="dxa"/>
                  </w:tcMar>
                </w:tcPr>
                <w:p w14:paraId="232C7528"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7B974E81"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76AB95E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3</w:t>
                  </w:r>
                </w:p>
              </w:tc>
              <w:tc>
                <w:tcPr>
                  <w:tcW w:w="1625" w:type="dxa"/>
                  <w:shd w:val="clear" w:color="auto" w:fill="auto"/>
                  <w:tcMar>
                    <w:top w:w="100" w:type="dxa"/>
                    <w:left w:w="100" w:type="dxa"/>
                    <w:bottom w:w="100" w:type="dxa"/>
                    <w:right w:w="100" w:type="dxa"/>
                  </w:tcMar>
                  <w:vAlign w:val="center"/>
                </w:tcPr>
                <w:p w14:paraId="2FA3E16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25764.58</w:t>
                  </w:r>
                </w:p>
              </w:tc>
              <w:tc>
                <w:tcPr>
                  <w:tcW w:w="1490" w:type="dxa"/>
                  <w:shd w:val="clear" w:color="auto" w:fill="auto"/>
                  <w:tcMar>
                    <w:top w:w="100" w:type="dxa"/>
                    <w:left w:w="100" w:type="dxa"/>
                    <w:bottom w:w="100" w:type="dxa"/>
                    <w:right w:w="100" w:type="dxa"/>
                  </w:tcMar>
                  <w:vAlign w:val="center"/>
                </w:tcPr>
                <w:p w14:paraId="3D0AA500"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368" w:type="dxa"/>
                  <w:shd w:val="clear" w:color="auto" w:fill="auto"/>
                  <w:tcMar>
                    <w:top w:w="100" w:type="dxa"/>
                    <w:left w:w="100" w:type="dxa"/>
                    <w:bottom w:w="100" w:type="dxa"/>
                    <w:right w:w="100" w:type="dxa"/>
                  </w:tcMar>
                  <w:vAlign w:val="center"/>
                </w:tcPr>
                <w:p w14:paraId="5C68CB8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3B544A9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2BBF43B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r>
            <w:tr w:rsidR="002A5B12" w14:paraId="5ECAEB85" w14:textId="77777777" w:rsidTr="003A7A88">
              <w:trPr>
                <w:trHeight w:val="575"/>
              </w:trPr>
              <w:tc>
                <w:tcPr>
                  <w:tcW w:w="853" w:type="dxa"/>
                  <w:vMerge/>
                  <w:shd w:val="clear" w:color="auto" w:fill="auto"/>
                  <w:tcMar>
                    <w:top w:w="100" w:type="dxa"/>
                    <w:left w:w="100" w:type="dxa"/>
                    <w:bottom w:w="100" w:type="dxa"/>
                    <w:right w:w="100" w:type="dxa"/>
                  </w:tcMar>
                </w:tcPr>
                <w:p w14:paraId="6585FB8B"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600FFC34"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604B48A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4</w:t>
                  </w:r>
                </w:p>
              </w:tc>
              <w:tc>
                <w:tcPr>
                  <w:tcW w:w="1625" w:type="dxa"/>
                  <w:shd w:val="clear" w:color="auto" w:fill="auto"/>
                  <w:tcMar>
                    <w:top w:w="100" w:type="dxa"/>
                    <w:left w:w="100" w:type="dxa"/>
                    <w:bottom w:w="100" w:type="dxa"/>
                    <w:right w:w="100" w:type="dxa"/>
                  </w:tcMar>
                  <w:vAlign w:val="center"/>
                </w:tcPr>
                <w:p w14:paraId="432E3E5A"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54162.07</w:t>
                  </w:r>
                </w:p>
              </w:tc>
              <w:tc>
                <w:tcPr>
                  <w:tcW w:w="1490" w:type="dxa"/>
                  <w:shd w:val="clear" w:color="auto" w:fill="auto"/>
                  <w:tcMar>
                    <w:top w:w="100" w:type="dxa"/>
                    <w:left w:w="100" w:type="dxa"/>
                    <w:bottom w:w="100" w:type="dxa"/>
                    <w:right w:w="100" w:type="dxa"/>
                  </w:tcMar>
                  <w:vAlign w:val="center"/>
                </w:tcPr>
                <w:p w14:paraId="601AD1D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368" w:type="dxa"/>
                  <w:shd w:val="clear" w:color="auto" w:fill="auto"/>
                  <w:tcMar>
                    <w:top w:w="100" w:type="dxa"/>
                    <w:left w:w="100" w:type="dxa"/>
                    <w:bottom w:w="100" w:type="dxa"/>
                    <w:right w:w="100" w:type="dxa"/>
                  </w:tcMar>
                  <w:vAlign w:val="center"/>
                </w:tcPr>
                <w:p w14:paraId="7FF037EE"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3D9EB31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0C48C56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r>
            <w:tr w:rsidR="002A5B12" w14:paraId="6CE110DF" w14:textId="77777777" w:rsidTr="003A7A88">
              <w:trPr>
                <w:trHeight w:val="590"/>
              </w:trPr>
              <w:tc>
                <w:tcPr>
                  <w:tcW w:w="853" w:type="dxa"/>
                  <w:vMerge/>
                  <w:shd w:val="clear" w:color="auto" w:fill="auto"/>
                  <w:tcMar>
                    <w:top w:w="100" w:type="dxa"/>
                    <w:left w:w="100" w:type="dxa"/>
                    <w:bottom w:w="100" w:type="dxa"/>
                    <w:right w:w="100" w:type="dxa"/>
                  </w:tcMar>
                </w:tcPr>
                <w:p w14:paraId="29BA3000"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66D02BF1"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5B32A26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5</w:t>
                  </w:r>
                </w:p>
              </w:tc>
              <w:tc>
                <w:tcPr>
                  <w:tcW w:w="1625" w:type="dxa"/>
                  <w:shd w:val="clear" w:color="auto" w:fill="auto"/>
                  <w:tcMar>
                    <w:top w:w="100" w:type="dxa"/>
                    <w:left w:w="100" w:type="dxa"/>
                    <w:bottom w:w="100" w:type="dxa"/>
                    <w:right w:w="100" w:type="dxa"/>
                  </w:tcMar>
                  <w:vAlign w:val="center"/>
                </w:tcPr>
                <w:p w14:paraId="408C374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54582.15</w:t>
                  </w:r>
                </w:p>
              </w:tc>
              <w:tc>
                <w:tcPr>
                  <w:tcW w:w="1490" w:type="dxa"/>
                  <w:shd w:val="clear" w:color="auto" w:fill="auto"/>
                  <w:tcMar>
                    <w:top w:w="100" w:type="dxa"/>
                    <w:left w:w="100" w:type="dxa"/>
                    <w:bottom w:w="100" w:type="dxa"/>
                    <w:right w:w="100" w:type="dxa"/>
                  </w:tcMar>
                  <w:vAlign w:val="center"/>
                </w:tcPr>
                <w:p w14:paraId="5E32A3E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368" w:type="dxa"/>
                  <w:shd w:val="clear" w:color="auto" w:fill="auto"/>
                  <w:tcMar>
                    <w:top w:w="100" w:type="dxa"/>
                    <w:left w:w="100" w:type="dxa"/>
                    <w:bottom w:w="100" w:type="dxa"/>
                    <w:right w:w="100" w:type="dxa"/>
                  </w:tcMar>
                  <w:vAlign w:val="center"/>
                </w:tcPr>
                <w:p w14:paraId="57C66BF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7229ED60"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c>
                <w:tcPr>
                  <w:tcW w:w="1111" w:type="dxa"/>
                  <w:shd w:val="clear" w:color="auto" w:fill="auto"/>
                  <w:tcMar>
                    <w:top w:w="100" w:type="dxa"/>
                    <w:left w:w="100" w:type="dxa"/>
                    <w:bottom w:w="100" w:type="dxa"/>
                    <w:right w:w="100" w:type="dxa"/>
                  </w:tcMar>
                  <w:vAlign w:val="center"/>
                </w:tcPr>
                <w:p w14:paraId="4D84709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xml:space="preserve"> 0</w:t>
                  </w:r>
                </w:p>
              </w:tc>
            </w:tr>
            <w:tr w:rsidR="002A5B12" w14:paraId="2D7FADB7" w14:textId="77777777" w:rsidTr="003A7A88">
              <w:trPr>
                <w:trHeight w:val="1355"/>
              </w:trPr>
              <w:tc>
                <w:tcPr>
                  <w:tcW w:w="853" w:type="dxa"/>
                  <w:vMerge w:val="restart"/>
                  <w:shd w:val="clear" w:color="auto" w:fill="auto"/>
                  <w:tcMar>
                    <w:top w:w="100" w:type="dxa"/>
                    <w:left w:w="100" w:type="dxa"/>
                    <w:bottom w:w="100" w:type="dxa"/>
                    <w:right w:w="100" w:type="dxa"/>
                  </w:tcMar>
                  <w:vAlign w:val="bottom"/>
                </w:tcPr>
                <w:p w14:paraId="1151330D"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005" w:type="dxa"/>
                  <w:vMerge w:val="restart"/>
                  <w:shd w:val="clear" w:color="auto" w:fill="auto"/>
                  <w:tcMar>
                    <w:top w:w="100" w:type="dxa"/>
                    <w:left w:w="100" w:type="dxa"/>
                    <w:bottom w:w="100" w:type="dxa"/>
                    <w:right w:w="100" w:type="dxa"/>
                  </w:tcMar>
                  <w:vAlign w:val="bottom"/>
                </w:tcPr>
                <w:p w14:paraId="73202CE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Încălcări ale normelor</w:t>
                  </w:r>
                </w:p>
                <w:p w14:paraId="34674FB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Material</w:t>
                  </w:r>
                </w:p>
                <w:p w14:paraId="7A6A098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(lei)</w:t>
                  </w:r>
                </w:p>
              </w:tc>
              <w:tc>
                <w:tcPr>
                  <w:tcW w:w="379" w:type="dxa"/>
                  <w:shd w:val="clear" w:color="auto" w:fill="auto"/>
                  <w:tcMar>
                    <w:top w:w="100" w:type="dxa"/>
                    <w:left w:w="100" w:type="dxa"/>
                    <w:bottom w:w="100" w:type="dxa"/>
                    <w:right w:w="100" w:type="dxa"/>
                  </w:tcMar>
                  <w:vAlign w:val="bottom"/>
                </w:tcPr>
                <w:p w14:paraId="50FB748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w:t>
                  </w:r>
                </w:p>
                <w:p w14:paraId="59B230C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40695B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625" w:type="dxa"/>
                  <w:shd w:val="clear" w:color="auto" w:fill="auto"/>
                  <w:tcMar>
                    <w:top w:w="100" w:type="dxa"/>
                    <w:left w:w="100" w:type="dxa"/>
                    <w:bottom w:w="100" w:type="dxa"/>
                    <w:right w:w="100" w:type="dxa"/>
                  </w:tcMar>
                  <w:vAlign w:val="center"/>
                </w:tcPr>
                <w:p w14:paraId="2BAB642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372.19</w:t>
                  </w:r>
                </w:p>
              </w:tc>
              <w:tc>
                <w:tcPr>
                  <w:tcW w:w="1490" w:type="dxa"/>
                  <w:shd w:val="clear" w:color="auto" w:fill="auto"/>
                  <w:tcMar>
                    <w:top w:w="100" w:type="dxa"/>
                    <w:left w:w="100" w:type="dxa"/>
                    <w:bottom w:w="100" w:type="dxa"/>
                    <w:right w:w="100" w:type="dxa"/>
                  </w:tcMar>
                  <w:vAlign w:val="center"/>
                </w:tcPr>
                <w:p w14:paraId="692D121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13.50</w:t>
                  </w:r>
                </w:p>
              </w:tc>
              <w:tc>
                <w:tcPr>
                  <w:tcW w:w="1368" w:type="dxa"/>
                  <w:shd w:val="clear" w:color="auto" w:fill="auto"/>
                  <w:tcMar>
                    <w:top w:w="100" w:type="dxa"/>
                    <w:left w:w="100" w:type="dxa"/>
                    <w:bottom w:w="100" w:type="dxa"/>
                    <w:right w:w="100" w:type="dxa"/>
                  </w:tcMar>
                  <w:vAlign w:val="center"/>
                </w:tcPr>
                <w:p w14:paraId="011CD15C"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7321.85</w:t>
                  </w:r>
                </w:p>
              </w:tc>
              <w:tc>
                <w:tcPr>
                  <w:tcW w:w="1111" w:type="dxa"/>
                  <w:shd w:val="clear" w:color="auto" w:fill="auto"/>
                  <w:tcMar>
                    <w:top w:w="100" w:type="dxa"/>
                    <w:left w:w="100" w:type="dxa"/>
                    <w:bottom w:w="100" w:type="dxa"/>
                    <w:right w:w="100" w:type="dxa"/>
                  </w:tcMar>
                  <w:vAlign w:val="center"/>
                </w:tcPr>
                <w:p w14:paraId="49985C5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72</w:t>
                  </w:r>
                </w:p>
              </w:tc>
              <w:tc>
                <w:tcPr>
                  <w:tcW w:w="1111" w:type="dxa"/>
                  <w:shd w:val="clear" w:color="auto" w:fill="auto"/>
                  <w:tcMar>
                    <w:top w:w="100" w:type="dxa"/>
                    <w:left w:w="100" w:type="dxa"/>
                    <w:bottom w:w="100" w:type="dxa"/>
                    <w:right w:w="100" w:type="dxa"/>
                  </w:tcMar>
                  <w:vAlign w:val="center"/>
                </w:tcPr>
                <w:p w14:paraId="751B25A2"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806.23</w:t>
                  </w:r>
                </w:p>
              </w:tc>
            </w:tr>
            <w:tr w:rsidR="002A5B12" w14:paraId="535FD88A" w14:textId="77777777" w:rsidTr="003A7A88">
              <w:trPr>
                <w:trHeight w:val="575"/>
              </w:trPr>
              <w:tc>
                <w:tcPr>
                  <w:tcW w:w="853" w:type="dxa"/>
                  <w:vMerge/>
                  <w:shd w:val="clear" w:color="auto" w:fill="auto"/>
                  <w:tcMar>
                    <w:top w:w="100" w:type="dxa"/>
                    <w:left w:w="100" w:type="dxa"/>
                    <w:bottom w:w="100" w:type="dxa"/>
                    <w:right w:w="100" w:type="dxa"/>
                  </w:tcMar>
                </w:tcPr>
                <w:p w14:paraId="163814AF"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007E30D4"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0423F1C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w:t>
                  </w:r>
                </w:p>
              </w:tc>
              <w:tc>
                <w:tcPr>
                  <w:tcW w:w="1625" w:type="dxa"/>
                  <w:shd w:val="clear" w:color="auto" w:fill="auto"/>
                  <w:tcMar>
                    <w:top w:w="100" w:type="dxa"/>
                    <w:left w:w="100" w:type="dxa"/>
                    <w:bottom w:w="100" w:type="dxa"/>
                    <w:right w:w="100" w:type="dxa"/>
                  </w:tcMar>
                  <w:vAlign w:val="center"/>
                </w:tcPr>
                <w:p w14:paraId="71FF6B6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2679.14</w:t>
                  </w:r>
                </w:p>
              </w:tc>
              <w:tc>
                <w:tcPr>
                  <w:tcW w:w="1490" w:type="dxa"/>
                  <w:shd w:val="clear" w:color="auto" w:fill="auto"/>
                  <w:tcMar>
                    <w:top w:w="100" w:type="dxa"/>
                    <w:left w:w="100" w:type="dxa"/>
                    <w:bottom w:w="100" w:type="dxa"/>
                    <w:right w:w="100" w:type="dxa"/>
                  </w:tcMar>
                  <w:vAlign w:val="center"/>
                </w:tcPr>
                <w:p w14:paraId="6EC873BD"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6606.77</w:t>
                  </w:r>
                </w:p>
              </w:tc>
              <w:tc>
                <w:tcPr>
                  <w:tcW w:w="1368" w:type="dxa"/>
                  <w:shd w:val="clear" w:color="auto" w:fill="auto"/>
                  <w:tcMar>
                    <w:top w:w="100" w:type="dxa"/>
                    <w:left w:w="100" w:type="dxa"/>
                    <w:bottom w:w="100" w:type="dxa"/>
                    <w:right w:w="100" w:type="dxa"/>
                  </w:tcMar>
                  <w:vAlign w:val="center"/>
                </w:tcPr>
                <w:p w14:paraId="1B0D1D7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17574.46</w:t>
                  </w:r>
                </w:p>
              </w:tc>
              <w:tc>
                <w:tcPr>
                  <w:tcW w:w="1111" w:type="dxa"/>
                  <w:shd w:val="clear" w:color="auto" w:fill="auto"/>
                  <w:tcMar>
                    <w:top w:w="100" w:type="dxa"/>
                    <w:left w:w="100" w:type="dxa"/>
                    <w:bottom w:w="100" w:type="dxa"/>
                    <w:right w:w="100" w:type="dxa"/>
                  </w:tcMar>
                  <w:vAlign w:val="center"/>
                </w:tcPr>
                <w:p w14:paraId="612FFED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440.17</w:t>
                  </w:r>
                </w:p>
              </w:tc>
              <w:tc>
                <w:tcPr>
                  <w:tcW w:w="1111" w:type="dxa"/>
                  <w:shd w:val="clear" w:color="auto" w:fill="auto"/>
                  <w:tcMar>
                    <w:top w:w="100" w:type="dxa"/>
                    <w:left w:w="100" w:type="dxa"/>
                    <w:bottom w:w="100" w:type="dxa"/>
                    <w:right w:w="100" w:type="dxa"/>
                  </w:tcMar>
                  <w:vAlign w:val="center"/>
                </w:tcPr>
                <w:p w14:paraId="094FBF0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1899</w:t>
                  </w:r>
                </w:p>
              </w:tc>
            </w:tr>
            <w:tr w:rsidR="002A5B12" w14:paraId="1F617590" w14:textId="77777777" w:rsidTr="003A7A88">
              <w:trPr>
                <w:trHeight w:val="575"/>
              </w:trPr>
              <w:tc>
                <w:tcPr>
                  <w:tcW w:w="853" w:type="dxa"/>
                  <w:vMerge/>
                  <w:shd w:val="clear" w:color="auto" w:fill="auto"/>
                  <w:tcMar>
                    <w:top w:w="100" w:type="dxa"/>
                    <w:left w:w="100" w:type="dxa"/>
                    <w:bottom w:w="100" w:type="dxa"/>
                    <w:right w:w="100" w:type="dxa"/>
                  </w:tcMar>
                </w:tcPr>
                <w:p w14:paraId="1F03090A"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527E957B"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5D39692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3</w:t>
                  </w:r>
                </w:p>
              </w:tc>
              <w:tc>
                <w:tcPr>
                  <w:tcW w:w="1625" w:type="dxa"/>
                  <w:shd w:val="clear" w:color="auto" w:fill="auto"/>
                  <w:tcMar>
                    <w:top w:w="100" w:type="dxa"/>
                    <w:left w:w="100" w:type="dxa"/>
                    <w:bottom w:w="100" w:type="dxa"/>
                    <w:right w:w="100" w:type="dxa"/>
                  </w:tcMar>
                  <w:vAlign w:val="center"/>
                </w:tcPr>
                <w:p w14:paraId="7E83ABFF"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3485.79</w:t>
                  </w:r>
                </w:p>
              </w:tc>
              <w:tc>
                <w:tcPr>
                  <w:tcW w:w="1490" w:type="dxa"/>
                  <w:shd w:val="clear" w:color="auto" w:fill="auto"/>
                  <w:tcMar>
                    <w:top w:w="100" w:type="dxa"/>
                    <w:left w:w="100" w:type="dxa"/>
                    <w:bottom w:w="100" w:type="dxa"/>
                    <w:right w:w="100" w:type="dxa"/>
                  </w:tcMar>
                  <w:vAlign w:val="center"/>
                </w:tcPr>
                <w:p w14:paraId="1C6A43A2"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19421.33</w:t>
                  </w:r>
                </w:p>
              </w:tc>
              <w:tc>
                <w:tcPr>
                  <w:tcW w:w="1368" w:type="dxa"/>
                  <w:shd w:val="clear" w:color="auto" w:fill="auto"/>
                  <w:tcMar>
                    <w:top w:w="100" w:type="dxa"/>
                    <w:left w:w="100" w:type="dxa"/>
                    <w:bottom w:w="100" w:type="dxa"/>
                    <w:right w:w="100" w:type="dxa"/>
                  </w:tcMar>
                  <w:vAlign w:val="center"/>
                </w:tcPr>
                <w:p w14:paraId="33B16A34"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23558,00</w:t>
                  </w:r>
                </w:p>
              </w:tc>
              <w:tc>
                <w:tcPr>
                  <w:tcW w:w="1111" w:type="dxa"/>
                  <w:shd w:val="clear" w:color="auto" w:fill="auto"/>
                  <w:tcMar>
                    <w:top w:w="100" w:type="dxa"/>
                    <w:left w:w="100" w:type="dxa"/>
                    <w:bottom w:w="100" w:type="dxa"/>
                    <w:right w:w="100" w:type="dxa"/>
                  </w:tcMar>
                  <w:vAlign w:val="center"/>
                </w:tcPr>
                <w:p w14:paraId="38442A4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45599.74</w:t>
                  </w:r>
                </w:p>
              </w:tc>
              <w:tc>
                <w:tcPr>
                  <w:tcW w:w="1111" w:type="dxa"/>
                  <w:shd w:val="clear" w:color="auto" w:fill="auto"/>
                  <w:tcMar>
                    <w:top w:w="100" w:type="dxa"/>
                    <w:left w:w="100" w:type="dxa"/>
                    <w:bottom w:w="100" w:type="dxa"/>
                    <w:right w:w="100" w:type="dxa"/>
                  </w:tcMar>
                  <w:vAlign w:val="center"/>
                </w:tcPr>
                <w:p w14:paraId="2A15BF87"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1021.64</w:t>
                  </w:r>
                </w:p>
              </w:tc>
            </w:tr>
            <w:tr w:rsidR="002A5B12" w14:paraId="17527866" w14:textId="77777777" w:rsidTr="003A7A88">
              <w:trPr>
                <w:trHeight w:val="590"/>
              </w:trPr>
              <w:tc>
                <w:tcPr>
                  <w:tcW w:w="853" w:type="dxa"/>
                  <w:vMerge/>
                  <w:shd w:val="clear" w:color="auto" w:fill="auto"/>
                  <w:tcMar>
                    <w:top w:w="100" w:type="dxa"/>
                    <w:left w:w="100" w:type="dxa"/>
                    <w:bottom w:w="100" w:type="dxa"/>
                    <w:right w:w="100" w:type="dxa"/>
                  </w:tcMar>
                </w:tcPr>
                <w:p w14:paraId="78E7CEC8"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6FF4B4B5"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19C56CE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4</w:t>
                  </w:r>
                </w:p>
              </w:tc>
              <w:tc>
                <w:tcPr>
                  <w:tcW w:w="1625" w:type="dxa"/>
                  <w:shd w:val="clear" w:color="auto" w:fill="auto"/>
                  <w:tcMar>
                    <w:top w:w="100" w:type="dxa"/>
                    <w:left w:w="100" w:type="dxa"/>
                    <w:bottom w:w="100" w:type="dxa"/>
                    <w:right w:w="100" w:type="dxa"/>
                  </w:tcMar>
                  <w:vAlign w:val="center"/>
                </w:tcPr>
                <w:p w14:paraId="45EEC795"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4741.74</w:t>
                  </w:r>
                </w:p>
              </w:tc>
              <w:tc>
                <w:tcPr>
                  <w:tcW w:w="1490" w:type="dxa"/>
                  <w:shd w:val="clear" w:color="auto" w:fill="auto"/>
                  <w:tcMar>
                    <w:top w:w="100" w:type="dxa"/>
                    <w:left w:w="100" w:type="dxa"/>
                    <w:bottom w:w="100" w:type="dxa"/>
                    <w:right w:w="100" w:type="dxa"/>
                  </w:tcMar>
                  <w:vAlign w:val="center"/>
                </w:tcPr>
                <w:p w14:paraId="746B82C8"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28717.88</w:t>
                  </w:r>
                </w:p>
              </w:tc>
              <w:tc>
                <w:tcPr>
                  <w:tcW w:w="1368" w:type="dxa"/>
                  <w:shd w:val="clear" w:color="auto" w:fill="auto"/>
                  <w:tcMar>
                    <w:top w:w="100" w:type="dxa"/>
                    <w:left w:w="100" w:type="dxa"/>
                    <w:bottom w:w="100" w:type="dxa"/>
                    <w:right w:w="100" w:type="dxa"/>
                  </w:tcMar>
                  <w:vAlign w:val="center"/>
                </w:tcPr>
                <w:p w14:paraId="5B8522D3"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45843.94</w:t>
                  </w:r>
                </w:p>
              </w:tc>
              <w:tc>
                <w:tcPr>
                  <w:tcW w:w="1111" w:type="dxa"/>
                  <w:shd w:val="clear" w:color="auto" w:fill="auto"/>
                  <w:tcMar>
                    <w:top w:w="100" w:type="dxa"/>
                    <w:left w:w="100" w:type="dxa"/>
                    <w:bottom w:w="100" w:type="dxa"/>
                    <w:right w:w="100" w:type="dxa"/>
                  </w:tcMar>
                  <w:vAlign w:val="center"/>
                </w:tcPr>
                <w:p w14:paraId="1D95CF59"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83855.22</w:t>
                  </w:r>
                </w:p>
              </w:tc>
              <w:tc>
                <w:tcPr>
                  <w:tcW w:w="1111" w:type="dxa"/>
                  <w:shd w:val="clear" w:color="auto" w:fill="auto"/>
                  <w:tcMar>
                    <w:top w:w="100" w:type="dxa"/>
                    <w:left w:w="100" w:type="dxa"/>
                    <w:bottom w:w="100" w:type="dxa"/>
                    <w:right w:w="100" w:type="dxa"/>
                  </w:tcMar>
                  <w:vAlign w:val="center"/>
                </w:tcPr>
                <w:p w14:paraId="174042E1"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4091</w:t>
                  </w:r>
                </w:p>
              </w:tc>
            </w:tr>
            <w:tr w:rsidR="002A5B12" w14:paraId="617CB99B" w14:textId="77777777" w:rsidTr="003A7A88">
              <w:trPr>
                <w:trHeight w:val="590"/>
              </w:trPr>
              <w:tc>
                <w:tcPr>
                  <w:tcW w:w="853" w:type="dxa"/>
                  <w:vMerge/>
                  <w:shd w:val="clear" w:color="auto" w:fill="auto"/>
                  <w:tcMar>
                    <w:top w:w="100" w:type="dxa"/>
                    <w:left w:w="100" w:type="dxa"/>
                    <w:bottom w:w="100" w:type="dxa"/>
                    <w:right w:w="100" w:type="dxa"/>
                  </w:tcMar>
                </w:tcPr>
                <w:p w14:paraId="51E19F8B" w14:textId="77777777" w:rsidR="002A5B12" w:rsidRDefault="002A5B12" w:rsidP="00E07EA5">
                  <w:pPr>
                    <w:spacing w:before="120" w:after="120" w:line="240" w:lineRule="auto"/>
                    <w:rPr>
                      <w:rFonts w:ascii="Times New Roman" w:eastAsia="Times New Roman" w:hAnsi="Times New Roman" w:cs="Times New Roman"/>
                    </w:rPr>
                  </w:pPr>
                </w:p>
              </w:tc>
              <w:tc>
                <w:tcPr>
                  <w:tcW w:w="2005" w:type="dxa"/>
                  <w:vMerge/>
                  <w:shd w:val="clear" w:color="auto" w:fill="auto"/>
                  <w:tcMar>
                    <w:top w:w="100" w:type="dxa"/>
                    <w:left w:w="100" w:type="dxa"/>
                    <w:bottom w:w="100" w:type="dxa"/>
                    <w:right w:w="100" w:type="dxa"/>
                  </w:tcMar>
                </w:tcPr>
                <w:p w14:paraId="57B28411" w14:textId="77777777" w:rsidR="002A5B12" w:rsidRDefault="002A5B12" w:rsidP="00E07EA5">
                  <w:pPr>
                    <w:spacing w:before="120" w:after="120" w:line="240" w:lineRule="auto"/>
                    <w:rPr>
                      <w:rFonts w:ascii="Times New Roman" w:eastAsia="Times New Roman" w:hAnsi="Times New Roman" w:cs="Times New Roman"/>
                    </w:rPr>
                  </w:pPr>
                </w:p>
              </w:tc>
              <w:tc>
                <w:tcPr>
                  <w:tcW w:w="379" w:type="dxa"/>
                  <w:shd w:val="clear" w:color="auto" w:fill="auto"/>
                  <w:tcMar>
                    <w:top w:w="100" w:type="dxa"/>
                    <w:left w:w="100" w:type="dxa"/>
                    <w:bottom w:w="100" w:type="dxa"/>
                    <w:right w:w="100" w:type="dxa"/>
                  </w:tcMar>
                  <w:vAlign w:val="bottom"/>
                </w:tcPr>
                <w:p w14:paraId="7681619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5</w:t>
                  </w:r>
                </w:p>
              </w:tc>
              <w:tc>
                <w:tcPr>
                  <w:tcW w:w="1625" w:type="dxa"/>
                  <w:shd w:val="clear" w:color="auto" w:fill="auto"/>
                  <w:tcMar>
                    <w:top w:w="100" w:type="dxa"/>
                    <w:left w:w="100" w:type="dxa"/>
                    <w:bottom w:w="100" w:type="dxa"/>
                    <w:right w:w="100" w:type="dxa"/>
                  </w:tcMar>
                  <w:vAlign w:val="center"/>
                </w:tcPr>
                <w:p w14:paraId="5C897010"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5476.18</w:t>
                  </w:r>
                </w:p>
              </w:tc>
              <w:tc>
                <w:tcPr>
                  <w:tcW w:w="1490" w:type="dxa"/>
                  <w:shd w:val="clear" w:color="auto" w:fill="auto"/>
                  <w:tcMar>
                    <w:top w:w="100" w:type="dxa"/>
                    <w:left w:w="100" w:type="dxa"/>
                    <w:bottom w:w="100" w:type="dxa"/>
                    <w:right w:w="100" w:type="dxa"/>
                  </w:tcMar>
                  <w:vAlign w:val="center"/>
                </w:tcPr>
                <w:p w14:paraId="1F9CF50C"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53224.02</w:t>
                  </w:r>
                </w:p>
              </w:tc>
              <w:tc>
                <w:tcPr>
                  <w:tcW w:w="1368" w:type="dxa"/>
                  <w:shd w:val="clear" w:color="auto" w:fill="auto"/>
                  <w:tcMar>
                    <w:top w:w="100" w:type="dxa"/>
                    <w:left w:w="100" w:type="dxa"/>
                    <w:bottom w:w="100" w:type="dxa"/>
                    <w:right w:w="100" w:type="dxa"/>
                  </w:tcMar>
                  <w:vAlign w:val="center"/>
                </w:tcPr>
                <w:p w14:paraId="6371A207"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74403.56</w:t>
                  </w:r>
                </w:p>
              </w:tc>
              <w:tc>
                <w:tcPr>
                  <w:tcW w:w="1111" w:type="dxa"/>
                  <w:shd w:val="clear" w:color="auto" w:fill="auto"/>
                  <w:tcMar>
                    <w:top w:w="100" w:type="dxa"/>
                    <w:left w:w="100" w:type="dxa"/>
                    <w:bottom w:w="100" w:type="dxa"/>
                    <w:right w:w="100" w:type="dxa"/>
                  </w:tcMar>
                  <w:vAlign w:val="center"/>
                </w:tcPr>
                <w:p w14:paraId="1961CA20"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85988.07</w:t>
                  </w:r>
                </w:p>
              </w:tc>
              <w:tc>
                <w:tcPr>
                  <w:tcW w:w="1111" w:type="dxa"/>
                  <w:shd w:val="clear" w:color="auto" w:fill="auto"/>
                  <w:tcMar>
                    <w:top w:w="100" w:type="dxa"/>
                    <w:left w:w="100" w:type="dxa"/>
                    <w:bottom w:w="100" w:type="dxa"/>
                    <w:right w:w="100" w:type="dxa"/>
                  </w:tcMar>
                  <w:vAlign w:val="center"/>
                </w:tcPr>
                <w:p w14:paraId="5793F076" w14:textId="77777777" w:rsidR="002A5B12" w:rsidRDefault="007C6886" w:rsidP="003A7A88">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8079</w:t>
                  </w:r>
                </w:p>
              </w:tc>
            </w:tr>
          </w:tbl>
          <w:p w14:paraId="08E947E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Rapoartele Consiliului Concurenței pentru anii precedenți de asemenea nu relevă precum că nivelul amenzilor și penalităților cu titlu cominatoriu ar reprezenta o piedică în aplicarea eficientă de către Consiliul Concurenței a Legii concurenței.  Mai mult, </w:t>
            </w:r>
            <w:r>
              <w:rPr>
                <w:rFonts w:ascii="Times New Roman" w:eastAsia="Times New Roman" w:hAnsi="Times New Roman" w:cs="Times New Roman"/>
              </w:rPr>
              <w:t xml:space="preserve">indicele privind impactul activității Consiliului </w:t>
            </w:r>
            <w:proofErr w:type="spellStart"/>
            <w:r>
              <w:rPr>
                <w:rFonts w:ascii="Times New Roman" w:eastAsia="Times New Roman" w:hAnsi="Times New Roman" w:cs="Times New Roman"/>
              </w:rPr>
              <w:t>Concureței</w:t>
            </w:r>
            <w:proofErr w:type="spellEnd"/>
            <w:r>
              <w:rPr>
                <w:rFonts w:ascii="Times New Roman" w:eastAsia="Times New Roman" w:hAnsi="Times New Roman" w:cs="Times New Roman"/>
              </w:rPr>
              <w:t xml:space="preserve"> asupra bunăstării consumatorilor, raportat anual de autoritate, este în creștere.  Astfel, pentru anul 2021 Consiliul Concurenței a raportat că „în baza Metodologiei de calcul a impactului activi</w:t>
            </w:r>
            <w:r>
              <w:rPr>
                <w:rFonts w:ascii="Times New Roman" w:eastAsia="Times New Roman" w:hAnsi="Times New Roman" w:cs="Times New Roman"/>
              </w:rPr>
              <w:t>tății Consiliului Concurenței asupra bunăstării consumatorului, luând în considerare cele mai bune practici internaționale și recomandările OECD pentru evaluarea impactului activității autorităților de concurență, a fost calculat coraportul dintre resursel</w:t>
            </w:r>
            <w:r>
              <w:rPr>
                <w:rFonts w:ascii="Times New Roman" w:eastAsia="Times New Roman" w:hAnsi="Times New Roman" w:cs="Times New Roman"/>
              </w:rPr>
              <w:t>e utilizate și impactul pozitiv asupra bunăstării consumatorului, pentru anul 2021, stabilit și în Cadrul Bugetar pe Termen Mediu (CBTM), care a fost de 1:61. Așadar, la 1 leu de resurse publice utilizate pentru activitățile Consiliului Concurenței, impact</w:t>
            </w:r>
            <w:r>
              <w:rPr>
                <w:rFonts w:ascii="Times New Roman" w:eastAsia="Times New Roman" w:hAnsi="Times New Roman" w:cs="Times New Roman"/>
              </w:rPr>
              <w:t xml:space="preserve">ul pozitiv asupra bunăstării consumatorului a constituit 61 lei”[3]. </w:t>
            </w:r>
          </w:p>
          <w:p w14:paraId="78772AA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lipsa unor concluzii clare nu se poate afirma precum că transpunerea exactă a pragurilor pentru calcularea sancțiunilor maxime, precum și pentru stabilirea drept bază de calcul a amen</w:t>
            </w:r>
            <w:r>
              <w:rPr>
                <w:rFonts w:ascii="Times New Roman" w:eastAsia="Times New Roman" w:hAnsi="Times New Roman" w:cs="Times New Roman"/>
              </w:rPr>
              <w:t>zilor cifra mondială totală de afaceri prevăzute de Directiva 2019/1 va spori capacitatea instituțională a Consiliului Concurenței.</w:t>
            </w:r>
          </w:p>
          <w:p w14:paraId="0EAD0192"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O asemenea transpunere exactă va avea un impact semnificativ asupra întreprinderilor.  Legea concurenței reprezintă un cadru relativ nou pentru întreprinderile din Republica Moldova, comparativ cu tradiția economică din țările membre ale UE.  Legea concure</w:t>
            </w:r>
            <w:r>
              <w:rPr>
                <w:rFonts w:ascii="Times New Roman" w:eastAsia="Times New Roman" w:hAnsi="Times New Roman" w:cs="Times New Roman"/>
              </w:rPr>
              <w:t>nței abundă în termeni și concepte generali, care nu permite întreprinderilor să își stabilească cu certitudine de sine stătător comportamentele ca fiind exceptate, admisibile sau interzise de Legea concurenței.  Gradul înalt de incertitudine juridică pe c</w:t>
            </w:r>
            <w:r>
              <w:rPr>
                <w:rFonts w:ascii="Times New Roman" w:eastAsia="Times New Roman" w:hAnsi="Times New Roman" w:cs="Times New Roman"/>
              </w:rPr>
              <w:t xml:space="preserve">are o prezintă normele concurențiale, </w:t>
            </w:r>
            <w:proofErr w:type="spellStart"/>
            <w:r>
              <w:rPr>
                <w:rFonts w:ascii="Times New Roman" w:eastAsia="Times New Roman" w:hAnsi="Times New Roman" w:cs="Times New Roman"/>
              </w:rPr>
              <w:t>coraborate</w:t>
            </w:r>
            <w:proofErr w:type="spellEnd"/>
            <w:r>
              <w:rPr>
                <w:rFonts w:ascii="Times New Roman" w:eastAsia="Times New Roman" w:hAnsi="Times New Roman" w:cs="Times New Roman"/>
              </w:rPr>
              <w:t xml:space="preserve"> cu amenzi de maxim 5% (pentru încălcări de procedură), 10% (pentru încălcări de drept material), calculate din cifra mondială totală de afaceri va crea un efect de panică asupra întreprinderilor, în special </w:t>
            </w:r>
            <w:r>
              <w:rPr>
                <w:rFonts w:ascii="Times New Roman" w:eastAsia="Times New Roman" w:hAnsi="Times New Roman" w:cs="Times New Roman"/>
              </w:rPr>
              <w:t xml:space="preserve">celor care doresc să investească pe piețele dinamice.  Acest risc este cu atât mai mare, cu cât Consiliul Concurenței nu are atribuția de a analiza </w:t>
            </w:r>
            <w:r>
              <w:rPr>
                <w:rFonts w:ascii="Times New Roman" w:eastAsia="Times New Roman" w:hAnsi="Times New Roman" w:cs="Times New Roman"/>
                <w:i/>
              </w:rPr>
              <w:t>ex ante</w:t>
            </w:r>
            <w:r>
              <w:rPr>
                <w:rFonts w:ascii="Times New Roman" w:eastAsia="Times New Roman" w:hAnsi="Times New Roman" w:cs="Times New Roman"/>
              </w:rPr>
              <w:t xml:space="preserve"> a acordurilor sau comportamentele unilaterale ale întreprinderilor, în vederea acordării unei sigura</w:t>
            </w:r>
            <w:r>
              <w:rPr>
                <w:rFonts w:ascii="Times New Roman" w:eastAsia="Times New Roman" w:hAnsi="Times New Roman" w:cs="Times New Roman"/>
              </w:rPr>
              <w:t>nțe că asemenea acorduri sau comportamente nu afectează sau nu pot afecta concurența.  Drept urmare, riscul aplicării incorecte din neglijență a Legii concurenței pentru întreprinderi este foarte mare, iar aplicarea unor amenzi, după cum sunt propuse în pr</w:t>
            </w:r>
            <w:r>
              <w:rPr>
                <w:rFonts w:ascii="Times New Roman" w:eastAsia="Times New Roman" w:hAnsi="Times New Roman" w:cs="Times New Roman"/>
              </w:rPr>
              <w:t xml:space="preserve">oiect, cu încasarea lor din activele întreprinderilor de pe teritoriul Republicii Moldova va afecta grav mediul de afaceri din țară. </w:t>
            </w:r>
          </w:p>
          <w:p w14:paraId="1E2205E6"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u w:val="single"/>
              </w:rPr>
              <w:t>Concluzie la pct. 3</w:t>
            </w:r>
          </w:p>
          <w:p w14:paraId="1A49037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În lipsa unei evaluări externe a competențelor Consiliului Concurenței, nu există o certitudi</w:t>
            </w:r>
            <w:r>
              <w:rPr>
                <w:rFonts w:ascii="Times New Roman" w:eastAsia="Times New Roman" w:hAnsi="Times New Roman" w:cs="Times New Roman"/>
              </w:rPr>
              <w:t xml:space="preserve">ne clară, precum că majorarea sancțiunilor pentru </w:t>
            </w:r>
            <w:proofErr w:type="spellStart"/>
            <w:r>
              <w:rPr>
                <w:rFonts w:ascii="Times New Roman" w:eastAsia="Times New Roman" w:hAnsi="Times New Roman" w:cs="Times New Roman"/>
              </w:rPr>
              <w:t>încălcălcarea</w:t>
            </w:r>
            <w:proofErr w:type="spellEnd"/>
            <w:r>
              <w:rPr>
                <w:rFonts w:ascii="Times New Roman" w:eastAsia="Times New Roman" w:hAnsi="Times New Roman" w:cs="Times New Roman"/>
              </w:rPr>
              <w:t xml:space="preserve"> normelor de drept procedural și material ale Legii concurenței, precum și calcularea sancțiunilor din cifra mondială totală de afaceri va (i) spori cultura concurențială a întreprinderilor, și</w:t>
            </w:r>
            <w:r>
              <w:rPr>
                <w:rFonts w:ascii="Times New Roman" w:eastAsia="Times New Roman" w:hAnsi="Times New Roman" w:cs="Times New Roman"/>
              </w:rPr>
              <w:t xml:space="preserve"> (ii) va duce la rezultate pozitive semnificative în tendința Consiliului Concurenței de a încuraja întreprinderile să își elaboreze și să implementeze programe eficiente de conformare, și (iii) va deschide calea pentru colaborarea efectivă a întreprinderi</w:t>
            </w:r>
            <w:r>
              <w:rPr>
                <w:rFonts w:ascii="Times New Roman" w:eastAsia="Times New Roman" w:hAnsi="Times New Roman" w:cs="Times New Roman"/>
              </w:rPr>
              <w:t xml:space="preserve">lor și asociațiilor de întreprinderi cu Consiliul Concurenței, în cazul în care acestea sunt sau au fost parte al unui acord anticoncurențial și doresc să beneficieze de politica de clemență sub forma recompensei. </w:t>
            </w:r>
          </w:p>
          <w:p w14:paraId="32674A55" w14:textId="6CDA7CA0" w:rsidR="002A5B12" w:rsidRDefault="007C6886" w:rsidP="0033589C">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r>
            <w:r>
              <w:rPr>
                <w:rFonts w:ascii="Times New Roman" w:eastAsia="Times New Roman" w:hAnsi="Times New Roman" w:cs="Times New Roman"/>
              </w:rPr>
              <w:t xml:space="preserve">Gradul înalt de incertitudine juridică pe care o prezintă normele concurențiale, </w:t>
            </w:r>
            <w:proofErr w:type="spellStart"/>
            <w:r>
              <w:rPr>
                <w:rFonts w:ascii="Times New Roman" w:eastAsia="Times New Roman" w:hAnsi="Times New Roman" w:cs="Times New Roman"/>
              </w:rPr>
              <w:t>coraborate</w:t>
            </w:r>
            <w:proofErr w:type="spellEnd"/>
            <w:r>
              <w:rPr>
                <w:rFonts w:ascii="Times New Roman" w:eastAsia="Times New Roman" w:hAnsi="Times New Roman" w:cs="Times New Roman"/>
              </w:rPr>
              <w:t xml:space="preserve"> cu amenzi de maxim 5% (pentru încălcări de procedură), 10% (pentru încălcări de drept material), calculate din cifra mondială totală de afaceri va crea un efect de </w:t>
            </w:r>
            <w:r>
              <w:rPr>
                <w:rFonts w:ascii="Times New Roman" w:eastAsia="Times New Roman" w:hAnsi="Times New Roman" w:cs="Times New Roman"/>
              </w:rPr>
              <w:t xml:space="preserve">panică asupra întreprinderilor, în special celor care doresc să investească pe piețele dinamice.  Acest risc este cu atât mai mare, cu cât Consiliul Concurenței nu are atribuția de a analiza </w:t>
            </w:r>
            <w:r>
              <w:rPr>
                <w:rFonts w:ascii="Times New Roman" w:eastAsia="Times New Roman" w:hAnsi="Times New Roman" w:cs="Times New Roman"/>
                <w:i/>
              </w:rPr>
              <w:t>ex ante</w:t>
            </w:r>
            <w:r>
              <w:rPr>
                <w:rFonts w:ascii="Times New Roman" w:eastAsia="Times New Roman" w:hAnsi="Times New Roman" w:cs="Times New Roman"/>
              </w:rPr>
              <w:t xml:space="preserve"> a acordurilor sau comportamentele unilaterale ale întrepr</w:t>
            </w:r>
            <w:r>
              <w:rPr>
                <w:rFonts w:ascii="Times New Roman" w:eastAsia="Times New Roman" w:hAnsi="Times New Roman" w:cs="Times New Roman"/>
              </w:rPr>
              <w:t>inderilor, în vederea acordării unei siguranțe că asemenea acorduri sau comportamente nu afectează sau nu pot afecta concurența.  Drept urmare, riscul aplicării incorecte din neglijență a Legii concurenței pentru întreprinderi este foarte mare, iar aplicar</w:t>
            </w:r>
            <w:r>
              <w:rPr>
                <w:rFonts w:ascii="Times New Roman" w:eastAsia="Times New Roman" w:hAnsi="Times New Roman" w:cs="Times New Roman"/>
              </w:rPr>
              <w:t>ea unor amenzi, după cum sunt propuse în proiect, cu încasarea lor din activele întreprinderilor de pe teritoriul Republicii Moldova va afecta grav mediul de afaceri din țară.  De asemenea, implementarea acestor modificări va descuraja investitorii străini</w:t>
            </w:r>
            <w:r>
              <w:rPr>
                <w:rFonts w:ascii="Times New Roman" w:eastAsia="Times New Roman" w:hAnsi="Times New Roman" w:cs="Times New Roman"/>
              </w:rPr>
              <w:t xml:space="preserve"> să investească în Republica Moldova.</w:t>
            </w:r>
          </w:p>
          <w:p w14:paraId="3F9B6BD5" w14:textId="77777777" w:rsidR="002A5B12" w:rsidRDefault="007C6886" w:rsidP="00E07EA5">
            <w:pPr>
              <w:spacing w:before="120" w:after="120" w:line="240" w:lineRule="auto"/>
              <w:rPr>
                <w:rFonts w:ascii="Times New Roman" w:eastAsia="Times New Roman" w:hAnsi="Times New Roman" w:cs="Times New Roman"/>
              </w:rPr>
            </w:pPr>
            <w:r>
              <w:pict w14:anchorId="086F5840">
                <v:rect id="_x0000_i1026" style="width:0;height:1.5pt" o:hralign="center" o:hrstd="t" o:hr="t" fillcolor="#a0a0a0" stroked="f"/>
              </w:pict>
            </w:r>
          </w:p>
          <w:p w14:paraId="488492C2" w14:textId="77777777" w:rsidR="002A5B12" w:rsidRDefault="007C6886" w:rsidP="00E07EA5">
            <w:pPr>
              <w:spacing w:before="120" w:after="120" w:line="240" w:lineRule="auto"/>
              <w:jc w:val="both"/>
              <w:rPr>
                <w:rFonts w:ascii="Times New Roman" w:eastAsia="Times New Roman" w:hAnsi="Times New Roman" w:cs="Times New Roman"/>
              </w:rPr>
            </w:pPr>
            <w:r>
              <w:t>[1]</w:t>
            </w:r>
            <w:r>
              <w:rPr>
                <w:rFonts w:ascii="Times New Roman" w:eastAsia="Times New Roman" w:hAnsi="Times New Roman" w:cs="Times New Roman"/>
              </w:rPr>
              <w:t xml:space="preserve"> Propunerea Comisiei Europene de DIRECTIVĂ A PARLAMENTULUI EUROPEAN ŞI A CONSILIULUI privind oferirea de mijloace autorităților de concurență din statele membre astfel încât să fie organisme mai eficace de asigura</w:t>
            </w:r>
            <w:r>
              <w:rPr>
                <w:rFonts w:ascii="Times New Roman" w:eastAsia="Times New Roman" w:hAnsi="Times New Roman" w:cs="Times New Roman"/>
              </w:rPr>
              <w:t>re a respectării normelor și privind garantarea funcționării corespunzătoare a pieței interne (Contextul general, și motivele și obiectivele propunerii)</w:t>
            </w:r>
          </w:p>
          <w:p w14:paraId="20FF0827" w14:textId="77777777" w:rsidR="002A5B12" w:rsidRDefault="007C6886" w:rsidP="00E07EA5">
            <w:pPr>
              <w:spacing w:before="120" w:after="120" w:line="240" w:lineRule="auto"/>
              <w:jc w:val="both"/>
              <w:rPr>
                <w:rFonts w:ascii="Times New Roman" w:eastAsia="Times New Roman" w:hAnsi="Times New Roman" w:cs="Times New Roman"/>
              </w:rPr>
            </w:pPr>
            <w:hyperlink r:id="rId8">
              <w:r>
                <w:rPr>
                  <w:rFonts w:ascii="Times New Roman" w:eastAsia="Times New Roman" w:hAnsi="Times New Roman" w:cs="Times New Roman"/>
                  <w:color w:val="1155CC"/>
                  <w:u w:val="single"/>
                </w:rPr>
                <w:t>ht</w:t>
              </w:r>
              <w:r>
                <w:rPr>
                  <w:rFonts w:ascii="Times New Roman" w:eastAsia="Times New Roman" w:hAnsi="Times New Roman" w:cs="Times New Roman"/>
                  <w:color w:val="1155CC"/>
                  <w:u w:val="single"/>
                </w:rPr>
                <w:t>tps://eur-lex.europa.eu/legal-content/RO/TXT/PDF/?uri=CELEX:52017PC0142&amp;from=EN</w:t>
              </w:r>
            </w:hyperlink>
          </w:p>
          <w:p w14:paraId="72E87451" w14:textId="77777777" w:rsidR="002A5B12" w:rsidRDefault="007C6886" w:rsidP="00E07EA5">
            <w:pPr>
              <w:spacing w:before="120" w:after="120" w:line="240" w:lineRule="auto"/>
              <w:rPr>
                <w:rFonts w:ascii="Times New Roman" w:eastAsia="Times New Roman" w:hAnsi="Times New Roman" w:cs="Times New Roman"/>
                <w:color w:val="1155CC"/>
                <w:u w:val="single"/>
              </w:rPr>
            </w:pPr>
            <w:r>
              <w:t>[2]</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color w:val="1155CC"/>
                  <w:u w:val="single"/>
                </w:rPr>
                <w:t>SWD_2023_32_ Moldova.pdf (europa.eu)</w:t>
              </w:r>
            </w:hyperlink>
          </w:p>
          <w:p w14:paraId="5AC33173" w14:textId="77777777" w:rsidR="002A5B12" w:rsidRDefault="007C6886" w:rsidP="00E07EA5">
            <w:pPr>
              <w:spacing w:before="120" w:after="120" w:line="240" w:lineRule="auto"/>
              <w:rPr>
                <w:rFonts w:ascii="Times New Roman" w:eastAsia="Times New Roman" w:hAnsi="Times New Roman" w:cs="Times New Roman"/>
                <w:color w:val="1155CC"/>
                <w:u w:val="single"/>
              </w:rPr>
            </w:pPr>
            <w:r>
              <w:t>[3]</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Raport-privind-activitatea-CC-202113d08.pdf (competition.md)</w:t>
              </w:r>
            </w:hyperlink>
          </w:p>
          <w:p w14:paraId="0D4CE385" w14:textId="77777777" w:rsidR="002A5B12" w:rsidRDefault="002A5B12" w:rsidP="00E07EA5">
            <w:pPr>
              <w:spacing w:before="120" w:after="120" w:line="240" w:lineRule="auto"/>
              <w:rPr>
                <w:rFonts w:ascii="Times New Roman" w:eastAsia="Times New Roman" w:hAnsi="Times New Roman" w:cs="Times New Roman"/>
              </w:rPr>
            </w:pPr>
          </w:p>
          <w:p w14:paraId="59C11784"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 pragurilor pentru notificarea operațiunilor de concentrare economică.</w:t>
            </w:r>
          </w:p>
          <w:p w14:paraId="5FB0179D"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 xml:space="preserve">Proiectul vine cu propunerea de majorare a cuantumului cifrei de </w:t>
            </w:r>
            <w:r>
              <w:rPr>
                <w:rFonts w:ascii="Times New Roman" w:eastAsia="Times New Roman" w:hAnsi="Times New Roman" w:cs="Times New Roman"/>
                <w:color w:val="16181D"/>
              </w:rPr>
              <w:t>afaceri realizată cumulativ de întreprinderile implicate în operațiune, înregistrată în anul anterior operațiunii de la 25.000.000 lei, după cum prevede redacția actuală a Legii concurenței, la valoarea cifrei de afaceri ce va depăși 50.000.000 lei, înregi</w:t>
            </w:r>
            <w:r>
              <w:rPr>
                <w:rFonts w:ascii="Times New Roman" w:eastAsia="Times New Roman" w:hAnsi="Times New Roman" w:cs="Times New Roman"/>
                <w:color w:val="16181D"/>
              </w:rPr>
              <w:t>strată în anul anterior operațiunii. Totodată, proiectul își propune majorarea cifrei totale de afaceri ce urmează a fi realizată de către fiecare întreprindere în parte de la 10.000.000 lei, după cum prevede redacția actuală a Legii concurenței, la 20.000</w:t>
            </w:r>
            <w:r>
              <w:rPr>
                <w:rFonts w:ascii="Times New Roman" w:eastAsia="Times New Roman" w:hAnsi="Times New Roman" w:cs="Times New Roman"/>
                <w:color w:val="16181D"/>
              </w:rPr>
              <w:t>.000 lei.</w:t>
            </w:r>
          </w:p>
          <w:p w14:paraId="0186DB20"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Dublarea pragurilor de notificare menționate mai sus rezultă din realitatea economică actuală a Republicii Moldova și dinamica Produsului Intern Brut înregistrată din momentul aprobării Legii concurenței. Conform datelor BNS, în perioada 2012-202</w:t>
            </w:r>
            <w:r>
              <w:rPr>
                <w:rFonts w:ascii="Times New Roman" w:eastAsia="Times New Roman" w:hAnsi="Times New Roman" w:cs="Times New Roman"/>
                <w:color w:val="16181D"/>
              </w:rPr>
              <w:t xml:space="preserve">2, Produsul Intern Brut în prețuri curente s-a majorat de 2,6 ori. Rata inflației a </w:t>
            </w:r>
            <w:r w:rsidRPr="00661234">
              <w:rPr>
                <w:rFonts w:ascii="Times New Roman" w:eastAsia="Times New Roman" w:hAnsi="Times New Roman" w:cs="Times New Roman"/>
              </w:rPr>
              <w:t>constituit</w:t>
            </w:r>
            <w:r>
              <w:rPr>
                <w:rFonts w:ascii="Times New Roman" w:eastAsia="Times New Roman" w:hAnsi="Times New Roman" w:cs="Times New Roman"/>
                <w:color w:val="16181D"/>
              </w:rPr>
              <w:t xml:space="preserve"> în aceeași perioadă 132%.</w:t>
            </w:r>
          </w:p>
          <w:p w14:paraId="2D90FC1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color w:val="16181D"/>
              </w:rPr>
            </w:pPr>
            <w:r>
              <w:rPr>
                <w:rFonts w:ascii="Times New Roman" w:eastAsia="Times New Roman" w:hAnsi="Times New Roman" w:cs="Times New Roman"/>
                <w:color w:val="16181D"/>
              </w:rPr>
              <w:t xml:space="preserve">Pragurile de notificare stabilite în anul 2012 la adoptarea Legii concurenței – 10.000.000 și 25.000.000 lei – </w:t>
            </w:r>
            <w:r w:rsidRPr="00661234">
              <w:rPr>
                <w:rFonts w:ascii="Times New Roman" w:eastAsia="Times New Roman" w:hAnsi="Times New Roman" w:cs="Times New Roman"/>
              </w:rPr>
              <w:t>constituiau</w:t>
            </w:r>
            <w:r>
              <w:rPr>
                <w:rFonts w:ascii="Times New Roman" w:eastAsia="Times New Roman" w:hAnsi="Times New Roman" w:cs="Times New Roman"/>
                <w:color w:val="16181D"/>
              </w:rPr>
              <w:t xml:space="preserve"> respectiv 0,010% și 0,024% din PIB. Proiectul propune recuperarea parțială a valorii relative a </w:t>
            </w:r>
            <w:r w:rsidRPr="00661234">
              <w:rPr>
                <w:rFonts w:ascii="Times New Roman" w:eastAsia="Times New Roman" w:hAnsi="Times New Roman" w:cs="Times New Roman"/>
              </w:rPr>
              <w:t>pragurilor</w:t>
            </w:r>
            <w:r>
              <w:rPr>
                <w:rFonts w:ascii="Times New Roman" w:eastAsia="Times New Roman" w:hAnsi="Times New Roman" w:cs="Times New Roman"/>
                <w:color w:val="16181D"/>
              </w:rPr>
              <w:t xml:space="preserve"> comparativ cu dimensiunea </w:t>
            </w:r>
            <w:r>
              <w:rPr>
                <w:rFonts w:ascii="Times New Roman" w:eastAsia="Times New Roman" w:hAnsi="Times New Roman" w:cs="Times New Roman"/>
                <w:color w:val="16181D"/>
              </w:rPr>
              <w:t>economiei naționale și a pieței interne. Astfel, noile praguri de cifre totale de afaceri vor constitui 0,007% și, respectiv, 0,018% din PIB înregistrat în anul 2022.</w:t>
            </w:r>
          </w:p>
          <w:p w14:paraId="2E24EC2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Propunerea va avea un impact benefic asupra mediului de afaceri, în special asupra sector</w:t>
            </w:r>
            <w:r>
              <w:rPr>
                <w:rFonts w:ascii="Times New Roman" w:eastAsia="Times New Roman" w:hAnsi="Times New Roman" w:cs="Times New Roman"/>
              </w:rPr>
              <w:t>ului întreprinderilor mici și mijlocii.</w:t>
            </w:r>
          </w:p>
          <w:p w14:paraId="59849707"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Va fi eliminată complet necesitatea notificării operațiunilor de concentrare economică care implică doar întreprinderi micro , care potrivit art. 5 alin. (1) lit. a) din Legea nr. 179/2016 cu privire la întreprinderi</w:t>
            </w:r>
            <w:r>
              <w:rPr>
                <w:rFonts w:ascii="Times New Roman" w:eastAsia="Times New Roman" w:hAnsi="Times New Roman" w:cs="Times New Roman"/>
              </w:rPr>
              <w:t xml:space="preserve">le mici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mijlocii, realizează o cifră anuală de afaceri de până la 18 milioane de lei.</w:t>
            </w:r>
          </w:p>
          <w:p w14:paraId="4EA2DD9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Pe parcursul anilor 2018-2022 Consiliul Concurenței a autorizat 55 operațiuni de concentrări economice notificate. Analiza notificărilor din ultimii 5 ani indică că 18</w:t>
            </w:r>
            <w:r>
              <w:rPr>
                <w:rFonts w:ascii="Times New Roman" w:eastAsia="Times New Roman" w:hAnsi="Times New Roman" w:cs="Times New Roman"/>
              </w:rPr>
              <w:t xml:space="preserve"> din 55 operațiuni ar evita necesitatea examinării de către Consiliul Concurenței, pentru că nu ar întruni condițiile valorice ale pragurilor de notificare. Pentru examinarea notificărilor ce nu ar întruni noile praguri, Consiliul Concurenței a perceput de</w:t>
            </w:r>
            <w:r>
              <w:rPr>
                <w:rFonts w:ascii="Times New Roman" w:eastAsia="Times New Roman" w:hAnsi="Times New Roman" w:cs="Times New Roman"/>
              </w:rPr>
              <w:t xml:space="preserve"> la investitori taxe de notificare în sumă totală de 1,2 mil. lei.</w:t>
            </w:r>
          </w:p>
          <w:p w14:paraId="591BDD8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În acest sens, proiectul vine să reducă barierele administrative în procesul de consolidare a întreprinderilor mici și mijlocii din Republica Moldova – proces necesar și indispensabil creșt</w:t>
            </w:r>
            <w:r>
              <w:rPr>
                <w:rFonts w:ascii="Times New Roman" w:eastAsia="Times New Roman" w:hAnsi="Times New Roman" w:cs="Times New Roman"/>
              </w:rPr>
              <w:t>erii competitivității economiei naționale în condițiile globalizării și integrării treptate în piața unică europeană.</w:t>
            </w:r>
          </w:p>
          <w:p w14:paraId="1D0F08B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Totodată, modificarea nu va afecta îndeplinirea obligației Republicii Moldova de asigura un control eficace al concentrărilor între întrep</w:t>
            </w:r>
            <w:r>
              <w:rPr>
                <w:rFonts w:ascii="Times New Roman" w:eastAsia="Times New Roman" w:hAnsi="Times New Roman" w:cs="Times New Roman"/>
              </w:rPr>
              <w:t>rinderi conform art. 335 alin. (1) din Acordul de asociere, pentru că concentrările cu potențial impact anticoncurențial datorită dimensiunilor sale vor fi în continuare subiect al notificării obligatorii la Consiliul Concurenței.</w:t>
            </w:r>
          </w:p>
          <w:p w14:paraId="64CE51E9"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A293408"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Majorarea taxei de noti</w:t>
            </w:r>
            <w:r>
              <w:rPr>
                <w:rFonts w:ascii="Times New Roman" w:eastAsia="Times New Roman" w:hAnsi="Times New Roman" w:cs="Times New Roman"/>
                <w:u w:val="single"/>
              </w:rPr>
              <w:t>ficare a operațiunilor de concentrare economică.</w:t>
            </w:r>
          </w:p>
          <w:p w14:paraId="79BDEF52"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Proiectul propune păstrarea mărimii taxei de examinare a notificării privind concentrarea economică la 0,1% din cifra totală de afaceri realizată cumulat pe teritoriul Republicii Moldova de către întreprinde</w:t>
            </w:r>
            <w:r>
              <w:rPr>
                <w:rFonts w:ascii="Times New Roman" w:eastAsia="Times New Roman" w:hAnsi="Times New Roman" w:cs="Times New Roman"/>
              </w:rPr>
              <w:t>rile implicate în concentrarea economică. Totodată, se propune dublarea de la 75 000 lei la 150 000 lei a plafonului maxim al taxei.</w:t>
            </w:r>
          </w:p>
          <w:p w14:paraId="06930385"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Ca și majorarea pragurilor de notificare, majorarea de 2 ori a plafonului taxei de examinare a notificării este argumentată</w:t>
            </w:r>
            <w:r>
              <w:rPr>
                <w:rFonts w:ascii="Times New Roman" w:eastAsia="Times New Roman" w:hAnsi="Times New Roman" w:cs="Times New Roman"/>
              </w:rPr>
              <w:t xml:space="preserve"> prin necesitatea adaptării acestuia la evoluția PIB și a inflației din perioada de după aprobarea redacției actuale a legii.</w:t>
            </w:r>
          </w:p>
          <w:p w14:paraId="50FAB9FE"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Propunerea va majora costurile unei concentrări economice, însă doar pentru întreprinderile care intenționează o concentrare econo</w:t>
            </w:r>
            <w:r>
              <w:rPr>
                <w:rFonts w:ascii="Times New Roman" w:eastAsia="Times New Roman" w:hAnsi="Times New Roman" w:cs="Times New Roman"/>
              </w:rPr>
              <w:t>mică ce implică întreprinderi cu cifră totală cumulată de afaceri de peste 75 000 000 lei.</w:t>
            </w:r>
          </w:p>
          <w:p w14:paraId="3DBE1359"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Analiza operațiunilor de concentrare economică notificate pe parcursul anilor 2018-2022 indică că, 48 din 55 de întreprinderi au achitat taxa de 75 000 lei. În conse</w:t>
            </w:r>
            <w:r>
              <w:rPr>
                <w:rFonts w:ascii="Times New Roman" w:eastAsia="Times New Roman" w:hAnsi="Times New Roman" w:cs="Times New Roman"/>
              </w:rPr>
              <w:t>cință, majorarea plafonului ar afecta 87% din notificatorii concentrărilor economice.</w:t>
            </w:r>
          </w:p>
          <w:p w14:paraId="3FF9218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Menționăm însă că, proiectul propune dublarea plafonului taxei de notificare în paralel cu dublarea pragurilor cifrelor de afaceri ce presupun notificarea. În acest caz, </w:t>
            </w:r>
            <w:r>
              <w:rPr>
                <w:rFonts w:ascii="Times New Roman" w:eastAsia="Times New Roman" w:hAnsi="Times New Roman" w:cs="Times New Roman"/>
              </w:rPr>
              <w:t xml:space="preserve">ponderea întreprinderilor </w:t>
            </w:r>
            <w:proofErr w:type="spellStart"/>
            <w:r>
              <w:rPr>
                <w:rFonts w:ascii="Times New Roman" w:eastAsia="Times New Roman" w:hAnsi="Times New Roman" w:cs="Times New Roman"/>
              </w:rPr>
              <w:t>impactate</w:t>
            </w:r>
            <w:proofErr w:type="spellEnd"/>
            <w:r>
              <w:rPr>
                <w:rFonts w:ascii="Times New Roman" w:eastAsia="Times New Roman" w:hAnsi="Times New Roman" w:cs="Times New Roman"/>
              </w:rPr>
              <w:t xml:space="preserve"> ar constitui 67% raportată la numărul celor ce au depus notificări în ultimii 5 ani.</w:t>
            </w:r>
          </w:p>
          <w:p w14:paraId="538772C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Extrapolând informațiile din anii 2018-2022, se estimează că aprobarea mărimii maxime a taxei de examinare a notificării de 150 000 </w:t>
            </w:r>
            <w:r>
              <w:rPr>
                <w:rFonts w:ascii="Times New Roman" w:eastAsia="Times New Roman" w:hAnsi="Times New Roman" w:cs="Times New Roman"/>
              </w:rPr>
              <w:t>lei concomitent cu dublarea pragurilor de notificare va majora veniturile Consiliului Concurenței aferente examinării concentrărilor economice cu apr. 40% - mărime net inferioară ritmului de creștere a costurilor salariale și materiale corespunzătoare.</w:t>
            </w:r>
          </w:p>
          <w:p w14:paraId="0E4C4F56" w14:textId="77777777" w:rsidR="002A5B12" w:rsidRDefault="007C6886" w:rsidP="00E07EA5">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08C4B72"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M</w:t>
            </w:r>
            <w:r>
              <w:rPr>
                <w:rFonts w:ascii="Times New Roman" w:eastAsia="Times New Roman" w:hAnsi="Times New Roman" w:cs="Times New Roman"/>
                <w:u w:val="single"/>
              </w:rPr>
              <w:t>odificări legate de exercitarea dreptului la apărare în cadrul investigațiilor</w:t>
            </w:r>
          </w:p>
          <w:p w14:paraId="4137068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u w:val="single"/>
              </w:rPr>
              <w:t>Concluzie la pct. 6</w:t>
            </w:r>
            <w:r>
              <w:rPr>
                <w:rFonts w:ascii="Times New Roman" w:eastAsia="Times New Roman" w:hAnsi="Times New Roman" w:cs="Times New Roman"/>
              </w:rPr>
              <w:t>:</w:t>
            </w:r>
          </w:p>
          <w:p w14:paraId="7702C9D3"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Modificările propuse pot afecta drepturile la apărare a întreprinderilor implicate în cadrul investigațiilor concurențiale.  Este important să se asigure că</w:t>
            </w:r>
            <w:r>
              <w:rPr>
                <w:rFonts w:ascii="Times New Roman" w:eastAsia="Times New Roman" w:hAnsi="Times New Roman" w:cs="Times New Roman"/>
              </w:rPr>
              <w:t xml:space="preserve"> Legea concurenței conține toate aspectele de procedură legate de emiterea raportului de investigație, transmiterea acestuia părților pentru observații, accesul părților la dosar, inclusiv la probele acumulate după transmiterea raportului de investigație c</w:t>
            </w:r>
            <w:r>
              <w:rPr>
                <w:rFonts w:ascii="Times New Roman" w:eastAsia="Times New Roman" w:hAnsi="Times New Roman" w:cs="Times New Roman"/>
              </w:rPr>
              <w:t>ătre părți pentru observații, adoptarea deciziilor de către Plenul Consiliului Concurenței asupra cazurilor de încălcare a Legii concurenței doar în baza constatărilor și probelor reflectate în raportul de investigație, inclusiv raport de investigație supl</w:t>
            </w:r>
            <w:r>
              <w:rPr>
                <w:rFonts w:ascii="Times New Roman" w:eastAsia="Times New Roman" w:hAnsi="Times New Roman" w:cs="Times New Roman"/>
              </w:rPr>
              <w:t xml:space="preserve">imentar, la care părțile au avut acces și au avut posibilitate să prezinte observații.  </w:t>
            </w:r>
          </w:p>
          <w:p w14:paraId="4105A0DC" w14:textId="77777777" w:rsidR="002A5B12" w:rsidRDefault="002A5B12" w:rsidP="00E07EA5">
            <w:pPr>
              <w:spacing w:before="120" w:after="120" w:line="240" w:lineRule="auto"/>
              <w:rPr>
                <w:rFonts w:ascii="Times New Roman" w:eastAsia="Times New Roman" w:hAnsi="Times New Roman" w:cs="Times New Roman"/>
              </w:rPr>
            </w:pPr>
          </w:p>
          <w:p w14:paraId="0FF8DF7B" w14:textId="77777777" w:rsidR="002A5B12" w:rsidRDefault="007C6886" w:rsidP="00E07EA5">
            <w:pPr>
              <w:numPr>
                <w:ilvl w:val="0"/>
                <w:numId w:val="2"/>
              </w:numPr>
              <w:pBdr>
                <w:top w:val="nil"/>
                <w:left w:val="nil"/>
                <w:bottom w:val="nil"/>
                <w:right w:val="nil"/>
                <w:between w:val="nil"/>
              </w:pBdr>
              <w:spacing w:before="120" w:after="120" w:line="240" w:lineRule="auto"/>
              <w:rPr>
                <w:rFonts w:ascii="Times New Roman" w:eastAsia="Times New Roman" w:hAnsi="Times New Roman" w:cs="Times New Roman"/>
              </w:rPr>
            </w:pPr>
            <w:r>
              <w:rPr>
                <w:rFonts w:ascii="Times New Roman" w:eastAsia="Times New Roman" w:hAnsi="Times New Roman" w:cs="Times New Roman"/>
                <w:u w:val="single"/>
              </w:rPr>
              <w:t>(Ne)Calcularea cotelor de piață în cazul licitațiilor sau altor forme de concurs de oferte.</w:t>
            </w:r>
          </w:p>
          <w:p w14:paraId="59A2371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În proiect se propune completarea art. 31 din Legea concurenței cu un nou </w:t>
            </w:r>
            <w:r>
              <w:rPr>
                <w:rFonts w:ascii="Times New Roman" w:eastAsia="Times New Roman" w:hAnsi="Times New Roman" w:cs="Times New Roman"/>
              </w:rPr>
              <w:t xml:space="preserve">alineat (4) cu următorul conținut: „În cazul acordurilor anticoncurențiale realizate în cadrul licitațiilor sau orice alte forme de concurs de oferte, nu se calculează cota de piață, concurența </w:t>
            </w:r>
            <w:proofErr w:type="spellStart"/>
            <w:r>
              <w:rPr>
                <w:rFonts w:ascii="Times New Roman" w:eastAsia="Times New Roman" w:hAnsi="Times New Roman" w:cs="Times New Roman"/>
              </w:rPr>
              <w:t>realizîndu</w:t>
            </w:r>
            <w:proofErr w:type="spellEnd"/>
            <w:r>
              <w:rPr>
                <w:rFonts w:ascii="Times New Roman" w:eastAsia="Times New Roman" w:hAnsi="Times New Roman" w:cs="Times New Roman"/>
              </w:rPr>
              <w:t>-se în cadrul procedurii sau procedurilor de achiziț</w:t>
            </w:r>
            <w:r>
              <w:rPr>
                <w:rFonts w:ascii="Times New Roman" w:eastAsia="Times New Roman" w:hAnsi="Times New Roman" w:cs="Times New Roman"/>
              </w:rPr>
              <w:t>ii”.</w:t>
            </w:r>
          </w:p>
          <w:p w14:paraId="3F2768A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Prevederea intenționează să clarifice modul de aplicare a normelor de concurență pentru scenariile în care acordurile anticoncurențiale sunt realizate în cadrul unei proceduri de licitație publică sau orice altă formă de concurs de oferte. Scopul modi</w:t>
            </w:r>
            <w:r>
              <w:rPr>
                <w:rFonts w:ascii="Times New Roman" w:eastAsia="Times New Roman" w:hAnsi="Times New Roman" w:cs="Times New Roman"/>
              </w:rPr>
              <w:t>ficării constituie eficientizarea activității de investigare a trucărilor de licitații sau altor forme de concurs cu oferte, care sunt printre cele mai grave tipuri de încălcări anticoncurențiale. Trucarea licitațiilor, fiind o formă de cartel, este o încă</w:t>
            </w:r>
            <w:r>
              <w:rPr>
                <w:rFonts w:ascii="Times New Roman" w:eastAsia="Times New Roman" w:hAnsi="Times New Roman" w:cs="Times New Roman"/>
              </w:rPr>
              <w:t>lcare a normei legale prin însăși obiectul său, astfel demonstrarea efectului asupra mediului concurențial nu este necesară. În același timp, trucările de licitații nu pot face obiectul unor exceptări de la interdicția generală. Respectiv, în acest caz spe</w:t>
            </w:r>
            <w:r>
              <w:rPr>
                <w:rFonts w:ascii="Times New Roman" w:eastAsia="Times New Roman" w:hAnsi="Times New Roman" w:cs="Times New Roman"/>
              </w:rPr>
              <w:t>cific analiza structurii pieței, inclusiv prin prisma cotelor de piață, ar fi o irosire de resurse.</w:t>
            </w:r>
          </w:p>
          <w:p w14:paraId="65E6DAEF"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333333"/>
              </w:rPr>
              <w:t xml:space="preserve">Dar, pe </w:t>
            </w:r>
            <w:r w:rsidRPr="00661234">
              <w:rPr>
                <w:rFonts w:ascii="Times New Roman" w:eastAsia="Times New Roman" w:hAnsi="Times New Roman" w:cs="Times New Roman"/>
              </w:rPr>
              <w:t>lângă</w:t>
            </w:r>
            <w:r>
              <w:rPr>
                <w:rFonts w:ascii="Times New Roman" w:eastAsia="Times New Roman" w:hAnsi="Times New Roman" w:cs="Times New Roman"/>
                <w:color w:val="333333"/>
              </w:rPr>
              <w:t xml:space="preserve"> trucările de oferte, în cadru</w:t>
            </w:r>
            <w:r>
              <w:rPr>
                <w:rFonts w:ascii="Times New Roman" w:eastAsia="Times New Roman" w:hAnsi="Times New Roman" w:cs="Times New Roman"/>
              </w:rPr>
              <w:t>l licitațiilor sau altor forme de concurs de oferte pot fi realizate și alte tipuri de acorduri orizontale sau ve</w:t>
            </w:r>
            <w:r>
              <w:rPr>
                <w:rFonts w:ascii="Times New Roman" w:eastAsia="Times New Roman" w:hAnsi="Times New Roman" w:cs="Times New Roman"/>
              </w:rPr>
              <w:t xml:space="preserve">rticale, care pot beneficia de exceptări pe categorii, </w:t>
            </w:r>
            <w:r>
              <w:rPr>
                <w:rFonts w:ascii="Times New Roman" w:eastAsia="Times New Roman" w:hAnsi="Times New Roman" w:cs="Times New Roman"/>
                <w:i/>
              </w:rPr>
              <w:t xml:space="preserve">de </w:t>
            </w:r>
            <w:proofErr w:type="spellStart"/>
            <w:r>
              <w:rPr>
                <w:rFonts w:ascii="Times New Roman" w:eastAsia="Times New Roman" w:hAnsi="Times New Roman" w:cs="Times New Roman"/>
                <w:i/>
              </w:rPr>
              <w:t>minimis</w:t>
            </w:r>
            <w:proofErr w:type="spellEnd"/>
            <w:r>
              <w:rPr>
                <w:rFonts w:ascii="Times New Roman" w:eastAsia="Times New Roman" w:hAnsi="Times New Roman" w:cs="Times New Roman"/>
              </w:rPr>
              <w:t xml:space="preserve"> sau bazate pe creșterea eficienței și a bunăstării consumatorului.</w:t>
            </w:r>
          </w:p>
          <w:p w14:paraId="6469DDD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De exemplu,  acordurile între întreprinderi de a-și uni capacitățile de diferită natură pentru a participa în comun la lici</w:t>
            </w:r>
            <w:r>
              <w:rPr>
                <w:rFonts w:ascii="Times New Roman" w:eastAsia="Times New Roman" w:hAnsi="Times New Roman" w:cs="Times New Roman"/>
              </w:rPr>
              <w:t>tații sau alte forme de concursuri de oferte pot genera beneficii majore pentru clienți și consumători. Mai mult decât atât, asemenea acorduri pot permite întreprinderilor mici să obțină sinergii de natură să limiteze puterea de piață a participanților mai</w:t>
            </w:r>
            <w:r>
              <w:rPr>
                <w:rFonts w:ascii="Times New Roman" w:eastAsia="Times New Roman" w:hAnsi="Times New Roman" w:cs="Times New Roman"/>
              </w:rPr>
              <w:t xml:space="preserve"> mari, în beneficiul clienților și consumătorilor.</w:t>
            </w:r>
          </w:p>
          <w:p w14:paraId="4C71355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Norma legală imperativă, ce prevede necalcularea cotelor de piață fără a se limita expres la trucările de oferte, va avea drept efect imposibilitatea de aplicare </w:t>
            </w:r>
            <w:r>
              <w:rPr>
                <w:rFonts w:ascii="Times New Roman" w:eastAsia="Times New Roman" w:hAnsi="Times New Roman" w:cs="Times New Roman"/>
                <w:i/>
              </w:rPr>
              <w:t>de facto</w:t>
            </w:r>
            <w:r>
              <w:rPr>
                <w:rFonts w:ascii="Times New Roman" w:eastAsia="Times New Roman" w:hAnsi="Times New Roman" w:cs="Times New Roman"/>
              </w:rPr>
              <w:t xml:space="preserve"> a mai multor tipuri de exceptări, </w:t>
            </w:r>
            <w:r>
              <w:rPr>
                <w:rFonts w:ascii="Times New Roman" w:eastAsia="Times New Roman" w:hAnsi="Times New Roman" w:cs="Times New Roman"/>
              </w:rPr>
              <w:t>de care ar putea beneficia acordurile orizontale sau verticale încheiate de întreprinderi în vederea participării în comun la licitații sau alte forme de concursuri de oferte.</w:t>
            </w:r>
          </w:p>
          <w:p w14:paraId="2E18EE9A"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u w:val="single"/>
              </w:rPr>
              <w:t>Concluzie la pct. 7:</w:t>
            </w:r>
          </w:p>
          <w:p w14:paraId="0D865E2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Propunerea vine să optimizeze activitatea </w:t>
            </w:r>
            <w:r>
              <w:rPr>
                <w:rFonts w:ascii="Times New Roman" w:eastAsia="Times New Roman" w:hAnsi="Times New Roman" w:cs="Times New Roman"/>
              </w:rPr>
              <w:t>Consiliului Concurenței în combaterea cartelurilor în cadrul achizițiilor publice și altor licitații sau concursuri de oferte. Totodată, drept efect colateral, fiind insuficient de bine țintită, norma propusă este de natură să creeze o incertitudine privin</w:t>
            </w:r>
            <w:r>
              <w:rPr>
                <w:rFonts w:ascii="Times New Roman" w:eastAsia="Times New Roman" w:hAnsi="Times New Roman" w:cs="Times New Roman"/>
              </w:rPr>
              <w:t>d legalitatea acordurilor de cooperare pe toate piețele, pe care consumatorii se aprovizionează preponderent prin licitații sau alte forme de concursuri de oferte (de exemplu, lucrări de construcții sau diferite industrii creative).</w:t>
            </w:r>
          </w:p>
        </w:tc>
      </w:tr>
      <w:tr w:rsidR="002A5B12" w14:paraId="4B11B778" w14:textId="77777777">
        <w:trPr>
          <w:jc w:val="center"/>
        </w:trPr>
        <w:tc>
          <w:tcPr>
            <w:tcW w:w="10033" w:type="dxa"/>
            <w:gridSpan w:val="4"/>
            <w:tcMar>
              <w:top w:w="24" w:type="dxa"/>
              <w:left w:w="48" w:type="dxa"/>
              <w:bottom w:w="24" w:type="dxa"/>
              <w:right w:w="48" w:type="dxa"/>
            </w:tcMar>
          </w:tcPr>
          <w:p w14:paraId="3D5A44E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b</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Pentru </w:t>
            </w:r>
            <w:proofErr w:type="spellStart"/>
            <w:r>
              <w:rPr>
                <w:rFonts w:ascii="Times New Roman" w:eastAsia="Times New Roman" w:hAnsi="Times New Roman" w:cs="Times New Roman"/>
              </w:rPr>
              <w:t>opţiunile</w:t>
            </w:r>
            <w:proofErr w:type="spellEnd"/>
            <w:r>
              <w:rPr>
                <w:rFonts w:ascii="Times New Roman" w:eastAsia="Times New Roman" w:hAnsi="Times New Roman" w:cs="Times New Roman"/>
              </w:rPr>
              <w:t xml:space="preserve"> a</w:t>
            </w:r>
            <w:r>
              <w:rPr>
                <w:rFonts w:ascii="Times New Roman" w:eastAsia="Times New Roman" w:hAnsi="Times New Roman" w:cs="Times New Roman"/>
              </w:rPr>
              <w:t xml:space="preserve">lternative analizate,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impacturile </w:t>
            </w:r>
            <w:proofErr w:type="spellStart"/>
            <w:r>
              <w:rPr>
                <w:rFonts w:ascii="Times New Roman" w:eastAsia="Times New Roman" w:hAnsi="Times New Roman" w:cs="Times New Roman"/>
              </w:rPr>
              <w:t>completînd</w:t>
            </w:r>
            <w:proofErr w:type="spellEnd"/>
            <w:r>
              <w:rPr>
                <w:rFonts w:ascii="Times New Roman" w:eastAsia="Times New Roman" w:hAnsi="Times New Roman" w:cs="Times New Roman"/>
              </w:rPr>
              <w:t xml:space="preserve"> tabelul din anexa la prezentul formular.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pe larg impacturile sub formă de costuri sau beneficii, inclusiv </w:t>
            </w:r>
            <w:proofErr w:type="spellStart"/>
            <w:r>
              <w:rPr>
                <w:rFonts w:ascii="Times New Roman" w:eastAsia="Times New Roman" w:hAnsi="Times New Roman" w:cs="Times New Roman"/>
              </w:rPr>
              <w:t>părţile</w:t>
            </w:r>
            <w:proofErr w:type="spellEnd"/>
            <w:r>
              <w:rPr>
                <w:rFonts w:ascii="Times New Roman" w:eastAsia="Times New Roman" w:hAnsi="Times New Roman" w:cs="Times New Roman"/>
              </w:rPr>
              <w:t xml:space="preserve"> interesate care ar putea fi afectate pozitiv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negativ de acestea</w:t>
            </w:r>
          </w:p>
        </w:tc>
      </w:tr>
      <w:tr w:rsidR="002A5B12" w14:paraId="13EB8068" w14:textId="77777777">
        <w:trPr>
          <w:jc w:val="center"/>
        </w:trPr>
        <w:tc>
          <w:tcPr>
            <w:tcW w:w="10033" w:type="dxa"/>
            <w:gridSpan w:val="4"/>
            <w:tcMar>
              <w:top w:w="24" w:type="dxa"/>
              <w:left w:w="48" w:type="dxa"/>
              <w:bottom w:w="24" w:type="dxa"/>
              <w:right w:w="48" w:type="dxa"/>
            </w:tcMar>
          </w:tcPr>
          <w:p w14:paraId="29F76BB3" w14:textId="21DE6BCE" w:rsidR="002A5B12" w:rsidRDefault="007C6886" w:rsidP="0033589C">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Dat fi</w:t>
            </w:r>
            <w:r>
              <w:rPr>
                <w:rFonts w:ascii="Times New Roman" w:eastAsia="Times New Roman" w:hAnsi="Times New Roman" w:cs="Times New Roman"/>
              </w:rPr>
              <w:t>ind că opțiunea alternativă ține de transpunerea normelor UE, fără a introduce careva modificări naționale, impacturile acestor prevederi sunt explicate în tabelul din secțiunea anterioară, unde sunt menționate prevederile din proiectul de lege care țin de</w:t>
            </w:r>
            <w:r>
              <w:rPr>
                <w:rFonts w:ascii="Times New Roman" w:eastAsia="Times New Roman" w:hAnsi="Times New Roman" w:cs="Times New Roman"/>
              </w:rPr>
              <w:t xml:space="preserve"> legislația UE</w:t>
            </w:r>
          </w:p>
        </w:tc>
      </w:tr>
      <w:tr w:rsidR="002A5B12" w14:paraId="2894FAE9" w14:textId="77777777">
        <w:trPr>
          <w:jc w:val="center"/>
        </w:trPr>
        <w:tc>
          <w:tcPr>
            <w:tcW w:w="10033" w:type="dxa"/>
            <w:gridSpan w:val="4"/>
            <w:tcMar>
              <w:top w:w="24" w:type="dxa"/>
              <w:left w:w="48" w:type="dxa"/>
              <w:bottom w:w="24" w:type="dxa"/>
              <w:right w:w="48" w:type="dxa"/>
            </w:tcMar>
          </w:tcPr>
          <w:p w14:paraId="4CA9C91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 Pentru </w:t>
            </w:r>
            <w:proofErr w:type="spellStart"/>
            <w:r>
              <w:rPr>
                <w:rFonts w:ascii="Times New Roman" w:eastAsia="Times New Roman" w:hAnsi="Times New Roman" w:cs="Times New Roman"/>
              </w:rPr>
              <w:t>opţiunile</w:t>
            </w:r>
            <w:proofErr w:type="spellEnd"/>
            <w:r>
              <w:rPr>
                <w:rFonts w:ascii="Times New Roman" w:eastAsia="Times New Roman" w:hAnsi="Times New Roman" w:cs="Times New Roman"/>
              </w:rPr>
              <w:t xml:space="preserve"> analizate,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cele mai relevante/iminente riscuri care pot duce la </w:t>
            </w:r>
            <w:proofErr w:type="spellStart"/>
            <w:r>
              <w:rPr>
                <w:rFonts w:ascii="Times New Roman" w:eastAsia="Times New Roman" w:hAnsi="Times New Roman" w:cs="Times New Roman"/>
              </w:rPr>
              <w:t>eşecul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intervenţiei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/sau schimba </w:t>
            </w:r>
            <w:proofErr w:type="spellStart"/>
            <w:r>
              <w:rPr>
                <w:rFonts w:ascii="Times New Roman" w:eastAsia="Times New Roman" w:hAnsi="Times New Roman" w:cs="Times New Roman"/>
              </w:rPr>
              <w:t>substanţial</w:t>
            </w:r>
            <w:proofErr w:type="spellEnd"/>
            <w:r>
              <w:rPr>
                <w:rFonts w:ascii="Times New Roman" w:eastAsia="Times New Roman" w:hAnsi="Times New Roman" w:cs="Times New Roman"/>
              </w:rPr>
              <w:t xml:space="preserve"> valoarea beneficiilor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costurilor estimate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prezentaţi</w:t>
            </w:r>
            <w:proofErr w:type="spellEnd"/>
            <w:r>
              <w:rPr>
                <w:rFonts w:ascii="Times New Roman" w:eastAsia="Times New Roman" w:hAnsi="Times New Roman" w:cs="Times New Roman"/>
              </w:rPr>
              <w:t xml:space="preserve"> presupuneri privind gradul de conformare </w:t>
            </w:r>
            <w:r>
              <w:rPr>
                <w:rFonts w:ascii="Times New Roman" w:eastAsia="Times New Roman" w:hAnsi="Times New Roman" w:cs="Times New Roman"/>
              </w:rPr>
              <w:t xml:space="preserve">cu prevederile proiectului a celor </w:t>
            </w:r>
            <w:proofErr w:type="spellStart"/>
            <w:r>
              <w:rPr>
                <w:rFonts w:ascii="Times New Roman" w:eastAsia="Times New Roman" w:hAnsi="Times New Roman" w:cs="Times New Roman"/>
              </w:rPr>
              <w:t>vizaţi</w:t>
            </w:r>
            <w:proofErr w:type="spellEnd"/>
            <w:r>
              <w:rPr>
                <w:rFonts w:ascii="Times New Roman" w:eastAsia="Times New Roman" w:hAnsi="Times New Roman" w:cs="Times New Roman"/>
              </w:rPr>
              <w:t xml:space="preserve"> în acesta</w:t>
            </w:r>
          </w:p>
        </w:tc>
      </w:tr>
      <w:tr w:rsidR="002A5B12" w14:paraId="026CF91D" w14:textId="77777777">
        <w:trPr>
          <w:jc w:val="center"/>
        </w:trPr>
        <w:tc>
          <w:tcPr>
            <w:tcW w:w="10033" w:type="dxa"/>
            <w:gridSpan w:val="4"/>
            <w:tcMar>
              <w:top w:w="24" w:type="dxa"/>
              <w:left w:w="48" w:type="dxa"/>
              <w:bottom w:w="24" w:type="dxa"/>
              <w:right w:w="48" w:type="dxa"/>
            </w:tcMar>
          </w:tcPr>
          <w:p w14:paraId="72E97CFD" w14:textId="3360C125" w:rsidR="002A5B12" w:rsidRDefault="007C6886" w:rsidP="0033589C">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Nu au fost identificate careva riscuri majore.</w:t>
            </w:r>
          </w:p>
        </w:tc>
      </w:tr>
      <w:tr w:rsidR="002A5B12" w14:paraId="1ABB9E25" w14:textId="77777777">
        <w:trPr>
          <w:jc w:val="center"/>
        </w:trPr>
        <w:tc>
          <w:tcPr>
            <w:tcW w:w="10033" w:type="dxa"/>
            <w:gridSpan w:val="4"/>
            <w:tcMar>
              <w:top w:w="24" w:type="dxa"/>
              <w:left w:w="48" w:type="dxa"/>
              <w:bottom w:w="24" w:type="dxa"/>
              <w:right w:w="48" w:type="dxa"/>
            </w:tcMar>
          </w:tcPr>
          <w:p w14:paraId="299D831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d) Dacă este cazul, pentru </w:t>
            </w:r>
            <w:proofErr w:type="spellStart"/>
            <w:r>
              <w:rPr>
                <w:rFonts w:ascii="Times New Roman" w:eastAsia="Times New Roman" w:hAnsi="Times New Roman" w:cs="Times New Roman"/>
              </w:rPr>
              <w:t>opţiunea</w:t>
            </w:r>
            <w:proofErr w:type="spellEnd"/>
            <w:r>
              <w:rPr>
                <w:rFonts w:ascii="Times New Roman" w:eastAsia="Times New Roman" w:hAnsi="Times New Roman" w:cs="Times New Roman"/>
              </w:rPr>
              <w:t xml:space="preserve"> recomandată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costurile de conformare pentru întreprinderi, dacă există impact </w:t>
            </w:r>
            <w:proofErr w:type="spellStart"/>
            <w:r>
              <w:rPr>
                <w:rFonts w:ascii="Times New Roman" w:eastAsia="Times New Roman" w:hAnsi="Times New Roman" w:cs="Times New Roman"/>
              </w:rPr>
              <w:t>disproporţionat</w:t>
            </w:r>
            <w:proofErr w:type="spellEnd"/>
            <w:r>
              <w:rPr>
                <w:rFonts w:ascii="Times New Roman" w:eastAsia="Times New Roman" w:hAnsi="Times New Roman" w:cs="Times New Roman"/>
              </w:rPr>
              <w:t xml:space="preserve"> care poate </w:t>
            </w:r>
            <w:r>
              <w:rPr>
                <w:rFonts w:ascii="Times New Roman" w:eastAsia="Times New Roman" w:hAnsi="Times New Roman" w:cs="Times New Roman"/>
              </w:rPr>
              <w:t xml:space="preserve">distorsiona </w:t>
            </w:r>
            <w:proofErr w:type="spellStart"/>
            <w:r>
              <w:rPr>
                <w:rFonts w:ascii="Times New Roman" w:eastAsia="Times New Roman" w:hAnsi="Times New Roman" w:cs="Times New Roman"/>
              </w:rPr>
              <w:t>concurenţa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ce impact are </w:t>
            </w:r>
            <w:proofErr w:type="spellStart"/>
            <w:r>
              <w:rPr>
                <w:rFonts w:ascii="Times New Roman" w:eastAsia="Times New Roman" w:hAnsi="Times New Roman" w:cs="Times New Roman"/>
              </w:rPr>
              <w:t>opţiunea</w:t>
            </w:r>
            <w:proofErr w:type="spellEnd"/>
            <w:r>
              <w:rPr>
                <w:rFonts w:ascii="Times New Roman" w:eastAsia="Times New Roman" w:hAnsi="Times New Roman" w:cs="Times New Roman"/>
              </w:rPr>
              <w:t xml:space="preserve"> asupra întreprinderilor mici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mijlocii. Se explică dacă </w:t>
            </w:r>
            <w:proofErr w:type="spellStart"/>
            <w:r>
              <w:rPr>
                <w:rFonts w:ascii="Times New Roman" w:eastAsia="Times New Roman" w:hAnsi="Times New Roman" w:cs="Times New Roman"/>
              </w:rPr>
              <w:t>sînt</w:t>
            </w:r>
            <w:proofErr w:type="spellEnd"/>
            <w:r>
              <w:rPr>
                <w:rFonts w:ascii="Times New Roman" w:eastAsia="Times New Roman" w:hAnsi="Times New Roman" w:cs="Times New Roman"/>
              </w:rPr>
              <w:t xml:space="preserve"> propuse măsuri de diminuare a acestor impacturi</w:t>
            </w:r>
          </w:p>
        </w:tc>
      </w:tr>
      <w:tr w:rsidR="002A5B12" w14:paraId="5ABB61E9" w14:textId="77777777">
        <w:trPr>
          <w:jc w:val="center"/>
        </w:trPr>
        <w:tc>
          <w:tcPr>
            <w:tcW w:w="10033" w:type="dxa"/>
            <w:gridSpan w:val="4"/>
            <w:tcMar>
              <w:top w:w="24" w:type="dxa"/>
              <w:left w:w="48" w:type="dxa"/>
              <w:bottom w:w="24" w:type="dxa"/>
              <w:right w:w="48" w:type="dxa"/>
            </w:tcMar>
          </w:tcPr>
          <w:p w14:paraId="0C4F56A3" w14:textId="103DF15A" w:rsidR="002A5B12" w:rsidRDefault="007C6886" w:rsidP="0033589C">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Costurile de conformare și alte impacturi au fost descrise la un loc în secțiunea b</w:t>
            </w:r>
            <w:r>
              <w:rPr>
                <w:rFonts w:ascii="Times New Roman" w:eastAsia="Times New Roman" w:hAnsi="Times New Roman" w:cs="Times New Roman"/>
                <w:vertAlign w:val="superscript"/>
              </w:rPr>
              <w:t>1</w:t>
            </w:r>
            <w:r>
              <w:rPr>
                <w:rFonts w:ascii="Times New Roman" w:eastAsia="Times New Roman" w:hAnsi="Times New Roman" w:cs="Times New Roman"/>
              </w:rPr>
              <w:t>).</w:t>
            </w:r>
          </w:p>
        </w:tc>
      </w:tr>
      <w:tr w:rsidR="002A5B12" w14:paraId="6384D5C6" w14:textId="77777777">
        <w:trPr>
          <w:jc w:val="center"/>
        </w:trPr>
        <w:tc>
          <w:tcPr>
            <w:tcW w:w="10033" w:type="dxa"/>
            <w:gridSpan w:val="4"/>
            <w:tcMar>
              <w:top w:w="24" w:type="dxa"/>
              <w:left w:w="48" w:type="dxa"/>
              <w:bottom w:w="24" w:type="dxa"/>
              <w:right w:w="48" w:type="dxa"/>
            </w:tcMar>
          </w:tcPr>
          <w:p w14:paraId="61A8186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u w:val="single"/>
              </w:rPr>
              <w:t>Concluz</w:t>
            </w:r>
            <w:r>
              <w:rPr>
                <w:rFonts w:ascii="Times New Roman" w:eastAsia="Times New Roman" w:hAnsi="Times New Roman" w:cs="Times New Roman"/>
                <w:b/>
                <w:u w:val="single"/>
              </w:rPr>
              <w:t>ie</w:t>
            </w:r>
          </w:p>
          <w:p w14:paraId="08BD5C2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Argumentaţi</w:t>
            </w:r>
            <w:proofErr w:type="spellEnd"/>
            <w:r>
              <w:rPr>
                <w:rFonts w:ascii="Times New Roman" w:eastAsia="Times New Roman" w:hAnsi="Times New Roman" w:cs="Times New Roman"/>
              </w:rPr>
              <w:t xml:space="preserve"> selectarea unei </w:t>
            </w:r>
            <w:proofErr w:type="spellStart"/>
            <w:r>
              <w:rPr>
                <w:rFonts w:ascii="Times New Roman" w:eastAsia="Times New Roman" w:hAnsi="Times New Roman" w:cs="Times New Roman"/>
              </w:rPr>
              <w:t>opţiunii</w:t>
            </w:r>
            <w:proofErr w:type="spellEnd"/>
            <w:r>
              <w:rPr>
                <w:rFonts w:ascii="Times New Roman" w:eastAsia="Times New Roman" w:hAnsi="Times New Roman" w:cs="Times New Roman"/>
              </w:rPr>
              <w:t xml:space="preserve">, în baza atingerii obiectivelor, beneficiilor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costurilor, precum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 asigurării celui mai mic impact negativ asupra celor </w:t>
            </w:r>
            <w:proofErr w:type="spellStart"/>
            <w:r>
              <w:rPr>
                <w:rFonts w:ascii="Times New Roman" w:eastAsia="Times New Roman" w:hAnsi="Times New Roman" w:cs="Times New Roman"/>
              </w:rPr>
              <w:t>afectaţi</w:t>
            </w:r>
            <w:proofErr w:type="spellEnd"/>
          </w:p>
        </w:tc>
      </w:tr>
      <w:tr w:rsidR="002A5B12" w14:paraId="6CD7D7D8" w14:textId="77777777">
        <w:trPr>
          <w:jc w:val="center"/>
        </w:trPr>
        <w:tc>
          <w:tcPr>
            <w:tcW w:w="10033" w:type="dxa"/>
            <w:gridSpan w:val="4"/>
            <w:tcMar>
              <w:top w:w="24" w:type="dxa"/>
              <w:left w:w="48" w:type="dxa"/>
              <w:bottom w:w="24" w:type="dxa"/>
              <w:right w:w="48" w:type="dxa"/>
            </w:tcMar>
          </w:tcPr>
          <w:p w14:paraId="7A0A011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Opțiunea selectată ar avea potențial mai mare de atingere a obiectivelor. </w:t>
            </w:r>
          </w:p>
        </w:tc>
      </w:tr>
      <w:tr w:rsidR="002A5B12" w14:paraId="6AAC7C90" w14:textId="77777777">
        <w:trPr>
          <w:jc w:val="center"/>
        </w:trPr>
        <w:tc>
          <w:tcPr>
            <w:tcW w:w="10033" w:type="dxa"/>
            <w:gridSpan w:val="4"/>
            <w:tcMar>
              <w:top w:w="24" w:type="dxa"/>
              <w:left w:w="48" w:type="dxa"/>
              <w:bottom w:w="24" w:type="dxa"/>
              <w:right w:w="48" w:type="dxa"/>
            </w:tcMar>
          </w:tcPr>
          <w:p w14:paraId="2F805E4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rPr>
              <w:t xml:space="preserve">. Implementarea </w:t>
            </w:r>
            <w:proofErr w:type="spellStart"/>
            <w:r>
              <w:rPr>
                <w:rFonts w:ascii="Times New Roman" w:eastAsia="Times New Roman" w:hAnsi="Times New Roman" w:cs="Times New Roman"/>
                <w:b/>
              </w:rPr>
              <w:t>şi</w:t>
            </w:r>
            <w:proofErr w:type="spellEnd"/>
            <w:r>
              <w:rPr>
                <w:rFonts w:ascii="Times New Roman" w:eastAsia="Times New Roman" w:hAnsi="Times New Roman" w:cs="Times New Roman"/>
                <w:b/>
              </w:rPr>
              <w:t xml:space="preserve"> monitorizarea</w:t>
            </w:r>
          </w:p>
        </w:tc>
      </w:tr>
      <w:tr w:rsidR="002A5B12" w14:paraId="32ADBBA4" w14:textId="77777777">
        <w:trPr>
          <w:jc w:val="center"/>
        </w:trPr>
        <w:tc>
          <w:tcPr>
            <w:tcW w:w="10033" w:type="dxa"/>
            <w:gridSpan w:val="4"/>
            <w:tcMar>
              <w:top w:w="24" w:type="dxa"/>
              <w:left w:w="48" w:type="dxa"/>
              <w:bottom w:w="24" w:type="dxa"/>
              <w:right w:w="48" w:type="dxa"/>
            </w:tcMar>
          </w:tcPr>
          <w:p w14:paraId="76338CC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Descrieţi</w:t>
            </w:r>
            <w:proofErr w:type="spellEnd"/>
            <w:r>
              <w:rPr>
                <w:rFonts w:ascii="Times New Roman" w:eastAsia="Times New Roman" w:hAnsi="Times New Roman" w:cs="Times New Roman"/>
              </w:rPr>
              <w:t xml:space="preserve"> cum va fi organizată implementarea </w:t>
            </w:r>
            <w:proofErr w:type="spellStart"/>
            <w:r>
              <w:rPr>
                <w:rFonts w:ascii="Times New Roman" w:eastAsia="Times New Roman" w:hAnsi="Times New Roman" w:cs="Times New Roman"/>
              </w:rPr>
              <w:t>opţiunii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recomandate,ce</w:t>
            </w:r>
            <w:proofErr w:type="spellEnd"/>
            <w:r>
              <w:rPr>
                <w:rFonts w:ascii="Times New Roman" w:eastAsia="Times New Roman" w:hAnsi="Times New Roman" w:cs="Times New Roman"/>
              </w:rPr>
              <w:t xml:space="preserve"> cadru juridic necesită a fi modificat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/sau elaborat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aprobat,ce</w:t>
            </w:r>
            <w:proofErr w:type="spellEnd"/>
            <w:r>
              <w:rPr>
                <w:rFonts w:ascii="Times New Roman" w:eastAsia="Times New Roman" w:hAnsi="Times New Roman" w:cs="Times New Roman"/>
              </w:rPr>
              <w:t xml:space="preserve"> schimbări </w:t>
            </w:r>
            <w:proofErr w:type="spellStart"/>
            <w:r>
              <w:rPr>
                <w:rFonts w:ascii="Times New Roman" w:eastAsia="Times New Roman" w:hAnsi="Times New Roman" w:cs="Times New Roman"/>
              </w:rPr>
              <w:t>instituţionale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sînt</w:t>
            </w:r>
            <w:proofErr w:type="spellEnd"/>
            <w:r>
              <w:rPr>
                <w:rFonts w:ascii="Times New Roman" w:eastAsia="Times New Roman" w:hAnsi="Times New Roman" w:cs="Times New Roman"/>
              </w:rPr>
              <w:t xml:space="preserve"> necesare</w:t>
            </w:r>
          </w:p>
        </w:tc>
      </w:tr>
      <w:tr w:rsidR="002A5B12" w14:paraId="13FEF8B9" w14:textId="77777777">
        <w:trPr>
          <w:jc w:val="center"/>
        </w:trPr>
        <w:tc>
          <w:tcPr>
            <w:tcW w:w="10033" w:type="dxa"/>
            <w:gridSpan w:val="4"/>
            <w:tcMar>
              <w:top w:w="24" w:type="dxa"/>
              <w:left w:w="48" w:type="dxa"/>
              <w:bottom w:w="24" w:type="dxa"/>
              <w:right w:w="48" w:type="dxa"/>
            </w:tcMar>
          </w:tcPr>
          <w:p w14:paraId="4E043F58"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Implementarea opțiunii nu necesită </w:t>
            </w:r>
            <w:r>
              <w:rPr>
                <w:rFonts w:ascii="Times New Roman" w:eastAsia="Times New Roman" w:hAnsi="Times New Roman" w:cs="Times New Roman"/>
              </w:rPr>
              <w:t>careva aranjamente importante adiționale, în afară de informarea companiilor despre noile prevederi, care se va efectua cu regularitate de către CC</w:t>
            </w:r>
          </w:p>
        </w:tc>
      </w:tr>
      <w:tr w:rsidR="002A5B12" w14:paraId="74FE1304" w14:textId="77777777">
        <w:trPr>
          <w:jc w:val="center"/>
        </w:trPr>
        <w:tc>
          <w:tcPr>
            <w:tcW w:w="10033" w:type="dxa"/>
            <w:gridSpan w:val="4"/>
            <w:tcMar>
              <w:top w:w="24" w:type="dxa"/>
              <w:left w:w="48" w:type="dxa"/>
              <w:bottom w:w="24" w:type="dxa"/>
              <w:right w:w="48" w:type="dxa"/>
            </w:tcMar>
          </w:tcPr>
          <w:p w14:paraId="37989E4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Indicaţi</w:t>
            </w:r>
            <w:proofErr w:type="spellEnd"/>
            <w:r>
              <w:rPr>
                <w:rFonts w:ascii="Times New Roman" w:eastAsia="Times New Roman" w:hAnsi="Times New Roman" w:cs="Times New Roman"/>
              </w:rPr>
              <w:t xml:space="preserve"> clar indicatorii de </w:t>
            </w:r>
            <w:proofErr w:type="spellStart"/>
            <w:r>
              <w:rPr>
                <w:rFonts w:ascii="Times New Roman" w:eastAsia="Times New Roman" w:hAnsi="Times New Roman" w:cs="Times New Roman"/>
              </w:rPr>
              <w:t>performanţă</w:t>
            </w:r>
            <w:proofErr w:type="spellEnd"/>
            <w:r>
              <w:rPr>
                <w:rFonts w:ascii="Times New Roman" w:eastAsia="Times New Roman" w:hAnsi="Times New Roman" w:cs="Times New Roman"/>
              </w:rPr>
              <w:t xml:space="preserve"> în baza cărora se va efectua monitorizarea</w:t>
            </w:r>
          </w:p>
        </w:tc>
      </w:tr>
      <w:tr w:rsidR="002A5B12" w14:paraId="0C00B071" w14:textId="77777777">
        <w:trPr>
          <w:jc w:val="center"/>
        </w:trPr>
        <w:tc>
          <w:tcPr>
            <w:tcW w:w="10033" w:type="dxa"/>
            <w:gridSpan w:val="4"/>
            <w:tcMar>
              <w:top w:w="24" w:type="dxa"/>
              <w:left w:w="48" w:type="dxa"/>
              <w:bottom w:w="24" w:type="dxa"/>
              <w:right w:w="48" w:type="dxa"/>
            </w:tcMar>
          </w:tcPr>
          <w:p w14:paraId="522C63E2"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Nu au fost identifi</w:t>
            </w:r>
            <w:r>
              <w:rPr>
                <w:rFonts w:ascii="Times New Roman" w:eastAsia="Times New Roman" w:hAnsi="Times New Roman" w:cs="Times New Roman"/>
              </w:rPr>
              <w:t>cați indicatori care ar putea monitoriza performanța. </w:t>
            </w:r>
          </w:p>
        </w:tc>
      </w:tr>
      <w:tr w:rsidR="002A5B12" w14:paraId="1BD51AEA" w14:textId="77777777">
        <w:trPr>
          <w:jc w:val="center"/>
        </w:trPr>
        <w:tc>
          <w:tcPr>
            <w:tcW w:w="10033" w:type="dxa"/>
            <w:gridSpan w:val="4"/>
            <w:tcMar>
              <w:top w:w="24" w:type="dxa"/>
              <w:left w:w="48" w:type="dxa"/>
              <w:bottom w:w="24" w:type="dxa"/>
              <w:right w:w="48" w:type="dxa"/>
            </w:tcMar>
          </w:tcPr>
          <w:p w14:paraId="117DA2A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peste </w:t>
            </w:r>
            <w:proofErr w:type="spellStart"/>
            <w:r>
              <w:rPr>
                <w:rFonts w:ascii="Times New Roman" w:eastAsia="Times New Roman" w:hAnsi="Times New Roman" w:cs="Times New Roman"/>
              </w:rPr>
              <w:t>cît</w:t>
            </w:r>
            <w:proofErr w:type="spellEnd"/>
            <w:r>
              <w:rPr>
                <w:rFonts w:ascii="Times New Roman" w:eastAsia="Times New Roman" w:hAnsi="Times New Roman" w:cs="Times New Roman"/>
              </w:rPr>
              <w:t xml:space="preserve"> timp vor fi </w:t>
            </w:r>
            <w:proofErr w:type="spellStart"/>
            <w:r>
              <w:rPr>
                <w:rFonts w:ascii="Times New Roman" w:eastAsia="Times New Roman" w:hAnsi="Times New Roman" w:cs="Times New Roman"/>
              </w:rPr>
              <w:t>resimţite</w:t>
            </w:r>
            <w:proofErr w:type="spellEnd"/>
            <w:r>
              <w:rPr>
                <w:rFonts w:ascii="Times New Roman" w:eastAsia="Times New Roman" w:hAnsi="Times New Roman" w:cs="Times New Roman"/>
              </w:rPr>
              <w:t xml:space="preserve"> impacturile estimate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este necesară evaluarea </w:t>
            </w:r>
            <w:proofErr w:type="spellStart"/>
            <w:r>
              <w:rPr>
                <w:rFonts w:ascii="Times New Roman" w:eastAsia="Times New Roman" w:hAnsi="Times New Roman" w:cs="Times New Roman"/>
              </w:rPr>
              <w:t>performanţei</w:t>
            </w:r>
            <w:proofErr w:type="spellEnd"/>
            <w:r>
              <w:rPr>
                <w:rFonts w:ascii="Times New Roman" w:eastAsia="Times New Roman" w:hAnsi="Times New Roman" w:cs="Times New Roman"/>
              </w:rPr>
              <w:t xml:space="preserve"> actului normativ propus. </w:t>
            </w:r>
            <w:proofErr w:type="spellStart"/>
            <w:r>
              <w:rPr>
                <w:rFonts w:ascii="Times New Roman" w:eastAsia="Times New Roman" w:hAnsi="Times New Roman" w:cs="Times New Roman"/>
              </w:rPr>
              <w:t>Explicaţi</w:t>
            </w:r>
            <w:proofErr w:type="spellEnd"/>
            <w:r>
              <w:rPr>
                <w:rFonts w:ascii="Times New Roman" w:eastAsia="Times New Roman" w:hAnsi="Times New Roman" w:cs="Times New Roman"/>
              </w:rPr>
              <w:t xml:space="preserve"> cum va fi monitorizată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evaluată </w:t>
            </w:r>
            <w:proofErr w:type="spellStart"/>
            <w:r>
              <w:rPr>
                <w:rFonts w:ascii="Times New Roman" w:eastAsia="Times New Roman" w:hAnsi="Times New Roman" w:cs="Times New Roman"/>
              </w:rPr>
              <w:t>opţiunea</w:t>
            </w:r>
            <w:proofErr w:type="spellEnd"/>
          </w:p>
        </w:tc>
      </w:tr>
      <w:tr w:rsidR="002A5B12" w14:paraId="2676EBD5" w14:textId="77777777">
        <w:trPr>
          <w:jc w:val="center"/>
        </w:trPr>
        <w:tc>
          <w:tcPr>
            <w:tcW w:w="10033" w:type="dxa"/>
            <w:gridSpan w:val="4"/>
            <w:tcMar>
              <w:top w:w="24" w:type="dxa"/>
              <w:left w:w="48" w:type="dxa"/>
              <w:bottom w:w="24" w:type="dxa"/>
              <w:right w:w="48" w:type="dxa"/>
            </w:tcMar>
          </w:tcPr>
          <w:p w14:paraId="5976325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Impacturile</w:t>
            </w:r>
            <w:r>
              <w:rPr>
                <w:rFonts w:ascii="Times New Roman" w:eastAsia="Times New Roman" w:hAnsi="Times New Roman" w:cs="Times New Roman"/>
              </w:rPr>
              <w:t xml:space="preserve"> urmează să fie resimțite după un an de la intrarea în vigoare a noilor prevederi.</w:t>
            </w:r>
          </w:p>
        </w:tc>
      </w:tr>
      <w:tr w:rsidR="002A5B12" w14:paraId="72DBF0DE" w14:textId="77777777">
        <w:trPr>
          <w:jc w:val="center"/>
        </w:trPr>
        <w:tc>
          <w:tcPr>
            <w:tcW w:w="10033" w:type="dxa"/>
            <w:gridSpan w:val="4"/>
            <w:tcMar>
              <w:top w:w="24" w:type="dxa"/>
              <w:left w:w="48" w:type="dxa"/>
              <w:bottom w:w="24" w:type="dxa"/>
              <w:right w:w="48" w:type="dxa"/>
            </w:tcMar>
          </w:tcPr>
          <w:p w14:paraId="3B42203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b/>
              </w:rPr>
              <w:t>6. Consultarea</w:t>
            </w:r>
          </w:p>
        </w:tc>
      </w:tr>
      <w:tr w:rsidR="002A5B12" w14:paraId="761F15F2" w14:textId="77777777">
        <w:trPr>
          <w:jc w:val="center"/>
        </w:trPr>
        <w:tc>
          <w:tcPr>
            <w:tcW w:w="10033" w:type="dxa"/>
            <w:gridSpan w:val="4"/>
            <w:tcMar>
              <w:top w:w="24" w:type="dxa"/>
              <w:left w:w="48" w:type="dxa"/>
              <w:bottom w:w="24" w:type="dxa"/>
              <w:right w:w="48" w:type="dxa"/>
            </w:tcMar>
          </w:tcPr>
          <w:p w14:paraId="7AB468A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Identificaţi</w:t>
            </w:r>
            <w:proofErr w:type="spellEnd"/>
            <w:r>
              <w:rPr>
                <w:rFonts w:ascii="Times New Roman" w:eastAsia="Times New Roman" w:hAnsi="Times New Roman" w:cs="Times New Roman"/>
              </w:rPr>
              <w:t xml:space="preserve"> principalele </w:t>
            </w:r>
            <w:proofErr w:type="spellStart"/>
            <w:r>
              <w:rPr>
                <w:rFonts w:ascii="Times New Roman" w:eastAsia="Times New Roman" w:hAnsi="Times New Roman" w:cs="Times New Roman"/>
              </w:rPr>
              <w:t>părţi</w:t>
            </w:r>
            <w:proofErr w:type="spellEnd"/>
            <w:r>
              <w:rPr>
                <w:rFonts w:ascii="Times New Roman" w:eastAsia="Times New Roman" w:hAnsi="Times New Roman" w:cs="Times New Roman"/>
              </w:rPr>
              <w:t xml:space="preserve"> (grupuri) interesate în </w:t>
            </w:r>
            <w:proofErr w:type="spellStart"/>
            <w:r>
              <w:rPr>
                <w:rFonts w:ascii="Times New Roman" w:eastAsia="Times New Roman" w:hAnsi="Times New Roman" w:cs="Times New Roman"/>
              </w:rPr>
              <w:t>intervenţia</w:t>
            </w:r>
            <w:proofErr w:type="spellEnd"/>
            <w:r>
              <w:rPr>
                <w:rFonts w:ascii="Times New Roman" w:eastAsia="Times New Roman" w:hAnsi="Times New Roman" w:cs="Times New Roman"/>
              </w:rPr>
              <w:t xml:space="preserve"> propusă</w:t>
            </w:r>
          </w:p>
        </w:tc>
      </w:tr>
      <w:tr w:rsidR="002A5B12" w14:paraId="5F5C5FEE" w14:textId="77777777">
        <w:trPr>
          <w:jc w:val="center"/>
        </w:trPr>
        <w:tc>
          <w:tcPr>
            <w:tcW w:w="10033" w:type="dxa"/>
            <w:gridSpan w:val="4"/>
            <w:tcMar>
              <w:top w:w="24" w:type="dxa"/>
              <w:left w:w="48" w:type="dxa"/>
              <w:bottom w:w="24" w:type="dxa"/>
              <w:right w:w="48" w:type="dxa"/>
            </w:tcMar>
          </w:tcPr>
          <w:p w14:paraId="2199D1F0"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De intervenția propusă sunt interesate un spectru larg de părți </w:t>
            </w:r>
            <w:r>
              <w:rPr>
                <w:rFonts w:ascii="Times New Roman" w:eastAsia="Times New Roman" w:hAnsi="Times New Roman" w:cs="Times New Roman"/>
              </w:rPr>
              <w:t>interesate, printre care:</w:t>
            </w:r>
          </w:p>
          <w:p w14:paraId="2517A2C1"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asociațiile de business</w:t>
            </w:r>
          </w:p>
          <w:p w14:paraId="16CB934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companii din practic toate domeniile de activitate, atât care pot suferi din urma concurenței neloiale, cât și care ar putea fi supuse unor cheltuieli și riscuri în cazul în care au o poziție importantă</w:t>
            </w:r>
            <w:r>
              <w:rPr>
                <w:rFonts w:ascii="Times New Roman" w:eastAsia="Times New Roman" w:hAnsi="Times New Roman" w:cs="Times New Roman"/>
              </w:rPr>
              <w:t xml:space="preserve"> pe piață</w:t>
            </w:r>
          </w:p>
          <w:p w14:paraId="1ADE5B2C"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potențiali investitori</w:t>
            </w:r>
          </w:p>
        </w:tc>
      </w:tr>
      <w:tr w:rsidR="002A5B12" w14:paraId="223EE38B" w14:textId="77777777">
        <w:trPr>
          <w:jc w:val="center"/>
        </w:trPr>
        <w:tc>
          <w:tcPr>
            <w:tcW w:w="10033" w:type="dxa"/>
            <w:gridSpan w:val="4"/>
            <w:tcMar>
              <w:top w:w="24" w:type="dxa"/>
              <w:left w:w="48" w:type="dxa"/>
              <w:bottom w:w="24" w:type="dxa"/>
              <w:right w:w="48" w:type="dxa"/>
            </w:tcMar>
          </w:tcPr>
          <w:p w14:paraId="75D9091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Explicaţi</w:t>
            </w:r>
            <w:proofErr w:type="spellEnd"/>
            <w:r>
              <w:rPr>
                <w:rFonts w:ascii="Times New Roman" w:eastAsia="Times New Roman" w:hAnsi="Times New Roman" w:cs="Times New Roman"/>
              </w:rPr>
              <w:t xml:space="preserve"> succint cum (prin ce metode) s-a asigurat consultarea adecvată a </w:t>
            </w:r>
            <w:proofErr w:type="spellStart"/>
            <w:r>
              <w:rPr>
                <w:rFonts w:ascii="Times New Roman" w:eastAsia="Times New Roman" w:hAnsi="Times New Roman" w:cs="Times New Roman"/>
              </w:rPr>
              <w:t>părţilor</w:t>
            </w:r>
            <w:proofErr w:type="spellEnd"/>
          </w:p>
        </w:tc>
      </w:tr>
      <w:tr w:rsidR="002A5B12" w14:paraId="20C2CCB7" w14:textId="77777777">
        <w:trPr>
          <w:jc w:val="center"/>
        </w:trPr>
        <w:tc>
          <w:tcPr>
            <w:tcW w:w="10033" w:type="dxa"/>
            <w:gridSpan w:val="4"/>
            <w:tcMar>
              <w:top w:w="24" w:type="dxa"/>
              <w:left w:w="48" w:type="dxa"/>
              <w:bottom w:w="24" w:type="dxa"/>
              <w:right w:w="48" w:type="dxa"/>
            </w:tcMar>
          </w:tcPr>
          <w:p w14:paraId="61AC0EDB"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Consultările încă nu au avut loc și urmează să fie organizate la etapa de avizare și consultare a proiectului de act normativ. </w:t>
            </w:r>
          </w:p>
        </w:tc>
      </w:tr>
      <w:tr w:rsidR="002A5B12" w14:paraId="2C292974" w14:textId="77777777">
        <w:trPr>
          <w:jc w:val="center"/>
        </w:trPr>
        <w:tc>
          <w:tcPr>
            <w:tcW w:w="10033" w:type="dxa"/>
            <w:gridSpan w:val="4"/>
            <w:tcMar>
              <w:top w:w="24" w:type="dxa"/>
              <w:left w:w="48" w:type="dxa"/>
              <w:bottom w:w="24" w:type="dxa"/>
              <w:right w:w="48" w:type="dxa"/>
            </w:tcMar>
          </w:tcPr>
          <w:p w14:paraId="6C34443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Expuneţi</w:t>
            </w:r>
            <w:proofErr w:type="spellEnd"/>
            <w:r>
              <w:rPr>
                <w:rFonts w:ascii="Times New Roman" w:eastAsia="Times New Roman" w:hAnsi="Times New Roman" w:cs="Times New Roman"/>
              </w:rPr>
              <w:t xml:space="preserve"> succint </w:t>
            </w:r>
            <w:proofErr w:type="spellStart"/>
            <w:r>
              <w:rPr>
                <w:rFonts w:ascii="Times New Roman" w:eastAsia="Times New Roman" w:hAnsi="Times New Roman" w:cs="Times New Roman"/>
              </w:rPr>
              <w:t>poziţia</w:t>
            </w:r>
            <w:proofErr w:type="spellEnd"/>
            <w:r>
              <w:rPr>
                <w:rFonts w:ascii="Times New Roman" w:eastAsia="Times New Roman" w:hAnsi="Times New Roman" w:cs="Times New Roman"/>
              </w:rPr>
              <w:t xml:space="preserve"> fiecărei </w:t>
            </w:r>
            <w:proofErr w:type="spellStart"/>
            <w:r>
              <w:rPr>
                <w:rFonts w:ascii="Times New Roman" w:eastAsia="Times New Roman" w:hAnsi="Times New Roman" w:cs="Times New Roman"/>
              </w:rPr>
              <w:t>entităţi</w:t>
            </w:r>
            <w:proofErr w:type="spellEnd"/>
            <w:r>
              <w:rPr>
                <w:rFonts w:ascii="Times New Roman" w:eastAsia="Times New Roman" w:hAnsi="Times New Roman" w:cs="Times New Roman"/>
              </w:rPr>
              <w:t xml:space="preserve"> consultate </w:t>
            </w:r>
            <w:proofErr w:type="spellStart"/>
            <w:r>
              <w:rPr>
                <w:rFonts w:ascii="Times New Roman" w:eastAsia="Times New Roman" w:hAnsi="Times New Roman" w:cs="Times New Roman"/>
              </w:rPr>
              <w:t>faţă</w:t>
            </w:r>
            <w:proofErr w:type="spellEnd"/>
            <w:r>
              <w:rPr>
                <w:rFonts w:ascii="Times New Roman" w:eastAsia="Times New Roman" w:hAnsi="Times New Roman" w:cs="Times New Roman"/>
              </w:rPr>
              <w:t xml:space="preserve"> de documentul de analiză a impactului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/sau </w:t>
            </w:r>
            <w:proofErr w:type="spellStart"/>
            <w:r>
              <w:rPr>
                <w:rFonts w:ascii="Times New Roman" w:eastAsia="Times New Roman" w:hAnsi="Times New Roman" w:cs="Times New Roman"/>
              </w:rPr>
              <w:t>intervenţia</w:t>
            </w:r>
            <w:proofErr w:type="spellEnd"/>
            <w:r>
              <w:rPr>
                <w:rFonts w:ascii="Times New Roman" w:eastAsia="Times New Roman" w:hAnsi="Times New Roman" w:cs="Times New Roman"/>
              </w:rPr>
              <w:t xml:space="preserve"> propusă (se expune </w:t>
            </w:r>
            <w:proofErr w:type="spellStart"/>
            <w:r>
              <w:rPr>
                <w:rFonts w:ascii="Times New Roman" w:eastAsia="Times New Roman" w:hAnsi="Times New Roman" w:cs="Times New Roman"/>
              </w:rPr>
              <w:t>poziţia</w:t>
            </w:r>
            <w:proofErr w:type="spellEnd"/>
            <w:r>
              <w:rPr>
                <w:rFonts w:ascii="Times New Roman" w:eastAsia="Times New Roman" w:hAnsi="Times New Roman" w:cs="Times New Roman"/>
              </w:rPr>
              <w:t xml:space="preserve"> a cel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unui exponent din fiecare grup de interese identificat)</w:t>
            </w:r>
          </w:p>
        </w:tc>
      </w:tr>
      <w:tr w:rsidR="002A5B12" w14:paraId="13C345B1" w14:textId="77777777">
        <w:trPr>
          <w:jc w:val="center"/>
        </w:trPr>
        <w:tc>
          <w:tcPr>
            <w:tcW w:w="10033" w:type="dxa"/>
            <w:gridSpan w:val="4"/>
            <w:tcMar>
              <w:top w:w="24" w:type="dxa"/>
              <w:left w:w="48" w:type="dxa"/>
              <w:bottom w:w="24" w:type="dxa"/>
              <w:right w:w="48" w:type="dxa"/>
            </w:tcMar>
          </w:tcPr>
          <w:p w14:paraId="42280136" w14:textId="77777777" w:rsidR="002A5B12" w:rsidRDefault="007C6886" w:rsidP="00661234">
            <w:pPr>
              <w:tabs>
                <w:tab w:val="left" w:pos="884"/>
                <w:tab w:val="left" w:pos="1196"/>
              </w:tabs>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Consultările încă nu au avut loc și urmea</w:t>
            </w:r>
            <w:r>
              <w:rPr>
                <w:rFonts w:ascii="Times New Roman" w:eastAsia="Times New Roman" w:hAnsi="Times New Roman" w:cs="Times New Roman"/>
              </w:rPr>
              <w:t>ză să fie organizate la etapa de avizare și consultare a proiectului de act normativ. </w:t>
            </w:r>
          </w:p>
        </w:tc>
      </w:tr>
      <w:tr w:rsidR="002A5B12" w14:paraId="72D78429" w14:textId="77777777">
        <w:trPr>
          <w:jc w:val="center"/>
        </w:trPr>
        <w:tc>
          <w:tcPr>
            <w:tcW w:w="10033" w:type="dxa"/>
            <w:gridSpan w:val="4"/>
            <w:tcMar>
              <w:top w:w="24" w:type="dxa"/>
              <w:left w:w="48" w:type="dxa"/>
              <w:bottom w:w="24" w:type="dxa"/>
              <w:right w:w="48" w:type="dxa"/>
            </w:tcMar>
          </w:tcPr>
          <w:p w14:paraId="45555F4F"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b/>
              </w:rPr>
              <w:t>Anexă</w:t>
            </w:r>
          </w:p>
          <w:p w14:paraId="77362287" w14:textId="77777777" w:rsidR="002A5B12" w:rsidRDefault="007C6886" w:rsidP="00E07EA5">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Tabel pentru identificarea impacturilor</w:t>
            </w:r>
          </w:p>
        </w:tc>
      </w:tr>
      <w:tr w:rsidR="002A5B12" w14:paraId="763B395C" w14:textId="77777777">
        <w:trPr>
          <w:jc w:val="center"/>
        </w:trPr>
        <w:tc>
          <w:tcPr>
            <w:tcW w:w="4673" w:type="dxa"/>
            <w:shd w:val="clear" w:color="auto" w:fill="E6E6E6"/>
            <w:tcMar>
              <w:top w:w="24" w:type="dxa"/>
              <w:left w:w="48" w:type="dxa"/>
              <w:bottom w:w="24" w:type="dxa"/>
              <w:right w:w="48" w:type="dxa"/>
            </w:tcMar>
          </w:tcPr>
          <w:p w14:paraId="50F6011E"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rPr>
              <w:t>Categorii de impact</w:t>
            </w:r>
          </w:p>
        </w:tc>
        <w:tc>
          <w:tcPr>
            <w:tcW w:w="5360" w:type="dxa"/>
            <w:gridSpan w:val="3"/>
            <w:shd w:val="clear" w:color="auto" w:fill="E6E6E6"/>
            <w:tcMar>
              <w:top w:w="24" w:type="dxa"/>
              <w:left w:w="48" w:type="dxa"/>
              <w:bottom w:w="24" w:type="dxa"/>
              <w:right w:w="48" w:type="dxa"/>
            </w:tcMar>
          </w:tcPr>
          <w:p w14:paraId="0895CF37"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rPr>
              <w:t>Punctaj atribuit</w:t>
            </w:r>
          </w:p>
        </w:tc>
      </w:tr>
      <w:tr w:rsidR="002A5B12" w14:paraId="2827DC7F" w14:textId="77777777">
        <w:trPr>
          <w:jc w:val="center"/>
        </w:trPr>
        <w:tc>
          <w:tcPr>
            <w:tcW w:w="4673" w:type="dxa"/>
            <w:shd w:val="clear" w:color="auto" w:fill="E6E6E6"/>
            <w:tcMar>
              <w:top w:w="24" w:type="dxa"/>
              <w:left w:w="48" w:type="dxa"/>
              <w:bottom w:w="24" w:type="dxa"/>
              <w:right w:w="48" w:type="dxa"/>
            </w:tcMar>
          </w:tcPr>
          <w:p w14:paraId="59146A18"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 </w:t>
            </w:r>
          </w:p>
        </w:tc>
        <w:tc>
          <w:tcPr>
            <w:tcW w:w="2566" w:type="dxa"/>
            <w:shd w:val="clear" w:color="auto" w:fill="E6E6E6"/>
            <w:tcMar>
              <w:top w:w="24" w:type="dxa"/>
              <w:left w:w="48" w:type="dxa"/>
              <w:bottom w:w="24" w:type="dxa"/>
              <w:right w:w="48" w:type="dxa"/>
            </w:tcMar>
          </w:tcPr>
          <w:p w14:paraId="7F36F54E" w14:textId="77777777" w:rsidR="002A5B12" w:rsidRDefault="007C6886" w:rsidP="00E07EA5">
            <w:pPr>
              <w:spacing w:before="120" w:after="12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i/>
              </w:rPr>
              <w:t>Opţiunea</w:t>
            </w:r>
            <w:proofErr w:type="spellEnd"/>
            <w:r>
              <w:rPr>
                <w:rFonts w:ascii="Times New Roman" w:eastAsia="Times New Roman" w:hAnsi="Times New Roman" w:cs="Times New Roman"/>
                <w:i/>
              </w:rPr>
              <w:t xml:space="preserve"> propusă</w:t>
            </w:r>
          </w:p>
        </w:tc>
        <w:tc>
          <w:tcPr>
            <w:tcW w:w="1397" w:type="dxa"/>
            <w:shd w:val="clear" w:color="auto" w:fill="E6E6E6"/>
            <w:tcMar>
              <w:top w:w="24" w:type="dxa"/>
              <w:left w:w="48" w:type="dxa"/>
              <w:bottom w:w="24" w:type="dxa"/>
              <w:right w:w="48" w:type="dxa"/>
            </w:tcMar>
          </w:tcPr>
          <w:p w14:paraId="7A6DA253" w14:textId="77777777" w:rsidR="002A5B12" w:rsidRDefault="007C6886" w:rsidP="00E07EA5">
            <w:pPr>
              <w:spacing w:before="120" w:after="12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i/>
              </w:rPr>
              <w:t>Opţiunea</w:t>
            </w:r>
            <w:proofErr w:type="spellEnd"/>
            <w:r>
              <w:rPr>
                <w:rFonts w:ascii="Times New Roman" w:eastAsia="Times New Roman" w:hAnsi="Times New Roman" w:cs="Times New Roman"/>
                <w:i/>
              </w:rPr>
              <w:t xml:space="preserve"> alterativă 1</w:t>
            </w:r>
          </w:p>
        </w:tc>
        <w:tc>
          <w:tcPr>
            <w:tcW w:w="1397" w:type="dxa"/>
            <w:shd w:val="clear" w:color="auto" w:fill="E6E6E6"/>
            <w:tcMar>
              <w:top w:w="24" w:type="dxa"/>
              <w:left w:w="48" w:type="dxa"/>
              <w:bottom w:w="24" w:type="dxa"/>
              <w:right w:w="48" w:type="dxa"/>
            </w:tcMar>
          </w:tcPr>
          <w:p w14:paraId="5AF9470E" w14:textId="77777777" w:rsidR="002A5B12" w:rsidRDefault="007C6886" w:rsidP="00E07EA5">
            <w:pPr>
              <w:spacing w:before="120" w:after="12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i/>
              </w:rPr>
              <w:t>Opţiunea</w:t>
            </w:r>
            <w:proofErr w:type="spellEnd"/>
            <w:r>
              <w:rPr>
                <w:rFonts w:ascii="Times New Roman" w:eastAsia="Times New Roman" w:hAnsi="Times New Roman" w:cs="Times New Roman"/>
                <w:i/>
              </w:rPr>
              <w:t xml:space="preserve"> alterativă 2</w:t>
            </w:r>
          </w:p>
        </w:tc>
      </w:tr>
      <w:tr w:rsidR="002A5B12" w14:paraId="134BEBF6" w14:textId="77777777">
        <w:trPr>
          <w:jc w:val="center"/>
        </w:trPr>
        <w:tc>
          <w:tcPr>
            <w:tcW w:w="10033" w:type="dxa"/>
            <w:gridSpan w:val="4"/>
            <w:tcMar>
              <w:top w:w="24" w:type="dxa"/>
              <w:left w:w="48" w:type="dxa"/>
              <w:bottom w:w="24" w:type="dxa"/>
              <w:right w:w="48" w:type="dxa"/>
            </w:tcMar>
          </w:tcPr>
          <w:p w14:paraId="1C42CA0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494C6859"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rPr>
              <w:t>Economic</w:t>
            </w:r>
          </w:p>
        </w:tc>
      </w:tr>
      <w:tr w:rsidR="002A5B12" w14:paraId="45BC6BFD" w14:textId="77777777">
        <w:trPr>
          <w:jc w:val="center"/>
        </w:trPr>
        <w:tc>
          <w:tcPr>
            <w:tcW w:w="4673" w:type="dxa"/>
            <w:tcMar>
              <w:top w:w="24" w:type="dxa"/>
              <w:left w:w="48" w:type="dxa"/>
              <w:bottom w:w="24" w:type="dxa"/>
              <w:right w:w="48" w:type="dxa"/>
            </w:tcMar>
          </w:tcPr>
          <w:p w14:paraId="62A7F6B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costurile </w:t>
            </w:r>
            <w:proofErr w:type="spellStart"/>
            <w:r>
              <w:rPr>
                <w:rFonts w:ascii="Times New Roman" w:eastAsia="Times New Roman" w:hAnsi="Times New Roman" w:cs="Times New Roman"/>
              </w:rPr>
              <w:t>desfăşurării</w:t>
            </w:r>
            <w:proofErr w:type="spellEnd"/>
            <w:r>
              <w:rPr>
                <w:rFonts w:ascii="Times New Roman" w:eastAsia="Times New Roman" w:hAnsi="Times New Roman" w:cs="Times New Roman"/>
              </w:rPr>
              <w:t xml:space="preserve"> afacerilor</w:t>
            </w:r>
          </w:p>
        </w:tc>
        <w:tc>
          <w:tcPr>
            <w:tcW w:w="2566" w:type="dxa"/>
            <w:tcMar>
              <w:top w:w="24" w:type="dxa"/>
              <w:left w:w="48" w:type="dxa"/>
              <w:bottom w:w="24" w:type="dxa"/>
              <w:right w:w="48" w:type="dxa"/>
            </w:tcMar>
          </w:tcPr>
          <w:p w14:paraId="60B1773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-2</w:t>
            </w:r>
          </w:p>
        </w:tc>
        <w:tc>
          <w:tcPr>
            <w:tcW w:w="1397" w:type="dxa"/>
            <w:tcMar>
              <w:top w:w="24" w:type="dxa"/>
              <w:left w:w="48" w:type="dxa"/>
              <w:bottom w:w="24" w:type="dxa"/>
              <w:right w:w="48" w:type="dxa"/>
            </w:tcMar>
          </w:tcPr>
          <w:p w14:paraId="1338636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 -1 </w:t>
            </w:r>
          </w:p>
        </w:tc>
        <w:tc>
          <w:tcPr>
            <w:tcW w:w="1397" w:type="dxa"/>
            <w:tcMar>
              <w:top w:w="24" w:type="dxa"/>
              <w:left w:w="48" w:type="dxa"/>
              <w:bottom w:w="24" w:type="dxa"/>
              <w:right w:w="48" w:type="dxa"/>
            </w:tcMar>
          </w:tcPr>
          <w:p w14:paraId="754A7D7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26D0440" w14:textId="77777777">
        <w:trPr>
          <w:jc w:val="center"/>
        </w:trPr>
        <w:tc>
          <w:tcPr>
            <w:tcW w:w="4673" w:type="dxa"/>
            <w:tcMar>
              <w:top w:w="24" w:type="dxa"/>
              <w:left w:w="48" w:type="dxa"/>
              <w:bottom w:w="24" w:type="dxa"/>
              <w:right w:w="48" w:type="dxa"/>
            </w:tcMar>
          </w:tcPr>
          <w:p w14:paraId="6887AB7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povara administrativă</w:t>
            </w:r>
          </w:p>
        </w:tc>
        <w:tc>
          <w:tcPr>
            <w:tcW w:w="2566" w:type="dxa"/>
            <w:tcMar>
              <w:top w:w="24" w:type="dxa"/>
              <w:left w:w="48" w:type="dxa"/>
              <w:bottom w:w="24" w:type="dxa"/>
              <w:right w:w="48" w:type="dxa"/>
            </w:tcMar>
          </w:tcPr>
          <w:p w14:paraId="37C8E26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-2</w:t>
            </w:r>
          </w:p>
        </w:tc>
        <w:tc>
          <w:tcPr>
            <w:tcW w:w="1397" w:type="dxa"/>
            <w:tcMar>
              <w:top w:w="24" w:type="dxa"/>
              <w:left w:w="48" w:type="dxa"/>
              <w:bottom w:w="24" w:type="dxa"/>
              <w:right w:w="48" w:type="dxa"/>
            </w:tcMar>
          </w:tcPr>
          <w:p w14:paraId="30A310F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-1</w:t>
            </w:r>
          </w:p>
        </w:tc>
        <w:tc>
          <w:tcPr>
            <w:tcW w:w="1397" w:type="dxa"/>
            <w:tcMar>
              <w:top w:w="24" w:type="dxa"/>
              <w:left w:w="48" w:type="dxa"/>
              <w:bottom w:w="24" w:type="dxa"/>
              <w:right w:w="48" w:type="dxa"/>
            </w:tcMar>
          </w:tcPr>
          <w:p w14:paraId="7ACDC0D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2011EBA" w14:textId="77777777">
        <w:trPr>
          <w:jc w:val="center"/>
        </w:trPr>
        <w:tc>
          <w:tcPr>
            <w:tcW w:w="4673" w:type="dxa"/>
            <w:tcMar>
              <w:top w:w="24" w:type="dxa"/>
              <w:left w:w="48" w:type="dxa"/>
              <w:bottom w:w="24" w:type="dxa"/>
              <w:right w:w="48" w:type="dxa"/>
            </w:tcMar>
          </w:tcPr>
          <w:p w14:paraId="6B48F1F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fluxurile comerciale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investiţionale</w:t>
            </w:r>
            <w:proofErr w:type="spellEnd"/>
          </w:p>
        </w:tc>
        <w:tc>
          <w:tcPr>
            <w:tcW w:w="2566" w:type="dxa"/>
            <w:tcMar>
              <w:top w:w="24" w:type="dxa"/>
              <w:left w:w="48" w:type="dxa"/>
              <w:bottom w:w="24" w:type="dxa"/>
              <w:right w:w="48" w:type="dxa"/>
            </w:tcMar>
          </w:tcPr>
          <w:p w14:paraId="6877DEC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-2/+1</w:t>
            </w:r>
          </w:p>
        </w:tc>
        <w:tc>
          <w:tcPr>
            <w:tcW w:w="1397" w:type="dxa"/>
            <w:tcMar>
              <w:top w:w="24" w:type="dxa"/>
              <w:left w:w="48" w:type="dxa"/>
              <w:bottom w:w="24" w:type="dxa"/>
              <w:right w:w="48" w:type="dxa"/>
            </w:tcMar>
          </w:tcPr>
          <w:p w14:paraId="59AA8C4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-2/+1 </w:t>
            </w:r>
          </w:p>
        </w:tc>
        <w:tc>
          <w:tcPr>
            <w:tcW w:w="1397" w:type="dxa"/>
            <w:tcMar>
              <w:top w:w="24" w:type="dxa"/>
              <w:left w:w="48" w:type="dxa"/>
              <w:bottom w:w="24" w:type="dxa"/>
              <w:right w:w="48" w:type="dxa"/>
            </w:tcMar>
          </w:tcPr>
          <w:p w14:paraId="7ED44FA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5694BC3" w14:textId="77777777">
        <w:trPr>
          <w:jc w:val="center"/>
        </w:trPr>
        <w:tc>
          <w:tcPr>
            <w:tcW w:w="4673" w:type="dxa"/>
            <w:tcMar>
              <w:top w:w="24" w:type="dxa"/>
              <w:left w:w="48" w:type="dxa"/>
              <w:bottom w:w="24" w:type="dxa"/>
              <w:right w:w="48" w:type="dxa"/>
            </w:tcMar>
          </w:tcPr>
          <w:p w14:paraId="700483A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competitivitatea afacerilor</w:t>
            </w:r>
          </w:p>
        </w:tc>
        <w:tc>
          <w:tcPr>
            <w:tcW w:w="2566" w:type="dxa"/>
            <w:tcMar>
              <w:top w:w="24" w:type="dxa"/>
              <w:left w:w="48" w:type="dxa"/>
              <w:bottom w:w="24" w:type="dxa"/>
              <w:right w:w="48" w:type="dxa"/>
            </w:tcMar>
          </w:tcPr>
          <w:p w14:paraId="783CC0A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DB82FC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E0D75B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FB39B12" w14:textId="77777777">
        <w:trPr>
          <w:jc w:val="center"/>
        </w:trPr>
        <w:tc>
          <w:tcPr>
            <w:tcW w:w="4673" w:type="dxa"/>
            <w:tcMar>
              <w:top w:w="24" w:type="dxa"/>
              <w:left w:w="48" w:type="dxa"/>
              <w:bottom w:w="24" w:type="dxa"/>
              <w:right w:w="48" w:type="dxa"/>
            </w:tcMar>
          </w:tcPr>
          <w:p w14:paraId="438C5BB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activitatea diferitor categorii de întreprinderi mici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mijlocii</w:t>
            </w:r>
          </w:p>
        </w:tc>
        <w:tc>
          <w:tcPr>
            <w:tcW w:w="2566" w:type="dxa"/>
            <w:tcMar>
              <w:top w:w="24" w:type="dxa"/>
              <w:left w:w="48" w:type="dxa"/>
              <w:bottom w:w="24" w:type="dxa"/>
              <w:right w:w="48" w:type="dxa"/>
            </w:tcMar>
          </w:tcPr>
          <w:p w14:paraId="7AA7808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6FB91D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C16BF3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70BD104" w14:textId="77777777">
        <w:trPr>
          <w:jc w:val="center"/>
        </w:trPr>
        <w:tc>
          <w:tcPr>
            <w:tcW w:w="4673" w:type="dxa"/>
            <w:tcMar>
              <w:top w:w="24" w:type="dxa"/>
              <w:left w:w="48" w:type="dxa"/>
              <w:bottom w:w="24" w:type="dxa"/>
              <w:right w:w="48" w:type="dxa"/>
            </w:tcMar>
          </w:tcPr>
          <w:p w14:paraId="7850CA97" w14:textId="77777777" w:rsidR="002A5B12" w:rsidRDefault="007C6886" w:rsidP="00E07EA5">
            <w:pPr>
              <w:spacing w:before="120" w:after="120" w:line="240" w:lineRule="auto"/>
              <w:rPr>
                <w:rFonts w:ascii="Times New Roman" w:eastAsia="Times New Roman" w:hAnsi="Times New Roman" w:cs="Times New Roman"/>
              </w:rPr>
            </w:pPr>
            <w:proofErr w:type="spellStart"/>
            <w:r>
              <w:rPr>
                <w:rFonts w:ascii="Times New Roman" w:eastAsia="Times New Roman" w:hAnsi="Times New Roman" w:cs="Times New Roman"/>
              </w:rPr>
              <w:t>concurenţa</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piaţă</w:t>
            </w:r>
            <w:proofErr w:type="spellEnd"/>
          </w:p>
        </w:tc>
        <w:tc>
          <w:tcPr>
            <w:tcW w:w="2566" w:type="dxa"/>
            <w:tcMar>
              <w:top w:w="24" w:type="dxa"/>
              <w:left w:w="48" w:type="dxa"/>
              <w:bottom w:w="24" w:type="dxa"/>
              <w:right w:w="48" w:type="dxa"/>
            </w:tcMar>
          </w:tcPr>
          <w:p w14:paraId="4E7906E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+2</w:t>
            </w:r>
          </w:p>
        </w:tc>
        <w:tc>
          <w:tcPr>
            <w:tcW w:w="1397" w:type="dxa"/>
            <w:tcMar>
              <w:top w:w="24" w:type="dxa"/>
              <w:left w:w="48" w:type="dxa"/>
              <w:bottom w:w="24" w:type="dxa"/>
              <w:right w:w="48" w:type="dxa"/>
            </w:tcMar>
          </w:tcPr>
          <w:p w14:paraId="1409C1A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+1 </w:t>
            </w:r>
          </w:p>
        </w:tc>
        <w:tc>
          <w:tcPr>
            <w:tcW w:w="1397" w:type="dxa"/>
            <w:tcMar>
              <w:top w:w="24" w:type="dxa"/>
              <w:left w:w="48" w:type="dxa"/>
              <w:bottom w:w="24" w:type="dxa"/>
              <w:right w:w="48" w:type="dxa"/>
            </w:tcMar>
          </w:tcPr>
          <w:p w14:paraId="5557DED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4927A65" w14:textId="77777777">
        <w:trPr>
          <w:jc w:val="center"/>
        </w:trPr>
        <w:tc>
          <w:tcPr>
            <w:tcW w:w="4673" w:type="dxa"/>
            <w:tcMar>
              <w:top w:w="24" w:type="dxa"/>
              <w:left w:w="48" w:type="dxa"/>
              <w:bottom w:w="24" w:type="dxa"/>
              <w:right w:w="48" w:type="dxa"/>
            </w:tcMar>
          </w:tcPr>
          <w:p w14:paraId="0B5E5F2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activitatea de inovare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cercetare</w:t>
            </w:r>
          </w:p>
        </w:tc>
        <w:tc>
          <w:tcPr>
            <w:tcW w:w="2566" w:type="dxa"/>
            <w:tcMar>
              <w:top w:w="24" w:type="dxa"/>
              <w:left w:w="48" w:type="dxa"/>
              <w:bottom w:w="24" w:type="dxa"/>
              <w:right w:w="48" w:type="dxa"/>
            </w:tcMar>
          </w:tcPr>
          <w:p w14:paraId="3E75D0D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8DA526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A98020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584B9F3" w14:textId="77777777">
        <w:trPr>
          <w:jc w:val="center"/>
        </w:trPr>
        <w:tc>
          <w:tcPr>
            <w:tcW w:w="4673" w:type="dxa"/>
            <w:tcMar>
              <w:top w:w="24" w:type="dxa"/>
              <w:left w:w="48" w:type="dxa"/>
              <w:bottom w:w="24" w:type="dxa"/>
              <w:right w:w="48" w:type="dxa"/>
            </w:tcMar>
          </w:tcPr>
          <w:p w14:paraId="726E42D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veniturile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cheltuielile publice</w:t>
            </w:r>
          </w:p>
        </w:tc>
        <w:tc>
          <w:tcPr>
            <w:tcW w:w="2566" w:type="dxa"/>
            <w:tcMar>
              <w:top w:w="24" w:type="dxa"/>
              <w:left w:w="48" w:type="dxa"/>
              <w:bottom w:w="24" w:type="dxa"/>
              <w:right w:w="48" w:type="dxa"/>
            </w:tcMar>
          </w:tcPr>
          <w:p w14:paraId="0B071D4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AFA16D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74BE45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6A22CC3" w14:textId="77777777">
        <w:trPr>
          <w:jc w:val="center"/>
        </w:trPr>
        <w:tc>
          <w:tcPr>
            <w:tcW w:w="4673" w:type="dxa"/>
            <w:tcMar>
              <w:top w:w="24" w:type="dxa"/>
              <w:left w:w="48" w:type="dxa"/>
              <w:bottom w:w="24" w:type="dxa"/>
              <w:right w:w="48" w:type="dxa"/>
            </w:tcMar>
          </w:tcPr>
          <w:p w14:paraId="1FDE63E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cadrul </w:t>
            </w:r>
            <w:proofErr w:type="spellStart"/>
            <w:r>
              <w:rPr>
                <w:rFonts w:ascii="Times New Roman" w:eastAsia="Times New Roman" w:hAnsi="Times New Roman" w:cs="Times New Roman"/>
              </w:rPr>
              <w:t>instituţional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autorităţilor</w:t>
            </w:r>
            <w:proofErr w:type="spellEnd"/>
            <w:r>
              <w:rPr>
                <w:rFonts w:ascii="Times New Roman" w:eastAsia="Times New Roman" w:hAnsi="Times New Roman" w:cs="Times New Roman"/>
              </w:rPr>
              <w:t xml:space="preserve"> publice</w:t>
            </w:r>
          </w:p>
        </w:tc>
        <w:tc>
          <w:tcPr>
            <w:tcW w:w="2566" w:type="dxa"/>
            <w:tcMar>
              <w:top w:w="24" w:type="dxa"/>
              <w:left w:w="48" w:type="dxa"/>
              <w:bottom w:w="24" w:type="dxa"/>
              <w:right w:w="48" w:type="dxa"/>
            </w:tcMar>
          </w:tcPr>
          <w:p w14:paraId="31ABCA2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677BC5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A825FC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6A783DC8" w14:textId="77777777">
        <w:trPr>
          <w:jc w:val="center"/>
        </w:trPr>
        <w:tc>
          <w:tcPr>
            <w:tcW w:w="4673" w:type="dxa"/>
            <w:tcMar>
              <w:top w:w="24" w:type="dxa"/>
              <w:left w:w="48" w:type="dxa"/>
              <w:bottom w:w="24" w:type="dxa"/>
              <w:right w:w="48" w:type="dxa"/>
            </w:tcMar>
          </w:tcPr>
          <w:p w14:paraId="269C274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alegerea, calitatea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preţurile</w:t>
            </w:r>
            <w:proofErr w:type="spellEnd"/>
            <w:r>
              <w:rPr>
                <w:rFonts w:ascii="Times New Roman" w:eastAsia="Times New Roman" w:hAnsi="Times New Roman" w:cs="Times New Roman"/>
              </w:rPr>
              <w:t xml:space="preserve"> pentru consumatori</w:t>
            </w:r>
          </w:p>
        </w:tc>
        <w:tc>
          <w:tcPr>
            <w:tcW w:w="2566" w:type="dxa"/>
            <w:tcMar>
              <w:top w:w="24" w:type="dxa"/>
              <w:left w:w="48" w:type="dxa"/>
              <w:bottom w:w="24" w:type="dxa"/>
              <w:right w:w="48" w:type="dxa"/>
            </w:tcMar>
          </w:tcPr>
          <w:p w14:paraId="4F9AD07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13C35A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DE2378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80331C5" w14:textId="77777777">
        <w:trPr>
          <w:jc w:val="center"/>
        </w:trPr>
        <w:tc>
          <w:tcPr>
            <w:tcW w:w="4673" w:type="dxa"/>
            <w:tcMar>
              <w:top w:w="24" w:type="dxa"/>
              <w:left w:w="48" w:type="dxa"/>
              <w:bottom w:w="24" w:type="dxa"/>
              <w:right w:w="48" w:type="dxa"/>
            </w:tcMar>
          </w:tcPr>
          <w:p w14:paraId="21E7190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bunăstarea </w:t>
            </w:r>
            <w:r>
              <w:rPr>
                <w:rFonts w:ascii="Times New Roman" w:eastAsia="Times New Roman" w:hAnsi="Times New Roman" w:cs="Times New Roman"/>
              </w:rPr>
              <w:t xml:space="preserve">gospodăriilor casnice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cetăţenilor</w:t>
            </w:r>
            <w:proofErr w:type="spellEnd"/>
          </w:p>
        </w:tc>
        <w:tc>
          <w:tcPr>
            <w:tcW w:w="2566" w:type="dxa"/>
            <w:tcMar>
              <w:top w:w="24" w:type="dxa"/>
              <w:left w:w="48" w:type="dxa"/>
              <w:bottom w:w="24" w:type="dxa"/>
              <w:right w:w="48" w:type="dxa"/>
            </w:tcMar>
          </w:tcPr>
          <w:p w14:paraId="39B795D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2FCBF8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54BCCF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48186C3" w14:textId="77777777">
        <w:trPr>
          <w:jc w:val="center"/>
        </w:trPr>
        <w:tc>
          <w:tcPr>
            <w:tcW w:w="4673" w:type="dxa"/>
            <w:tcMar>
              <w:top w:w="24" w:type="dxa"/>
              <w:left w:w="48" w:type="dxa"/>
              <w:bottom w:w="24" w:type="dxa"/>
              <w:right w:w="48" w:type="dxa"/>
            </w:tcMar>
          </w:tcPr>
          <w:p w14:paraId="7D9906B7" w14:textId="77777777" w:rsidR="002A5B12" w:rsidRDefault="007C6886" w:rsidP="00E07EA5">
            <w:pPr>
              <w:spacing w:before="120" w:after="120" w:line="240" w:lineRule="auto"/>
              <w:rPr>
                <w:rFonts w:ascii="Times New Roman" w:eastAsia="Times New Roman" w:hAnsi="Times New Roman" w:cs="Times New Roman"/>
              </w:rPr>
            </w:pPr>
            <w:proofErr w:type="spellStart"/>
            <w:r>
              <w:rPr>
                <w:rFonts w:ascii="Times New Roman" w:eastAsia="Times New Roman" w:hAnsi="Times New Roman" w:cs="Times New Roman"/>
              </w:rPr>
              <w:t>situaţia</w:t>
            </w:r>
            <w:proofErr w:type="spellEnd"/>
            <w:r>
              <w:rPr>
                <w:rFonts w:ascii="Times New Roman" w:eastAsia="Times New Roman" w:hAnsi="Times New Roman" w:cs="Times New Roman"/>
              </w:rPr>
              <w:t xml:space="preserve"> social-economică în anumite regiuni</w:t>
            </w:r>
          </w:p>
        </w:tc>
        <w:tc>
          <w:tcPr>
            <w:tcW w:w="2566" w:type="dxa"/>
            <w:tcMar>
              <w:top w:w="24" w:type="dxa"/>
              <w:left w:w="48" w:type="dxa"/>
              <w:bottom w:w="24" w:type="dxa"/>
              <w:right w:w="48" w:type="dxa"/>
            </w:tcMar>
          </w:tcPr>
          <w:p w14:paraId="72A3848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61F239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3A5A39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1461C24" w14:textId="77777777">
        <w:trPr>
          <w:jc w:val="center"/>
        </w:trPr>
        <w:tc>
          <w:tcPr>
            <w:tcW w:w="4673" w:type="dxa"/>
            <w:tcMar>
              <w:top w:w="24" w:type="dxa"/>
              <w:left w:w="48" w:type="dxa"/>
              <w:bottom w:w="24" w:type="dxa"/>
              <w:right w:w="48" w:type="dxa"/>
            </w:tcMar>
          </w:tcPr>
          <w:p w14:paraId="681BB596" w14:textId="77777777" w:rsidR="002A5B12" w:rsidRDefault="007C6886" w:rsidP="00E07EA5">
            <w:pPr>
              <w:spacing w:before="120" w:after="120" w:line="240" w:lineRule="auto"/>
              <w:rPr>
                <w:rFonts w:ascii="Times New Roman" w:eastAsia="Times New Roman" w:hAnsi="Times New Roman" w:cs="Times New Roman"/>
              </w:rPr>
            </w:pPr>
            <w:proofErr w:type="spellStart"/>
            <w:r>
              <w:rPr>
                <w:rFonts w:ascii="Times New Roman" w:eastAsia="Times New Roman" w:hAnsi="Times New Roman" w:cs="Times New Roman"/>
              </w:rPr>
              <w:t>situaţia</w:t>
            </w:r>
            <w:proofErr w:type="spellEnd"/>
            <w:r>
              <w:rPr>
                <w:rFonts w:ascii="Times New Roman" w:eastAsia="Times New Roman" w:hAnsi="Times New Roman" w:cs="Times New Roman"/>
              </w:rPr>
              <w:t xml:space="preserve"> macroeconomică</w:t>
            </w:r>
          </w:p>
        </w:tc>
        <w:tc>
          <w:tcPr>
            <w:tcW w:w="2566" w:type="dxa"/>
            <w:tcMar>
              <w:top w:w="24" w:type="dxa"/>
              <w:left w:w="48" w:type="dxa"/>
              <w:bottom w:w="24" w:type="dxa"/>
              <w:right w:w="48" w:type="dxa"/>
            </w:tcMar>
          </w:tcPr>
          <w:p w14:paraId="0A12380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7FC13A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C8B90F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AFA8347" w14:textId="77777777">
        <w:trPr>
          <w:jc w:val="center"/>
        </w:trPr>
        <w:tc>
          <w:tcPr>
            <w:tcW w:w="4673" w:type="dxa"/>
            <w:tcMar>
              <w:top w:w="24" w:type="dxa"/>
              <w:left w:w="48" w:type="dxa"/>
              <w:bottom w:w="24" w:type="dxa"/>
              <w:right w:w="48" w:type="dxa"/>
            </w:tcMar>
          </w:tcPr>
          <w:p w14:paraId="69B26FE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alte aspecte economice</w:t>
            </w:r>
          </w:p>
        </w:tc>
        <w:tc>
          <w:tcPr>
            <w:tcW w:w="2566" w:type="dxa"/>
            <w:tcMar>
              <w:top w:w="24" w:type="dxa"/>
              <w:left w:w="48" w:type="dxa"/>
              <w:bottom w:w="24" w:type="dxa"/>
              <w:right w:w="48" w:type="dxa"/>
            </w:tcMar>
          </w:tcPr>
          <w:p w14:paraId="7D7D226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49CB50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ADAE7C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22BB988" w14:textId="77777777">
        <w:trPr>
          <w:jc w:val="center"/>
        </w:trPr>
        <w:tc>
          <w:tcPr>
            <w:tcW w:w="10033" w:type="dxa"/>
            <w:gridSpan w:val="4"/>
            <w:tcMar>
              <w:top w:w="24" w:type="dxa"/>
              <w:left w:w="48" w:type="dxa"/>
              <w:bottom w:w="24" w:type="dxa"/>
              <w:right w:w="48" w:type="dxa"/>
            </w:tcMar>
          </w:tcPr>
          <w:p w14:paraId="078B074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7BA3B38A"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rPr>
              <w:t>Social</w:t>
            </w:r>
          </w:p>
        </w:tc>
      </w:tr>
      <w:tr w:rsidR="002A5B12" w14:paraId="58FE4B88" w14:textId="77777777">
        <w:trPr>
          <w:jc w:val="center"/>
        </w:trPr>
        <w:tc>
          <w:tcPr>
            <w:tcW w:w="4673" w:type="dxa"/>
            <w:tcMar>
              <w:top w:w="24" w:type="dxa"/>
              <w:left w:w="48" w:type="dxa"/>
              <w:bottom w:w="24" w:type="dxa"/>
              <w:right w:w="48" w:type="dxa"/>
            </w:tcMar>
          </w:tcPr>
          <w:p w14:paraId="72796EB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gradul de ocupare a </w:t>
            </w:r>
            <w:proofErr w:type="spellStart"/>
            <w:r>
              <w:rPr>
                <w:rFonts w:ascii="Times New Roman" w:eastAsia="Times New Roman" w:hAnsi="Times New Roman" w:cs="Times New Roman"/>
              </w:rPr>
              <w:t>forţei</w:t>
            </w:r>
            <w:proofErr w:type="spellEnd"/>
            <w:r>
              <w:rPr>
                <w:rFonts w:ascii="Times New Roman" w:eastAsia="Times New Roman" w:hAnsi="Times New Roman" w:cs="Times New Roman"/>
              </w:rPr>
              <w:t xml:space="preserve"> de muncă</w:t>
            </w:r>
          </w:p>
        </w:tc>
        <w:tc>
          <w:tcPr>
            <w:tcW w:w="2566" w:type="dxa"/>
            <w:tcMar>
              <w:top w:w="24" w:type="dxa"/>
              <w:left w:w="48" w:type="dxa"/>
              <w:bottom w:w="24" w:type="dxa"/>
              <w:right w:w="48" w:type="dxa"/>
            </w:tcMar>
          </w:tcPr>
          <w:p w14:paraId="379A752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B8CEBA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83A208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7FFDAB83" w14:textId="77777777">
        <w:trPr>
          <w:jc w:val="center"/>
        </w:trPr>
        <w:tc>
          <w:tcPr>
            <w:tcW w:w="4673" w:type="dxa"/>
            <w:tcMar>
              <w:top w:w="24" w:type="dxa"/>
              <w:left w:w="48" w:type="dxa"/>
              <w:bottom w:w="24" w:type="dxa"/>
              <w:right w:w="48" w:type="dxa"/>
            </w:tcMar>
          </w:tcPr>
          <w:p w14:paraId="2EA4899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nivelul de salarizare</w:t>
            </w:r>
          </w:p>
        </w:tc>
        <w:tc>
          <w:tcPr>
            <w:tcW w:w="2566" w:type="dxa"/>
            <w:tcMar>
              <w:top w:w="24" w:type="dxa"/>
              <w:left w:w="48" w:type="dxa"/>
              <w:bottom w:w="24" w:type="dxa"/>
              <w:right w:w="48" w:type="dxa"/>
            </w:tcMar>
          </w:tcPr>
          <w:p w14:paraId="793FDA0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19CD6E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EE108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470FB69" w14:textId="77777777">
        <w:trPr>
          <w:jc w:val="center"/>
        </w:trPr>
        <w:tc>
          <w:tcPr>
            <w:tcW w:w="4673" w:type="dxa"/>
            <w:tcMar>
              <w:top w:w="24" w:type="dxa"/>
              <w:left w:w="48" w:type="dxa"/>
              <w:bottom w:w="24" w:type="dxa"/>
              <w:right w:w="48" w:type="dxa"/>
            </w:tcMar>
          </w:tcPr>
          <w:p w14:paraId="41A9CCEE" w14:textId="77777777" w:rsidR="002A5B12" w:rsidRDefault="007C6886" w:rsidP="00E07EA5">
            <w:pPr>
              <w:spacing w:before="120" w:after="120" w:line="240" w:lineRule="auto"/>
              <w:rPr>
                <w:rFonts w:ascii="Times New Roman" w:eastAsia="Times New Roman" w:hAnsi="Times New Roman" w:cs="Times New Roman"/>
              </w:rPr>
            </w:pP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organizarea muncii</w:t>
            </w:r>
          </w:p>
        </w:tc>
        <w:tc>
          <w:tcPr>
            <w:tcW w:w="2566" w:type="dxa"/>
            <w:tcMar>
              <w:top w:w="24" w:type="dxa"/>
              <w:left w:w="48" w:type="dxa"/>
              <w:bottom w:w="24" w:type="dxa"/>
              <w:right w:w="48" w:type="dxa"/>
            </w:tcMar>
          </w:tcPr>
          <w:p w14:paraId="2A27A88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E79AD6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CFEC24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65E74A9D" w14:textId="77777777">
        <w:trPr>
          <w:jc w:val="center"/>
        </w:trPr>
        <w:tc>
          <w:tcPr>
            <w:tcW w:w="4673" w:type="dxa"/>
            <w:tcMar>
              <w:top w:w="24" w:type="dxa"/>
              <w:left w:w="48" w:type="dxa"/>
              <w:bottom w:w="24" w:type="dxa"/>
              <w:right w:w="48" w:type="dxa"/>
            </w:tcMar>
          </w:tcPr>
          <w:p w14:paraId="3D69B32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sănătatea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securitatea muncii</w:t>
            </w:r>
          </w:p>
        </w:tc>
        <w:tc>
          <w:tcPr>
            <w:tcW w:w="2566" w:type="dxa"/>
            <w:tcMar>
              <w:top w:w="24" w:type="dxa"/>
              <w:left w:w="48" w:type="dxa"/>
              <w:bottom w:w="24" w:type="dxa"/>
              <w:right w:w="48" w:type="dxa"/>
            </w:tcMar>
          </w:tcPr>
          <w:p w14:paraId="1B0AA80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2DBD0C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5E4644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0A424A3" w14:textId="77777777">
        <w:trPr>
          <w:jc w:val="center"/>
        </w:trPr>
        <w:tc>
          <w:tcPr>
            <w:tcW w:w="4673" w:type="dxa"/>
            <w:tcMar>
              <w:top w:w="24" w:type="dxa"/>
              <w:left w:w="48" w:type="dxa"/>
              <w:bottom w:w="24" w:type="dxa"/>
              <w:right w:w="48" w:type="dxa"/>
            </w:tcMar>
          </w:tcPr>
          <w:p w14:paraId="7526459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formarea profesională</w:t>
            </w:r>
          </w:p>
        </w:tc>
        <w:tc>
          <w:tcPr>
            <w:tcW w:w="2566" w:type="dxa"/>
            <w:tcMar>
              <w:top w:w="24" w:type="dxa"/>
              <w:left w:w="48" w:type="dxa"/>
              <w:bottom w:w="24" w:type="dxa"/>
              <w:right w:w="48" w:type="dxa"/>
            </w:tcMar>
          </w:tcPr>
          <w:p w14:paraId="5847D86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74552F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98C910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07080E8" w14:textId="77777777">
        <w:trPr>
          <w:jc w:val="center"/>
        </w:trPr>
        <w:tc>
          <w:tcPr>
            <w:tcW w:w="4673" w:type="dxa"/>
            <w:tcMar>
              <w:top w:w="24" w:type="dxa"/>
              <w:left w:w="48" w:type="dxa"/>
              <w:bottom w:w="24" w:type="dxa"/>
              <w:right w:w="48" w:type="dxa"/>
            </w:tcMar>
          </w:tcPr>
          <w:p w14:paraId="741E676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inegalitatea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distribuţia</w:t>
            </w:r>
            <w:proofErr w:type="spellEnd"/>
            <w:r>
              <w:rPr>
                <w:rFonts w:ascii="Times New Roman" w:eastAsia="Times New Roman" w:hAnsi="Times New Roman" w:cs="Times New Roman"/>
              </w:rPr>
              <w:t xml:space="preserve"> veniturilor</w:t>
            </w:r>
          </w:p>
        </w:tc>
        <w:tc>
          <w:tcPr>
            <w:tcW w:w="2566" w:type="dxa"/>
            <w:tcMar>
              <w:top w:w="24" w:type="dxa"/>
              <w:left w:w="48" w:type="dxa"/>
              <w:bottom w:w="24" w:type="dxa"/>
              <w:right w:w="48" w:type="dxa"/>
            </w:tcMar>
          </w:tcPr>
          <w:p w14:paraId="4D72446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3B7A0E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6A4843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0DB519F" w14:textId="77777777">
        <w:trPr>
          <w:jc w:val="center"/>
        </w:trPr>
        <w:tc>
          <w:tcPr>
            <w:tcW w:w="4673" w:type="dxa"/>
            <w:tcMar>
              <w:top w:w="24" w:type="dxa"/>
              <w:left w:w="48" w:type="dxa"/>
              <w:bottom w:w="24" w:type="dxa"/>
              <w:right w:w="48" w:type="dxa"/>
            </w:tcMar>
          </w:tcPr>
          <w:p w14:paraId="470DF8B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nivelul veniturilor </w:t>
            </w:r>
            <w:proofErr w:type="spellStart"/>
            <w:r>
              <w:rPr>
                <w:rFonts w:ascii="Times New Roman" w:eastAsia="Times New Roman" w:hAnsi="Times New Roman" w:cs="Times New Roman"/>
              </w:rPr>
              <w:t>populaţiei</w:t>
            </w:r>
            <w:proofErr w:type="spellEnd"/>
          </w:p>
        </w:tc>
        <w:tc>
          <w:tcPr>
            <w:tcW w:w="2566" w:type="dxa"/>
            <w:tcMar>
              <w:top w:w="24" w:type="dxa"/>
              <w:left w:w="48" w:type="dxa"/>
              <w:bottom w:w="24" w:type="dxa"/>
              <w:right w:w="48" w:type="dxa"/>
            </w:tcMar>
          </w:tcPr>
          <w:p w14:paraId="7E0BFD7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D07AEC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AC8B52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C3460E5" w14:textId="77777777">
        <w:trPr>
          <w:jc w:val="center"/>
        </w:trPr>
        <w:tc>
          <w:tcPr>
            <w:tcW w:w="4673" w:type="dxa"/>
            <w:tcMar>
              <w:top w:w="24" w:type="dxa"/>
              <w:left w:w="48" w:type="dxa"/>
              <w:bottom w:w="24" w:type="dxa"/>
              <w:right w:w="48" w:type="dxa"/>
            </w:tcMar>
          </w:tcPr>
          <w:p w14:paraId="18D7052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nivelul sărăciei</w:t>
            </w:r>
          </w:p>
        </w:tc>
        <w:tc>
          <w:tcPr>
            <w:tcW w:w="2566" w:type="dxa"/>
            <w:tcMar>
              <w:top w:w="24" w:type="dxa"/>
              <w:left w:w="48" w:type="dxa"/>
              <w:bottom w:w="24" w:type="dxa"/>
              <w:right w:w="48" w:type="dxa"/>
            </w:tcMar>
          </w:tcPr>
          <w:p w14:paraId="0BEE3C9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D97D50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4D5769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98151E7" w14:textId="77777777">
        <w:trPr>
          <w:jc w:val="center"/>
        </w:trPr>
        <w:tc>
          <w:tcPr>
            <w:tcW w:w="4673" w:type="dxa"/>
            <w:tcMar>
              <w:top w:w="24" w:type="dxa"/>
              <w:left w:w="48" w:type="dxa"/>
              <w:bottom w:w="24" w:type="dxa"/>
              <w:right w:w="48" w:type="dxa"/>
            </w:tcMar>
          </w:tcPr>
          <w:p w14:paraId="2075EE5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la bunuri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servicii de </w:t>
            </w:r>
            <w:r>
              <w:rPr>
                <w:rFonts w:ascii="Times New Roman" w:eastAsia="Times New Roman" w:hAnsi="Times New Roman" w:cs="Times New Roman"/>
              </w:rPr>
              <w:t>bază, în special pentru persoanele social-vulnerabile</w:t>
            </w:r>
          </w:p>
        </w:tc>
        <w:tc>
          <w:tcPr>
            <w:tcW w:w="2566" w:type="dxa"/>
            <w:tcMar>
              <w:top w:w="24" w:type="dxa"/>
              <w:left w:w="48" w:type="dxa"/>
              <w:bottom w:w="24" w:type="dxa"/>
              <w:right w:w="48" w:type="dxa"/>
            </w:tcMar>
          </w:tcPr>
          <w:p w14:paraId="6745151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047B20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985B51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7FCF8D7F" w14:textId="77777777">
        <w:trPr>
          <w:jc w:val="center"/>
        </w:trPr>
        <w:tc>
          <w:tcPr>
            <w:tcW w:w="4673" w:type="dxa"/>
            <w:tcMar>
              <w:top w:w="24" w:type="dxa"/>
              <w:left w:w="48" w:type="dxa"/>
              <w:bottom w:w="24" w:type="dxa"/>
              <w:right w:w="48" w:type="dxa"/>
            </w:tcMar>
          </w:tcPr>
          <w:p w14:paraId="512FF23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diversitatea culturală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lingvistică</w:t>
            </w:r>
          </w:p>
        </w:tc>
        <w:tc>
          <w:tcPr>
            <w:tcW w:w="2566" w:type="dxa"/>
            <w:tcMar>
              <w:top w:w="24" w:type="dxa"/>
              <w:left w:w="48" w:type="dxa"/>
              <w:bottom w:w="24" w:type="dxa"/>
              <w:right w:w="48" w:type="dxa"/>
            </w:tcMar>
          </w:tcPr>
          <w:p w14:paraId="376D20D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092D78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C62A7E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7545D20" w14:textId="77777777">
        <w:trPr>
          <w:jc w:val="center"/>
        </w:trPr>
        <w:tc>
          <w:tcPr>
            <w:tcW w:w="4673" w:type="dxa"/>
            <w:tcMar>
              <w:top w:w="24" w:type="dxa"/>
              <w:left w:w="48" w:type="dxa"/>
              <w:bottom w:w="24" w:type="dxa"/>
              <w:right w:w="48" w:type="dxa"/>
            </w:tcMar>
          </w:tcPr>
          <w:p w14:paraId="58743FC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partidele politice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organizaţiile</w:t>
            </w:r>
            <w:proofErr w:type="spellEnd"/>
            <w:r>
              <w:rPr>
                <w:rFonts w:ascii="Times New Roman" w:eastAsia="Times New Roman" w:hAnsi="Times New Roman" w:cs="Times New Roman"/>
              </w:rPr>
              <w:t xml:space="preserve"> civice</w:t>
            </w:r>
          </w:p>
        </w:tc>
        <w:tc>
          <w:tcPr>
            <w:tcW w:w="2566" w:type="dxa"/>
            <w:tcMar>
              <w:top w:w="24" w:type="dxa"/>
              <w:left w:w="48" w:type="dxa"/>
              <w:bottom w:w="24" w:type="dxa"/>
              <w:right w:w="48" w:type="dxa"/>
            </w:tcMar>
          </w:tcPr>
          <w:p w14:paraId="7EBF1B2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481253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97DB9F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A866A3A" w14:textId="77777777">
        <w:trPr>
          <w:jc w:val="center"/>
        </w:trPr>
        <w:tc>
          <w:tcPr>
            <w:tcW w:w="4673" w:type="dxa"/>
            <w:tcMar>
              <w:top w:w="24" w:type="dxa"/>
              <w:left w:w="48" w:type="dxa"/>
              <w:bottom w:w="24" w:type="dxa"/>
              <w:right w:w="48" w:type="dxa"/>
            </w:tcMar>
          </w:tcPr>
          <w:p w14:paraId="1A855C0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sănătatea publică, inclusiv mortalitatea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morbiditatea</w:t>
            </w:r>
          </w:p>
        </w:tc>
        <w:tc>
          <w:tcPr>
            <w:tcW w:w="2566" w:type="dxa"/>
            <w:tcMar>
              <w:top w:w="24" w:type="dxa"/>
              <w:left w:w="48" w:type="dxa"/>
              <w:bottom w:w="24" w:type="dxa"/>
              <w:right w:w="48" w:type="dxa"/>
            </w:tcMar>
          </w:tcPr>
          <w:p w14:paraId="09287CB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145623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DD54A0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DCEF5A6" w14:textId="77777777">
        <w:trPr>
          <w:jc w:val="center"/>
        </w:trPr>
        <w:tc>
          <w:tcPr>
            <w:tcW w:w="4673" w:type="dxa"/>
            <w:tcMar>
              <w:top w:w="24" w:type="dxa"/>
              <w:left w:w="48" w:type="dxa"/>
              <w:bottom w:w="24" w:type="dxa"/>
              <w:right w:w="48" w:type="dxa"/>
            </w:tcMar>
          </w:tcPr>
          <w:p w14:paraId="21A611E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modul sănătos de </w:t>
            </w:r>
            <w:proofErr w:type="spellStart"/>
            <w:r>
              <w:rPr>
                <w:rFonts w:ascii="Times New Roman" w:eastAsia="Times New Roman" w:hAnsi="Times New Roman" w:cs="Times New Roman"/>
              </w:rPr>
              <w:t>viaţă</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populaţiei</w:t>
            </w:r>
            <w:proofErr w:type="spellEnd"/>
          </w:p>
        </w:tc>
        <w:tc>
          <w:tcPr>
            <w:tcW w:w="2566" w:type="dxa"/>
            <w:tcMar>
              <w:top w:w="24" w:type="dxa"/>
              <w:left w:w="48" w:type="dxa"/>
              <w:bottom w:w="24" w:type="dxa"/>
              <w:right w:w="48" w:type="dxa"/>
            </w:tcMar>
          </w:tcPr>
          <w:p w14:paraId="7B0AAFA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4016B7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58581B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4295E2B" w14:textId="77777777">
        <w:trPr>
          <w:jc w:val="center"/>
        </w:trPr>
        <w:tc>
          <w:tcPr>
            <w:tcW w:w="4673" w:type="dxa"/>
            <w:tcMar>
              <w:top w:w="24" w:type="dxa"/>
              <w:left w:w="48" w:type="dxa"/>
              <w:bottom w:w="24" w:type="dxa"/>
              <w:right w:w="48" w:type="dxa"/>
            </w:tcMar>
          </w:tcPr>
          <w:p w14:paraId="57B2877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nivelul </w:t>
            </w:r>
            <w:proofErr w:type="spellStart"/>
            <w:r>
              <w:rPr>
                <w:rFonts w:ascii="Times New Roman" w:eastAsia="Times New Roman" w:hAnsi="Times New Roman" w:cs="Times New Roman"/>
              </w:rPr>
              <w:t>criminalităţii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securităţii</w:t>
            </w:r>
            <w:proofErr w:type="spellEnd"/>
            <w:r>
              <w:rPr>
                <w:rFonts w:ascii="Times New Roman" w:eastAsia="Times New Roman" w:hAnsi="Times New Roman" w:cs="Times New Roman"/>
              </w:rPr>
              <w:t xml:space="preserve"> publice</w:t>
            </w:r>
          </w:p>
        </w:tc>
        <w:tc>
          <w:tcPr>
            <w:tcW w:w="2566" w:type="dxa"/>
            <w:tcMar>
              <w:top w:w="24" w:type="dxa"/>
              <w:left w:w="48" w:type="dxa"/>
              <w:bottom w:w="24" w:type="dxa"/>
              <w:right w:w="48" w:type="dxa"/>
            </w:tcMar>
          </w:tcPr>
          <w:p w14:paraId="7702E55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525655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6AE9F7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7832DBD" w14:textId="77777777">
        <w:trPr>
          <w:jc w:val="center"/>
        </w:trPr>
        <w:tc>
          <w:tcPr>
            <w:tcW w:w="4673" w:type="dxa"/>
            <w:tcMar>
              <w:top w:w="24" w:type="dxa"/>
              <w:left w:w="48" w:type="dxa"/>
              <w:bottom w:w="24" w:type="dxa"/>
              <w:right w:w="48" w:type="dxa"/>
            </w:tcMar>
          </w:tcPr>
          <w:p w14:paraId="320E76B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calitatea serviciilor de </w:t>
            </w:r>
            <w:proofErr w:type="spellStart"/>
            <w:r>
              <w:rPr>
                <w:rFonts w:ascii="Times New Roman" w:eastAsia="Times New Roman" w:hAnsi="Times New Roman" w:cs="Times New Roman"/>
              </w:rPr>
              <w:t>protecţie</w:t>
            </w:r>
            <w:proofErr w:type="spellEnd"/>
            <w:r>
              <w:rPr>
                <w:rFonts w:ascii="Times New Roman" w:eastAsia="Times New Roman" w:hAnsi="Times New Roman" w:cs="Times New Roman"/>
              </w:rPr>
              <w:t xml:space="preserve"> socială</w:t>
            </w:r>
          </w:p>
        </w:tc>
        <w:tc>
          <w:tcPr>
            <w:tcW w:w="2566" w:type="dxa"/>
            <w:tcMar>
              <w:top w:w="24" w:type="dxa"/>
              <w:left w:w="48" w:type="dxa"/>
              <w:bottom w:w="24" w:type="dxa"/>
              <w:right w:w="48" w:type="dxa"/>
            </w:tcMar>
          </w:tcPr>
          <w:p w14:paraId="6FECC47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93AB4D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C39912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A4D5499" w14:textId="77777777">
        <w:trPr>
          <w:jc w:val="center"/>
        </w:trPr>
        <w:tc>
          <w:tcPr>
            <w:tcW w:w="4673" w:type="dxa"/>
            <w:tcMar>
              <w:top w:w="24" w:type="dxa"/>
              <w:left w:w="48" w:type="dxa"/>
              <w:bottom w:w="24" w:type="dxa"/>
              <w:right w:w="48" w:type="dxa"/>
            </w:tcMar>
          </w:tcPr>
          <w:p w14:paraId="1E7E5C9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calitatea serviciilor </w:t>
            </w:r>
            <w:proofErr w:type="spellStart"/>
            <w:r>
              <w:rPr>
                <w:rFonts w:ascii="Times New Roman" w:eastAsia="Times New Roman" w:hAnsi="Times New Roman" w:cs="Times New Roman"/>
              </w:rPr>
              <w:t>educaţionale</w:t>
            </w:r>
            <w:proofErr w:type="spellEnd"/>
          </w:p>
        </w:tc>
        <w:tc>
          <w:tcPr>
            <w:tcW w:w="2566" w:type="dxa"/>
            <w:tcMar>
              <w:top w:w="24" w:type="dxa"/>
              <w:left w:w="48" w:type="dxa"/>
              <w:bottom w:w="24" w:type="dxa"/>
              <w:right w:w="48" w:type="dxa"/>
            </w:tcMar>
          </w:tcPr>
          <w:p w14:paraId="70B2D7C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0D061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6AEC87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DF428C2" w14:textId="77777777">
        <w:trPr>
          <w:jc w:val="center"/>
        </w:trPr>
        <w:tc>
          <w:tcPr>
            <w:tcW w:w="4673" w:type="dxa"/>
            <w:tcMar>
              <w:top w:w="24" w:type="dxa"/>
              <w:left w:w="48" w:type="dxa"/>
              <w:bottom w:w="24" w:type="dxa"/>
              <w:right w:w="48" w:type="dxa"/>
            </w:tcMar>
          </w:tcPr>
          <w:p w14:paraId="43B3437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calitatea serviciilor medicale</w:t>
            </w:r>
          </w:p>
        </w:tc>
        <w:tc>
          <w:tcPr>
            <w:tcW w:w="2566" w:type="dxa"/>
            <w:tcMar>
              <w:top w:w="24" w:type="dxa"/>
              <w:left w:w="48" w:type="dxa"/>
              <w:bottom w:w="24" w:type="dxa"/>
              <w:right w:w="48" w:type="dxa"/>
            </w:tcMar>
          </w:tcPr>
          <w:p w14:paraId="4F308D9D"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4B5A84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04DF3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15A07E9" w14:textId="77777777">
        <w:trPr>
          <w:jc w:val="center"/>
        </w:trPr>
        <w:tc>
          <w:tcPr>
            <w:tcW w:w="4673" w:type="dxa"/>
            <w:tcMar>
              <w:top w:w="24" w:type="dxa"/>
              <w:left w:w="48" w:type="dxa"/>
              <w:bottom w:w="24" w:type="dxa"/>
              <w:right w:w="48" w:type="dxa"/>
            </w:tcMar>
          </w:tcPr>
          <w:p w14:paraId="6ACC63E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r>
              <w:rPr>
                <w:rFonts w:ascii="Times New Roman" w:eastAsia="Times New Roman" w:hAnsi="Times New Roman" w:cs="Times New Roman"/>
              </w:rPr>
              <w:t>calitatea serviciilor publice administrative</w:t>
            </w:r>
          </w:p>
        </w:tc>
        <w:tc>
          <w:tcPr>
            <w:tcW w:w="2566" w:type="dxa"/>
            <w:tcMar>
              <w:top w:w="24" w:type="dxa"/>
              <w:left w:w="48" w:type="dxa"/>
              <w:bottom w:w="24" w:type="dxa"/>
              <w:right w:w="48" w:type="dxa"/>
            </w:tcMar>
          </w:tcPr>
          <w:p w14:paraId="3E21956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96E177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F880CA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2E9B047" w14:textId="77777777">
        <w:trPr>
          <w:jc w:val="center"/>
        </w:trPr>
        <w:tc>
          <w:tcPr>
            <w:tcW w:w="4673" w:type="dxa"/>
            <w:tcMar>
              <w:top w:w="24" w:type="dxa"/>
              <w:left w:w="48" w:type="dxa"/>
              <w:bottom w:w="24" w:type="dxa"/>
              <w:right w:w="48" w:type="dxa"/>
            </w:tcMar>
          </w:tcPr>
          <w:p w14:paraId="15EE33C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nivelul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calitatea </w:t>
            </w:r>
            <w:proofErr w:type="spellStart"/>
            <w:r>
              <w:rPr>
                <w:rFonts w:ascii="Times New Roman" w:eastAsia="Times New Roman" w:hAnsi="Times New Roman" w:cs="Times New Roman"/>
              </w:rPr>
              <w:t>educaţiei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populaţiei</w:t>
            </w:r>
            <w:proofErr w:type="spellEnd"/>
          </w:p>
        </w:tc>
        <w:tc>
          <w:tcPr>
            <w:tcW w:w="2566" w:type="dxa"/>
            <w:tcMar>
              <w:top w:w="24" w:type="dxa"/>
              <w:left w:w="48" w:type="dxa"/>
              <w:bottom w:w="24" w:type="dxa"/>
              <w:right w:w="48" w:type="dxa"/>
            </w:tcMar>
          </w:tcPr>
          <w:p w14:paraId="6E44899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65E75B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0D5BE1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ECD488C" w14:textId="77777777">
        <w:trPr>
          <w:jc w:val="center"/>
        </w:trPr>
        <w:tc>
          <w:tcPr>
            <w:tcW w:w="4673" w:type="dxa"/>
            <w:tcMar>
              <w:top w:w="24" w:type="dxa"/>
              <w:left w:w="48" w:type="dxa"/>
              <w:bottom w:w="24" w:type="dxa"/>
              <w:right w:w="48" w:type="dxa"/>
            </w:tcMar>
          </w:tcPr>
          <w:p w14:paraId="7A1C514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conservarea patrimoniului cultural</w:t>
            </w:r>
          </w:p>
        </w:tc>
        <w:tc>
          <w:tcPr>
            <w:tcW w:w="2566" w:type="dxa"/>
            <w:tcMar>
              <w:top w:w="24" w:type="dxa"/>
              <w:left w:w="48" w:type="dxa"/>
              <w:bottom w:w="24" w:type="dxa"/>
              <w:right w:w="48" w:type="dxa"/>
            </w:tcMar>
          </w:tcPr>
          <w:p w14:paraId="2B682DE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6B61C9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373714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F43813F" w14:textId="77777777">
        <w:trPr>
          <w:jc w:val="center"/>
        </w:trPr>
        <w:tc>
          <w:tcPr>
            <w:tcW w:w="4673" w:type="dxa"/>
            <w:tcMar>
              <w:top w:w="24" w:type="dxa"/>
              <w:left w:w="48" w:type="dxa"/>
              <w:bottom w:w="24" w:type="dxa"/>
              <w:right w:w="48" w:type="dxa"/>
            </w:tcMar>
          </w:tcPr>
          <w:p w14:paraId="4464EC9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populaţiei</w:t>
            </w:r>
            <w:proofErr w:type="spellEnd"/>
            <w:r>
              <w:rPr>
                <w:rFonts w:ascii="Times New Roman" w:eastAsia="Times New Roman" w:hAnsi="Times New Roman" w:cs="Times New Roman"/>
              </w:rPr>
              <w:t xml:space="preserve"> la resurse culturale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participarea în </w:t>
            </w:r>
            <w:proofErr w:type="spellStart"/>
            <w:r>
              <w:rPr>
                <w:rFonts w:ascii="Times New Roman" w:eastAsia="Times New Roman" w:hAnsi="Times New Roman" w:cs="Times New Roman"/>
              </w:rPr>
              <w:t>manifestaţii</w:t>
            </w:r>
            <w:proofErr w:type="spellEnd"/>
            <w:r>
              <w:rPr>
                <w:rFonts w:ascii="Times New Roman" w:eastAsia="Times New Roman" w:hAnsi="Times New Roman" w:cs="Times New Roman"/>
              </w:rPr>
              <w:t xml:space="preserve"> culturale</w:t>
            </w:r>
          </w:p>
        </w:tc>
        <w:tc>
          <w:tcPr>
            <w:tcW w:w="2566" w:type="dxa"/>
            <w:tcMar>
              <w:top w:w="24" w:type="dxa"/>
              <w:left w:w="48" w:type="dxa"/>
              <w:bottom w:w="24" w:type="dxa"/>
              <w:right w:w="48" w:type="dxa"/>
            </w:tcMar>
          </w:tcPr>
          <w:p w14:paraId="6ED52C8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3192DE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803A7A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187FC3B3" w14:textId="77777777">
        <w:trPr>
          <w:jc w:val="center"/>
        </w:trPr>
        <w:tc>
          <w:tcPr>
            <w:tcW w:w="4673" w:type="dxa"/>
            <w:tcMar>
              <w:top w:w="24" w:type="dxa"/>
              <w:left w:w="48" w:type="dxa"/>
              <w:bottom w:w="24" w:type="dxa"/>
              <w:right w:w="48" w:type="dxa"/>
            </w:tcMar>
          </w:tcPr>
          <w:p w14:paraId="1BC214B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accesul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participarea </w:t>
            </w:r>
            <w:proofErr w:type="spellStart"/>
            <w:r>
              <w:rPr>
                <w:rFonts w:ascii="Times New Roman" w:eastAsia="Times New Roman" w:hAnsi="Times New Roman" w:cs="Times New Roman"/>
              </w:rPr>
              <w:t>populaţiei</w:t>
            </w:r>
            <w:proofErr w:type="spellEnd"/>
            <w:r>
              <w:rPr>
                <w:rFonts w:ascii="Times New Roman" w:eastAsia="Times New Roman" w:hAnsi="Times New Roman" w:cs="Times New Roman"/>
              </w:rPr>
              <w:t xml:space="preserve"> în </w:t>
            </w:r>
            <w:proofErr w:type="spellStart"/>
            <w:r>
              <w:rPr>
                <w:rFonts w:ascii="Times New Roman" w:eastAsia="Times New Roman" w:hAnsi="Times New Roman" w:cs="Times New Roman"/>
              </w:rPr>
              <w:t>activităţi</w:t>
            </w:r>
            <w:proofErr w:type="spellEnd"/>
            <w:r>
              <w:rPr>
                <w:rFonts w:ascii="Times New Roman" w:eastAsia="Times New Roman" w:hAnsi="Times New Roman" w:cs="Times New Roman"/>
              </w:rPr>
              <w:t xml:space="preserve"> sportive</w:t>
            </w:r>
          </w:p>
        </w:tc>
        <w:tc>
          <w:tcPr>
            <w:tcW w:w="2566" w:type="dxa"/>
            <w:tcMar>
              <w:top w:w="24" w:type="dxa"/>
              <w:left w:w="48" w:type="dxa"/>
              <w:bottom w:w="24" w:type="dxa"/>
              <w:right w:w="48" w:type="dxa"/>
            </w:tcMar>
          </w:tcPr>
          <w:p w14:paraId="7FA0BD1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482FFA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097BEC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50009E5" w14:textId="77777777">
        <w:trPr>
          <w:jc w:val="center"/>
        </w:trPr>
        <w:tc>
          <w:tcPr>
            <w:tcW w:w="4673" w:type="dxa"/>
            <w:tcMar>
              <w:top w:w="24" w:type="dxa"/>
              <w:left w:w="48" w:type="dxa"/>
              <w:bottom w:w="24" w:type="dxa"/>
              <w:right w:w="48" w:type="dxa"/>
            </w:tcMar>
          </w:tcPr>
          <w:p w14:paraId="78835BD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discriminarea</w:t>
            </w:r>
          </w:p>
        </w:tc>
        <w:tc>
          <w:tcPr>
            <w:tcW w:w="2566" w:type="dxa"/>
            <w:tcMar>
              <w:top w:w="24" w:type="dxa"/>
              <w:left w:w="48" w:type="dxa"/>
              <w:bottom w:w="24" w:type="dxa"/>
              <w:right w:w="48" w:type="dxa"/>
            </w:tcMar>
          </w:tcPr>
          <w:p w14:paraId="6267B26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F331A9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68EF2A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D784BF8" w14:textId="77777777">
        <w:trPr>
          <w:jc w:val="center"/>
        </w:trPr>
        <w:tc>
          <w:tcPr>
            <w:tcW w:w="4673" w:type="dxa"/>
            <w:tcMar>
              <w:top w:w="24" w:type="dxa"/>
              <w:left w:w="48" w:type="dxa"/>
              <w:bottom w:w="24" w:type="dxa"/>
              <w:right w:w="48" w:type="dxa"/>
            </w:tcMar>
          </w:tcPr>
          <w:p w14:paraId="7D88817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alte aspecte sociale</w:t>
            </w:r>
          </w:p>
        </w:tc>
        <w:tc>
          <w:tcPr>
            <w:tcW w:w="2566" w:type="dxa"/>
            <w:tcMar>
              <w:top w:w="24" w:type="dxa"/>
              <w:left w:w="48" w:type="dxa"/>
              <w:bottom w:w="24" w:type="dxa"/>
              <w:right w:w="48" w:type="dxa"/>
            </w:tcMar>
          </w:tcPr>
          <w:p w14:paraId="78DC767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CB8CBC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6D8AF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CFF536C" w14:textId="77777777">
        <w:trPr>
          <w:jc w:val="center"/>
        </w:trPr>
        <w:tc>
          <w:tcPr>
            <w:tcW w:w="10033" w:type="dxa"/>
            <w:gridSpan w:val="4"/>
            <w:tcMar>
              <w:top w:w="24" w:type="dxa"/>
              <w:left w:w="48" w:type="dxa"/>
              <w:bottom w:w="24" w:type="dxa"/>
              <w:right w:w="48" w:type="dxa"/>
            </w:tcMar>
          </w:tcPr>
          <w:p w14:paraId="4B072BB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6D248496" w14:textId="77777777" w:rsidR="002A5B12" w:rsidRDefault="007C6886" w:rsidP="00E07EA5">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b/>
              </w:rPr>
              <w:t>De mediu</w:t>
            </w:r>
          </w:p>
        </w:tc>
      </w:tr>
      <w:tr w:rsidR="002A5B12" w14:paraId="1F55DD38" w14:textId="77777777">
        <w:trPr>
          <w:jc w:val="center"/>
        </w:trPr>
        <w:tc>
          <w:tcPr>
            <w:tcW w:w="4673" w:type="dxa"/>
            <w:tcMar>
              <w:top w:w="24" w:type="dxa"/>
              <w:left w:w="48" w:type="dxa"/>
              <w:bottom w:w="24" w:type="dxa"/>
              <w:right w:w="48" w:type="dxa"/>
            </w:tcMar>
          </w:tcPr>
          <w:p w14:paraId="5A30237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clima, inclusiv emisiile gazelor cu efect de seră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celor care afectează stratul de ozon</w:t>
            </w:r>
          </w:p>
        </w:tc>
        <w:tc>
          <w:tcPr>
            <w:tcW w:w="2566" w:type="dxa"/>
            <w:tcMar>
              <w:top w:w="24" w:type="dxa"/>
              <w:left w:w="48" w:type="dxa"/>
              <w:bottom w:w="24" w:type="dxa"/>
              <w:right w:w="48" w:type="dxa"/>
            </w:tcMar>
          </w:tcPr>
          <w:p w14:paraId="03CE304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1FD52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84161E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603E629" w14:textId="77777777">
        <w:trPr>
          <w:jc w:val="center"/>
        </w:trPr>
        <w:tc>
          <w:tcPr>
            <w:tcW w:w="4673" w:type="dxa"/>
            <w:tcMar>
              <w:top w:w="24" w:type="dxa"/>
              <w:left w:w="48" w:type="dxa"/>
              <w:bottom w:w="24" w:type="dxa"/>
              <w:right w:w="48" w:type="dxa"/>
            </w:tcMar>
          </w:tcPr>
          <w:p w14:paraId="3C14825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calitatea aerului</w:t>
            </w:r>
          </w:p>
        </w:tc>
        <w:tc>
          <w:tcPr>
            <w:tcW w:w="2566" w:type="dxa"/>
            <w:tcMar>
              <w:top w:w="24" w:type="dxa"/>
              <w:left w:w="48" w:type="dxa"/>
              <w:bottom w:w="24" w:type="dxa"/>
              <w:right w:w="48" w:type="dxa"/>
            </w:tcMar>
          </w:tcPr>
          <w:p w14:paraId="79D8102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0F080E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58D3A5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798B0084" w14:textId="77777777">
        <w:trPr>
          <w:jc w:val="center"/>
        </w:trPr>
        <w:tc>
          <w:tcPr>
            <w:tcW w:w="4673" w:type="dxa"/>
            <w:tcMar>
              <w:top w:w="24" w:type="dxa"/>
              <w:left w:w="48" w:type="dxa"/>
              <w:bottom w:w="24" w:type="dxa"/>
              <w:right w:w="48" w:type="dxa"/>
            </w:tcMar>
          </w:tcPr>
          <w:p w14:paraId="7EA1827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calitatea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cantitatea apei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resurselor acvatice, inclusiv a apei potabile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de alt gen</w:t>
            </w:r>
          </w:p>
        </w:tc>
        <w:tc>
          <w:tcPr>
            <w:tcW w:w="2566" w:type="dxa"/>
            <w:tcMar>
              <w:top w:w="24" w:type="dxa"/>
              <w:left w:w="48" w:type="dxa"/>
              <w:bottom w:w="24" w:type="dxa"/>
              <w:right w:w="48" w:type="dxa"/>
            </w:tcMar>
          </w:tcPr>
          <w:p w14:paraId="15170BB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0282D8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067CF5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4AB8CAD" w14:textId="77777777">
        <w:trPr>
          <w:jc w:val="center"/>
        </w:trPr>
        <w:tc>
          <w:tcPr>
            <w:tcW w:w="4673" w:type="dxa"/>
            <w:tcMar>
              <w:top w:w="24" w:type="dxa"/>
              <w:left w:w="48" w:type="dxa"/>
              <w:bottom w:w="24" w:type="dxa"/>
              <w:right w:w="48" w:type="dxa"/>
            </w:tcMar>
          </w:tcPr>
          <w:p w14:paraId="649FD11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biodiversitatea</w:t>
            </w:r>
          </w:p>
        </w:tc>
        <w:tc>
          <w:tcPr>
            <w:tcW w:w="2566" w:type="dxa"/>
            <w:tcMar>
              <w:top w:w="24" w:type="dxa"/>
              <w:left w:w="48" w:type="dxa"/>
              <w:bottom w:w="24" w:type="dxa"/>
              <w:right w:w="48" w:type="dxa"/>
            </w:tcMar>
          </w:tcPr>
          <w:p w14:paraId="622488F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EA7350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FA9804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A9B8840" w14:textId="77777777">
        <w:trPr>
          <w:jc w:val="center"/>
        </w:trPr>
        <w:tc>
          <w:tcPr>
            <w:tcW w:w="4673" w:type="dxa"/>
            <w:tcMar>
              <w:top w:w="24" w:type="dxa"/>
              <w:left w:w="48" w:type="dxa"/>
              <w:bottom w:w="24" w:type="dxa"/>
              <w:right w:w="48" w:type="dxa"/>
            </w:tcMar>
          </w:tcPr>
          <w:p w14:paraId="44406AA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flora</w:t>
            </w:r>
          </w:p>
        </w:tc>
        <w:tc>
          <w:tcPr>
            <w:tcW w:w="2566" w:type="dxa"/>
            <w:tcMar>
              <w:top w:w="24" w:type="dxa"/>
              <w:left w:w="48" w:type="dxa"/>
              <w:bottom w:w="24" w:type="dxa"/>
              <w:right w:w="48" w:type="dxa"/>
            </w:tcMar>
          </w:tcPr>
          <w:p w14:paraId="7647EC5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042D2D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E9F917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8B1A82A" w14:textId="77777777">
        <w:trPr>
          <w:jc w:val="center"/>
        </w:trPr>
        <w:tc>
          <w:tcPr>
            <w:tcW w:w="4673" w:type="dxa"/>
            <w:tcMar>
              <w:top w:w="24" w:type="dxa"/>
              <w:left w:w="48" w:type="dxa"/>
              <w:bottom w:w="24" w:type="dxa"/>
              <w:right w:w="48" w:type="dxa"/>
            </w:tcMar>
          </w:tcPr>
          <w:p w14:paraId="2BC6BDD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fauna</w:t>
            </w:r>
          </w:p>
        </w:tc>
        <w:tc>
          <w:tcPr>
            <w:tcW w:w="2566" w:type="dxa"/>
            <w:tcMar>
              <w:top w:w="24" w:type="dxa"/>
              <w:left w:w="48" w:type="dxa"/>
              <w:bottom w:w="24" w:type="dxa"/>
              <w:right w:w="48" w:type="dxa"/>
            </w:tcMar>
          </w:tcPr>
          <w:p w14:paraId="026CC81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2456AB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C1C673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9747C23" w14:textId="77777777">
        <w:trPr>
          <w:jc w:val="center"/>
        </w:trPr>
        <w:tc>
          <w:tcPr>
            <w:tcW w:w="4673" w:type="dxa"/>
            <w:tcMar>
              <w:top w:w="24" w:type="dxa"/>
              <w:left w:w="48" w:type="dxa"/>
              <w:bottom w:w="24" w:type="dxa"/>
              <w:right w:w="48" w:type="dxa"/>
            </w:tcMar>
          </w:tcPr>
          <w:p w14:paraId="628D29A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peisajele naturale</w:t>
            </w:r>
          </w:p>
        </w:tc>
        <w:tc>
          <w:tcPr>
            <w:tcW w:w="2566" w:type="dxa"/>
            <w:tcMar>
              <w:top w:w="24" w:type="dxa"/>
              <w:left w:w="48" w:type="dxa"/>
              <w:bottom w:w="24" w:type="dxa"/>
              <w:right w:w="48" w:type="dxa"/>
            </w:tcMar>
          </w:tcPr>
          <w:p w14:paraId="5C83AFB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2F8638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E0F3BC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2287405" w14:textId="77777777">
        <w:trPr>
          <w:jc w:val="center"/>
        </w:trPr>
        <w:tc>
          <w:tcPr>
            <w:tcW w:w="4673" w:type="dxa"/>
            <w:tcMar>
              <w:top w:w="24" w:type="dxa"/>
              <w:left w:w="48" w:type="dxa"/>
              <w:bottom w:w="24" w:type="dxa"/>
              <w:right w:w="48" w:type="dxa"/>
            </w:tcMar>
          </w:tcPr>
          <w:p w14:paraId="44CB0B7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starea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resursele solului</w:t>
            </w:r>
          </w:p>
        </w:tc>
        <w:tc>
          <w:tcPr>
            <w:tcW w:w="2566" w:type="dxa"/>
            <w:tcMar>
              <w:top w:w="24" w:type="dxa"/>
              <w:left w:w="48" w:type="dxa"/>
              <w:bottom w:w="24" w:type="dxa"/>
              <w:right w:w="48" w:type="dxa"/>
            </w:tcMar>
          </w:tcPr>
          <w:p w14:paraId="3C83389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11E84F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AE0EE7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F6DE742" w14:textId="77777777">
        <w:trPr>
          <w:jc w:val="center"/>
        </w:trPr>
        <w:tc>
          <w:tcPr>
            <w:tcW w:w="4673" w:type="dxa"/>
            <w:tcMar>
              <w:top w:w="24" w:type="dxa"/>
              <w:left w:w="48" w:type="dxa"/>
              <w:bottom w:w="24" w:type="dxa"/>
              <w:right w:w="48" w:type="dxa"/>
            </w:tcMar>
          </w:tcPr>
          <w:p w14:paraId="64F786C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producerea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reciclarea </w:t>
            </w:r>
            <w:proofErr w:type="spellStart"/>
            <w:r>
              <w:rPr>
                <w:rFonts w:ascii="Times New Roman" w:eastAsia="Times New Roman" w:hAnsi="Times New Roman" w:cs="Times New Roman"/>
              </w:rPr>
              <w:t>deşeurilor</w:t>
            </w:r>
            <w:proofErr w:type="spellEnd"/>
          </w:p>
        </w:tc>
        <w:tc>
          <w:tcPr>
            <w:tcW w:w="2566" w:type="dxa"/>
            <w:tcMar>
              <w:top w:w="24" w:type="dxa"/>
              <w:left w:w="48" w:type="dxa"/>
              <w:bottom w:w="24" w:type="dxa"/>
              <w:right w:w="48" w:type="dxa"/>
            </w:tcMar>
          </w:tcPr>
          <w:p w14:paraId="06FB866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A5ECCD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1E453C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239FA602" w14:textId="77777777">
        <w:trPr>
          <w:jc w:val="center"/>
        </w:trPr>
        <w:tc>
          <w:tcPr>
            <w:tcW w:w="4673" w:type="dxa"/>
            <w:tcMar>
              <w:top w:w="24" w:type="dxa"/>
              <w:left w:w="48" w:type="dxa"/>
              <w:bottom w:w="24" w:type="dxa"/>
              <w:right w:w="48" w:type="dxa"/>
            </w:tcMar>
          </w:tcPr>
          <w:p w14:paraId="464DA82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utilizarea eficientă a resurselor regenerabile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neregenerabile</w:t>
            </w:r>
          </w:p>
        </w:tc>
        <w:tc>
          <w:tcPr>
            <w:tcW w:w="2566" w:type="dxa"/>
            <w:tcMar>
              <w:top w:w="24" w:type="dxa"/>
              <w:left w:w="48" w:type="dxa"/>
              <w:bottom w:w="24" w:type="dxa"/>
              <w:right w:w="48" w:type="dxa"/>
            </w:tcMar>
          </w:tcPr>
          <w:p w14:paraId="2C384CC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06E5ACF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428FDDC"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246AA73" w14:textId="77777777">
        <w:trPr>
          <w:jc w:val="center"/>
        </w:trPr>
        <w:tc>
          <w:tcPr>
            <w:tcW w:w="4673" w:type="dxa"/>
            <w:tcMar>
              <w:top w:w="24" w:type="dxa"/>
              <w:left w:w="48" w:type="dxa"/>
              <w:bottom w:w="24" w:type="dxa"/>
              <w:right w:w="48" w:type="dxa"/>
            </w:tcMar>
          </w:tcPr>
          <w:p w14:paraId="3EB06056"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consumul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producţia</w:t>
            </w:r>
            <w:proofErr w:type="spellEnd"/>
            <w:r>
              <w:rPr>
                <w:rFonts w:ascii="Times New Roman" w:eastAsia="Times New Roman" w:hAnsi="Times New Roman" w:cs="Times New Roman"/>
              </w:rPr>
              <w:t xml:space="preserve"> durabilă</w:t>
            </w:r>
          </w:p>
        </w:tc>
        <w:tc>
          <w:tcPr>
            <w:tcW w:w="2566" w:type="dxa"/>
            <w:tcMar>
              <w:top w:w="24" w:type="dxa"/>
              <w:left w:w="48" w:type="dxa"/>
              <w:bottom w:w="24" w:type="dxa"/>
              <w:right w:w="48" w:type="dxa"/>
            </w:tcMar>
          </w:tcPr>
          <w:p w14:paraId="0F6C934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35A713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FB733A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75AC6EDB" w14:textId="77777777">
        <w:trPr>
          <w:jc w:val="center"/>
        </w:trPr>
        <w:tc>
          <w:tcPr>
            <w:tcW w:w="4673" w:type="dxa"/>
            <w:tcMar>
              <w:top w:w="24" w:type="dxa"/>
              <w:left w:w="48" w:type="dxa"/>
              <w:bottom w:w="24" w:type="dxa"/>
              <w:right w:w="48" w:type="dxa"/>
            </w:tcMar>
          </w:tcPr>
          <w:p w14:paraId="2C05CA8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intensitatea energetică</w:t>
            </w:r>
          </w:p>
        </w:tc>
        <w:tc>
          <w:tcPr>
            <w:tcW w:w="2566" w:type="dxa"/>
            <w:tcMar>
              <w:top w:w="24" w:type="dxa"/>
              <w:left w:w="48" w:type="dxa"/>
              <w:bottom w:w="24" w:type="dxa"/>
              <w:right w:w="48" w:type="dxa"/>
            </w:tcMar>
          </w:tcPr>
          <w:p w14:paraId="753690B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95A1B1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20CD0E5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1C3E008" w14:textId="77777777">
        <w:trPr>
          <w:jc w:val="center"/>
        </w:trPr>
        <w:tc>
          <w:tcPr>
            <w:tcW w:w="4673" w:type="dxa"/>
            <w:tcMar>
              <w:top w:w="24" w:type="dxa"/>
              <w:left w:w="48" w:type="dxa"/>
              <w:bottom w:w="24" w:type="dxa"/>
              <w:right w:w="48" w:type="dxa"/>
            </w:tcMar>
          </w:tcPr>
          <w:p w14:paraId="7325B16E" w14:textId="77777777" w:rsidR="002A5B12" w:rsidRDefault="007C6886" w:rsidP="00E07EA5">
            <w:pPr>
              <w:spacing w:before="120" w:after="120" w:line="240" w:lineRule="auto"/>
              <w:rPr>
                <w:rFonts w:ascii="Times New Roman" w:eastAsia="Times New Roman" w:hAnsi="Times New Roman" w:cs="Times New Roman"/>
              </w:rPr>
            </w:pPr>
            <w:proofErr w:type="spellStart"/>
            <w:r>
              <w:rPr>
                <w:rFonts w:ascii="Times New Roman" w:eastAsia="Times New Roman" w:hAnsi="Times New Roman" w:cs="Times New Roman"/>
              </w:rPr>
              <w:t>eficienţa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performanţa</w:t>
            </w:r>
            <w:proofErr w:type="spellEnd"/>
            <w:r>
              <w:rPr>
                <w:rFonts w:ascii="Times New Roman" w:eastAsia="Times New Roman" w:hAnsi="Times New Roman" w:cs="Times New Roman"/>
              </w:rPr>
              <w:t xml:space="preserve"> energetică</w:t>
            </w:r>
          </w:p>
        </w:tc>
        <w:tc>
          <w:tcPr>
            <w:tcW w:w="2566" w:type="dxa"/>
            <w:tcMar>
              <w:top w:w="24" w:type="dxa"/>
              <w:left w:w="48" w:type="dxa"/>
              <w:bottom w:w="24" w:type="dxa"/>
              <w:right w:w="48" w:type="dxa"/>
            </w:tcMar>
          </w:tcPr>
          <w:p w14:paraId="0814BC21"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E81F882"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B2767BE"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54FF0B4F" w14:textId="77777777">
        <w:trPr>
          <w:jc w:val="center"/>
        </w:trPr>
        <w:tc>
          <w:tcPr>
            <w:tcW w:w="4673" w:type="dxa"/>
            <w:tcMar>
              <w:top w:w="24" w:type="dxa"/>
              <w:left w:w="48" w:type="dxa"/>
              <w:bottom w:w="24" w:type="dxa"/>
              <w:right w:w="48" w:type="dxa"/>
            </w:tcMar>
          </w:tcPr>
          <w:p w14:paraId="42765E0F"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bunăstarea animalelor</w:t>
            </w:r>
          </w:p>
        </w:tc>
        <w:tc>
          <w:tcPr>
            <w:tcW w:w="2566" w:type="dxa"/>
            <w:tcMar>
              <w:top w:w="24" w:type="dxa"/>
              <w:left w:w="48" w:type="dxa"/>
              <w:bottom w:w="24" w:type="dxa"/>
              <w:right w:w="48" w:type="dxa"/>
            </w:tcMar>
          </w:tcPr>
          <w:p w14:paraId="5203466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2B0DF4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6722B9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40AF48C2" w14:textId="77777777">
        <w:trPr>
          <w:jc w:val="center"/>
        </w:trPr>
        <w:tc>
          <w:tcPr>
            <w:tcW w:w="4673" w:type="dxa"/>
            <w:tcMar>
              <w:top w:w="24" w:type="dxa"/>
              <w:left w:w="48" w:type="dxa"/>
              <w:bottom w:w="24" w:type="dxa"/>
              <w:right w:w="48" w:type="dxa"/>
            </w:tcMar>
          </w:tcPr>
          <w:p w14:paraId="5761AC2A"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riscuri majore pentru mediu </w:t>
            </w:r>
            <w:r>
              <w:rPr>
                <w:rFonts w:ascii="Times New Roman" w:eastAsia="Times New Roman" w:hAnsi="Times New Roman" w:cs="Times New Roman"/>
              </w:rPr>
              <w:t>(incendii, explozii, accidente etc.)</w:t>
            </w:r>
          </w:p>
        </w:tc>
        <w:tc>
          <w:tcPr>
            <w:tcW w:w="2566" w:type="dxa"/>
            <w:tcMar>
              <w:top w:w="24" w:type="dxa"/>
              <w:left w:w="48" w:type="dxa"/>
              <w:bottom w:w="24" w:type="dxa"/>
              <w:right w:w="48" w:type="dxa"/>
            </w:tcMar>
          </w:tcPr>
          <w:p w14:paraId="5916B8A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57B5A525"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6E8D602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0517B868" w14:textId="77777777">
        <w:trPr>
          <w:jc w:val="center"/>
        </w:trPr>
        <w:tc>
          <w:tcPr>
            <w:tcW w:w="4673" w:type="dxa"/>
            <w:tcMar>
              <w:top w:w="24" w:type="dxa"/>
              <w:left w:w="48" w:type="dxa"/>
              <w:bottom w:w="24" w:type="dxa"/>
              <w:right w:w="48" w:type="dxa"/>
            </w:tcMar>
          </w:tcPr>
          <w:p w14:paraId="1F870D2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utilizarea terenurilor</w:t>
            </w:r>
          </w:p>
        </w:tc>
        <w:tc>
          <w:tcPr>
            <w:tcW w:w="2566" w:type="dxa"/>
            <w:tcMar>
              <w:top w:w="24" w:type="dxa"/>
              <w:left w:w="48" w:type="dxa"/>
              <w:bottom w:w="24" w:type="dxa"/>
              <w:right w:w="48" w:type="dxa"/>
            </w:tcMar>
          </w:tcPr>
          <w:p w14:paraId="1B0F4584"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33EA97F8"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49D4D5B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683AF459" w14:textId="77777777">
        <w:trPr>
          <w:jc w:val="center"/>
        </w:trPr>
        <w:tc>
          <w:tcPr>
            <w:tcW w:w="4673" w:type="dxa"/>
            <w:tcMar>
              <w:top w:w="24" w:type="dxa"/>
              <w:left w:w="48" w:type="dxa"/>
              <w:bottom w:w="24" w:type="dxa"/>
              <w:right w:w="48" w:type="dxa"/>
            </w:tcMar>
          </w:tcPr>
          <w:p w14:paraId="7A0A28F9"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alte aspecte de mediu</w:t>
            </w:r>
          </w:p>
        </w:tc>
        <w:tc>
          <w:tcPr>
            <w:tcW w:w="2566" w:type="dxa"/>
            <w:tcMar>
              <w:top w:w="24" w:type="dxa"/>
              <w:left w:w="48" w:type="dxa"/>
              <w:bottom w:w="24" w:type="dxa"/>
              <w:right w:w="48" w:type="dxa"/>
            </w:tcMar>
          </w:tcPr>
          <w:p w14:paraId="72D2C55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1AE8FE83"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c>
          <w:tcPr>
            <w:tcW w:w="1397" w:type="dxa"/>
            <w:tcMar>
              <w:top w:w="24" w:type="dxa"/>
              <w:left w:w="48" w:type="dxa"/>
              <w:bottom w:w="24" w:type="dxa"/>
              <w:right w:w="48" w:type="dxa"/>
            </w:tcMar>
          </w:tcPr>
          <w:p w14:paraId="777896B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tc>
      </w:tr>
      <w:tr w:rsidR="002A5B12" w14:paraId="325DF32D" w14:textId="77777777">
        <w:trPr>
          <w:jc w:val="center"/>
        </w:trPr>
        <w:tc>
          <w:tcPr>
            <w:tcW w:w="10033" w:type="dxa"/>
            <w:gridSpan w:val="4"/>
            <w:tcMar>
              <w:top w:w="24" w:type="dxa"/>
              <w:left w:w="48" w:type="dxa"/>
              <w:bottom w:w="24" w:type="dxa"/>
              <w:right w:w="48" w:type="dxa"/>
            </w:tcMar>
          </w:tcPr>
          <w:p w14:paraId="38BCDC90"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40665F2C" w14:textId="77777777" w:rsidR="002A5B12" w:rsidRDefault="007C6886" w:rsidP="00E07EA5">
            <w:pPr>
              <w:spacing w:before="120"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i/>
              </w:rPr>
              <w:t xml:space="preserve">Tabelul se completează cu note de la -3 la +3, în drept cu fiecare categorie de impact, pentru fiecare </w:t>
            </w:r>
            <w:proofErr w:type="spellStart"/>
            <w:r>
              <w:rPr>
                <w:rFonts w:ascii="Times New Roman" w:eastAsia="Times New Roman" w:hAnsi="Times New Roman" w:cs="Times New Roman"/>
                <w:i/>
              </w:rPr>
              <w:t>opţiune</w:t>
            </w:r>
            <w:proofErr w:type="spellEnd"/>
            <w:r>
              <w:rPr>
                <w:rFonts w:ascii="Times New Roman" w:eastAsia="Times New Roman" w:hAnsi="Times New Roman" w:cs="Times New Roman"/>
                <w:i/>
              </w:rPr>
              <w:t xml:space="preserve"> analizată, unde </w:t>
            </w:r>
            <w:proofErr w:type="spellStart"/>
            <w:r>
              <w:rPr>
                <w:rFonts w:ascii="Times New Roman" w:eastAsia="Times New Roman" w:hAnsi="Times New Roman" w:cs="Times New Roman"/>
                <w:i/>
              </w:rPr>
              <w:t>variaţia</w:t>
            </w:r>
            <w:proofErr w:type="spellEnd"/>
            <w:r>
              <w:rPr>
                <w:rFonts w:ascii="Times New Roman" w:eastAsia="Times New Roman" w:hAnsi="Times New Roman" w:cs="Times New Roman"/>
                <w:i/>
              </w:rPr>
              <w:t xml:space="preserve"> între -3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w:t>
            </w:r>
            <w:r>
              <w:rPr>
                <w:rFonts w:ascii="Times New Roman" w:eastAsia="Times New Roman" w:hAnsi="Times New Roman" w:cs="Times New Roman"/>
                <w:i/>
              </w:rPr>
              <w:t xml:space="preserve">-1 reprezintă impacturi negative (costuri), iar </w:t>
            </w:r>
            <w:proofErr w:type="spellStart"/>
            <w:r>
              <w:rPr>
                <w:rFonts w:ascii="Times New Roman" w:eastAsia="Times New Roman" w:hAnsi="Times New Roman" w:cs="Times New Roman"/>
                <w:i/>
              </w:rPr>
              <w:t>variaţia</w:t>
            </w:r>
            <w:proofErr w:type="spellEnd"/>
            <w:r>
              <w:rPr>
                <w:rFonts w:ascii="Times New Roman" w:eastAsia="Times New Roman" w:hAnsi="Times New Roman" w:cs="Times New Roman"/>
                <w:i/>
              </w:rPr>
              <w:t xml:space="preserve"> între 1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3 – impacturi pozitive (beneficii) pentru categoriile de impact analizate. Nota 0 reprezintă lipsa impacturilor. Valoarea acordată corespunde cu intensitatea impactului (1 – minor, 2 – med</w:t>
            </w:r>
            <w:r>
              <w:rPr>
                <w:rFonts w:ascii="Times New Roman" w:eastAsia="Times New Roman" w:hAnsi="Times New Roman" w:cs="Times New Roman"/>
                <w:i/>
              </w:rPr>
              <w:t xml:space="preserve">iu, 3 – major) </w:t>
            </w:r>
            <w:proofErr w:type="spellStart"/>
            <w:r>
              <w:rPr>
                <w:rFonts w:ascii="Times New Roman" w:eastAsia="Times New Roman" w:hAnsi="Times New Roman" w:cs="Times New Roman"/>
                <w:i/>
              </w:rPr>
              <w:t>faţă</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situaţia</w:t>
            </w:r>
            <w:proofErr w:type="spellEnd"/>
            <w:r>
              <w:rPr>
                <w:rFonts w:ascii="Times New Roman" w:eastAsia="Times New Roman" w:hAnsi="Times New Roman" w:cs="Times New Roman"/>
                <w:i/>
              </w:rPr>
              <w:t xml:space="preserve"> din </w:t>
            </w:r>
            <w:proofErr w:type="spellStart"/>
            <w:r>
              <w:rPr>
                <w:rFonts w:ascii="Times New Roman" w:eastAsia="Times New Roman" w:hAnsi="Times New Roman" w:cs="Times New Roman"/>
                <w:i/>
              </w:rPr>
              <w:t>opţiunea</w:t>
            </w:r>
            <w:proofErr w:type="spellEnd"/>
            <w:r>
              <w:rPr>
                <w:rFonts w:ascii="Times New Roman" w:eastAsia="Times New Roman" w:hAnsi="Times New Roman" w:cs="Times New Roman"/>
                <w:i/>
              </w:rPr>
              <w:t xml:space="preserve"> "a nu face nimic", în </w:t>
            </w:r>
            <w:proofErr w:type="spellStart"/>
            <w:r>
              <w:rPr>
                <w:rFonts w:ascii="Times New Roman" w:eastAsia="Times New Roman" w:hAnsi="Times New Roman" w:cs="Times New Roman"/>
                <w:i/>
              </w:rPr>
              <w:t>comparaţie</w:t>
            </w:r>
            <w:proofErr w:type="spellEnd"/>
            <w:r>
              <w:rPr>
                <w:rFonts w:ascii="Times New Roman" w:eastAsia="Times New Roman" w:hAnsi="Times New Roman" w:cs="Times New Roman"/>
                <w:i/>
              </w:rPr>
              <w:t xml:space="preserve"> cu </w:t>
            </w:r>
            <w:proofErr w:type="spellStart"/>
            <w:r>
              <w:rPr>
                <w:rFonts w:ascii="Times New Roman" w:eastAsia="Times New Roman" w:hAnsi="Times New Roman" w:cs="Times New Roman"/>
                <w:i/>
              </w:rPr>
              <w:t>situaţia</w:t>
            </w:r>
            <w:proofErr w:type="spellEnd"/>
            <w:r>
              <w:rPr>
                <w:rFonts w:ascii="Times New Roman" w:eastAsia="Times New Roman" w:hAnsi="Times New Roman" w:cs="Times New Roman"/>
                <w:i/>
              </w:rPr>
              <w:t xml:space="preserve"> din alte </w:t>
            </w:r>
            <w:proofErr w:type="spellStart"/>
            <w:r>
              <w:rPr>
                <w:rFonts w:ascii="Times New Roman" w:eastAsia="Times New Roman" w:hAnsi="Times New Roman" w:cs="Times New Roman"/>
                <w:i/>
              </w:rPr>
              <w:t>opţiuni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xml:space="preserve"> alte categorii de impact. Impacturile identificate prin acest tabel se descriu pe larg, cu argumentarea punctajului acordat, inclusiv prin date cu</w:t>
            </w:r>
            <w:r>
              <w:rPr>
                <w:rFonts w:ascii="Times New Roman" w:eastAsia="Times New Roman" w:hAnsi="Times New Roman" w:cs="Times New Roman"/>
                <w:i/>
              </w:rPr>
              <w:t>antificate, în compartimentul 4 din Formular, lit.b</w:t>
            </w:r>
            <w:r>
              <w:rPr>
                <w:rFonts w:ascii="Times New Roman" w:eastAsia="Times New Roman" w:hAnsi="Times New Roman" w:cs="Times New Roman"/>
                <w:i/>
                <w:vertAlign w:val="superscript"/>
              </w:rPr>
              <w:t>1</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şi</w:t>
            </w:r>
            <w:proofErr w:type="spellEnd"/>
            <w:r>
              <w:rPr>
                <w:rFonts w:ascii="Times New Roman" w:eastAsia="Times New Roman" w:hAnsi="Times New Roman" w:cs="Times New Roman"/>
                <w:i/>
              </w:rPr>
              <w:t>, după caz, b</w:t>
            </w:r>
            <w:r>
              <w:rPr>
                <w:rFonts w:ascii="Times New Roman" w:eastAsia="Times New Roman" w:hAnsi="Times New Roman" w:cs="Times New Roman"/>
                <w:i/>
                <w:vertAlign w:val="superscript"/>
              </w:rPr>
              <w:t>2</w:t>
            </w:r>
            <w:r>
              <w:rPr>
                <w:rFonts w:ascii="Times New Roman" w:eastAsia="Times New Roman" w:hAnsi="Times New Roman" w:cs="Times New Roman"/>
                <w:i/>
              </w:rPr>
              <w:t xml:space="preserve">), privind analiza impacturilor </w:t>
            </w:r>
            <w:proofErr w:type="spellStart"/>
            <w:r>
              <w:rPr>
                <w:rFonts w:ascii="Times New Roman" w:eastAsia="Times New Roman" w:hAnsi="Times New Roman" w:cs="Times New Roman"/>
                <w:i/>
              </w:rPr>
              <w:t>opţiunilor</w:t>
            </w:r>
            <w:proofErr w:type="spellEnd"/>
            <w:r>
              <w:rPr>
                <w:rFonts w:ascii="Times New Roman" w:eastAsia="Times New Roman" w:hAnsi="Times New Roman" w:cs="Times New Roman"/>
                <w:i/>
              </w:rPr>
              <w:t>.</w:t>
            </w:r>
          </w:p>
        </w:tc>
      </w:tr>
      <w:tr w:rsidR="002A5B12" w14:paraId="469791D7" w14:textId="77777777">
        <w:trPr>
          <w:jc w:val="center"/>
        </w:trPr>
        <w:tc>
          <w:tcPr>
            <w:tcW w:w="10033" w:type="dxa"/>
            <w:gridSpan w:val="4"/>
            <w:tcMar>
              <w:top w:w="24" w:type="dxa"/>
              <w:left w:w="48" w:type="dxa"/>
              <w:bottom w:w="24" w:type="dxa"/>
              <w:right w:w="48" w:type="dxa"/>
            </w:tcMar>
          </w:tcPr>
          <w:p w14:paraId="5946D72B"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w:t>
            </w:r>
          </w:p>
          <w:p w14:paraId="0DB973F3"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b/>
              </w:rPr>
              <w:t>Anexe</w:t>
            </w:r>
          </w:p>
          <w:p w14:paraId="1EA1F743" w14:textId="77777777" w:rsidR="002A5B12" w:rsidRDefault="007C6886" w:rsidP="00E07EA5">
            <w:pPr>
              <w:spacing w:before="120" w:after="120" w:line="240" w:lineRule="auto"/>
              <w:jc w:val="right"/>
              <w:rPr>
                <w:rFonts w:ascii="Times New Roman" w:eastAsia="Times New Roman" w:hAnsi="Times New Roman" w:cs="Times New Roman"/>
              </w:rPr>
            </w:pPr>
            <w:r>
              <w:rPr>
                <w:rFonts w:ascii="Times New Roman" w:eastAsia="Times New Roman" w:hAnsi="Times New Roman" w:cs="Times New Roman"/>
              </w:rPr>
              <w:t> </w:t>
            </w:r>
          </w:p>
        </w:tc>
      </w:tr>
      <w:tr w:rsidR="002A5B12" w14:paraId="2FC1DD74" w14:textId="77777777">
        <w:trPr>
          <w:jc w:val="center"/>
        </w:trPr>
        <w:tc>
          <w:tcPr>
            <w:tcW w:w="10033" w:type="dxa"/>
            <w:gridSpan w:val="4"/>
            <w:tcMar>
              <w:top w:w="24" w:type="dxa"/>
              <w:left w:w="48" w:type="dxa"/>
              <w:bottom w:w="24" w:type="dxa"/>
              <w:right w:w="48" w:type="dxa"/>
            </w:tcMar>
          </w:tcPr>
          <w:p w14:paraId="3FC2D067" w14:textId="77777777" w:rsidR="002A5B12" w:rsidRDefault="007C6886" w:rsidP="00E07EA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 xml:space="preserve">Proiectul preliminar de act normativ Sinteza </w:t>
            </w:r>
            <w:proofErr w:type="spellStart"/>
            <w:r>
              <w:rPr>
                <w:rFonts w:ascii="Times New Roman" w:eastAsia="Times New Roman" w:hAnsi="Times New Roman" w:cs="Times New Roman"/>
              </w:rPr>
              <w:t>obiecţiilor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propunerilor la proiect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/sau analiza de impact Expertiza </w:t>
            </w:r>
            <w:r>
              <w:rPr>
                <w:rFonts w:ascii="Times New Roman" w:eastAsia="Times New Roman" w:hAnsi="Times New Roman" w:cs="Times New Roman"/>
              </w:rPr>
              <w:t xml:space="preserve">Grupului de lucru al Comisiei de stat pentru reglementarea </w:t>
            </w:r>
            <w:proofErr w:type="spellStart"/>
            <w:r>
              <w:rPr>
                <w:rFonts w:ascii="Times New Roman" w:eastAsia="Times New Roman" w:hAnsi="Times New Roman" w:cs="Times New Roman"/>
              </w:rPr>
              <w:t>activităţii</w:t>
            </w:r>
            <w:proofErr w:type="spellEnd"/>
            <w:r>
              <w:rPr>
                <w:rFonts w:ascii="Times New Roman" w:eastAsia="Times New Roman" w:hAnsi="Times New Roman" w:cs="Times New Roman"/>
              </w:rPr>
              <w:t xml:space="preserve"> de întreprinzător (după caz) Alte materiale informative/documente (la decizia autorilor)</w:t>
            </w:r>
          </w:p>
        </w:tc>
      </w:tr>
    </w:tbl>
    <w:p w14:paraId="3B598368" w14:textId="77777777" w:rsidR="002A5B12" w:rsidRDefault="002A5B12" w:rsidP="00E07EA5">
      <w:pPr>
        <w:shd w:val="clear" w:color="auto" w:fill="FFFFFF"/>
        <w:spacing w:before="120" w:after="120" w:line="240" w:lineRule="auto"/>
        <w:jc w:val="both"/>
        <w:rPr>
          <w:rFonts w:ascii="Times New Roman" w:eastAsia="Times New Roman" w:hAnsi="Times New Roman" w:cs="Times New Roman"/>
          <w:sz w:val="24"/>
          <w:szCs w:val="24"/>
        </w:rPr>
      </w:pPr>
    </w:p>
    <w:p w14:paraId="74130592" w14:textId="77777777" w:rsidR="002A5B12" w:rsidRDefault="002A5B12" w:rsidP="00E07EA5">
      <w:pPr>
        <w:spacing w:before="120" w:after="120" w:line="240" w:lineRule="auto"/>
      </w:pPr>
    </w:p>
    <w:sectPr w:rsidR="002A5B12" w:rsidSect="007C688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E20DC"/>
    <w:multiLevelType w:val="multilevel"/>
    <w:tmpl w:val="C14C0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D035DA"/>
    <w:multiLevelType w:val="multilevel"/>
    <w:tmpl w:val="64EE5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12"/>
    <w:rsid w:val="001225DD"/>
    <w:rsid w:val="002A5B12"/>
    <w:rsid w:val="0033589C"/>
    <w:rsid w:val="003A7A88"/>
    <w:rsid w:val="00661234"/>
    <w:rsid w:val="007C6886"/>
    <w:rsid w:val="00826835"/>
    <w:rsid w:val="00DD07DC"/>
    <w:rsid w:val="00E0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E857"/>
  <w15:docId w15:val="{9F43156C-5A1D-4A55-86DE-3F010E5A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rg">
    <w:name w:val="rg"/>
    <w:basedOn w:val="Normal"/>
    <w:rsid w:val="00EA0DAD"/>
    <w:pPr>
      <w:spacing w:before="100" w:beforeAutospacing="1" w:after="100" w:afterAutospacing="1" w:line="240" w:lineRule="auto"/>
    </w:pPr>
    <w:rPr>
      <w:rFonts w:ascii="Times New Roman" w:eastAsia="Times New Roman" w:hAnsi="Times New Roman" w:cs="Times New Roman"/>
      <w:sz w:val="24"/>
      <w:szCs w:val="24"/>
      <w:lang w:eastAsia="ro-MD"/>
    </w:rPr>
  </w:style>
  <w:style w:type="paragraph" w:styleId="NormalWeb">
    <w:name w:val="Normal (Web)"/>
    <w:basedOn w:val="Normal"/>
    <w:uiPriority w:val="99"/>
    <w:semiHidden/>
    <w:unhideWhenUsed/>
    <w:rsid w:val="00EA0DAD"/>
    <w:pPr>
      <w:spacing w:before="100" w:beforeAutospacing="1" w:after="100" w:afterAutospacing="1" w:line="240" w:lineRule="auto"/>
    </w:pPr>
    <w:rPr>
      <w:rFonts w:ascii="Times New Roman" w:eastAsia="Times New Roman" w:hAnsi="Times New Roman" w:cs="Times New Roman"/>
      <w:sz w:val="24"/>
      <w:szCs w:val="24"/>
      <w:lang w:eastAsia="ro-MD"/>
    </w:rPr>
  </w:style>
  <w:style w:type="paragraph" w:customStyle="1" w:styleId="cb">
    <w:name w:val="cb"/>
    <w:basedOn w:val="Normal"/>
    <w:rsid w:val="00EA0DAD"/>
    <w:pPr>
      <w:spacing w:before="100" w:beforeAutospacing="1" w:after="100" w:afterAutospacing="1" w:line="240" w:lineRule="auto"/>
    </w:pPr>
    <w:rPr>
      <w:rFonts w:ascii="Times New Roman" w:eastAsia="Times New Roman" w:hAnsi="Times New Roman" w:cs="Times New Roman"/>
      <w:sz w:val="24"/>
      <w:szCs w:val="24"/>
      <w:lang w:eastAsia="ro-MD"/>
    </w:rPr>
  </w:style>
  <w:style w:type="paragraph" w:customStyle="1" w:styleId="lf">
    <w:name w:val="lf"/>
    <w:basedOn w:val="Normal"/>
    <w:rsid w:val="00EA0DAD"/>
    <w:pPr>
      <w:spacing w:before="100" w:beforeAutospacing="1" w:after="100" w:afterAutospacing="1" w:line="240" w:lineRule="auto"/>
    </w:pPr>
    <w:rPr>
      <w:rFonts w:ascii="Times New Roman" w:eastAsia="Times New Roman" w:hAnsi="Times New Roman" w:cs="Times New Roman"/>
      <w:sz w:val="24"/>
      <w:szCs w:val="24"/>
      <w:lang w:eastAsia="ro-MD"/>
    </w:rPr>
  </w:style>
  <w:style w:type="paragraph" w:customStyle="1" w:styleId="cn">
    <w:name w:val="cn"/>
    <w:basedOn w:val="Normal"/>
    <w:rsid w:val="00EA0DAD"/>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styleId="Hyperlink">
    <w:name w:val="Hyperlink"/>
    <w:basedOn w:val="DefaultParagraphFont"/>
    <w:uiPriority w:val="99"/>
    <w:semiHidden/>
    <w:unhideWhenUsed/>
    <w:rsid w:val="00B3396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C6886"/>
    <w:pPr>
      <w:spacing w:after="0" w:line="240" w:lineRule="auto"/>
    </w:pPr>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PDF/?uri=CELEX:52017PC0142&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lex.europa.eu/legal-content/EN/TXT/?uri=CELEX%3A61986CJ0062" TargetMode="External"/><Relationship Id="rId12" Type="http://schemas.openxmlformats.org/officeDocument/2006/relationships/hyperlink" Target="https://competition.md/public/files/Raport-privind-activitatea-CC-202113d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EN/TXT/?uri=CELEX%3A61986CJ0062" TargetMode="External"/><Relationship Id="rId11" Type="http://schemas.openxmlformats.org/officeDocument/2006/relationships/hyperlink" Target="https://competition.md/public/files/Raport-privind-activitatea-CC-202113d08.pdf" TargetMode="External"/><Relationship Id="rId5" Type="http://schemas.openxmlformats.org/officeDocument/2006/relationships/webSettings" Target="webSettings.xml"/><Relationship Id="rId10" Type="http://schemas.openxmlformats.org/officeDocument/2006/relationships/hyperlink" Target="https://neighbourhood-enlargement.ec.europa.eu/system/files/2023-02/SWD_2023_32_%20Moldova.pdf" TargetMode="External"/><Relationship Id="rId4" Type="http://schemas.openxmlformats.org/officeDocument/2006/relationships/settings" Target="settings.xml"/><Relationship Id="rId9" Type="http://schemas.openxmlformats.org/officeDocument/2006/relationships/hyperlink" Target="https://neighbourhood-enlargement.ec.europa.eu/system/files/2023-02/SWD_2023_32_%20Moldova.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733Mjigx4a5+q6kAa8Bg6Bwmww==">AMUW2mUcK4tftEgDTHo6iapAkF0pTBzQ44X5spCa/mfbnHH/EZy2FIPL7SvPfrAVr2eNKK0QARjjeFRfrzd64J3/qLL0WTdQ+QliTRt9I3F4bYAKSw/ssRA=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11319</Words>
  <Characters>64522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Sveatoslav Cazac</dc:creator>
  <cp:lastModifiedBy>Ina Voicu</cp:lastModifiedBy>
  <cp:revision>5</cp:revision>
  <dcterms:created xsi:type="dcterms:W3CDTF">2023-03-23T06:46:00Z</dcterms:created>
  <dcterms:modified xsi:type="dcterms:W3CDTF">2023-03-23T07:39:00Z</dcterms:modified>
</cp:coreProperties>
</file>