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A018" w14:textId="77777777" w:rsidR="006220B1" w:rsidRPr="00A44B9F" w:rsidRDefault="006220B1" w:rsidP="00413A9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 xml:space="preserve">Proiect </w:t>
      </w:r>
    </w:p>
    <w:p w14:paraId="1AAD8A47" w14:textId="77777777" w:rsidR="007643F7" w:rsidRDefault="007643F7" w:rsidP="00413A9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0E9E87A9" w14:textId="77777777" w:rsidR="007643F7" w:rsidRDefault="007643F7" w:rsidP="00413A9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21AEA85D" w14:textId="77777777" w:rsidR="006220B1" w:rsidRPr="00A44B9F" w:rsidRDefault="006220B1" w:rsidP="00413A9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GUVERNUL REPUBLICII MOLDOVA</w:t>
      </w:r>
    </w:p>
    <w:p w14:paraId="447DC423" w14:textId="77777777" w:rsidR="006220B1" w:rsidRPr="00A44B9F" w:rsidRDefault="006220B1" w:rsidP="00413A9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HOTĂRÎRE 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nr. ______</w:t>
      </w:r>
    </w:p>
    <w:p w14:paraId="27DA5014" w14:textId="0C502EEC" w:rsidR="006220B1" w:rsidRPr="00A44B9F" w:rsidRDefault="006220B1" w:rsidP="00413A9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din _____________ 202</w:t>
      </w:r>
      <w:r w:rsidR="00AF02C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3</w:t>
      </w:r>
    </w:p>
    <w:p w14:paraId="7B24BCDE" w14:textId="77777777" w:rsidR="00AF02C5" w:rsidRDefault="00AF02C5" w:rsidP="00413A98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bookmarkStart w:id="0" w:name="_Hlk110240442"/>
    </w:p>
    <w:p w14:paraId="6D9EEF3A" w14:textId="77FB3BC4" w:rsidR="006220B1" w:rsidRPr="00F202D0" w:rsidRDefault="00743384" w:rsidP="00413A98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pentru aprobarea Regulamentului privind</w:t>
      </w:r>
      <w:r w:rsidR="006220B1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bookmarkEnd w:id="0"/>
      <w:r w:rsidR="002A704B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cerin</w:t>
      </w:r>
      <w:r w:rsidR="006258E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ț</w:t>
      </w:r>
      <w:r w:rsidR="002A704B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ele </w:t>
      </w:r>
      <w:r w:rsidR="00647C12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de amplasare a sta</w:t>
      </w:r>
      <w:r w:rsidR="006258E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ț</w:t>
      </w:r>
      <w:r w:rsidR="00647C12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iilor de alimentare </w:t>
      </w:r>
      <w:r w:rsidR="001F41CF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a autovehiculelor </w:t>
      </w:r>
      <w:r w:rsidR="00647C12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cu produse petroliere principale</w:t>
      </w:r>
      <w:r w:rsidR="00AA3F82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, hidrocarburi gazoase lichefiate </w:t>
      </w:r>
      <w:r w:rsidR="006258E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ș</w:t>
      </w:r>
      <w:r w:rsidR="00AA3F82"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i gaze naturale comprimate</w:t>
      </w:r>
    </w:p>
    <w:p w14:paraId="69F99530" w14:textId="77777777" w:rsidR="0006620A" w:rsidRPr="00A44B9F" w:rsidRDefault="0006620A" w:rsidP="00413A98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4B6E8623" w14:textId="77777777" w:rsidR="00AF02C5" w:rsidRDefault="00AF02C5" w:rsidP="00413A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054C63E8" w14:textId="77AD5AA0" w:rsidR="006220B1" w:rsidRDefault="006220B1" w:rsidP="00413A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În temeiul </w:t>
      </w:r>
      <w:r w:rsidR="00E478B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art. 23 alin.(1) din Legea nr.</w:t>
      </w:r>
      <w:r w:rsidR="00014F7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E478B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461/2001 privind </w:t>
      </w:r>
      <w:r w:rsidR="00E478B6" w:rsidRPr="00A34D5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pia</w:t>
      </w:r>
      <w:r w:rsidR="006258E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ț</w:t>
      </w:r>
      <w:r w:rsidR="00E478B6" w:rsidRPr="00A34D5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E478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produselor petroliere </w:t>
      </w:r>
      <w:r w:rsidR="00E478B6" w:rsidRPr="0069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  <w:t>(republicată în Monitorul Oficial al Republicii Moldova, 2017, nr.40–49, art.82), cu modificările ulterioare</w:t>
      </w:r>
      <w:r w:rsidR="00E478B6" w:rsidRPr="00E4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  <w:t xml:space="preserve"> </w:t>
      </w:r>
      <w:r w:rsidR="00625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  <w:t>ș</w:t>
      </w:r>
      <w:r w:rsidR="00E478B6" w:rsidRPr="00E4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  <w:t xml:space="preserve">i 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art. </w:t>
      </w:r>
      <w:r w:rsidR="0006620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VI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alin. (2) lit. a) din </w:t>
      </w:r>
      <w:r w:rsidR="00DC6324" w:rsidRPr="00DC632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Legea nr. 40/2022 pentru modificarea unor acte normative”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(Monitorul Oficial al Republicii Moldova, 20</w:t>
      </w:r>
      <w:r w:rsidR="007D7139"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22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nr. </w:t>
      </w:r>
      <w:r w:rsidR="007D7139"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60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art.</w:t>
      </w:r>
      <w:r w:rsidR="007D7139"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84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)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/>
        </w:rPr>
        <w:t xml:space="preserve">, 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Guvernul:</w:t>
      </w:r>
    </w:p>
    <w:p w14:paraId="4EF067D0" w14:textId="77777777" w:rsidR="00413A98" w:rsidRPr="00A44B9F" w:rsidRDefault="00413A98" w:rsidP="00413A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5EA17B0B" w14:textId="0C856C07" w:rsidR="006220B1" w:rsidRPr="00A44B9F" w:rsidRDefault="006220B1" w:rsidP="007643F7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HOTĂRĂ</w:t>
      </w:r>
      <w:r w:rsidR="006258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Ș</w:t>
      </w:r>
      <w:r w:rsidRPr="00A44B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TE:</w:t>
      </w:r>
    </w:p>
    <w:p w14:paraId="241F0CE7" w14:textId="60D3D6F7" w:rsidR="002A704B" w:rsidRPr="006420E3" w:rsidRDefault="002A704B" w:rsidP="00814EA6">
      <w:pPr>
        <w:pStyle w:val="ListParagraph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Se aprobă Regulamentul </w:t>
      </w:r>
      <w:r w:rsidR="0074338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privind</w:t>
      </w:r>
      <w:r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cerin</w:t>
      </w:r>
      <w:r w:rsidR="006258E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ele de amplasare a sta</w:t>
      </w:r>
      <w:r w:rsidR="006258E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iilor de alimentare</w:t>
      </w:r>
      <w:r w:rsidR="001F41C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 autovehiculelor</w:t>
      </w:r>
      <w:r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cu produse petroliere principale, hidrocarburi gazoase lichefiate </w:t>
      </w:r>
      <w:r w:rsidR="006258E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gaze naturale comprimate</w:t>
      </w:r>
      <w:r w:rsidR="0074338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(se anexează)</w:t>
      </w:r>
      <w:r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1F0157C4" w14:textId="793F379F" w:rsidR="006420E3" w:rsidRPr="006420E3" w:rsidRDefault="008D2D7D" w:rsidP="00814EA6">
      <w:pPr>
        <w:pStyle w:val="ListParagraph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Autorită</w:t>
      </w:r>
      <w:r w:rsidR="006258E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ile publice locale de nivelul întâi asigură elaborarea schemelor de amplasare a sta</w:t>
      </w:r>
      <w:r w:rsidR="006258E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iilor de alimentare </w:t>
      </w:r>
      <w:r w:rsidR="001F41C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 autovehiculelor 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cu produse </w:t>
      </w:r>
      <w:r w:rsidR="006420E3"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petroliere principale, hidrocarburi gazoase lichefiate </w:t>
      </w:r>
      <w:r w:rsidR="006258E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6420E3" w:rsidRPr="006420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gaze naturale comprimate</w:t>
      </w:r>
      <w:r w:rsidR="002A70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D103B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în conformitate cu </w:t>
      </w:r>
      <w:r w:rsidR="002A70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prevederile</w:t>
      </w:r>
      <w:r w:rsidR="002A704B" w:rsidRPr="002A70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1F41C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prezentului Regulament</w:t>
      </w: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0D26B500" w14:textId="12870AF8" w:rsidR="00720713" w:rsidRDefault="00720713" w:rsidP="00413A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61BC7FF1" w14:textId="77777777" w:rsidR="00413A98" w:rsidRPr="00A44B9F" w:rsidRDefault="00413A98" w:rsidP="00413A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00D0FEDF" w14:textId="77777777" w:rsidR="000D6EDF" w:rsidRDefault="000D6EDF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39BAA7CD" w14:textId="5814200E" w:rsidR="006220B1" w:rsidRPr="00A44B9F" w:rsidRDefault="006220B1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Prim-ministru                                                        NATALIA GAVRILI</w:t>
      </w:r>
      <w:r w:rsidR="006258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Ț</w:t>
      </w:r>
      <w:r w:rsidRPr="00A44B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A </w:t>
      </w:r>
    </w:p>
    <w:p w14:paraId="73FC0ECE" w14:textId="17853511" w:rsidR="00D103B1" w:rsidRDefault="00D103B1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2225022B" w14:textId="77777777" w:rsidR="000D6EDF" w:rsidRDefault="000D6EDF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6C5191F5" w14:textId="77777777" w:rsidR="00413A98" w:rsidRDefault="00413A98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19D1D59A" w14:textId="77777777" w:rsidR="006220B1" w:rsidRPr="00A44B9F" w:rsidRDefault="006220B1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Contrasemnează: </w:t>
      </w:r>
    </w:p>
    <w:p w14:paraId="21FC2A26" w14:textId="77777777" w:rsidR="006220B1" w:rsidRPr="00A44B9F" w:rsidRDefault="006220B1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Viceprim-ministru, </w:t>
      </w:r>
    </w:p>
    <w:p w14:paraId="61E9A5EE" w14:textId="77777777" w:rsidR="006220B1" w:rsidRPr="00A44B9F" w:rsidRDefault="006220B1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ministrul infrastructurii </w:t>
      </w:r>
    </w:p>
    <w:p w14:paraId="5B8F8928" w14:textId="72C704E8" w:rsidR="006220B1" w:rsidRDefault="006258E9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6220B1"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dezvoltării regionale                                                            Andrei </w:t>
      </w:r>
      <w:proofErr w:type="spellStart"/>
      <w:r w:rsidR="006220B1" w:rsidRPr="00A44B9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Spînu</w:t>
      </w:r>
      <w:proofErr w:type="spellEnd"/>
    </w:p>
    <w:p w14:paraId="53BF59F5" w14:textId="676D39AB" w:rsidR="00F202D0" w:rsidRDefault="00F202D0" w:rsidP="00413A9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0AD28F0C" w14:textId="77777777" w:rsidR="000873FA" w:rsidRDefault="000873FA" w:rsidP="00413A9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4AC678D4" w14:textId="77777777" w:rsidR="000873FA" w:rsidRDefault="000873FA" w:rsidP="00413A9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171EA8F5" w14:textId="77777777" w:rsidR="007643F7" w:rsidRDefault="007643F7" w:rsidP="00413A98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</w:p>
    <w:p w14:paraId="5DD0C282" w14:textId="37C47680" w:rsidR="00743384" w:rsidRPr="00910F21" w:rsidRDefault="00743384" w:rsidP="00413A98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910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lastRenderedPageBreak/>
        <w:t xml:space="preserve">Aprobat </w:t>
      </w:r>
    </w:p>
    <w:p w14:paraId="4E21A298" w14:textId="0BFFBA01" w:rsidR="00743384" w:rsidRPr="00910F21" w:rsidRDefault="00743384" w:rsidP="00413A98">
      <w:pPr>
        <w:pStyle w:val="ListParagraph"/>
        <w:spacing w:after="0" w:line="240" w:lineRule="auto"/>
        <w:ind w:left="851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910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prin Hotărârea Guvernului nr._</w:t>
      </w:r>
      <w:r w:rsidR="000873FA" w:rsidRPr="00910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___</w:t>
      </w:r>
      <w:r w:rsidRPr="00910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_/202</w:t>
      </w:r>
      <w:r w:rsidR="00FC41AF" w:rsidRPr="00910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3</w:t>
      </w:r>
    </w:p>
    <w:p w14:paraId="45A1187B" w14:textId="77777777" w:rsidR="00743384" w:rsidRPr="00F202D0" w:rsidRDefault="00743384" w:rsidP="009A2847">
      <w:pPr>
        <w:pStyle w:val="ListParagraph"/>
        <w:spacing w:after="0" w:line="240" w:lineRule="auto"/>
        <w:ind w:left="851"/>
        <w:contextualSpacing w:val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5A86B19D" w14:textId="77777777" w:rsidR="00AF02C5" w:rsidRDefault="00AF02C5" w:rsidP="00C93FB2">
      <w:pPr>
        <w:pStyle w:val="ListParagraph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7B16EEC3" w14:textId="77777777" w:rsidR="009A2847" w:rsidRDefault="00A44B9F" w:rsidP="00C93FB2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216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REGULAMENT</w:t>
      </w:r>
    </w:p>
    <w:p w14:paraId="0D55071A" w14:textId="39D29FAF" w:rsidR="00DD4D49" w:rsidRDefault="00743384" w:rsidP="00C93FB2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privind</w:t>
      </w:r>
      <w:r w:rsidR="005B7DB0" w:rsidRPr="00216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cerin</w:t>
      </w:r>
      <w:r w:rsidR="006258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ț</w:t>
      </w:r>
      <w:r w:rsidR="005B7DB0" w:rsidRPr="00216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ele de amplasare a sta</w:t>
      </w:r>
      <w:r w:rsidR="006258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ț</w:t>
      </w:r>
      <w:r w:rsidR="005B7DB0" w:rsidRPr="00216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iilor</w:t>
      </w:r>
      <w:r w:rsidR="00097061" w:rsidRPr="00A44B9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de alimentare </w:t>
      </w:r>
      <w:r w:rsidR="001F41C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a autovehiculelor </w:t>
      </w:r>
      <w:r w:rsidR="00097061" w:rsidRPr="00A44B9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cu produse petroliere principale</w:t>
      </w:r>
      <w:r w:rsidR="00097061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, </w:t>
      </w:r>
      <w:r w:rsidR="00F35FDD" w:rsidRPr="00F35FD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gaze petroliere lichefiate</w:t>
      </w:r>
      <w:r w:rsidR="00FC41A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6258E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ș</w:t>
      </w:r>
      <w:r w:rsidR="00097061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i gaze naturale</w:t>
      </w:r>
      <w:r w:rsidR="009614D2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comprimate</w:t>
      </w:r>
    </w:p>
    <w:p w14:paraId="04869A68" w14:textId="77777777" w:rsidR="009A2847" w:rsidRDefault="009A2847" w:rsidP="00C93FB2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08B97DF5" w14:textId="2A85962D" w:rsidR="007E05B7" w:rsidRPr="00F202D0" w:rsidRDefault="00500517" w:rsidP="00C93FB2">
      <w:pPr>
        <w:pStyle w:val="ListParagraph"/>
        <w:numPr>
          <w:ilvl w:val="0"/>
          <w:numId w:val="19"/>
        </w:numPr>
        <w:spacing w:after="120" w:line="276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Dispozi</w:t>
      </w:r>
      <w:r w:rsidR="006258E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ț</w:t>
      </w:r>
      <w:r w:rsidRPr="00F202D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ii generale</w:t>
      </w:r>
    </w:p>
    <w:p w14:paraId="66722C34" w14:textId="13D6739B" w:rsidR="00743384" w:rsidRPr="006C6B96" w:rsidRDefault="004F7C56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Regulamentul privind cerin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ele de amplasare a sta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iilor de alimentare a autovehiculelor cu produse petroliere principale, </w:t>
      </w:r>
      <w:r w:rsidR="00F35FDD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gaze petroliere lichefiate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ș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 gaze naturale comprimate (în continuare – Regulament)</w:t>
      </w:r>
      <w:r w:rsidR="00171335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607D7F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stabile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ș</w:t>
      </w:r>
      <w:r w:rsidR="00607D7F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te</w:t>
      </w:r>
      <w:r w:rsidR="00743384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cadrul juridic unitar 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ș</w:t>
      </w:r>
      <w:r w:rsidR="00743384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 cerin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="00743384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ele de amplasare a </w:t>
      </w:r>
      <w:r w:rsidR="00743384" w:rsidRPr="006C6B96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ț</w:t>
      </w:r>
      <w:r w:rsidR="00743384" w:rsidRPr="006C6B96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iilor</w:t>
      </w:r>
      <w:r w:rsidR="0074338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alimentare </w:t>
      </w:r>
      <w:r w:rsidR="001F41C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 autovehiculelor </w:t>
      </w:r>
      <w:r w:rsidR="0074338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cu produse petroliere principale, hidrocarburi gazoase lichefiate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74338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gaze naturale comprimate</w:t>
      </w:r>
      <w:r w:rsidR="003C45A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(în continuare –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3C45A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 de alimentare </w:t>
      </w:r>
      <w:r w:rsidR="00E478B6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 </w:t>
      </w:r>
      <w:r w:rsidR="003C45A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autovehiculelor cu combustibil)</w:t>
      </w:r>
      <w:r w:rsidR="0074338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709D14C9" w14:textId="00DB271E" w:rsidR="00557343" w:rsidRPr="006C6B96" w:rsidRDefault="007147B3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Prevederile 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Regulament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ului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se aplică la proiectarea tuturor tipurilor de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 de alimentare a autovehiculelor cu combustibil</w:t>
      </w:r>
      <w:r w:rsidR="005F45AB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stabilite în pct. 1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celor noi precum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celor existente preconizate spre reconstruc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ie</w:t>
      </w:r>
      <w:r w:rsidR="0055734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06D52C88" w14:textId="27ECEC38" w:rsidR="00500517" w:rsidRPr="006C6B96" w:rsidRDefault="00557343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Prevederile Regulamentului </w:t>
      </w:r>
      <w:r w:rsidR="00A3658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sunt obligatorii</w:t>
      </w:r>
      <w:r w:rsidR="00FC41A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pentru to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agen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 economici indiferent de tipul de proprietate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1F41C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forma de organizare juridică, care execută proiectări, lucrări de construc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ii-montare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exploatare a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iilor de alimentare a autovehiculelor cu combustibil.</w:t>
      </w:r>
    </w:p>
    <w:p w14:paraId="7E88B03B" w14:textId="0CEEC794" w:rsidR="00365E75" w:rsidRPr="006C6B96" w:rsidRDefault="00365E75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Regulament</w:t>
      </w:r>
      <w:r w:rsidR="004F7C56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ul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nu se extinde asupra </w:t>
      </w:r>
      <w:r w:rsidR="007A77B5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sta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="007A77B5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ii</w:t>
      </w:r>
      <w:r w:rsidR="00984F5E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lor</w:t>
      </w:r>
      <w:r w:rsidR="007A77B5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7014AC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existente </w:t>
      </w:r>
      <w:r w:rsidR="007A77B5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de alimentare a autovehiculelor cu combustibil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la care urmează a fi:</w:t>
      </w:r>
    </w:p>
    <w:p w14:paraId="4F66B552" w14:textId="6E5244FD" w:rsidR="00365E75" w:rsidRPr="006C6B96" w:rsidRDefault="00365E75" w:rsidP="00C93FB2">
      <w:pPr>
        <w:pStyle w:val="ListParagraph"/>
        <w:numPr>
          <w:ilvl w:val="0"/>
          <w:numId w:val="23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moderniza</w:t>
      </w:r>
      <w:r w:rsidR="007A77B5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t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sau înlocuit utilajului tehnologic, fără mărirea capacită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ii/tipului rezervoarelor/recipientelor 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ș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 fără mărirea numărului de posturi/furtunuri de alimentare;</w:t>
      </w:r>
    </w:p>
    <w:p w14:paraId="2C55E06D" w14:textId="655DB203" w:rsidR="00365E75" w:rsidRPr="006C6B96" w:rsidRDefault="00365E75" w:rsidP="00C93FB2">
      <w:pPr>
        <w:pStyle w:val="ListParagraph"/>
        <w:numPr>
          <w:ilvl w:val="0"/>
          <w:numId w:val="23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instalat sistem de automatizare;</w:t>
      </w:r>
    </w:p>
    <w:p w14:paraId="56830AEF" w14:textId="5404C5EE" w:rsidR="00306ABA" w:rsidRPr="006C6B96" w:rsidRDefault="00306ABA" w:rsidP="00C93FB2">
      <w:pPr>
        <w:pStyle w:val="ListParagraph"/>
        <w:numPr>
          <w:ilvl w:val="0"/>
          <w:numId w:val="23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modernizarea sau resistematizarea clădirii operatorilor;</w:t>
      </w:r>
    </w:p>
    <w:p w14:paraId="236D2B86" w14:textId="08178C81" w:rsidR="00365E75" w:rsidRPr="006C6B96" w:rsidRDefault="00365E75" w:rsidP="00C93FB2">
      <w:pPr>
        <w:pStyle w:val="ListParagraph"/>
        <w:numPr>
          <w:ilvl w:val="0"/>
          <w:numId w:val="23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instalate unită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 de recuperare a vaporilor conform Regulamentului privind controlul emisiilor de compu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ș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 organici volatili rezulta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 din depozitarea 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ș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 din distribu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ia benzinei de la terminale la sta</w:t>
      </w:r>
      <w:r w:rsidR="006258E9"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ț</w:t>
      </w:r>
      <w:r w:rsidRPr="006C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iile de alimentare cu produse petroliere, aprobat prin Hotărârea Guvernului nr.587/2020.</w:t>
      </w:r>
    </w:p>
    <w:p w14:paraId="1D0E99AF" w14:textId="3334818B" w:rsidR="00E2294E" w:rsidRPr="006C6B96" w:rsidRDefault="00500517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C6B96">
        <w:rPr>
          <w:rFonts w:ascii="Times New Roman" w:hAnsi="Times New Roman" w:cs="Times New Roman"/>
          <w:sz w:val="28"/>
          <w:szCs w:val="28"/>
          <w:lang w:val="ro-RO"/>
        </w:rPr>
        <w:t>Construirea, reconstruirea, reutilarea tehnică a 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iilor de alimentare a autovehiculelor cu combustibil se </w:t>
      </w:r>
      <w:r w:rsidR="0018423E" w:rsidRPr="006C6B96">
        <w:rPr>
          <w:rFonts w:ascii="Times New Roman" w:hAnsi="Times New Roman" w:cs="Times New Roman"/>
          <w:sz w:val="28"/>
          <w:szCs w:val="28"/>
          <w:lang w:val="ro-RO"/>
        </w:rPr>
        <w:t>efectuează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9713B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conform</w:t>
      </w:r>
      <w:r w:rsidR="00E9713B" w:rsidRPr="006C6B96">
        <w:rPr>
          <w:rFonts w:ascii="Times New Roman" w:hAnsi="Times New Roman" w:cs="Times New Roman"/>
          <w:sz w:val="28"/>
          <w:szCs w:val="28"/>
          <w:lang w:val="ro-RO"/>
        </w:rPr>
        <w:t>itate cu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8423E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documenta</w:t>
      </w:r>
      <w:r w:rsidR="006258E9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ț</w:t>
      </w:r>
      <w:r w:rsidR="0018423E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ia</w:t>
      </w:r>
      <w:r w:rsidR="00E9713B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de urbanism </w:t>
      </w:r>
      <w:r w:rsidR="006258E9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ș</w:t>
      </w:r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i amenajare a teritoriului aprobată în modul stabilit, cu actele normative </w:t>
      </w:r>
      <w:r w:rsidR="006258E9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ș</w:t>
      </w:r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i documentele normative în </w:t>
      </w:r>
      <w:r w:rsidR="0018423E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construc</w:t>
      </w:r>
      <w:r w:rsidR="006258E9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ț</w:t>
      </w:r>
      <w:r w:rsidR="0018423E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ii</w:t>
      </w:r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cu cele de securitate industrială </w:t>
      </w:r>
      <w:r w:rsidR="006258E9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ș</w:t>
      </w:r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i de protec</w:t>
      </w:r>
      <w:r w:rsidR="006258E9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ț</w:t>
      </w:r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ie împotriva incendiilor, cu normele ecologice </w:t>
      </w:r>
      <w:r w:rsidR="006258E9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ș</w:t>
      </w:r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i </w:t>
      </w:r>
      <w:proofErr w:type="spellStart"/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tehnico</w:t>
      </w:r>
      <w:proofErr w:type="spellEnd"/>
      <w:r w:rsidR="002A7F64" w:rsidRPr="006C6B9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-sanitare</w:t>
      </w:r>
      <w:r w:rsidR="00F65ABB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E2294E" w:rsidRPr="006C6B96">
        <w:rPr>
          <w:rFonts w:ascii="Times New Roman" w:hAnsi="Times New Roman" w:cs="Times New Roman"/>
          <w:sz w:val="28"/>
          <w:szCs w:val="28"/>
          <w:lang w:val="ro-MD"/>
        </w:rPr>
        <w:t xml:space="preserve">astfel </w:t>
      </w:r>
      <w:r w:rsidR="00E2294E" w:rsidRPr="006C6B96"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încât să </w:t>
      </w:r>
      <w:r w:rsidR="00BE366E" w:rsidRPr="006C6B96">
        <w:rPr>
          <w:rFonts w:ascii="Times New Roman" w:hAnsi="Times New Roman" w:cs="Times New Roman"/>
          <w:sz w:val="28"/>
          <w:szCs w:val="28"/>
          <w:lang w:val="ro-MD"/>
        </w:rPr>
        <w:t>asigure men</w:t>
      </w:r>
      <w:r w:rsidR="006258E9" w:rsidRPr="006C6B96">
        <w:rPr>
          <w:rFonts w:ascii="Times New Roman" w:hAnsi="Times New Roman" w:cs="Times New Roman"/>
          <w:sz w:val="28"/>
          <w:szCs w:val="28"/>
          <w:lang w:val="ro-MD"/>
        </w:rPr>
        <w:t>ț</w:t>
      </w:r>
      <w:r w:rsidR="00BE366E" w:rsidRPr="006C6B96">
        <w:rPr>
          <w:rFonts w:ascii="Times New Roman" w:hAnsi="Times New Roman" w:cs="Times New Roman"/>
          <w:sz w:val="28"/>
          <w:szCs w:val="28"/>
          <w:lang w:val="ro-MD"/>
        </w:rPr>
        <w:t>inerea pe întreaga durată de existen</w:t>
      </w:r>
      <w:r w:rsidR="006258E9" w:rsidRPr="006C6B96">
        <w:rPr>
          <w:rFonts w:ascii="Times New Roman" w:hAnsi="Times New Roman" w:cs="Times New Roman"/>
          <w:sz w:val="28"/>
          <w:szCs w:val="28"/>
          <w:lang w:val="ro-MD"/>
        </w:rPr>
        <w:t>ț</w:t>
      </w:r>
      <w:r w:rsidR="00BE366E" w:rsidRPr="006C6B96">
        <w:rPr>
          <w:rFonts w:ascii="Times New Roman" w:hAnsi="Times New Roman" w:cs="Times New Roman"/>
          <w:sz w:val="28"/>
          <w:szCs w:val="28"/>
          <w:lang w:val="ro-MD"/>
        </w:rPr>
        <w:t>ă a construc</w:t>
      </w:r>
      <w:r w:rsidR="006258E9" w:rsidRPr="006C6B96">
        <w:rPr>
          <w:rFonts w:ascii="Times New Roman" w:hAnsi="Times New Roman" w:cs="Times New Roman"/>
          <w:sz w:val="28"/>
          <w:szCs w:val="28"/>
          <w:lang w:val="ro-MD"/>
        </w:rPr>
        <w:t>ț</w:t>
      </w:r>
      <w:r w:rsidR="00BE366E" w:rsidRPr="006C6B96">
        <w:rPr>
          <w:rFonts w:ascii="Times New Roman" w:hAnsi="Times New Roman" w:cs="Times New Roman"/>
          <w:sz w:val="28"/>
          <w:szCs w:val="28"/>
          <w:lang w:val="ro-MD"/>
        </w:rPr>
        <w:t xml:space="preserve">iilor </w:t>
      </w:r>
      <w:r w:rsidR="00331251" w:rsidRPr="006C6B96">
        <w:rPr>
          <w:rFonts w:ascii="Times New Roman" w:hAnsi="Times New Roman" w:cs="Times New Roman"/>
          <w:sz w:val="28"/>
          <w:szCs w:val="28"/>
          <w:lang w:val="ro-MD"/>
        </w:rPr>
        <w:t>a exigen</w:t>
      </w:r>
      <w:r w:rsidR="006258E9" w:rsidRPr="006C6B96">
        <w:rPr>
          <w:rFonts w:ascii="Times New Roman" w:hAnsi="Times New Roman" w:cs="Times New Roman"/>
          <w:sz w:val="28"/>
          <w:szCs w:val="28"/>
          <w:lang w:val="ro-MD"/>
        </w:rPr>
        <w:t>ț</w:t>
      </w:r>
      <w:r w:rsidR="0059258A" w:rsidRPr="006C6B96">
        <w:rPr>
          <w:rFonts w:ascii="Times New Roman" w:hAnsi="Times New Roman" w:cs="Times New Roman"/>
          <w:sz w:val="28"/>
          <w:szCs w:val="28"/>
          <w:lang w:val="ro-MD"/>
        </w:rPr>
        <w:t>e</w:t>
      </w:r>
      <w:r w:rsidR="00331251" w:rsidRPr="006C6B96">
        <w:rPr>
          <w:rFonts w:ascii="Times New Roman" w:hAnsi="Times New Roman" w:cs="Times New Roman"/>
          <w:sz w:val="28"/>
          <w:szCs w:val="28"/>
          <w:lang w:val="ro-MD"/>
        </w:rPr>
        <w:t>lor esen</w:t>
      </w:r>
      <w:r w:rsidR="006258E9" w:rsidRPr="006C6B96">
        <w:rPr>
          <w:rFonts w:ascii="Times New Roman" w:hAnsi="Times New Roman" w:cs="Times New Roman"/>
          <w:sz w:val="28"/>
          <w:szCs w:val="28"/>
          <w:lang w:val="ro-MD"/>
        </w:rPr>
        <w:t>ț</w:t>
      </w:r>
      <w:r w:rsidR="00331251" w:rsidRPr="006C6B96">
        <w:rPr>
          <w:rFonts w:ascii="Times New Roman" w:hAnsi="Times New Roman" w:cs="Times New Roman"/>
          <w:sz w:val="28"/>
          <w:szCs w:val="28"/>
          <w:lang w:val="ro-MD"/>
        </w:rPr>
        <w:t xml:space="preserve">iale conform art. 6 al Legii nr. 721/1996 privind calitatea </w:t>
      </w:r>
      <w:r w:rsidR="0059258A" w:rsidRPr="006C6B96">
        <w:rPr>
          <w:rFonts w:ascii="Times New Roman" w:hAnsi="Times New Roman" w:cs="Times New Roman"/>
          <w:sz w:val="28"/>
          <w:szCs w:val="28"/>
          <w:lang w:val="ro-MD"/>
        </w:rPr>
        <w:t>î</w:t>
      </w:r>
      <w:r w:rsidR="00331251" w:rsidRPr="006C6B96">
        <w:rPr>
          <w:rFonts w:ascii="Times New Roman" w:hAnsi="Times New Roman" w:cs="Times New Roman"/>
          <w:sz w:val="28"/>
          <w:szCs w:val="28"/>
          <w:lang w:val="ro-MD"/>
        </w:rPr>
        <w:t>n construc</w:t>
      </w:r>
      <w:r w:rsidR="006258E9" w:rsidRPr="006C6B96">
        <w:rPr>
          <w:rFonts w:ascii="Times New Roman" w:hAnsi="Times New Roman" w:cs="Times New Roman"/>
          <w:sz w:val="28"/>
          <w:szCs w:val="28"/>
          <w:lang w:val="ro-MD"/>
        </w:rPr>
        <w:t>ț</w:t>
      </w:r>
      <w:r w:rsidR="00331251" w:rsidRPr="006C6B96">
        <w:rPr>
          <w:rFonts w:ascii="Times New Roman" w:hAnsi="Times New Roman" w:cs="Times New Roman"/>
          <w:sz w:val="28"/>
          <w:szCs w:val="28"/>
          <w:lang w:val="ro-MD"/>
        </w:rPr>
        <w:t>ii.</w:t>
      </w:r>
    </w:p>
    <w:p w14:paraId="66440327" w14:textId="7987CA76" w:rsidR="001B4EC2" w:rsidRPr="006C6B96" w:rsidRDefault="007E05B7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În sensul prezentului Regulament </w:t>
      </w:r>
      <w:r w:rsidR="00616E0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s</w:t>
      </w:r>
      <w:r w:rsidR="00616E04" w:rsidRPr="006C6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MD"/>
        </w:rPr>
        <w:t>e definesc următoarele no</w:t>
      </w:r>
      <w:r w:rsidR="006258E9" w:rsidRPr="006C6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MD"/>
        </w:rPr>
        <w:t>ț</w:t>
      </w:r>
      <w:r w:rsidR="00616E04" w:rsidRPr="006C6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MD"/>
        </w:rPr>
        <w:t>iuni principale</w:t>
      </w:r>
      <w:r w:rsidR="0074338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</w:p>
    <w:p w14:paraId="483CA3A7" w14:textId="14951D8B" w:rsidR="002D32E5" w:rsidRPr="006C6B96" w:rsidRDefault="002D32E5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i</w:t>
      </w:r>
      <w:r w:rsidR="00014F70"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e</w:t>
      </w:r>
      <w:r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 xml:space="preserve"> de al</w:t>
      </w:r>
      <w:r w:rsidR="004C2F10"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i</w:t>
      </w:r>
      <w:r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 xml:space="preserve">mentare a </w:t>
      </w:r>
      <w:r w:rsidR="004C2F10"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autovehiculelor</w:t>
      </w:r>
      <w:r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 xml:space="preserve"> cu combustibil </w:t>
      </w:r>
      <w:r w:rsidR="004C2F10"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(</w:t>
      </w:r>
      <w:r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>SAAC</w:t>
      </w:r>
      <w:r w:rsidR="004C2F10" w:rsidRPr="006C6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o-RO"/>
        </w:rPr>
        <w:t xml:space="preserve">) </w:t>
      </w:r>
      <w:r w:rsidRPr="006C6B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-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complex de clădiri, instala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utilaje, ale căror dispozitive tehnologice sunt destinate pentru alimentarea sistemului carburant al mijloacelor de transport cu produse petroliere principale, </w:t>
      </w:r>
      <w:r w:rsidR="002A3BAF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gaze petroliere lichefiate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gaze naturale comprimate</w:t>
      </w:r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6EB9020" w14:textId="561D0D24" w:rsidR="00677CFF" w:rsidRPr="006C6B96" w:rsidRDefault="00677CFF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Combustibil lichid pentru motoare</w:t>
      </w:r>
      <w:r w:rsidR="002D32E5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(CL)</w:t>
      </w:r>
      <w:r w:rsidR="002D32E5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benzină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i/sau motorină</w:t>
      </w:r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76051322" w14:textId="3B147044" w:rsidR="00677CFF" w:rsidRPr="006C6B96" w:rsidRDefault="00F35FDD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Gaze petroliere lichefiate (GPL)</w:t>
      </w:r>
      <w:r w:rsidR="00677CFF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produse chimice din petrol în stare gazoasă care pot fi depozitate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i/sau manipulate în faza lichidă în condi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 moderate de presiune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la temperatură ambiantă. Aceste gaze constau în principal din propan, propenă, </w:t>
      </w:r>
      <w:proofErr w:type="spellStart"/>
      <w:r w:rsidRPr="006C6B96">
        <w:rPr>
          <w:rFonts w:ascii="Times New Roman" w:hAnsi="Times New Roman" w:cs="Times New Roman"/>
          <w:sz w:val="28"/>
          <w:szCs w:val="28"/>
          <w:lang w:val="ro-RO"/>
        </w:rPr>
        <w:t>butanuri</w:t>
      </w:r>
      <w:proofErr w:type="spellEnd"/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butene, cu propor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 mici de etan, etenă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i/sau pentani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proofErr w:type="spellStart"/>
      <w:r w:rsidRPr="006C6B96">
        <w:rPr>
          <w:rFonts w:ascii="Times New Roman" w:hAnsi="Times New Roman" w:cs="Times New Roman"/>
          <w:sz w:val="28"/>
          <w:szCs w:val="28"/>
          <w:lang w:val="ro-RO"/>
        </w:rPr>
        <w:t>pentene</w:t>
      </w:r>
      <w:proofErr w:type="spellEnd"/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amestecuri ale acestora</w:t>
      </w:r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A2942E9" w14:textId="3484E085" w:rsidR="004C2411" w:rsidRPr="006C6B96" w:rsidRDefault="00677CFF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Gaz natural comprimat (GNC)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– gaz natural (metan) comprimat </w:t>
      </w:r>
      <w:r w:rsidR="00014F70" w:rsidRPr="006C6B96">
        <w:rPr>
          <w:rFonts w:ascii="Times New Roman" w:hAnsi="Times New Roman" w:cs="Times New Roman"/>
          <w:sz w:val="28"/>
          <w:szCs w:val="28"/>
          <w:lang w:val="ro-RO"/>
        </w:rPr>
        <w:t>până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la presiune înaltă Р = 19,6 </w:t>
      </w:r>
      <w:proofErr w:type="spellStart"/>
      <w:r w:rsidRPr="006C6B96">
        <w:rPr>
          <w:rFonts w:ascii="Times New Roman" w:hAnsi="Times New Roman" w:cs="Times New Roman"/>
          <w:sz w:val="28"/>
          <w:szCs w:val="28"/>
          <w:lang w:val="ro-RO"/>
        </w:rPr>
        <w:t>MPa</w:t>
      </w:r>
      <w:proofErr w:type="spellEnd"/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(Р = 200 </w:t>
      </w:r>
      <w:proofErr w:type="spellStart"/>
      <w:r w:rsidRPr="006C6B96">
        <w:rPr>
          <w:rFonts w:ascii="Times New Roman" w:hAnsi="Times New Roman" w:cs="Times New Roman"/>
          <w:sz w:val="28"/>
          <w:szCs w:val="28"/>
          <w:lang w:val="ro-RO"/>
        </w:rPr>
        <w:t>kgf</w:t>
      </w:r>
      <w:proofErr w:type="spellEnd"/>
      <w:r w:rsidRPr="006C6B96">
        <w:rPr>
          <w:rFonts w:ascii="Times New Roman" w:hAnsi="Times New Roman" w:cs="Times New Roman"/>
          <w:sz w:val="28"/>
          <w:szCs w:val="28"/>
          <w:lang w:val="ro-RO"/>
        </w:rPr>
        <w:t>/cm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2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B4AA9E4" w14:textId="2D559245" w:rsidR="004C2411" w:rsidRPr="006C6B96" w:rsidRDefault="004C2411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ie de alimentare cu combustibil (SAC)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– complex de clădiri, instala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utilaj cu sistem tehnologic destinat pentru alimentarea mijloacelor te transport numai cu combustibil lichid – benzină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i/sau motorină (CL). 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Caracteristicile tehnice vor corespunde RG 35-05-66:2004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„Reguli privind securitatea industrială la exploatarea 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>iilor de alimentare a automobilelor cu carburan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>i lichizi pentru motoare”;</w:t>
      </w:r>
    </w:p>
    <w:p w14:paraId="3019B663" w14:textId="7093D736" w:rsidR="004C2411" w:rsidRPr="006C6B96" w:rsidRDefault="004C2411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ie de alimentare cu gaze a automobilelor (SAAG</w:t>
      </w:r>
      <w:r w:rsidR="00C76661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)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- complex de clădiri, instala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utilaje, ale căror dispozitive tehnologice sunt destinate pentru alimentarea sistemului carburant al mijloacelor de transport cu </w:t>
      </w:r>
      <w:r w:rsidR="00FC41AF" w:rsidRPr="006C6B96">
        <w:rPr>
          <w:rFonts w:ascii="Times New Roman" w:hAnsi="Times New Roman" w:cs="Times New Roman"/>
          <w:sz w:val="28"/>
          <w:szCs w:val="28"/>
          <w:lang w:val="ro-RO"/>
        </w:rPr>
        <w:t>gaze petroliere lichefiate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FC41AF" w:rsidRPr="006C6B96">
        <w:rPr>
          <w:rFonts w:ascii="Times New Roman" w:hAnsi="Times New Roman" w:cs="Times New Roman"/>
          <w:sz w:val="28"/>
          <w:szCs w:val="28"/>
          <w:lang w:val="ro-RO"/>
        </w:rPr>
        <w:t>GPL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). Caracteristicile tehnice vor corespunde NCM G.05.02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„Sta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ii, posturi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monoblocuri pentru alimentarea autovehiculelor cu </w:t>
      </w:r>
      <w:r w:rsidR="002A3BAF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hidrocarburi gazoase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lichefiate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hyperlink r:id="rId8" w:tgtFrame="_blank" w:history="1">
        <w:r w:rsidRPr="006C6B96">
          <w:rPr>
            <w:rFonts w:ascii="Times New Roman" w:hAnsi="Times New Roman" w:cs="Times New Roman"/>
            <w:sz w:val="28"/>
            <w:szCs w:val="28"/>
            <w:lang w:val="ro-RO"/>
          </w:rPr>
          <w:t>SM</w:t>
        </w:r>
        <w:r w:rsidR="006420E3" w:rsidRPr="006C6B96">
          <w:rPr>
            <w:rFonts w:ascii="Times New Roman" w:hAnsi="Times New Roman" w:cs="Times New Roman"/>
            <w:sz w:val="28"/>
            <w:szCs w:val="28"/>
            <w:lang w:val="ro-RO"/>
          </w:rPr>
          <w:t xml:space="preserve"> </w:t>
        </w:r>
        <w:r w:rsidRPr="006C6B96">
          <w:rPr>
            <w:rFonts w:ascii="Times New Roman" w:hAnsi="Times New Roman" w:cs="Times New Roman"/>
            <w:sz w:val="28"/>
            <w:szCs w:val="28"/>
            <w:lang w:val="ro-RO"/>
          </w:rPr>
          <w:t>EN ISO 16924:2018</w:t>
        </w:r>
      </w:hyperlink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E26A2CB" w14:textId="25E45553" w:rsidR="004C2411" w:rsidRPr="006C6B96" w:rsidRDefault="004C2411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ie de alimentare</w:t>
      </w:r>
      <w:r w:rsidR="003C45A7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a autovehiculelor  cu gaze comprimate (SAAGC)</w:t>
      </w:r>
      <w:r w:rsidRPr="006C6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complex de clădiri, </w:t>
      </w:r>
      <w:r w:rsidR="00DE7D93" w:rsidRPr="006C6B96">
        <w:rPr>
          <w:rFonts w:ascii="Times New Roman" w:hAnsi="Times New Roman" w:cs="Times New Roman"/>
          <w:sz w:val="28"/>
          <w:szCs w:val="28"/>
          <w:lang w:val="ro-RO"/>
        </w:rPr>
        <w:t>instala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DE7D93" w:rsidRPr="006C6B96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utilaj cu sistem tehnologic destinat pentru alimentarea mijloacelor de transport numai cu</w:t>
      </w:r>
      <w:r w:rsidR="00FC41AF" w:rsidRPr="006C6B96">
        <w:rPr>
          <w:rFonts w:ascii="Times New Roman" w:hAnsi="Times New Roman" w:cs="Times New Roman"/>
          <w:sz w:val="28"/>
          <w:szCs w:val="28"/>
        </w:rPr>
        <w:t xml:space="preserve"> </w:t>
      </w:r>
      <w:r w:rsidR="00FC41AF" w:rsidRPr="006C6B96">
        <w:rPr>
          <w:rFonts w:ascii="Times New Roman" w:hAnsi="Times New Roman" w:cs="Times New Roman"/>
          <w:sz w:val="28"/>
          <w:szCs w:val="28"/>
          <w:lang w:val="ro-RO"/>
        </w:rPr>
        <w:t>gaz natural comprimat (GNC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). Capacitatea geometrică totală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unitară a rezervoarelor va corespunde </w:t>
      </w:r>
      <w:hyperlink r:id="rId9" w:tgtFrame="_blank" w:history="1">
        <w:r w:rsidRPr="006C6B96">
          <w:rPr>
            <w:rFonts w:ascii="Times New Roman" w:hAnsi="Times New Roman" w:cs="Times New Roman"/>
            <w:sz w:val="28"/>
            <w:szCs w:val="28"/>
            <w:lang w:val="ro-RO"/>
          </w:rPr>
          <w:t>SM EN ISO 16923:2018</w:t>
        </w:r>
      </w:hyperlink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4EDB0A93" w14:textId="7727239A" w:rsidR="004C2411" w:rsidRPr="006C6B96" w:rsidRDefault="00CF105C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ie</w:t>
      </w:r>
      <w:r w:rsidR="004C2411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4C2411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multicarburant</w:t>
      </w:r>
      <w:proofErr w:type="spellEnd"/>
      <w:r w:rsidR="004C2411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 xml:space="preserve"> de alimentare a autovehiculelor</w:t>
      </w:r>
      <w:r w:rsidR="004C241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</w:t>
      </w:r>
      <w:r w:rsidR="004C2411"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SMAA</w:t>
      </w:r>
      <w:r w:rsidR="004C241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) – complex de clădiri, 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instala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</w:t>
      </w:r>
      <w:r w:rsidR="004C241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4C241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utilaj cu sistem tehnologic destinat pentru alimentarea mijloacelor te transport cu două sau cu trei tipuri de combustibil: </w:t>
      </w:r>
      <w:r w:rsidR="004C2411"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CL</w:t>
      </w:r>
      <w:r w:rsidR="004C241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FC41AF"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GPL</w:t>
      </w:r>
      <w:r w:rsidR="00FC41A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4C241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</w:t>
      </w:r>
      <w:r w:rsidR="004C2411"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GNC</w:t>
      </w:r>
      <w:r w:rsidR="0038606B"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 xml:space="preserve">. </w:t>
      </w:r>
      <w:r w:rsidR="0038606B" w:rsidRPr="006C6B96">
        <w:rPr>
          <w:rFonts w:ascii="Times New Roman" w:hAnsi="Times New Roman" w:cs="Times New Roman"/>
          <w:sz w:val="28"/>
          <w:szCs w:val="28"/>
          <w:lang w:val="ro-RO"/>
        </w:rPr>
        <w:t>Caracteristicile tehnice vor corespunde NCM G.05.03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„Sta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 </w:t>
      </w:r>
      <w:proofErr w:type="spellStart"/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lastRenderedPageBreak/>
        <w:t>multicarburant</w:t>
      </w:r>
      <w:proofErr w:type="spellEnd"/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de alimentare a autovehiculelor cu combustibil lichid, hidrocarburi gazoase lichefiate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F35FDD" w:rsidRPr="006C6B96">
        <w:rPr>
          <w:rFonts w:ascii="Times New Roman" w:hAnsi="Times New Roman" w:cs="Times New Roman"/>
          <w:sz w:val="28"/>
          <w:szCs w:val="28"/>
          <w:lang w:val="ro-RO"/>
        </w:rPr>
        <w:t>i gaz natural comprimat”</w:t>
      </w:r>
      <w:r w:rsidR="003F3274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38AAD69D" w14:textId="41976300" w:rsidR="00CF105C" w:rsidRPr="006C6B96" w:rsidRDefault="00DE7D93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ie</w:t>
      </w:r>
      <w:r w:rsidR="00CF105C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 xml:space="preserve"> de alimentare a autovehiculelor (SAA)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– complex de clădiri, 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instala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utilaj cu sistem tehnologic destinat pentru alimentarea mijloacelor te transport numai cu combustibil lichid (benzină, motorină)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se caracterizează prin amplasare subterană a rezervoarelor cu capacitate geometrică totală de până la 100 m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o-RO"/>
        </w:rPr>
        <w:t>3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inclusiv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prin amplasare separată a distribuitoarelor de combustibil (DC)</w:t>
      </w:r>
      <w:r w:rsidR="004C2F10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</w:p>
    <w:p w14:paraId="1B0C2725" w14:textId="7E378AAF" w:rsidR="00DE7D93" w:rsidRPr="006C6B96" w:rsidRDefault="00DE7D93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ie</w:t>
      </w:r>
      <w:r w:rsidR="00CF105C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-bloc de alimentare a autovehiculelor (SBAA)</w:t>
      </w:r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– 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ie de alimentare a autovehiculelor (SA) cu sistem tehnologic destinat pentru alimentarea mijloacelor de transport numai cu combustibil lichid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se caracterizează prin amplasare subterană a rezervoarelor cu capacitate geometrică de </w:t>
      </w:r>
      <w:proofErr w:type="spellStart"/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>pînă</w:t>
      </w:r>
      <w:proofErr w:type="spellEnd"/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la 100 m</w:t>
      </w:r>
      <w:r w:rsidR="00CF105C"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prin amplasarea </w:t>
      </w:r>
      <w:r w:rsidR="00CF105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distribuitoarelor de combustibil (</w:t>
      </w:r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>DC) deasupra blocului de păstrare a combustibilului, fiind executată în forma unui singur articol prefabricat de uzină (bloc)</w:t>
      </w:r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CF105C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467322" w14:textId="64D45057" w:rsidR="00DE7D93" w:rsidRPr="006C6B96" w:rsidRDefault="00DE7D93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Post de alimentare a autovehiculelor cu gaz</w:t>
      </w:r>
      <w:r w:rsidR="00A900CD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e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(PAAG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) – complex de clădiri, instala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utilaj cu sistem tehnologic destinat pentru alimentarea mijloacelor de transport numai cu </w:t>
      </w:r>
      <w:r w:rsidR="00FC41AF" w:rsidRPr="006C6B96">
        <w:rPr>
          <w:rFonts w:ascii="Times New Roman" w:hAnsi="Times New Roman" w:cs="Times New Roman"/>
          <w:sz w:val="28"/>
          <w:szCs w:val="28"/>
          <w:lang w:val="ro-RO"/>
        </w:rPr>
        <w:t>gaze petroliere lichefiate (GPL)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. Capacitatea geometrică totală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unitară a rezervoarelor în cazul amplasării supraterane a rezervoarelor respectiv 20m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5m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, iar în cazul amplasării subterane a rezervoarelor- respectiv 50m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10m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CA86E21" w14:textId="65C644E7" w:rsidR="00DE7D93" w:rsidRPr="006C6B96" w:rsidRDefault="00DE7D93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Monobloc de alimentare a autovehiculelor cu gaze (MAAG)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– articol prefabricat la uzină, montat pe un cadru, cu amplasare supraterană sau subterană, sistemul tehnologic al căruia este destinat pentru alimentarea mijloacelor de transport numai cu </w:t>
      </w:r>
      <w:r w:rsidR="00FC41AF" w:rsidRPr="006C6B96">
        <w:rPr>
          <w:rFonts w:ascii="Times New Roman" w:hAnsi="Times New Roman" w:cs="Times New Roman"/>
          <w:sz w:val="28"/>
          <w:szCs w:val="28"/>
          <w:lang w:val="ro-RO"/>
        </w:rPr>
        <w:t>gaze petroliere lichefiate (GPL).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Capacitatea geometrică totală a rezervoarelor nu trebuie să depă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ească 10 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, capacitatea geometrică a unui rezervor fiind de minimum 5 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="004C2F10" w:rsidRPr="006C6B9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ED46623" w14:textId="0E054B3A" w:rsidR="00CF105C" w:rsidRPr="006C6B96" w:rsidRDefault="00DE7D93" w:rsidP="00C93F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ie modulară de compresoare pentru alimentarea autovehiculelor (SMCAA)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- articol prefabricat la uzină, format din unul sau mai multe module, destinat pentru alimentarea mijloacelor de transport cu gaz natural (metan) comprimat Р = 19,6 </w:t>
      </w:r>
      <w:proofErr w:type="spellStart"/>
      <w:r w:rsidRPr="006C6B96">
        <w:rPr>
          <w:rFonts w:ascii="Times New Roman" w:hAnsi="Times New Roman" w:cs="Times New Roman"/>
          <w:sz w:val="28"/>
          <w:szCs w:val="28"/>
          <w:lang w:val="ro-RO"/>
        </w:rPr>
        <w:t>MPa</w:t>
      </w:r>
      <w:proofErr w:type="spellEnd"/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(Р = 200 </w:t>
      </w:r>
      <w:proofErr w:type="spellStart"/>
      <w:r w:rsidRPr="006C6B96">
        <w:rPr>
          <w:rFonts w:ascii="Times New Roman" w:hAnsi="Times New Roman" w:cs="Times New Roman"/>
          <w:sz w:val="28"/>
          <w:szCs w:val="28"/>
          <w:lang w:val="ro-RO"/>
        </w:rPr>
        <w:t>kgf</w:t>
      </w:r>
      <w:proofErr w:type="spellEnd"/>
      <w:r w:rsidRPr="006C6B96">
        <w:rPr>
          <w:rFonts w:ascii="Times New Roman" w:hAnsi="Times New Roman" w:cs="Times New Roman"/>
          <w:sz w:val="28"/>
          <w:szCs w:val="28"/>
          <w:lang w:val="ro-RO"/>
        </w:rPr>
        <w:t>/cm</w:t>
      </w:r>
      <w:r w:rsidRPr="006C6B9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). Capacitatea geometrică totală a modulului de acumulare de gaz (MAG) nu trebuie să depă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ească 1500 litri.</w:t>
      </w:r>
    </w:p>
    <w:p w14:paraId="4666A765" w14:textId="3EF86379" w:rsidR="00A32765" w:rsidRPr="006C6B96" w:rsidRDefault="00944C5D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 </w:t>
      </w:r>
      <w:bookmarkStart w:id="1" w:name="_Hlk114645309"/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de alimentare a autovehiculelor cu combustibil </w:t>
      </w:r>
      <w:bookmarkEnd w:id="1"/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</w:t>
      </w:r>
      <w:r w:rsidR="0052223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upă tipul de combustibil sunt:</w:t>
      </w:r>
    </w:p>
    <w:p w14:paraId="2575C409" w14:textId="09B74860" w:rsidR="00522234" w:rsidRPr="006C6B96" w:rsidRDefault="00522234" w:rsidP="00C93FB2">
      <w:pPr>
        <w:pStyle w:val="ListParagraph"/>
        <w:numPr>
          <w:ilvl w:val="0"/>
          <w:numId w:val="1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Cu un singur tip de combustibil</w:t>
      </w:r>
      <w:r w:rsidR="00944C5D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</w:p>
    <w:p w14:paraId="6929AB76" w14:textId="3FF614D2" w:rsidR="00522234" w:rsidRPr="006C6B96" w:rsidRDefault="00522234" w:rsidP="00C93FB2">
      <w:pPr>
        <w:pStyle w:val="ListParagraph"/>
        <w:numPr>
          <w:ilvl w:val="0"/>
          <w:numId w:val="13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ie de alimentare cu combustibil (SAC);</w:t>
      </w:r>
    </w:p>
    <w:p w14:paraId="3B4235D6" w14:textId="60C9D0B7" w:rsidR="00522234" w:rsidRPr="006C6B96" w:rsidRDefault="00522234" w:rsidP="00C93FB2">
      <w:pPr>
        <w:pStyle w:val="ListParagraph"/>
        <w:numPr>
          <w:ilvl w:val="0"/>
          <w:numId w:val="13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ie de alimentare cu gaze a automobilelor (SAAG);</w:t>
      </w:r>
    </w:p>
    <w:p w14:paraId="6B83D22B" w14:textId="2566FCCF" w:rsidR="00522234" w:rsidRPr="006C6B96" w:rsidRDefault="00522234" w:rsidP="00C93FB2">
      <w:pPr>
        <w:pStyle w:val="ListParagraph"/>
        <w:numPr>
          <w:ilvl w:val="0"/>
          <w:numId w:val="13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ie de alimentarea autovehiculelor cu gaze comprimate (SAAGC).</w:t>
      </w:r>
    </w:p>
    <w:p w14:paraId="01E4388D" w14:textId="3202B901" w:rsidR="00522234" w:rsidRPr="006C6B96" w:rsidRDefault="00522234" w:rsidP="00C93FB2">
      <w:pPr>
        <w:pStyle w:val="ListParagraph"/>
        <w:numPr>
          <w:ilvl w:val="0"/>
          <w:numId w:val="1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Cu doua sau trei tipuri de combustibil:</w:t>
      </w:r>
    </w:p>
    <w:p w14:paraId="2D802ADD" w14:textId="64BE6A4C" w:rsidR="00522234" w:rsidRPr="006C6B96" w:rsidRDefault="00522234" w:rsidP="00C93FB2">
      <w:pPr>
        <w:pStyle w:val="ListParagraph"/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</w:pPr>
      <w:bookmarkStart w:id="2" w:name="_Hlk114229318"/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 xml:space="preserve">ie </w:t>
      </w:r>
      <w:proofErr w:type="spellStart"/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multicarburant</w:t>
      </w:r>
      <w:proofErr w:type="spellEnd"/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 xml:space="preserve"> de alimentare a autovehiculelor (SMAA)</w:t>
      </w:r>
    </w:p>
    <w:bookmarkEnd w:id="2"/>
    <w:p w14:paraId="47A54A4F" w14:textId="0D12948C" w:rsidR="00944C5D" w:rsidRPr="006C6B96" w:rsidRDefault="00944C5D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lastRenderedPageBreak/>
        <w:t>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ie </w:t>
      </w:r>
      <w:proofErr w:type="spellStart"/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multicarburant</w:t>
      </w:r>
      <w:proofErr w:type="spellEnd"/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alimentare a autovehiculelor (SMAA)</w:t>
      </w:r>
      <w:r w:rsidRPr="006C6B96">
        <w:rPr>
          <w:rFonts w:ascii="Times New Roman" w:hAnsi="Times New Roman" w:cs="Times New Roman"/>
          <w:sz w:val="28"/>
          <w:szCs w:val="28"/>
        </w:rPr>
        <w:t xml:space="preserve"> 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includ următoare subcomponente:</w:t>
      </w:r>
    </w:p>
    <w:p w14:paraId="017907ED" w14:textId="36DD87AF" w:rsidR="00944C5D" w:rsidRPr="006C6B96" w:rsidRDefault="00944C5D" w:rsidP="00C93FB2">
      <w:pPr>
        <w:pStyle w:val="ListParagraph"/>
        <w:numPr>
          <w:ilvl w:val="0"/>
          <w:numId w:val="15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pentru alimentarea automobilelor cu combustibil lichid pentru motoare:</w:t>
      </w:r>
    </w:p>
    <w:p w14:paraId="71994CF8" w14:textId="6059D881" w:rsidR="00944C5D" w:rsidRPr="006C6B96" w:rsidRDefault="00944C5D" w:rsidP="00C93FB2">
      <w:pPr>
        <w:pStyle w:val="ListParagraph"/>
        <w:numPr>
          <w:ilvl w:val="0"/>
          <w:numId w:val="16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ie de alimentare a autovehiculelor (SAA);</w:t>
      </w:r>
    </w:p>
    <w:p w14:paraId="6E9181F0" w14:textId="602AB380" w:rsidR="00944C5D" w:rsidRPr="006C6B96" w:rsidRDefault="00944C5D" w:rsidP="00C93FB2">
      <w:pPr>
        <w:pStyle w:val="ListParagraph"/>
        <w:numPr>
          <w:ilvl w:val="0"/>
          <w:numId w:val="16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ie-bloc de alimentare a autovehiculelor (SBAA)</w:t>
      </w:r>
      <w:r w:rsidR="00D8711A" w:rsidRPr="006C6B96">
        <w:rPr>
          <w:rFonts w:ascii="Times New Roman" w:hAnsi="Times New Roman" w:cs="Times New Roman"/>
          <w:i/>
          <w:color w:val="000000" w:themeColor="text1"/>
          <w:sz w:val="28"/>
          <w:szCs w:val="28"/>
          <w:lang w:val="ro-RO"/>
        </w:rPr>
        <w:t>.</w:t>
      </w:r>
    </w:p>
    <w:p w14:paraId="1F6CD22A" w14:textId="045B8BF0" w:rsidR="00944C5D" w:rsidRPr="006C6B96" w:rsidRDefault="00D8711A" w:rsidP="00C93FB2">
      <w:pPr>
        <w:pStyle w:val="ListParagraph"/>
        <w:numPr>
          <w:ilvl w:val="0"/>
          <w:numId w:val="15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pentru alimentarea automobilelor cu hidrocarburi gazoase lichefiate:</w:t>
      </w:r>
    </w:p>
    <w:p w14:paraId="40CDB3DA" w14:textId="203394F2" w:rsidR="00D8711A" w:rsidRPr="006C6B96" w:rsidRDefault="00D8711A" w:rsidP="00C93FB2">
      <w:pPr>
        <w:pStyle w:val="ListParagraph"/>
        <w:numPr>
          <w:ilvl w:val="0"/>
          <w:numId w:val="17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Post de alimentare a autovehiculelor cu gaz</w:t>
      </w:r>
      <w:r w:rsidR="009246BE"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e</w:t>
      </w: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 xml:space="preserve"> (PAAG);</w:t>
      </w:r>
    </w:p>
    <w:p w14:paraId="63E5A593" w14:textId="3BD46238" w:rsidR="00D8711A" w:rsidRPr="006C6B96" w:rsidRDefault="00D8711A" w:rsidP="00C93FB2">
      <w:pPr>
        <w:pStyle w:val="ListParagraph"/>
        <w:numPr>
          <w:ilvl w:val="0"/>
          <w:numId w:val="17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o-RO"/>
        </w:rPr>
        <w:t>Monobloc de alimentare a autovehiculelor cu gaze (MAAG).</w:t>
      </w:r>
    </w:p>
    <w:p w14:paraId="5DC8C885" w14:textId="0355C460" w:rsidR="00D8711A" w:rsidRPr="006C6B96" w:rsidRDefault="00D8711A" w:rsidP="00C93FB2">
      <w:pPr>
        <w:pStyle w:val="ListParagraph"/>
        <w:numPr>
          <w:ilvl w:val="0"/>
          <w:numId w:val="15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pentru alimentarea automobilelor cu CL:</w:t>
      </w:r>
      <w:r w:rsidR="007F00A6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14:paraId="675304D8" w14:textId="51132F14" w:rsidR="002A15CB" w:rsidRPr="006C6B96" w:rsidRDefault="00D8711A" w:rsidP="00C93FB2">
      <w:pPr>
        <w:pStyle w:val="ListParagraph"/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i/>
          <w:iCs/>
          <w:sz w:val="28"/>
          <w:szCs w:val="28"/>
          <w:lang w:val="ro-RO"/>
        </w:rPr>
        <w:t>ie modulară de compresoare pentru alimentarea autovehiculelor (SMCAA).</w:t>
      </w:r>
    </w:p>
    <w:p w14:paraId="0461396E" w14:textId="781045CE" w:rsidR="00D8711A" w:rsidRPr="006C6B96" w:rsidRDefault="00D8711A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Pe teritoriul SMAA nu se admite amenajarea simultană a SAA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SBAA precum a MAAG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PAAG.</w:t>
      </w:r>
    </w:p>
    <w:p w14:paraId="176938CB" w14:textId="12C6B4C6" w:rsidR="00500517" w:rsidRPr="006C6B96" w:rsidRDefault="00500517" w:rsidP="00C93FB2">
      <w:pPr>
        <w:pStyle w:val="ListParagraph"/>
        <w:numPr>
          <w:ilvl w:val="0"/>
          <w:numId w:val="19"/>
        </w:numPr>
        <w:spacing w:after="0" w:line="276" w:lineRule="auto"/>
        <w:ind w:left="0" w:firstLine="851"/>
        <w:contextualSpacing w:val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Cerin</w:t>
      </w:r>
      <w:r w:rsidR="006258E9" w:rsidRPr="006C6B9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e privind amplasarea sta</w:t>
      </w:r>
      <w:r w:rsidR="006258E9" w:rsidRPr="006C6B9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iei de alimentare a autovehiculelor cu combustibil</w:t>
      </w:r>
    </w:p>
    <w:p w14:paraId="4BFD2FE5" w14:textId="1A9C6838" w:rsidR="00312A6E" w:rsidRPr="006C6B96" w:rsidRDefault="00323B84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3" w:name="_Hlk114645557"/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</w:t>
      </w:r>
      <w:r w:rsidR="00312A6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mplasarea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312A6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iilor de alimentare cu combustibil se va 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realiza în baza documenta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iei de proiect elaborate cu respectarea documenta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iei de urbanism</w:t>
      </w:r>
      <w:r w:rsidR="0033125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întocmite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33125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</w:t>
      </w:r>
      <w:r w:rsidR="00312A6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aprobate </w:t>
      </w:r>
      <w:r w:rsidR="00312A6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în conformitate cu legisla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312A6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ia în vigoare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312A6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a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312A6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prevederilor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6C6B96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Normativelor in construcții</w:t>
      </w:r>
    </w:p>
    <w:p w14:paraId="1F2F4FB3" w14:textId="5AFBD56E" w:rsidR="006C6B96" w:rsidRPr="006C6B96" w:rsidRDefault="00312A6E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Schemele de amplasare a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iilor de alimentare a autovehiculelor cu produse petroliere principale, hidrocarburi gazoase lichefiate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gaze naturale comprimate, sunt păr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componente ale documenta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iei de urbanism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amenajare locală a teritoriului. Autorită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ile administra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iei publice locale asigură elaborarea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aprobarea schemelor de amplasare a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iilor de alimentare a autovehiculelor cu produse petroliere principale, hidrocarburi gazoase lichefiate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gaze naturale comprimate, în limitele administrativ-teritoriale stabilite.</w:t>
      </w:r>
    </w:p>
    <w:p w14:paraId="0A37BB99" w14:textId="366CB244" w:rsidR="006C6B96" w:rsidRPr="006C6B96" w:rsidRDefault="006C6B96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Stațiile de alimentare a autovehiculelor cu combustibil pot fi proiectate, amplasate și construite doar pe terenuri pentru care este atribuit codul de reglementare urbanistică în conformitate cu Regulamentul local de urbanism aprobat.</w:t>
      </w:r>
    </w:p>
    <w:bookmarkEnd w:id="3"/>
    <w:p w14:paraId="34F9EBD8" w14:textId="19DEC516" w:rsidR="00005874" w:rsidRPr="006C6B96" w:rsidRDefault="00005874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Se interzice proiectarea, amplasarea 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 construirea sta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iilor de alimentare a autovehiculelor cu combustibil:</w:t>
      </w:r>
    </w:p>
    <w:p w14:paraId="369021B2" w14:textId="00222B69" w:rsidR="002513CD" w:rsidRPr="006C6B96" w:rsidRDefault="00005874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în zon</w:t>
      </w:r>
      <w:r w:rsidR="00C850A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ele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de protec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ie a bazinelor acvatice;</w:t>
      </w:r>
    </w:p>
    <w:p w14:paraId="01F2D58B" w14:textId="77777777" w:rsidR="002513CD" w:rsidRPr="006C6B96" w:rsidRDefault="00005874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în zon</w:t>
      </w:r>
      <w:r w:rsidR="00C850A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ele 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surselor de alimentare cu apă potabilă;</w:t>
      </w:r>
    </w:p>
    <w:p w14:paraId="2507513D" w14:textId="145B43A9" w:rsidR="002513CD" w:rsidRPr="006C6B96" w:rsidRDefault="00DD6FD5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în zon</w:t>
      </w:r>
      <w:r w:rsidR="00C850A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ele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sta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iunilor balneare 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 a sanatoriilor;</w:t>
      </w:r>
    </w:p>
    <w:p w14:paraId="44F3FDFE" w14:textId="7A22D617" w:rsidR="002513CD" w:rsidRPr="006C6B96" w:rsidRDefault="000F58B3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în zonele verzi urbane, pe teritoriul rezerva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iilor naturale 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 în zonele de protec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ie a acestora;</w:t>
      </w:r>
    </w:p>
    <w:p w14:paraId="2DB9547A" w14:textId="254093A7" w:rsidR="002513CD" w:rsidRPr="006C6B96" w:rsidRDefault="00F70E68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în zonele de protec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ie ale monumentelor istorice, monumentelor de for public, mormintelor 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 operelor comemorative de război</w:t>
      </w:r>
      <w:r w:rsidR="000F58B3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;</w:t>
      </w:r>
    </w:p>
    <w:p w14:paraId="1A4BF7D6" w14:textId="5EAAB6AE" w:rsidR="002513CD" w:rsidRPr="006C6B96" w:rsidRDefault="0033102C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lastRenderedPageBreak/>
        <w:t>în zonele spa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iilor verzi</w:t>
      </w:r>
      <w:r w:rsidR="00146137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</w:t>
      </w:r>
      <w:r w:rsidR="00E05C01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a </w:t>
      </w:r>
      <w:r w:rsidR="00146137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localită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="00146137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</w:t>
      </w:r>
      <w:r w:rsidR="00E05C01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lor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;</w:t>
      </w:r>
    </w:p>
    <w:p w14:paraId="10F1889C" w14:textId="1044D2D7" w:rsidR="009D26D8" w:rsidRPr="006C6B96" w:rsidRDefault="0033102C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în zonele de protec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ie sanitare ale institu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iilor sociale</w:t>
      </w:r>
      <w:r w:rsidR="009D26D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;</w:t>
      </w:r>
    </w:p>
    <w:p w14:paraId="4C6D0D73" w14:textId="77777777" w:rsidR="00DA00C2" w:rsidRPr="006C6B96" w:rsidRDefault="009D26D8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în zonele de odihnă 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sau practicare a sportului</w:t>
      </w:r>
      <w:r w:rsidR="00DA00C2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;</w:t>
      </w:r>
    </w:p>
    <w:p w14:paraId="0E015686" w14:textId="7CC41CC4" w:rsidR="00005874" w:rsidRPr="006C6B96" w:rsidRDefault="00DA00C2" w:rsidP="00C93FB2">
      <w:pPr>
        <w:pStyle w:val="ListParagraph"/>
        <w:numPr>
          <w:ilvl w:val="0"/>
          <w:numId w:val="22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în zonele de alunecări de teren</w:t>
      </w:r>
      <w:r w:rsidR="00FC3A14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, inunda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ț</w:t>
      </w:r>
      <w:r w:rsidR="00FC3A14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ii</w:t>
      </w:r>
      <w:r w:rsidR="00534F88" w:rsidRPr="006C6B9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6258E9" w:rsidRPr="006C6B96">
        <w:rPr>
          <w:rFonts w:ascii="Times New Roman" w:hAnsi="Times New Roman" w:cs="Times New Roman"/>
          <w:sz w:val="28"/>
          <w:szCs w:val="28"/>
          <w:lang w:val="ro-MD"/>
        </w:rPr>
        <w:t>ș</w:t>
      </w:r>
      <w:r w:rsidR="00534F88" w:rsidRPr="006C6B96">
        <w:rPr>
          <w:rFonts w:ascii="Times New Roman" w:hAnsi="Times New Roman" w:cs="Times New Roman"/>
          <w:sz w:val="28"/>
          <w:szCs w:val="28"/>
          <w:lang w:val="ro-MD"/>
        </w:rPr>
        <w:t xml:space="preserve">i </w:t>
      </w:r>
      <w:r w:rsidR="00534F8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terenuri împădurite,</w:t>
      </w:r>
      <w:r w:rsidR="00D61B6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 xml:space="preserve"> </w:t>
      </w:r>
      <w:r w:rsidR="00534F8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 xml:space="preserve">cu risc </w:t>
      </w:r>
      <w:r w:rsidR="00D61B6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 xml:space="preserve">de producere a catastrofelor cu caracter </w:t>
      </w:r>
      <w:proofErr w:type="spellStart"/>
      <w:r w:rsidR="00D61B6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tehnogen</w:t>
      </w:r>
      <w:proofErr w:type="spellEnd"/>
      <w:r w:rsidR="00D61B6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 xml:space="preserve"> 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ș</w:t>
      </w:r>
      <w:r w:rsidR="00D61B6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i a avariilor</w:t>
      </w:r>
      <w:r w:rsidR="009D26D8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.</w:t>
      </w:r>
    </w:p>
    <w:p w14:paraId="263F2383" w14:textId="2271E42D" w:rsidR="001C1F0E" w:rsidRPr="006C6B96" w:rsidRDefault="001C1F0E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Pentru toate construc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iile noi se vor întocmi obligatoriu studii geotehnice.</w:t>
      </w:r>
    </w:p>
    <w:p w14:paraId="426F4B1E" w14:textId="0616E604" w:rsidR="00ED5C66" w:rsidRPr="006C6B96" w:rsidRDefault="00ED5C66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La amplasarea, construc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ia sau reconstruc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ia sta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iilor se vor respecta zonele de protec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ie sanitară, prevăzute în anexa nr.</w:t>
      </w:r>
      <w:r w:rsidR="00EA3DA4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1</w:t>
      </w:r>
      <w:r w:rsidR="00E9713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la Regulamentul sanitar privind 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protec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ia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sănătă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ii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popula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iei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i 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angaja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ilor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împotriva riscurilor asociate </w:t>
      </w:r>
      <w:r w:rsidR="00767D25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func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="00767D25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ionării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 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ț</w:t>
      </w:r>
      <w:r w:rsidR="004C025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iilor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de alimentare cu produse petroliere</w:t>
      </w:r>
      <w:r w:rsidR="00E9713B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,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</w:t>
      </w:r>
      <w:r w:rsidR="00767D25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aprobat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prin </w:t>
      </w:r>
      <w:r w:rsidR="00767D25"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>Hotărârea</w:t>
      </w:r>
      <w:r w:rsidRPr="006C6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RO"/>
        </w:rPr>
        <w:t xml:space="preserve"> Guvernului nr.606/2015.</w:t>
      </w:r>
    </w:p>
    <w:p w14:paraId="343CB30C" w14:textId="0F98E0DD" w:rsidR="00B3612E" w:rsidRPr="006C6B96" w:rsidRDefault="004F7C56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Se admite amplasarea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iilor de alimentare a autovehiculelor cu combustibil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624612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în intravilanul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624612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extravilanul localită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624612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de regulă, din partea </w:t>
      </w:r>
      <w:r w:rsidR="00DD4D4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direc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DD4D4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iei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preponderente a </w:t>
      </w:r>
      <w:r w:rsidR="00DD4D4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vântului</w:t>
      </w:r>
      <w:r w:rsidR="00EE1925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 raport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cu </w:t>
      </w:r>
      <w:bookmarkStart w:id="4" w:name="_Hlk126057257"/>
      <w:r w:rsidR="00EE79E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case</w:t>
      </w:r>
      <w:r w:rsidR="0033125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</w:t>
      </w:r>
      <w:r w:rsidR="00EE79E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individuale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EE79E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blocuri</w:t>
      </w:r>
      <w:r w:rsidR="0033125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</w:t>
      </w:r>
      <w:r w:rsidR="00EE79E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locative</w:t>
      </w:r>
      <w:bookmarkEnd w:id="4"/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EE79E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clădiri cu destina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EE79E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ie 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social</w:t>
      </w:r>
      <w:r w:rsidR="00EE79E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ă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de </w:t>
      </w:r>
      <w:r w:rsidR="0054290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produc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4290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ie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7D87773E" w14:textId="03768070" w:rsidR="006C3FED" w:rsidRPr="006C6B96" w:rsidRDefault="006C3FED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 intrarea pe teritoriul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iei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l</w:t>
      </w:r>
      <w:r w:rsidR="00F85F00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â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ngă operator se instalează panouri informative în conformitate cu prevederile Regulamentului de comercializare cu amănuntul a produselor petroliere, aprobat prin Hotărârea Guvernului nr. </w:t>
      </w:r>
      <w:r w:rsidR="00F85F00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1117/2002.</w:t>
      </w:r>
    </w:p>
    <w:p w14:paraId="79791228" w14:textId="0C0BCE4B" w:rsidR="00B3612E" w:rsidRPr="006C6B96" w:rsidRDefault="000B3C21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Distan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minim</w:t>
      </w:r>
      <w:r w:rsidR="0050051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ă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AA5F4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</w:t>
      </w:r>
      <w:r w:rsidR="004F33AB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ntre 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clădirile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 </w:t>
      </w:r>
      <w:r w:rsidR="00D9506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instala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D9506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iile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care nu se referă la </w:t>
      </w:r>
      <w:r w:rsidR="0033102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</w:t>
      </w:r>
      <w:r w:rsidR="00722BA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722BA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iile de alimentare a autovehiculelor cu combustibil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216DFD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sunt</w:t>
      </w:r>
      <w:r w:rsidR="00980A18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2E4752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stabilite </w:t>
      </w:r>
      <w:r w:rsidR="00F960E5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în documenta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F960E5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ia </w:t>
      </w:r>
      <w:r w:rsidR="00F97B8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normativă în vigoare</w:t>
      </w:r>
      <w:r w:rsidR="00B3612E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F97B8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14:paraId="4D5D59F3" w14:textId="0BCFF904" w:rsidR="00680327" w:rsidRPr="006C6B96" w:rsidRDefault="00DD4D49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sz w:val="28"/>
          <w:szCs w:val="28"/>
          <w:lang w:val="ro-RO"/>
        </w:rPr>
        <w:t>Distan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AA5F4F" w:rsidRPr="006C6B96">
        <w:rPr>
          <w:rFonts w:ascii="Times New Roman" w:hAnsi="Times New Roman" w:cs="Times New Roman"/>
          <w:sz w:val="28"/>
          <w:szCs w:val="28"/>
          <w:lang w:val="ro-RO"/>
        </w:rPr>
        <w:t>între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8423E" w:rsidRPr="006C6B96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18423E" w:rsidRPr="006C6B96">
        <w:rPr>
          <w:rFonts w:ascii="Times New Roman" w:hAnsi="Times New Roman" w:cs="Times New Roman"/>
          <w:sz w:val="28"/>
          <w:szCs w:val="28"/>
          <w:lang w:val="ro-RO"/>
        </w:rPr>
        <w:t>elele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8423E" w:rsidRPr="006C6B96">
        <w:rPr>
          <w:rFonts w:ascii="Times New Roman" w:hAnsi="Times New Roman" w:cs="Times New Roman"/>
          <w:sz w:val="28"/>
          <w:szCs w:val="28"/>
          <w:lang w:val="ro-RO"/>
        </w:rPr>
        <w:t>inginere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18423E" w:rsidRPr="006C6B96">
        <w:rPr>
          <w:rFonts w:ascii="Times New Roman" w:hAnsi="Times New Roman" w:cs="Times New Roman"/>
          <w:sz w:val="28"/>
          <w:szCs w:val="28"/>
          <w:lang w:val="ro-RO"/>
        </w:rPr>
        <w:t>ti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subterane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supraterane, </w:t>
      </w:r>
      <w:r w:rsidR="009D26D8" w:rsidRPr="006C6B96">
        <w:rPr>
          <w:rFonts w:ascii="Times New Roman" w:hAnsi="Times New Roman" w:cs="Times New Roman"/>
          <w:sz w:val="28"/>
          <w:szCs w:val="28"/>
          <w:lang w:val="ro-RO"/>
        </w:rPr>
        <w:t>centralele electrice, echipamentele de transformare, re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9D26D8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elele de transport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9D26D8" w:rsidRPr="006C6B96">
        <w:rPr>
          <w:rFonts w:ascii="Times New Roman" w:hAnsi="Times New Roman" w:cs="Times New Roman"/>
          <w:sz w:val="28"/>
          <w:szCs w:val="28"/>
          <w:lang w:val="ro-RO"/>
        </w:rPr>
        <w:t>i distribu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9D26D8" w:rsidRPr="006C6B96">
        <w:rPr>
          <w:rFonts w:ascii="Times New Roman" w:hAnsi="Times New Roman" w:cs="Times New Roman"/>
          <w:sz w:val="28"/>
          <w:szCs w:val="28"/>
          <w:lang w:val="ro-RO"/>
        </w:rPr>
        <w:t>ie a energiei electrice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, care nu se referă la </w:t>
      </w:r>
      <w:r w:rsidR="003B5BA6" w:rsidRPr="006C6B96">
        <w:rPr>
          <w:rFonts w:ascii="Times New Roman" w:hAnsi="Times New Roman" w:cs="Times New Roman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3B5BA6" w:rsidRPr="006C6B96">
        <w:rPr>
          <w:rFonts w:ascii="Times New Roman" w:hAnsi="Times New Roman" w:cs="Times New Roman"/>
          <w:sz w:val="28"/>
          <w:szCs w:val="28"/>
          <w:lang w:val="ro-RO"/>
        </w:rPr>
        <w:t>iil</w:t>
      </w:r>
      <w:r w:rsidR="00A313AB" w:rsidRPr="006C6B9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B5BA6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de alimentare a autovehiculelor cu combustibil</w:t>
      </w:r>
      <w:r w:rsidR="00F95226" w:rsidRPr="006C6B9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se măsoară de la hotarul teritoriului </w:t>
      </w:r>
      <w:r w:rsidR="003B5BA6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3B5BA6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iilor de alimentare a autovehiculelor cu combustibil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872A6E7" w14:textId="36093ECC" w:rsidR="00BF5B0C" w:rsidRPr="006C6B96" w:rsidRDefault="00232F5B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La </w:t>
      </w:r>
      <w:r w:rsidR="00DA5EC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proiectarea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noilor </w:t>
      </w:r>
      <w:r w:rsidR="00F01ECA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obiective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F01ECA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</w:t>
      </w:r>
      <w:r w:rsidR="00BF5B0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 jurul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BF5B0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iilor trebuie amenajate fâ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BF5B0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 </w:t>
      </w:r>
      <w:r w:rsidR="00504110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de protecție la </w:t>
      </w:r>
      <w:r w:rsidR="00BF5B0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ince</w:t>
      </w:r>
      <w:r w:rsidR="00504110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</w:t>
      </w:r>
      <w:r w:rsidR="00BF5B0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diu cu o lă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BF5B0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ime de </w:t>
      </w:r>
      <w:r w:rsidR="003C1AA0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minimum</w:t>
      </w:r>
      <w:r w:rsidR="00BF5B0C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10 metri</w:t>
      </w:r>
      <w:r w:rsidR="00F01ECA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66445EEA" w14:textId="14322934" w:rsidR="007E3134" w:rsidRPr="006C6B96" w:rsidRDefault="007E3134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Sistematizarea verticală va fi re</w:t>
      </w:r>
      <w:r w:rsidR="0033125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alizată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cu pante corespunzătoare ale suprafe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elor carosabile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zonelor verzi, astfel încât apele pluviale să fie separate de cele ce pot fi impurificate cu produse petroliere.</w:t>
      </w:r>
    </w:p>
    <w:p w14:paraId="03989988" w14:textId="68E36A3D" w:rsidR="004175A4" w:rsidRPr="006C6B96" w:rsidRDefault="0018423E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sz w:val="28"/>
          <w:szCs w:val="28"/>
          <w:lang w:val="ro-RO"/>
        </w:rPr>
        <w:t>Distan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649CA" w:rsidRPr="006C6B96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534EE9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4F70" w:rsidRPr="006C6B96">
        <w:rPr>
          <w:rFonts w:ascii="Times New Roman" w:hAnsi="Times New Roman" w:cs="Times New Roman"/>
          <w:sz w:val="28"/>
          <w:szCs w:val="28"/>
          <w:lang w:val="ro-RO"/>
        </w:rPr>
        <w:t>până</w:t>
      </w:r>
      <w:r w:rsidR="00534EE9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la întreprinderi speciale, zone protejate, depozite de materiale explozibile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534EE9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 cu pericol de explozie, </w:t>
      </w:r>
      <w:r w:rsidR="00C649CA" w:rsidRPr="006C6B96">
        <w:rPr>
          <w:rFonts w:ascii="Times New Roman" w:hAnsi="Times New Roman" w:cs="Times New Roman"/>
          <w:sz w:val="28"/>
          <w:szCs w:val="28"/>
          <w:lang w:val="ro-RO"/>
        </w:rPr>
        <w:t>excava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649CA" w:rsidRPr="006C6B96">
        <w:rPr>
          <w:rFonts w:ascii="Times New Roman" w:hAnsi="Times New Roman" w:cs="Times New Roman"/>
          <w:sz w:val="28"/>
          <w:szCs w:val="28"/>
          <w:lang w:val="ro-RO"/>
        </w:rPr>
        <w:t>ii miniere pentru extragerea substan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C649CA" w:rsidRPr="006C6B96">
        <w:rPr>
          <w:rFonts w:ascii="Times New Roman" w:hAnsi="Times New Roman" w:cs="Times New Roman"/>
          <w:sz w:val="28"/>
          <w:szCs w:val="28"/>
          <w:lang w:val="ro-RO"/>
        </w:rPr>
        <w:t>elor minerale utile</w:t>
      </w:r>
      <w:r w:rsidR="00534EE9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, bazele de petrol, </w:t>
      </w:r>
      <w:r w:rsidR="00365E75" w:rsidRPr="006C6B96">
        <w:rPr>
          <w:rFonts w:ascii="Times New Roman" w:hAnsi="Times New Roman" w:cs="Times New Roman"/>
          <w:sz w:val="28"/>
          <w:szCs w:val="28"/>
          <w:lang w:val="ro-RO"/>
        </w:rPr>
        <w:t>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365E75" w:rsidRPr="006C6B96">
        <w:rPr>
          <w:rFonts w:ascii="Times New Roman" w:hAnsi="Times New Roman" w:cs="Times New Roman"/>
          <w:sz w:val="28"/>
          <w:szCs w:val="28"/>
          <w:lang w:val="ro-RO"/>
        </w:rPr>
        <w:t>iile</w:t>
      </w:r>
      <w:r w:rsidR="00534EE9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de umplere cu gaz, depozite de gaz lichefiat se </w:t>
      </w:r>
      <w:r w:rsidR="00011EC4" w:rsidRPr="006C6B96">
        <w:rPr>
          <w:rFonts w:ascii="Times New Roman" w:hAnsi="Times New Roman" w:cs="Times New Roman"/>
          <w:sz w:val="28"/>
          <w:szCs w:val="28"/>
          <w:lang w:val="ro-RO"/>
        </w:rPr>
        <w:t>stabile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011EC4" w:rsidRPr="006C6B96">
        <w:rPr>
          <w:rFonts w:ascii="Times New Roman" w:hAnsi="Times New Roman" w:cs="Times New Roman"/>
          <w:sz w:val="28"/>
          <w:szCs w:val="28"/>
          <w:lang w:val="ro-RO"/>
        </w:rPr>
        <w:t>te</w:t>
      </w:r>
      <w:r w:rsidR="00C649CA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65E75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conform avizelor emise de </w:t>
      </w:r>
      <w:r w:rsidR="00534EE9" w:rsidRPr="006C6B96">
        <w:rPr>
          <w:rFonts w:ascii="Times New Roman" w:hAnsi="Times New Roman" w:cs="Times New Roman"/>
          <w:sz w:val="28"/>
          <w:szCs w:val="28"/>
          <w:lang w:val="ro-RO"/>
        </w:rPr>
        <w:t>organele supravegherii de stat</w:t>
      </w:r>
      <w:r w:rsidR="003674D2" w:rsidRPr="006C6B9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B61713D" w14:textId="10179D6D" w:rsidR="009E66C1" w:rsidRPr="006C6B96" w:rsidRDefault="008A2FDF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lastRenderedPageBreak/>
        <w:t>În e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xtravilan</w:t>
      </w:r>
      <w:r w:rsidR="00AD2CF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ul localită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AD2CF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</w:t>
      </w:r>
      <w:r w:rsidR="0033125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lor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iile </w:t>
      </w:r>
      <w:r w:rsidR="009E66C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noi 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 alimentare a autovehiculelor cu combustibil urmează a fi amplasate dea lungul drumurilor publice pe sectoarele cu pantă până la 40</w:t>
      </w:r>
      <w:r w:rsidR="004175A4"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‰</w:t>
      </w:r>
      <w:r w:rsidR="00883B0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(promile)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cu raza curburii în plan peste 1000</w:t>
      </w:r>
      <w:r w:rsidR="002D2BF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 cu raza de peste 10000</w:t>
      </w:r>
      <w:r w:rsidR="002D2BF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4175A4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 în curburile convexe pe profilul longitudinal,</w:t>
      </w:r>
      <w:r w:rsidR="009E66C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nu mai aproape de 250 m </w:t>
      </w:r>
      <w:r w:rsidR="00FC41A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 intersec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FC41A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iile </w:t>
      </w:r>
      <w:r w:rsidR="009E66C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cu cale</w:t>
      </w:r>
      <w:r w:rsidR="00FC41A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</w:t>
      </w:r>
      <w:r w:rsidR="009E66C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ferată, nu mai aproape de 1000 m de poduri</w:t>
      </w:r>
      <w:r w:rsidR="00FC41A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306ABA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FC41A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</w:t>
      </w:r>
      <w:r w:rsidR="009E66C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 se admite amplasarea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9E66C1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ilor în limita nodurilor rutiere.</w:t>
      </w:r>
    </w:p>
    <w:p w14:paraId="640D43DF" w14:textId="52B92574" w:rsidR="00EE79E1" w:rsidRPr="006C6B96" w:rsidDel="00EE79E1" w:rsidRDefault="004175A4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Amplasarea sta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iil</w:t>
      </w:r>
      <w:r w:rsidR="005612E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or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alimentare a autovehiculelor cu combustibil în zona drumului public 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i/sau în zonele de </w:t>
      </w:r>
      <w:r w:rsidR="005612E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protec</w:t>
      </w:r>
      <w:r w:rsidR="006258E9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r w:rsidR="005612E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ie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ale acestuia</w:t>
      </w:r>
      <w:r w:rsidR="00165D07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se </w:t>
      </w:r>
      <w:r w:rsidR="005612E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efectuează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confo</w:t>
      </w:r>
      <w:r w:rsidR="005612E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rm a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nexei nr.</w:t>
      </w:r>
      <w:r w:rsidR="001006F0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3 a Legii</w:t>
      </w:r>
      <w:r w:rsidR="005612E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8A2FDF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drumurilor </w:t>
      </w:r>
      <w:r w:rsidR="005612E3" w:rsidRPr="006C6B9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nr.509/1995.</w:t>
      </w:r>
    </w:p>
    <w:p w14:paraId="6BF1ADC2" w14:textId="19956B6E" w:rsidR="00EE79E1" w:rsidRPr="006C6B96" w:rsidRDefault="00EE79E1" w:rsidP="00C93FB2">
      <w:pPr>
        <w:pStyle w:val="ListParagraph"/>
        <w:numPr>
          <w:ilvl w:val="0"/>
          <w:numId w:val="11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C6B96">
        <w:rPr>
          <w:rFonts w:ascii="Times New Roman" w:hAnsi="Times New Roman" w:cs="Times New Roman"/>
          <w:sz w:val="28"/>
          <w:szCs w:val="28"/>
          <w:lang w:val="ro-RO"/>
        </w:rPr>
        <w:t>La amplasarea sta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 xml:space="preserve">iilor de alimentare a autovehiculelor cu combustibil, productivitatea 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i distan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a între ele pe drumurile publice, se respectă următoarele cerin</w:t>
      </w:r>
      <w:r w:rsidR="006258E9" w:rsidRPr="006C6B96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6C6B96">
        <w:rPr>
          <w:rFonts w:ascii="Times New Roman" w:hAnsi="Times New Roman" w:cs="Times New Roman"/>
          <w:sz w:val="28"/>
          <w:szCs w:val="28"/>
          <w:lang w:val="ro-RO"/>
        </w:rPr>
        <w:t>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09"/>
        <w:gridCol w:w="1892"/>
        <w:gridCol w:w="2271"/>
      </w:tblGrid>
      <w:tr w:rsidR="00165D07" w:rsidRPr="00881A79" w14:paraId="69637D2F" w14:textId="77777777" w:rsidTr="00C93FB2">
        <w:tc>
          <w:tcPr>
            <w:tcW w:w="2689" w:type="dxa"/>
            <w:vAlign w:val="center"/>
          </w:tcPr>
          <w:p w14:paraId="643D0D8E" w14:textId="554D3B3C" w:rsidR="00165D07" w:rsidRPr="00881A79" w:rsidRDefault="00165D07" w:rsidP="00EA0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Intensitatea deplasării transportului, în</w:t>
            </w:r>
            <w:r w:rsidR="00883B09"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24ore</w:t>
            </w:r>
          </w:p>
        </w:tc>
        <w:tc>
          <w:tcPr>
            <w:tcW w:w="2209" w:type="dxa"/>
            <w:vAlign w:val="center"/>
          </w:tcPr>
          <w:p w14:paraId="153DE4D8" w14:textId="790AF075" w:rsidR="00165D07" w:rsidRPr="00881A79" w:rsidRDefault="00165D07" w:rsidP="00EA0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Productivitatea sta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iilor</w:t>
            </w:r>
            <w:r w:rsidRPr="00881A79">
              <w:rPr>
                <w:sz w:val="24"/>
                <w:szCs w:val="24"/>
              </w:rPr>
              <w:t xml:space="preserve"> 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 alimentare a autovehiculelor cu combustibil (nr. de alimentări</w:t>
            </w:r>
            <w:r w:rsidR="00883B09"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în 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24 ore)</w:t>
            </w:r>
          </w:p>
        </w:tc>
        <w:tc>
          <w:tcPr>
            <w:tcW w:w="1892" w:type="dxa"/>
            <w:vAlign w:val="center"/>
          </w:tcPr>
          <w:p w14:paraId="0280F2C3" w14:textId="0219414A" w:rsidR="00165D07" w:rsidRPr="00881A79" w:rsidRDefault="00165D07" w:rsidP="00EA0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Distan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 între sta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 </w:t>
            </w:r>
            <w:r w:rsidRPr="00881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 alimentare a autovehiculelor cu combustibil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83B09"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(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km</w:t>
            </w:r>
            <w:r w:rsidR="00883B09"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271" w:type="dxa"/>
            <w:vAlign w:val="center"/>
          </w:tcPr>
          <w:p w14:paraId="27EDD079" w14:textId="42755E27" w:rsidR="00165D07" w:rsidRPr="00881A79" w:rsidRDefault="00165D07" w:rsidP="00EA0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Amplasarea sta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iilor de alimentare a autovehiculelor cu combustibil</w:t>
            </w:r>
          </w:p>
        </w:tc>
      </w:tr>
      <w:tr w:rsidR="00165D07" w:rsidRPr="00881A79" w14:paraId="26D38064" w14:textId="77777777" w:rsidTr="00C93FB2">
        <w:trPr>
          <w:trHeight w:val="340"/>
        </w:trPr>
        <w:tc>
          <w:tcPr>
            <w:tcW w:w="2689" w:type="dxa"/>
            <w:vAlign w:val="center"/>
          </w:tcPr>
          <w:p w14:paraId="28C67301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Peste 1000 </w:t>
            </w:r>
            <w:proofErr w:type="spellStart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pînă</w:t>
            </w:r>
            <w:proofErr w:type="spellEnd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la 2000</w:t>
            </w:r>
          </w:p>
        </w:tc>
        <w:tc>
          <w:tcPr>
            <w:tcW w:w="2209" w:type="dxa"/>
            <w:vAlign w:val="center"/>
          </w:tcPr>
          <w:p w14:paraId="6036BBA9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250</w:t>
            </w:r>
          </w:p>
        </w:tc>
        <w:tc>
          <w:tcPr>
            <w:tcW w:w="1892" w:type="dxa"/>
            <w:vAlign w:val="center"/>
          </w:tcPr>
          <w:p w14:paraId="2ECA3B7B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30-40</w:t>
            </w:r>
          </w:p>
        </w:tc>
        <w:tc>
          <w:tcPr>
            <w:tcW w:w="2271" w:type="dxa"/>
            <w:vAlign w:val="center"/>
          </w:tcPr>
          <w:p w14:paraId="1F58A58B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unilaterale</w:t>
            </w:r>
          </w:p>
        </w:tc>
      </w:tr>
      <w:tr w:rsidR="00165D07" w:rsidRPr="00881A79" w14:paraId="0DC3AF6A" w14:textId="77777777" w:rsidTr="00C93FB2">
        <w:trPr>
          <w:trHeight w:val="340"/>
        </w:trPr>
        <w:tc>
          <w:tcPr>
            <w:tcW w:w="2689" w:type="dxa"/>
            <w:vAlign w:val="center"/>
          </w:tcPr>
          <w:p w14:paraId="1AF14D54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Peste 2000 </w:t>
            </w:r>
            <w:proofErr w:type="spellStart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pînă</w:t>
            </w:r>
            <w:proofErr w:type="spellEnd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la 3000</w:t>
            </w:r>
          </w:p>
        </w:tc>
        <w:tc>
          <w:tcPr>
            <w:tcW w:w="2209" w:type="dxa"/>
            <w:vAlign w:val="center"/>
          </w:tcPr>
          <w:p w14:paraId="3630508E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500</w:t>
            </w:r>
          </w:p>
        </w:tc>
        <w:tc>
          <w:tcPr>
            <w:tcW w:w="1892" w:type="dxa"/>
            <w:vAlign w:val="center"/>
          </w:tcPr>
          <w:p w14:paraId="768F2489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40-50</w:t>
            </w:r>
          </w:p>
        </w:tc>
        <w:tc>
          <w:tcPr>
            <w:tcW w:w="2271" w:type="dxa"/>
            <w:vAlign w:val="center"/>
          </w:tcPr>
          <w:p w14:paraId="6C798A83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unilaterale</w:t>
            </w:r>
          </w:p>
        </w:tc>
      </w:tr>
      <w:tr w:rsidR="00165D07" w:rsidRPr="00881A79" w14:paraId="18550CC2" w14:textId="77777777" w:rsidTr="00C93FB2">
        <w:trPr>
          <w:trHeight w:val="340"/>
        </w:trPr>
        <w:tc>
          <w:tcPr>
            <w:tcW w:w="2689" w:type="dxa"/>
            <w:vAlign w:val="center"/>
          </w:tcPr>
          <w:p w14:paraId="272D37AC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Peste 3000 </w:t>
            </w:r>
            <w:proofErr w:type="spellStart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pînă</w:t>
            </w:r>
            <w:proofErr w:type="spellEnd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la 5000</w:t>
            </w:r>
          </w:p>
        </w:tc>
        <w:tc>
          <w:tcPr>
            <w:tcW w:w="2209" w:type="dxa"/>
            <w:vAlign w:val="center"/>
          </w:tcPr>
          <w:p w14:paraId="0CBD83E0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750</w:t>
            </w:r>
          </w:p>
        </w:tc>
        <w:tc>
          <w:tcPr>
            <w:tcW w:w="1892" w:type="dxa"/>
            <w:vAlign w:val="center"/>
          </w:tcPr>
          <w:p w14:paraId="5D78D94D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40-50</w:t>
            </w:r>
          </w:p>
        </w:tc>
        <w:tc>
          <w:tcPr>
            <w:tcW w:w="2271" w:type="dxa"/>
            <w:vAlign w:val="center"/>
          </w:tcPr>
          <w:p w14:paraId="00355045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unilaterale</w:t>
            </w:r>
          </w:p>
        </w:tc>
      </w:tr>
      <w:tr w:rsidR="00165D07" w:rsidRPr="00881A79" w14:paraId="080697CE" w14:textId="77777777" w:rsidTr="00C93FB2">
        <w:trPr>
          <w:trHeight w:val="340"/>
        </w:trPr>
        <w:tc>
          <w:tcPr>
            <w:tcW w:w="2689" w:type="dxa"/>
            <w:vAlign w:val="center"/>
          </w:tcPr>
          <w:p w14:paraId="11D72FF8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Peste 5000 </w:t>
            </w:r>
            <w:proofErr w:type="spellStart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pînă</w:t>
            </w:r>
            <w:proofErr w:type="spellEnd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la 7000</w:t>
            </w:r>
          </w:p>
        </w:tc>
        <w:tc>
          <w:tcPr>
            <w:tcW w:w="2209" w:type="dxa"/>
            <w:vAlign w:val="center"/>
          </w:tcPr>
          <w:p w14:paraId="0757F580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750</w:t>
            </w:r>
          </w:p>
        </w:tc>
        <w:tc>
          <w:tcPr>
            <w:tcW w:w="1892" w:type="dxa"/>
            <w:vAlign w:val="center"/>
          </w:tcPr>
          <w:p w14:paraId="5471E235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50-60</w:t>
            </w:r>
          </w:p>
        </w:tc>
        <w:tc>
          <w:tcPr>
            <w:tcW w:w="2271" w:type="dxa"/>
            <w:vAlign w:val="center"/>
          </w:tcPr>
          <w:p w14:paraId="2FFFEBD2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bilaterale</w:t>
            </w:r>
          </w:p>
        </w:tc>
      </w:tr>
      <w:tr w:rsidR="00165D07" w:rsidRPr="00881A79" w14:paraId="52524011" w14:textId="77777777" w:rsidTr="00C93FB2">
        <w:trPr>
          <w:trHeight w:val="340"/>
        </w:trPr>
        <w:tc>
          <w:tcPr>
            <w:tcW w:w="2689" w:type="dxa"/>
            <w:vAlign w:val="center"/>
          </w:tcPr>
          <w:p w14:paraId="7FFA7C5E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Peste 7000 </w:t>
            </w:r>
            <w:proofErr w:type="spellStart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pînă</w:t>
            </w:r>
            <w:proofErr w:type="spellEnd"/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la 20000</w:t>
            </w:r>
          </w:p>
        </w:tc>
        <w:tc>
          <w:tcPr>
            <w:tcW w:w="2209" w:type="dxa"/>
            <w:vAlign w:val="center"/>
          </w:tcPr>
          <w:p w14:paraId="47822DBD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1000</w:t>
            </w:r>
          </w:p>
        </w:tc>
        <w:tc>
          <w:tcPr>
            <w:tcW w:w="1892" w:type="dxa"/>
            <w:vAlign w:val="center"/>
          </w:tcPr>
          <w:p w14:paraId="682194C8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40-50</w:t>
            </w:r>
          </w:p>
        </w:tc>
        <w:tc>
          <w:tcPr>
            <w:tcW w:w="2271" w:type="dxa"/>
            <w:vAlign w:val="center"/>
          </w:tcPr>
          <w:p w14:paraId="6B55B6C9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bilaterale</w:t>
            </w:r>
          </w:p>
        </w:tc>
      </w:tr>
      <w:tr w:rsidR="00165D07" w:rsidRPr="00881A79" w14:paraId="54014496" w14:textId="77777777" w:rsidTr="00C93FB2">
        <w:trPr>
          <w:trHeight w:val="340"/>
        </w:trPr>
        <w:tc>
          <w:tcPr>
            <w:tcW w:w="2689" w:type="dxa"/>
            <w:vAlign w:val="center"/>
          </w:tcPr>
          <w:p w14:paraId="3870C08A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Peste 20000</w:t>
            </w:r>
          </w:p>
        </w:tc>
        <w:tc>
          <w:tcPr>
            <w:tcW w:w="2209" w:type="dxa"/>
            <w:vAlign w:val="center"/>
          </w:tcPr>
          <w:p w14:paraId="58974B58" w14:textId="77777777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1000</w:t>
            </w:r>
          </w:p>
        </w:tc>
        <w:tc>
          <w:tcPr>
            <w:tcW w:w="1892" w:type="dxa"/>
            <w:vAlign w:val="center"/>
          </w:tcPr>
          <w:p w14:paraId="3F32474F" w14:textId="6045A8E2" w:rsidR="00165D07" w:rsidRPr="00881A79" w:rsidRDefault="00165D07" w:rsidP="0049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20-25</w:t>
            </w:r>
          </w:p>
        </w:tc>
        <w:tc>
          <w:tcPr>
            <w:tcW w:w="2271" w:type="dxa"/>
            <w:vAlign w:val="center"/>
          </w:tcPr>
          <w:p w14:paraId="06E68176" w14:textId="77777777" w:rsidR="00165D07" w:rsidRPr="00881A79" w:rsidRDefault="00165D07" w:rsidP="00492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bilaterale</w:t>
            </w:r>
          </w:p>
        </w:tc>
      </w:tr>
      <w:tr w:rsidR="00165D07" w:rsidRPr="00881A79" w14:paraId="587C3550" w14:textId="77777777" w:rsidTr="00C93FB2">
        <w:tc>
          <w:tcPr>
            <w:tcW w:w="9061" w:type="dxa"/>
            <w:gridSpan w:val="4"/>
          </w:tcPr>
          <w:p w14:paraId="4FB11B96" w14:textId="08FE2274" w:rsidR="00165D07" w:rsidRPr="00881A79" w:rsidRDefault="00165D07" w:rsidP="00492CB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Nota: La amplasarea sta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iilor </w:t>
            </w:r>
            <w:r w:rsidRPr="00881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 alimentare a autovehiculelor cu combustibil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în </w:t>
            </w:r>
            <w:r w:rsidR="00306AB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apropierea 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intersec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iilor, productivitatea acesteia trebuie stabilită luând în calcul lungimea tuturor drumurilor deservite, intensitatea traficului 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ș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al</w:t>
            </w:r>
            <w:r w:rsidR="006258E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881A7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 indici de calcul pentru aceste sectoare </w:t>
            </w:r>
          </w:p>
        </w:tc>
      </w:tr>
    </w:tbl>
    <w:p w14:paraId="30162684" w14:textId="77777777" w:rsidR="00165D07" w:rsidRPr="004175A4" w:rsidRDefault="00165D07" w:rsidP="00413A9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8452C3F" w14:textId="0E220BE8" w:rsidR="00165D07" w:rsidRPr="004175A4" w:rsidRDefault="00165D07" w:rsidP="00C43229">
      <w:pPr>
        <w:pStyle w:val="NoSpacing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sectPr w:rsidR="00165D07" w:rsidRPr="004175A4" w:rsidSect="009625E8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2229" w14:textId="77777777" w:rsidR="007E3951" w:rsidRDefault="007E3951" w:rsidP="0018423E">
      <w:pPr>
        <w:spacing w:after="0" w:line="240" w:lineRule="auto"/>
      </w:pPr>
      <w:r>
        <w:separator/>
      </w:r>
    </w:p>
  </w:endnote>
  <w:endnote w:type="continuationSeparator" w:id="0">
    <w:p w14:paraId="32EC6C33" w14:textId="77777777" w:rsidR="007E3951" w:rsidRDefault="007E3951" w:rsidP="0018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6BCD" w14:textId="77777777" w:rsidR="007E3951" w:rsidRDefault="007E3951" w:rsidP="0018423E">
      <w:pPr>
        <w:spacing w:after="0" w:line="240" w:lineRule="auto"/>
      </w:pPr>
      <w:r>
        <w:separator/>
      </w:r>
    </w:p>
  </w:footnote>
  <w:footnote w:type="continuationSeparator" w:id="0">
    <w:p w14:paraId="746F0D56" w14:textId="77777777" w:rsidR="007E3951" w:rsidRDefault="007E3951" w:rsidP="0018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3F2"/>
    <w:multiLevelType w:val="hybridMultilevel"/>
    <w:tmpl w:val="7F02F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79A"/>
    <w:multiLevelType w:val="hybridMultilevel"/>
    <w:tmpl w:val="7FA69998"/>
    <w:lvl w:ilvl="0" w:tplc="A0F0A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461420"/>
    <w:multiLevelType w:val="hybridMultilevel"/>
    <w:tmpl w:val="81342A2C"/>
    <w:lvl w:ilvl="0" w:tplc="A9F230D4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1937CF"/>
    <w:multiLevelType w:val="hybridMultilevel"/>
    <w:tmpl w:val="F1306DAC"/>
    <w:lvl w:ilvl="0" w:tplc="BE7AE52A">
      <w:start w:val="10"/>
      <w:numFmt w:val="decimal"/>
      <w:lvlText w:val="%1."/>
      <w:lvlJc w:val="left"/>
      <w:pPr>
        <w:ind w:left="659" w:hanging="375"/>
      </w:pPr>
      <w:rPr>
        <w:rFonts w:hint="default"/>
        <w:strike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242E04"/>
    <w:multiLevelType w:val="hybridMultilevel"/>
    <w:tmpl w:val="4C326B1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30702"/>
    <w:multiLevelType w:val="hybridMultilevel"/>
    <w:tmpl w:val="8EBE9132"/>
    <w:lvl w:ilvl="0" w:tplc="96BAFE96">
      <w:start w:val="1"/>
      <w:numFmt w:val="lowerLetter"/>
      <w:lvlText w:val="%1)"/>
      <w:lvlJc w:val="left"/>
      <w:pPr>
        <w:ind w:left="1494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C1656E"/>
    <w:multiLevelType w:val="hybridMultilevel"/>
    <w:tmpl w:val="C3307CCE"/>
    <w:lvl w:ilvl="0" w:tplc="7598A6A6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2C7ABE"/>
    <w:multiLevelType w:val="hybridMultilevel"/>
    <w:tmpl w:val="A2D2DE96"/>
    <w:lvl w:ilvl="0" w:tplc="093E10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AB80BB3"/>
    <w:multiLevelType w:val="hybridMultilevel"/>
    <w:tmpl w:val="A536B2F2"/>
    <w:lvl w:ilvl="0" w:tplc="7AA20A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96900"/>
    <w:multiLevelType w:val="hybridMultilevel"/>
    <w:tmpl w:val="CF42D644"/>
    <w:lvl w:ilvl="0" w:tplc="79F2AFD2">
      <w:start w:val="1"/>
      <w:numFmt w:val="lowerLetter"/>
      <w:lvlText w:val="%1)"/>
      <w:lvlJc w:val="left"/>
      <w:pPr>
        <w:ind w:left="2291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3DCB65BF"/>
    <w:multiLevelType w:val="hybridMultilevel"/>
    <w:tmpl w:val="CF2EBA84"/>
    <w:lvl w:ilvl="0" w:tplc="901AC49A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EF2A94"/>
    <w:multiLevelType w:val="hybridMultilevel"/>
    <w:tmpl w:val="6B481384"/>
    <w:lvl w:ilvl="0" w:tplc="04090017">
      <w:start w:val="1"/>
      <w:numFmt w:val="lowerLetter"/>
      <w:lvlText w:val="%1)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E0B6418"/>
    <w:multiLevelType w:val="hybridMultilevel"/>
    <w:tmpl w:val="2E2A45D0"/>
    <w:lvl w:ilvl="0" w:tplc="F686F5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74313F"/>
    <w:multiLevelType w:val="hybridMultilevel"/>
    <w:tmpl w:val="2E2A45D0"/>
    <w:lvl w:ilvl="0" w:tplc="FFFFFFFF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490180"/>
    <w:multiLevelType w:val="hybridMultilevel"/>
    <w:tmpl w:val="5E44C8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ED4686"/>
    <w:multiLevelType w:val="hybridMultilevel"/>
    <w:tmpl w:val="314CB51C"/>
    <w:lvl w:ilvl="0" w:tplc="974A5F2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2665C"/>
    <w:multiLevelType w:val="hybridMultilevel"/>
    <w:tmpl w:val="FE9C601C"/>
    <w:lvl w:ilvl="0" w:tplc="04090017">
      <w:start w:val="1"/>
      <w:numFmt w:val="lowerLetter"/>
      <w:lvlText w:val="%1)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525838D1"/>
    <w:multiLevelType w:val="hybridMultilevel"/>
    <w:tmpl w:val="03DA15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743F7"/>
    <w:multiLevelType w:val="hybridMultilevel"/>
    <w:tmpl w:val="D108B03E"/>
    <w:lvl w:ilvl="0" w:tplc="C8446EAA">
      <w:start w:val="1"/>
      <w:numFmt w:val="decimal"/>
      <w:lvlText w:val="%1."/>
      <w:lvlJc w:val="left"/>
      <w:pPr>
        <w:ind w:left="1778" w:hanging="360"/>
      </w:pPr>
      <w:rPr>
        <w:b w:val="0"/>
        <w:bCs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C310DC2"/>
    <w:multiLevelType w:val="hybridMultilevel"/>
    <w:tmpl w:val="5DEC8DB0"/>
    <w:lvl w:ilvl="0" w:tplc="88C684E2">
      <w:start w:val="5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D9B474C"/>
    <w:multiLevelType w:val="hybridMultilevel"/>
    <w:tmpl w:val="7870F6A4"/>
    <w:lvl w:ilvl="0" w:tplc="147C466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62A2906"/>
    <w:multiLevelType w:val="hybridMultilevel"/>
    <w:tmpl w:val="DE40FFD6"/>
    <w:lvl w:ilvl="0" w:tplc="434AF1E8">
      <w:start w:val="1"/>
      <w:numFmt w:val="decimal"/>
      <w:lvlText w:val="%1)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353149"/>
    <w:multiLevelType w:val="hybridMultilevel"/>
    <w:tmpl w:val="AE5CA890"/>
    <w:lvl w:ilvl="0" w:tplc="16DEC8A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F7B68DD"/>
    <w:multiLevelType w:val="hybridMultilevel"/>
    <w:tmpl w:val="A536B2F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77475">
    <w:abstractNumId w:val="8"/>
  </w:num>
  <w:num w:numId="2" w16cid:durableId="892469754">
    <w:abstractNumId w:val="0"/>
  </w:num>
  <w:num w:numId="3" w16cid:durableId="1248004037">
    <w:abstractNumId w:val="23"/>
  </w:num>
  <w:num w:numId="4" w16cid:durableId="191185051">
    <w:abstractNumId w:val="22"/>
  </w:num>
  <w:num w:numId="5" w16cid:durableId="1969117929">
    <w:abstractNumId w:val="19"/>
  </w:num>
  <w:num w:numId="6" w16cid:durableId="349838378">
    <w:abstractNumId w:val="14"/>
  </w:num>
  <w:num w:numId="7" w16cid:durableId="183835184">
    <w:abstractNumId w:val="10"/>
  </w:num>
  <w:num w:numId="8" w16cid:durableId="1222711284">
    <w:abstractNumId w:val="20"/>
  </w:num>
  <w:num w:numId="9" w16cid:durableId="787435742">
    <w:abstractNumId w:val="1"/>
  </w:num>
  <w:num w:numId="10" w16cid:durableId="1642615555">
    <w:abstractNumId w:val="3"/>
  </w:num>
  <w:num w:numId="11" w16cid:durableId="103811820">
    <w:abstractNumId w:val="18"/>
  </w:num>
  <w:num w:numId="12" w16cid:durableId="298463232">
    <w:abstractNumId w:val="12"/>
  </w:num>
  <w:num w:numId="13" w16cid:durableId="273481921">
    <w:abstractNumId w:val="11"/>
  </w:num>
  <w:num w:numId="14" w16cid:durableId="1590499044">
    <w:abstractNumId w:val="16"/>
  </w:num>
  <w:num w:numId="15" w16cid:durableId="1077090229">
    <w:abstractNumId w:val="17"/>
  </w:num>
  <w:num w:numId="16" w16cid:durableId="417792271">
    <w:abstractNumId w:val="9"/>
  </w:num>
  <w:num w:numId="17" w16cid:durableId="112330601">
    <w:abstractNumId w:val="5"/>
  </w:num>
  <w:num w:numId="18" w16cid:durableId="2134445084">
    <w:abstractNumId w:val="7"/>
  </w:num>
  <w:num w:numId="19" w16cid:durableId="2038461911">
    <w:abstractNumId w:val="6"/>
  </w:num>
  <w:num w:numId="20" w16cid:durableId="324668605">
    <w:abstractNumId w:val="21"/>
  </w:num>
  <w:num w:numId="21" w16cid:durableId="1656373131">
    <w:abstractNumId w:val="15"/>
  </w:num>
  <w:num w:numId="22" w16cid:durableId="346293608">
    <w:abstractNumId w:val="13"/>
  </w:num>
  <w:num w:numId="23" w16cid:durableId="1012031015">
    <w:abstractNumId w:val="2"/>
  </w:num>
  <w:num w:numId="24" w16cid:durableId="1489394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B1"/>
    <w:rsid w:val="00005874"/>
    <w:rsid w:val="00005A06"/>
    <w:rsid w:val="00011C78"/>
    <w:rsid w:val="00011EC4"/>
    <w:rsid w:val="00014F70"/>
    <w:rsid w:val="00027209"/>
    <w:rsid w:val="00035DD0"/>
    <w:rsid w:val="00042B17"/>
    <w:rsid w:val="00043A21"/>
    <w:rsid w:val="0004515B"/>
    <w:rsid w:val="00065469"/>
    <w:rsid w:val="0006620A"/>
    <w:rsid w:val="000824D4"/>
    <w:rsid w:val="000873FA"/>
    <w:rsid w:val="0009349E"/>
    <w:rsid w:val="000965D9"/>
    <w:rsid w:val="00096DE4"/>
    <w:rsid w:val="00097061"/>
    <w:rsid w:val="000A1124"/>
    <w:rsid w:val="000B3C21"/>
    <w:rsid w:val="000B48A2"/>
    <w:rsid w:val="000B5E5F"/>
    <w:rsid w:val="000B685A"/>
    <w:rsid w:val="000D1967"/>
    <w:rsid w:val="000D6EDF"/>
    <w:rsid w:val="000D72A8"/>
    <w:rsid w:val="000E201E"/>
    <w:rsid w:val="000F58B3"/>
    <w:rsid w:val="000F74DE"/>
    <w:rsid w:val="001006F0"/>
    <w:rsid w:val="00103525"/>
    <w:rsid w:val="001434D3"/>
    <w:rsid w:val="00146137"/>
    <w:rsid w:val="00147351"/>
    <w:rsid w:val="001475D9"/>
    <w:rsid w:val="00151DB3"/>
    <w:rsid w:val="001635CC"/>
    <w:rsid w:val="0016494F"/>
    <w:rsid w:val="00165D07"/>
    <w:rsid w:val="0017072A"/>
    <w:rsid w:val="00171335"/>
    <w:rsid w:val="00183C49"/>
    <w:rsid w:val="0018423E"/>
    <w:rsid w:val="00195553"/>
    <w:rsid w:val="001A55A5"/>
    <w:rsid w:val="001B3A38"/>
    <w:rsid w:val="001B4EC2"/>
    <w:rsid w:val="001B75A1"/>
    <w:rsid w:val="001C1F0E"/>
    <w:rsid w:val="001C20D4"/>
    <w:rsid w:val="001C39DB"/>
    <w:rsid w:val="001F41CF"/>
    <w:rsid w:val="001F4DA8"/>
    <w:rsid w:val="001F6019"/>
    <w:rsid w:val="001F7C42"/>
    <w:rsid w:val="00202740"/>
    <w:rsid w:val="0020786F"/>
    <w:rsid w:val="002117C0"/>
    <w:rsid w:val="00216DFD"/>
    <w:rsid w:val="00217351"/>
    <w:rsid w:val="00220D7F"/>
    <w:rsid w:val="00230A13"/>
    <w:rsid w:val="00232F5B"/>
    <w:rsid w:val="002330D1"/>
    <w:rsid w:val="00240B02"/>
    <w:rsid w:val="002513CD"/>
    <w:rsid w:val="002546BC"/>
    <w:rsid w:val="00286F82"/>
    <w:rsid w:val="002968A0"/>
    <w:rsid w:val="002A15CB"/>
    <w:rsid w:val="002A3A91"/>
    <w:rsid w:val="002A3BAF"/>
    <w:rsid w:val="002A704B"/>
    <w:rsid w:val="002A7F64"/>
    <w:rsid w:val="002B4AB5"/>
    <w:rsid w:val="002B55A5"/>
    <w:rsid w:val="002C3AF8"/>
    <w:rsid w:val="002D2BF1"/>
    <w:rsid w:val="002D32E5"/>
    <w:rsid w:val="002D3F9C"/>
    <w:rsid w:val="002D65B0"/>
    <w:rsid w:val="002E4752"/>
    <w:rsid w:val="002E5671"/>
    <w:rsid w:val="002E6714"/>
    <w:rsid w:val="002F2E06"/>
    <w:rsid w:val="002F59F8"/>
    <w:rsid w:val="00306ABA"/>
    <w:rsid w:val="00312A6E"/>
    <w:rsid w:val="003179FE"/>
    <w:rsid w:val="00320A1F"/>
    <w:rsid w:val="00323B84"/>
    <w:rsid w:val="0033102C"/>
    <w:rsid w:val="00331251"/>
    <w:rsid w:val="00343BA3"/>
    <w:rsid w:val="00355D5B"/>
    <w:rsid w:val="00360A8E"/>
    <w:rsid w:val="00365E75"/>
    <w:rsid w:val="003674D2"/>
    <w:rsid w:val="0037313B"/>
    <w:rsid w:val="00377470"/>
    <w:rsid w:val="00381CEC"/>
    <w:rsid w:val="0038606B"/>
    <w:rsid w:val="003945D5"/>
    <w:rsid w:val="003B5BA6"/>
    <w:rsid w:val="003C1AA0"/>
    <w:rsid w:val="003C325B"/>
    <w:rsid w:val="003C45A7"/>
    <w:rsid w:val="003D048B"/>
    <w:rsid w:val="003F3274"/>
    <w:rsid w:val="003F540B"/>
    <w:rsid w:val="004020F1"/>
    <w:rsid w:val="00402DCD"/>
    <w:rsid w:val="00404295"/>
    <w:rsid w:val="00413A98"/>
    <w:rsid w:val="004175A4"/>
    <w:rsid w:val="004275A5"/>
    <w:rsid w:val="004312D7"/>
    <w:rsid w:val="00434C7A"/>
    <w:rsid w:val="0044784C"/>
    <w:rsid w:val="00451E7D"/>
    <w:rsid w:val="00464B97"/>
    <w:rsid w:val="00475185"/>
    <w:rsid w:val="004758FE"/>
    <w:rsid w:val="00480B07"/>
    <w:rsid w:val="004900CD"/>
    <w:rsid w:val="00492CBA"/>
    <w:rsid w:val="00496813"/>
    <w:rsid w:val="004A4021"/>
    <w:rsid w:val="004A515C"/>
    <w:rsid w:val="004B4BCC"/>
    <w:rsid w:val="004C025B"/>
    <w:rsid w:val="004C2411"/>
    <w:rsid w:val="004C2F10"/>
    <w:rsid w:val="004E03A4"/>
    <w:rsid w:val="004E4868"/>
    <w:rsid w:val="004F33AB"/>
    <w:rsid w:val="004F3B32"/>
    <w:rsid w:val="004F6221"/>
    <w:rsid w:val="004F7C56"/>
    <w:rsid w:val="00500517"/>
    <w:rsid w:val="00504110"/>
    <w:rsid w:val="00522234"/>
    <w:rsid w:val="00527ADC"/>
    <w:rsid w:val="00532D11"/>
    <w:rsid w:val="00534EE9"/>
    <w:rsid w:val="00534F2B"/>
    <w:rsid w:val="00534F88"/>
    <w:rsid w:val="00537FCE"/>
    <w:rsid w:val="00542903"/>
    <w:rsid w:val="00552CFD"/>
    <w:rsid w:val="0055651B"/>
    <w:rsid w:val="00557343"/>
    <w:rsid w:val="005612E3"/>
    <w:rsid w:val="00576266"/>
    <w:rsid w:val="00581375"/>
    <w:rsid w:val="00584E14"/>
    <w:rsid w:val="005865A9"/>
    <w:rsid w:val="0059258A"/>
    <w:rsid w:val="005B0A33"/>
    <w:rsid w:val="005B7DB0"/>
    <w:rsid w:val="005C2516"/>
    <w:rsid w:val="005D059A"/>
    <w:rsid w:val="005E5D76"/>
    <w:rsid w:val="005F2FE3"/>
    <w:rsid w:val="005F414E"/>
    <w:rsid w:val="005F43E2"/>
    <w:rsid w:val="005F45AB"/>
    <w:rsid w:val="00607D7F"/>
    <w:rsid w:val="006122E2"/>
    <w:rsid w:val="00616E04"/>
    <w:rsid w:val="006220B1"/>
    <w:rsid w:val="00624612"/>
    <w:rsid w:val="006258E9"/>
    <w:rsid w:val="006323DA"/>
    <w:rsid w:val="006408F0"/>
    <w:rsid w:val="006420E3"/>
    <w:rsid w:val="00643521"/>
    <w:rsid w:val="00645F9A"/>
    <w:rsid w:val="00647196"/>
    <w:rsid w:val="00647C12"/>
    <w:rsid w:val="00653831"/>
    <w:rsid w:val="0065670A"/>
    <w:rsid w:val="00673C65"/>
    <w:rsid w:val="00677CFF"/>
    <w:rsid w:val="00680327"/>
    <w:rsid w:val="0069404D"/>
    <w:rsid w:val="006964FF"/>
    <w:rsid w:val="006B020F"/>
    <w:rsid w:val="006C3FED"/>
    <w:rsid w:val="006C6B96"/>
    <w:rsid w:val="006D47C7"/>
    <w:rsid w:val="006D7839"/>
    <w:rsid w:val="006E351D"/>
    <w:rsid w:val="006E6D5F"/>
    <w:rsid w:val="007014AC"/>
    <w:rsid w:val="00701510"/>
    <w:rsid w:val="007147B3"/>
    <w:rsid w:val="00720713"/>
    <w:rsid w:val="00722BA1"/>
    <w:rsid w:val="00735389"/>
    <w:rsid w:val="00743384"/>
    <w:rsid w:val="007548C4"/>
    <w:rsid w:val="007643F7"/>
    <w:rsid w:val="00764566"/>
    <w:rsid w:val="00764EB6"/>
    <w:rsid w:val="00767D25"/>
    <w:rsid w:val="00773303"/>
    <w:rsid w:val="00792797"/>
    <w:rsid w:val="007A5F7C"/>
    <w:rsid w:val="007A77B5"/>
    <w:rsid w:val="007B17E7"/>
    <w:rsid w:val="007C6B23"/>
    <w:rsid w:val="007C7B1A"/>
    <w:rsid w:val="007D42B4"/>
    <w:rsid w:val="007D7139"/>
    <w:rsid w:val="007E05B7"/>
    <w:rsid w:val="007E3134"/>
    <w:rsid w:val="007E3951"/>
    <w:rsid w:val="007F00A6"/>
    <w:rsid w:val="007F1403"/>
    <w:rsid w:val="00814EA6"/>
    <w:rsid w:val="00842D6D"/>
    <w:rsid w:val="00851CCA"/>
    <w:rsid w:val="0085778F"/>
    <w:rsid w:val="00862383"/>
    <w:rsid w:val="00866DB6"/>
    <w:rsid w:val="00874A4E"/>
    <w:rsid w:val="00881A79"/>
    <w:rsid w:val="0088229F"/>
    <w:rsid w:val="00883B09"/>
    <w:rsid w:val="00892D96"/>
    <w:rsid w:val="00897383"/>
    <w:rsid w:val="008A2FDF"/>
    <w:rsid w:val="008A4A40"/>
    <w:rsid w:val="008D2B97"/>
    <w:rsid w:val="008D2D7D"/>
    <w:rsid w:val="008E22BE"/>
    <w:rsid w:val="008E2C63"/>
    <w:rsid w:val="008E305E"/>
    <w:rsid w:val="008E3E1A"/>
    <w:rsid w:val="00902854"/>
    <w:rsid w:val="00905953"/>
    <w:rsid w:val="00910F21"/>
    <w:rsid w:val="00913DFD"/>
    <w:rsid w:val="009246BE"/>
    <w:rsid w:val="00932320"/>
    <w:rsid w:val="0093377C"/>
    <w:rsid w:val="0094087D"/>
    <w:rsid w:val="00944C5D"/>
    <w:rsid w:val="00945713"/>
    <w:rsid w:val="00952CC1"/>
    <w:rsid w:val="009530D0"/>
    <w:rsid w:val="00956C37"/>
    <w:rsid w:val="009614D2"/>
    <w:rsid w:val="009625E8"/>
    <w:rsid w:val="00963A72"/>
    <w:rsid w:val="0098016D"/>
    <w:rsid w:val="00980A18"/>
    <w:rsid w:val="00984F5E"/>
    <w:rsid w:val="0099022C"/>
    <w:rsid w:val="00997DBC"/>
    <w:rsid w:val="009A2847"/>
    <w:rsid w:val="009D26D8"/>
    <w:rsid w:val="009E66C1"/>
    <w:rsid w:val="009E6E6D"/>
    <w:rsid w:val="00A13894"/>
    <w:rsid w:val="00A15EBC"/>
    <w:rsid w:val="00A21349"/>
    <w:rsid w:val="00A313AB"/>
    <w:rsid w:val="00A32765"/>
    <w:rsid w:val="00A34D5C"/>
    <w:rsid w:val="00A36588"/>
    <w:rsid w:val="00A3681D"/>
    <w:rsid w:val="00A408E0"/>
    <w:rsid w:val="00A4235D"/>
    <w:rsid w:val="00A44B9F"/>
    <w:rsid w:val="00A5562E"/>
    <w:rsid w:val="00A625BB"/>
    <w:rsid w:val="00A677D8"/>
    <w:rsid w:val="00A86E0D"/>
    <w:rsid w:val="00A900CD"/>
    <w:rsid w:val="00AA0297"/>
    <w:rsid w:val="00AA09DC"/>
    <w:rsid w:val="00AA3F82"/>
    <w:rsid w:val="00AA5F4F"/>
    <w:rsid w:val="00AD2CF7"/>
    <w:rsid w:val="00AF02C5"/>
    <w:rsid w:val="00B3612E"/>
    <w:rsid w:val="00B441A8"/>
    <w:rsid w:val="00B44AF6"/>
    <w:rsid w:val="00B47116"/>
    <w:rsid w:val="00B535E7"/>
    <w:rsid w:val="00B55352"/>
    <w:rsid w:val="00B60F2E"/>
    <w:rsid w:val="00B81253"/>
    <w:rsid w:val="00B877B9"/>
    <w:rsid w:val="00B95449"/>
    <w:rsid w:val="00B9733D"/>
    <w:rsid w:val="00BA2B94"/>
    <w:rsid w:val="00BA35A4"/>
    <w:rsid w:val="00BA67D9"/>
    <w:rsid w:val="00BB2B09"/>
    <w:rsid w:val="00BB34E8"/>
    <w:rsid w:val="00BB4257"/>
    <w:rsid w:val="00BC1CCC"/>
    <w:rsid w:val="00BE366E"/>
    <w:rsid w:val="00BE4FA7"/>
    <w:rsid w:val="00BF5B0C"/>
    <w:rsid w:val="00BF6034"/>
    <w:rsid w:val="00C11DB8"/>
    <w:rsid w:val="00C13F5D"/>
    <w:rsid w:val="00C219CD"/>
    <w:rsid w:val="00C43229"/>
    <w:rsid w:val="00C46A5D"/>
    <w:rsid w:val="00C649CA"/>
    <w:rsid w:val="00C726C6"/>
    <w:rsid w:val="00C76661"/>
    <w:rsid w:val="00C829C9"/>
    <w:rsid w:val="00C850AB"/>
    <w:rsid w:val="00C904A2"/>
    <w:rsid w:val="00C90EA6"/>
    <w:rsid w:val="00C93FB2"/>
    <w:rsid w:val="00CA4113"/>
    <w:rsid w:val="00CA745A"/>
    <w:rsid w:val="00CB42F0"/>
    <w:rsid w:val="00CC57F1"/>
    <w:rsid w:val="00CD1569"/>
    <w:rsid w:val="00CE02BD"/>
    <w:rsid w:val="00CE5BA0"/>
    <w:rsid w:val="00CE5E59"/>
    <w:rsid w:val="00CF105C"/>
    <w:rsid w:val="00CF1A2B"/>
    <w:rsid w:val="00CF26EB"/>
    <w:rsid w:val="00CF544A"/>
    <w:rsid w:val="00D01EA6"/>
    <w:rsid w:val="00D103B1"/>
    <w:rsid w:val="00D158E6"/>
    <w:rsid w:val="00D24D43"/>
    <w:rsid w:val="00D3593B"/>
    <w:rsid w:val="00D46F79"/>
    <w:rsid w:val="00D61B68"/>
    <w:rsid w:val="00D723E3"/>
    <w:rsid w:val="00D7366D"/>
    <w:rsid w:val="00D76CB8"/>
    <w:rsid w:val="00D8711A"/>
    <w:rsid w:val="00D95068"/>
    <w:rsid w:val="00DA00C2"/>
    <w:rsid w:val="00DA5EC3"/>
    <w:rsid w:val="00DB7707"/>
    <w:rsid w:val="00DC6324"/>
    <w:rsid w:val="00DD4D49"/>
    <w:rsid w:val="00DD6FD5"/>
    <w:rsid w:val="00DD78AF"/>
    <w:rsid w:val="00DE6FE4"/>
    <w:rsid w:val="00DE7D93"/>
    <w:rsid w:val="00DF4BAD"/>
    <w:rsid w:val="00E01C2F"/>
    <w:rsid w:val="00E01E54"/>
    <w:rsid w:val="00E05C01"/>
    <w:rsid w:val="00E2294E"/>
    <w:rsid w:val="00E2369B"/>
    <w:rsid w:val="00E33AB3"/>
    <w:rsid w:val="00E375E2"/>
    <w:rsid w:val="00E45210"/>
    <w:rsid w:val="00E478B6"/>
    <w:rsid w:val="00E764BB"/>
    <w:rsid w:val="00E82F07"/>
    <w:rsid w:val="00E94009"/>
    <w:rsid w:val="00E9713B"/>
    <w:rsid w:val="00EA09E9"/>
    <w:rsid w:val="00EA3DA4"/>
    <w:rsid w:val="00EA6C00"/>
    <w:rsid w:val="00EB4681"/>
    <w:rsid w:val="00ED109C"/>
    <w:rsid w:val="00ED5C66"/>
    <w:rsid w:val="00EE1925"/>
    <w:rsid w:val="00EE79E1"/>
    <w:rsid w:val="00EF3A49"/>
    <w:rsid w:val="00EF42AB"/>
    <w:rsid w:val="00F01ECA"/>
    <w:rsid w:val="00F202D0"/>
    <w:rsid w:val="00F27605"/>
    <w:rsid w:val="00F330C5"/>
    <w:rsid w:val="00F35FDD"/>
    <w:rsid w:val="00F3705F"/>
    <w:rsid w:val="00F4296C"/>
    <w:rsid w:val="00F42A09"/>
    <w:rsid w:val="00F61F7F"/>
    <w:rsid w:val="00F65ABB"/>
    <w:rsid w:val="00F6709D"/>
    <w:rsid w:val="00F70E68"/>
    <w:rsid w:val="00F7141C"/>
    <w:rsid w:val="00F776AF"/>
    <w:rsid w:val="00F807EC"/>
    <w:rsid w:val="00F85F00"/>
    <w:rsid w:val="00F95226"/>
    <w:rsid w:val="00F960E5"/>
    <w:rsid w:val="00F96653"/>
    <w:rsid w:val="00F97B89"/>
    <w:rsid w:val="00FA0510"/>
    <w:rsid w:val="00FA437A"/>
    <w:rsid w:val="00FA7E53"/>
    <w:rsid w:val="00FB07D0"/>
    <w:rsid w:val="00FC3A14"/>
    <w:rsid w:val="00FC41AF"/>
    <w:rsid w:val="00FE75AC"/>
    <w:rsid w:val="00FF24BA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7883"/>
  <w15:chartTrackingRefBased/>
  <w15:docId w15:val="{7D9085AC-B930-4793-BEB2-011FFC11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1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E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220B1"/>
    <w:rPr>
      <w:i/>
      <w:iCs/>
    </w:rPr>
  </w:style>
  <w:style w:type="table" w:styleId="TableGrid">
    <w:name w:val="Table Grid"/>
    <w:basedOn w:val="TableNormal"/>
    <w:uiPriority w:val="39"/>
    <w:rsid w:val="0002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C7B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4D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4B"/>
    <w:rPr>
      <w:rFonts w:ascii="Segoe UI" w:hAnsi="Segoe UI" w:cs="Segoe UI"/>
      <w:sz w:val="18"/>
      <w:szCs w:val="18"/>
    </w:rPr>
  </w:style>
  <w:style w:type="paragraph" w:customStyle="1" w:styleId="tt">
    <w:name w:val="tt"/>
    <w:basedOn w:val="Normal"/>
    <w:rsid w:val="000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03A4"/>
    <w:pPr>
      <w:spacing w:after="0" w:line="240" w:lineRule="auto"/>
    </w:pPr>
  </w:style>
  <w:style w:type="paragraph" w:styleId="Revision">
    <w:name w:val="Revision"/>
    <w:hidden/>
    <w:uiPriority w:val="99"/>
    <w:semiHidden/>
    <w:rsid w:val="00F202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7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3E"/>
  </w:style>
  <w:style w:type="paragraph" w:styleId="Footer">
    <w:name w:val="footer"/>
    <w:basedOn w:val="Normal"/>
    <w:link w:val="FooterChar"/>
    <w:uiPriority w:val="99"/>
    <w:unhideWhenUsed/>
    <w:rsid w:val="0018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3E"/>
  </w:style>
  <w:style w:type="character" w:customStyle="1" w:styleId="Heading4Char">
    <w:name w:val="Heading 4 Char"/>
    <w:basedOn w:val="DefaultParagraphFont"/>
    <w:link w:val="Heading4"/>
    <w:uiPriority w:val="9"/>
    <w:semiHidden/>
    <w:rsid w:val="00D01E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standard.md/ro/standard_details/559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p.standard.md/ro/standard_details/559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04C4-61AB-4214-AA8A-28DC886C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2256</Words>
  <Characters>13086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Artiom</dc:creator>
  <cp:keywords/>
  <dc:description/>
  <cp:lastModifiedBy>Artiom</cp:lastModifiedBy>
  <cp:revision>2</cp:revision>
  <cp:lastPrinted>2023-01-30T12:31:00Z</cp:lastPrinted>
  <dcterms:created xsi:type="dcterms:W3CDTF">2023-02-08T08:04:00Z</dcterms:created>
  <dcterms:modified xsi:type="dcterms:W3CDTF">2023-02-08T08:04:00Z</dcterms:modified>
</cp:coreProperties>
</file>