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7E8F9" w14:textId="11F19762" w:rsidR="006364B2" w:rsidRPr="008809EC" w:rsidRDefault="006364B2" w:rsidP="006364B2">
      <w:pPr>
        <w:spacing w:after="0" w:line="240" w:lineRule="auto"/>
        <w:ind w:left="5760" w:hanging="360"/>
        <w:jc w:val="right"/>
        <w:rPr>
          <w:rFonts w:ascii="Times New Roman" w:eastAsia="Times New Roman" w:hAnsi="Times New Roman" w:cs="Times New Roman"/>
          <w:color w:val="000000"/>
          <w:sz w:val="24"/>
          <w:szCs w:val="24"/>
          <w:lang w:eastAsia="ru-RU"/>
        </w:rPr>
      </w:pPr>
      <w:r w:rsidRPr="006D0231">
        <w:rPr>
          <w:rFonts w:ascii="Times New Roman" w:eastAsia="Times New Roman" w:hAnsi="Times New Roman" w:cs="Times New Roman"/>
          <w:color w:val="000000"/>
          <w:sz w:val="24"/>
          <w:szCs w:val="24"/>
          <w:lang w:eastAsia="ru-RU"/>
        </w:rPr>
        <w:t xml:space="preserve">        </w:t>
      </w:r>
      <w:r w:rsidRPr="008809EC">
        <w:rPr>
          <w:rFonts w:ascii="Times New Roman" w:eastAsia="Times New Roman" w:hAnsi="Times New Roman" w:cs="Times New Roman"/>
          <w:color w:val="000000"/>
          <w:sz w:val="24"/>
          <w:szCs w:val="24"/>
          <w:lang w:eastAsia="ru-RU"/>
        </w:rPr>
        <w:t>Anexa nr.</w:t>
      </w:r>
      <w:r w:rsidR="0077667B">
        <w:rPr>
          <w:rFonts w:ascii="Times New Roman" w:eastAsia="Times New Roman" w:hAnsi="Times New Roman" w:cs="Times New Roman"/>
          <w:color w:val="000000"/>
          <w:sz w:val="24"/>
          <w:szCs w:val="24"/>
          <w:lang w:eastAsia="ru-RU"/>
        </w:rPr>
        <w:t>1</w:t>
      </w:r>
    </w:p>
    <w:p w14:paraId="0E7164AA" w14:textId="61E6EBF2" w:rsidR="006364B2" w:rsidRPr="008809EC" w:rsidRDefault="006364B2" w:rsidP="006364B2">
      <w:pPr>
        <w:spacing w:after="0" w:line="240" w:lineRule="auto"/>
        <w:ind w:left="5760" w:hanging="360"/>
        <w:jc w:val="right"/>
        <w:rPr>
          <w:rFonts w:ascii="Times New Roman" w:eastAsia="Times New Roman" w:hAnsi="Times New Roman" w:cs="Times New Roman"/>
          <w:color w:val="000000"/>
          <w:sz w:val="24"/>
          <w:szCs w:val="24"/>
          <w:lang w:eastAsia="ru-RU"/>
        </w:rPr>
      </w:pPr>
      <w:r w:rsidRPr="008809EC">
        <w:rPr>
          <w:rFonts w:ascii="Times New Roman" w:eastAsia="Times New Roman" w:hAnsi="Times New Roman" w:cs="Times New Roman"/>
          <w:color w:val="000000"/>
          <w:sz w:val="24"/>
          <w:szCs w:val="24"/>
          <w:lang w:eastAsia="ru-RU"/>
        </w:rPr>
        <w:t xml:space="preserve">la </w:t>
      </w:r>
      <w:proofErr w:type="spellStart"/>
      <w:r w:rsidRPr="008809EC">
        <w:rPr>
          <w:rFonts w:ascii="Times New Roman" w:eastAsia="Times New Roman" w:hAnsi="Times New Roman" w:cs="Times New Roman"/>
          <w:color w:val="000000"/>
          <w:sz w:val="24"/>
          <w:szCs w:val="24"/>
          <w:lang w:eastAsia="ru-RU"/>
        </w:rPr>
        <w:t>Hotărîrea</w:t>
      </w:r>
      <w:proofErr w:type="spellEnd"/>
      <w:r w:rsidRPr="008809EC">
        <w:rPr>
          <w:rFonts w:ascii="Times New Roman" w:eastAsia="Times New Roman" w:hAnsi="Times New Roman" w:cs="Times New Roman"/>
          <w:color w:val="000000"/>
          <w:sz w:val="24"/>
          <w:szCs w:val="24"/>
          <w:lang w:eastAsia="ru-RU"/>
        </w:rPr>
        <w:t xml:space="preserve"> Guvernului nr. </w:t>
      </w:r>
      <w:r w:rsidR="00795A29" w:rsidRPr="008809EC">
        <w:rPr>
          <w:rFonts w:ascii="Times New Roman" w:eastAsia="Times New Roman" w:hAnsi="Times New Roman" w:cs="Times New Roman"/>
          <w:color w:val="000000"/>
          <w:sz w:val="24"/>
          <w:szCs w:val="24"/>
          <w:lang w:eastAsia="ru-RU"/>
        </w:rPr>
        <w:t>....</w:t>
      </w:r>
    </w:p>
    <w:p w14:paraId="2F2F76D2" w14:textId="013C0F61" w:rsidR="006364B2" w:rsidRPr="008809EC" w:rsidRDefault="006364B2" w:rsidP="006364B2">
      <w:pPr>
        <w:spacing w:after="0" w:line="240" w:lineRule="auto"/>
        <w:ind w:left="5760" w:hanging="360"/>
        <w:jc w:val="right"/>
        <w:rPr>
          <w:rFonts w:ascii="Times New Roman" w:eastAsia="Times New Roman" w:hAnsi="Times New Roman" w:cs="Times New Roman"/>
          <w:sz w:val="24"/>
          <w:szCs w:val="24"/>
          <w:lang w:eastAsia="ru-RU"/>
        </w:rPr>
      </w:pPr>
      <w:r w:rsidRPr="008809EC">
        <w:rPr>
          <w:rFonts w:ascii="Times New Roman" w:eastAsia="Times New Roman" w:hAnsi="Times New Roman" w:cs="Times New Roman"/>
          <w:color w:val="000000"/>
          <w:sz w:val="24"/>
          <w:szCs w:val="24"/>
          <w:lang w:eastAsia="ru-RU"/>
        </w:rPr>
        <w:t xml:space="preserve">din </w:t>
      </w:r>
      <w:r w:rsidR="00795A29" w:rsidRPr="008809EC">
        <w:rPr>
          <w:rFonts w:ascii="Times New Roman" w:eastAsia="Times New Roman" w:hAnsi="Times New Roman" w:cs="Times New Roman"/>
          <w:color w:val="000000"/>
          <w:sz w:val="24"/>
          <w:szCs w:val="24"/>
          <w:lang w:eastAsia="ru-RU"/>
        </w:rPr>
        <w:t>...</w:t>
      </w:r>
      <w:r w:rsidR="00C87C28" w:rsidRPr="008809EC">
        <w:rPr>
          <w:rFonts w:ascii="Times New Roman" w:eastAsia="Times New Roman" w:hAnsi="Times New Roman" w:cs="Times New Roman"/>
          <w:color w:val="000000"/>
          <w:sz w:val="24"/>
          <w:szCs w:val="24"/>
          <w:lang w:eastAsia="ru-RU"/>
        </w:rPr>
        <w:t>.....</w:t>
      </w:r>
      <w:r w:rsidR="00795A29" w:rsidRPr="008809EC">
        <w:rPr>
          <w:rFonts w:ascii="Times New Roman" w:eastAsia="Times New Roman" w:hAnsi="Times New Roman" w:cs="Times New Roman"/>
          <w:color w:val="000000"/>
          <w:sz w:val="24"/>
          <w:szCs w:val="24"/>
          <w:lang w:eastAsia="ru-RU"/>
        </w:rPr>
        <w:t>..........................202</w:t>
      </w:r>
      <w:r w:rsidR="0077667B">
        <w:rPr>
          <w:rFonts w:ascii="Times New Roman" w:eastAsia="Times New Roman" w:hAnsi="Times New Roman" w:cs="Times New Roman"/>
          <w:color w:val="000000"/>
          <w:sz w:val="24"/>
          <w:szCs w:val="24"/>
          <w:lang w:eastAsia="ru-RU"/>
        </w:rPr>
        <w:t>3</w:t>
      </w:r>
    </w:p>
    <w:p w14:paraId="4AEE1E72" w14:textId="77777777" w:rsidR="006364B2" w:rsidRPr="008809EC" w:rsidRDefault="006364B2" w:rsidP="006364B2">
      <w:pPr>
        <w:spacing w:after="0" w:line="240" w:lineRule="auto"/>
        <w:rPr>
          <w:rFonts w:ascii="Times New Roman" w:eastAsia="Times New Roman" w:hAnsi="Times New Roman" w:cs="Times New Roman"/>
          <w:sz w:val="24"/>
          <w:szCs w:val="24"/>
          <w:lang w:eastAsia="ru-RU"/>
        </w:rPr>
      </w:pPr>
    </w:p>
    <w:p w14:paraId="2C12D22F" w14:textId="77777777" w:rsidR="006364B2" w:rsidRPr="008809EC" w:rsidRDefault="006364B2" w:rsidP="006364B2">
      <w:pPr>
        <w:spacing w:after="0" w:line="240" w:lineRule="auto"/>
        <w:jc w:val="center"/>
        <w:rPr>
          <w:rFonts w:ascii="Times New Roman" w:eastAsia="Times New Roman" w:hAnsi="Times New Roman" w:cs="Times New Roman"/>
          <w:b/>
          <w:bCs/>
          <w:color w:val="000000"/>
          <w:sz w:val="24"/>
          <w:szCs w:val="24"/>
          <w:lang w:eastAsia="ru-RU"/>
        </w:rPr>
      </w:pPr>
    </w:p>
    <w:p w14:paraId="69161596" w14:textId="5BAA0A59" w:rsidR="006364B2" w:rsidRPr="008809EC" w:rsidRDefault="00B166B9" w:rsidP="006364B2">
      <w:pPr>
        <w:spacing w:after="0" w:line="240" w:lineRule="auto"/>
        <w:jc w:val="center"/>
        <w:rPr>
          <w:rFonts w:ascii="Times New Roman" w:eastAsia="Times New Roman" w:hAnsi="Times New Roman" w:cs="Times New Roman"/>
          <w:b/>
          <w:bCs/>
          <w:color w:val="000000"/>
          <w:sz w:val="24"/>
          <w:szCs w:val="24"/>
          <w:lang w:eastAsia="ru-RU"/>
        </w:rPr>
      </w:pPr>
      <w:r w:rsidRPr="008809EC">
        <w:rPr>
          <w:rFonts w:ascii="Times New Roman" w:eastAsia="Times New Roman" w:hAnsi="Times New Roman" w:cs="Times New Roman"/>
          <w:b/>
          <w:bCs/>
          <w:color w:val="000000"/>
          <w:sz w:val="24"/>
          <w:szCs w:val="24"/>
          <w:lang w:eastAsia="ru-RU"/>
        </w:rPr>
        <w:t>PROGRAMUL</w:t>
      </w:r>
    </w:p>
    <w:p w14:paraId="3280558F" w14:textId="18A03FBD" w:rsidR="006364B2" w:rsidRPr="008809EC" w:rsidRDefault="006364B2" w:rsidP="006364B2">
      <w:pPr>
        <w:spacing w:after="0" w:line="240" w:lineRule="auto"/>
        <w:jc w:val="center"/>
        <w:rPr>
          <w:rFonts w:ascii="Times New Roman" w:eastAsia="Times New Roman" w:hAnsi="Times New Roman" w:cs="Times New Roman"/>
          <w:b/>
          <w:bCs/>
          <w:color w:val="000000"/>
          <w:sz w:val="24"/>
          <w:szCs w:val="24"/>
          <w:lang w:eastAsia="ru-RU"/>
        </w:rPr>
      </w:pPr>
      <w:r w:rsidRPr="008809EC">
        <w:rPr>
          <w:rFonts w:ascii="Times New Roman" w:eastAsia="Times New Roman" w:hAnsi="Times New Roman" w:cs="Times New Roman"/>
          <w:b/>
          <w:bCs/>
          <w:color w:val="000000"/>
          <w:sz w:val="24"/>
          <w:szCs w:val="24"/>
          <w:lang w:eastAsia="ru-RU"/>
        </w:rPr>
        <w:t>DE DEZVOLTARE CU EMISII REDUSE A REPUBLICII MOLDOVA PÎNĂ ÎN ANUL 2030</w:t>
      </w:r>
      <w:r w:rsidR="00D0750A" w:rsidRPr="008809EC">
        <w:rPr>
          <w:rFonts w:ascii="Times New Roman" w:eastAsia="Times New Roman" w:hAnsi="Times New Roman" w:cs="Times New Roman"/>
          <w:b/>
          <w:bCs/>
          <w:color w:val="000000"/>
          <w:sz w:val="24"/>
          <w:szCs w:val="24"/>
          <w:lang w:eastAsia="ru-RU"/>
        </w:rPr>
        <w:t xml:space="preserve"> </w:t>
      </w:r>
      <w:r w:rsidR="00B166B9" w:rsidRPr="008809EC">
        <w:rPr>
          <w:rFonts w:ascii="Times New Roman" w:eastAsia="Times New Roman" w:hAnsi="Times New Roman" w:cs="Times New Roman"/>
          <w:b/>
          <w:bCs/>
          <w:color w:val="000000"/>
          <w:sz w:val="24"/>
          <w:szCs w:val="24"/>
          <w:lang w:eastAsia="ru-RU"/>
        </w:rPr>
        <w:t>ŞI PLANUL DE ACŢIUNI PENTRU IMPLEMENTAREA ACESTUIA</w:t>
      </w:r>
    </w:p>
    <w:p w14:paraId="005F11A4" w14:textId="77777777" w:rsidR="00703EA8" w:rsidRPr="008809EC" w:rsidRDefault="00703EA8" w:rsidP="006364B2">
      <w:pPr>
        <w:spacing w:after="0" w:line="240" w:lineRule="auto"/>
        <w:jc w:val="center"/>
        <w:rPr>
          <w:rFonts w:ascii="Times New Roman" w:eastAsia="Times New Roman" w:hAnsi="Times New Roman" w:cs="Times New Roman"/>
          <w:sz w:val="24"/>
          <w:szCs w:val="24"/>
          <w:lang w:eastAsia="ru-RU"/>
        </w:rPr>
      </w:pPr>
    </w:p>
    <w:p w14:paraId="5A346704" w14:textId="49737A8A" w:rsidR="006364B2" w:rsidRPr="008809EC" w:rsidRDefault="006364B2" w:rsidP="006364B2">
      <w:pPr>
        <w:spacing w:before="120" w:after="120" w:line="240" w:lineRule="auto"/>
        <w:jc w:val="center"/>
        <w:outlineLvl w:val="1"/>
        <w:rPr>
          <w:rFonts w:ascii="Times New Roman" w:eastAsia="Times New Roman" w:hAnsi="Times New Roman" w:cs="Times New Roman"/>
          <w:b/>
          <w:bCs/>
          <w:sz w:val="24"/>
          <w:szCs w:val="24"/>
          <w:lang w:eastAsia="ru-RU"/>
        </w:rPr>
      </w:pPr>
      <w:r w:rsidRPr="008809EC">
        <w:rPr>
          <w:rFonts w:ascii="Times New Roman" w:eastAsia="Times New Roman" w:hAnsi="Times New Roman" w:cs="Times New Roman"/>
          <w:b/>
          <w:bCs/>
          <w:color w:val="000000"/>
          <w:sz w:val="24"/>
          <w:szCs w:val="24"/>
          <w:lang w:eastAsia="ru-RU"/>
        </w:rPr>
        <w:t>I.</w:t>
      </w:r>
      <w:r w:rsidR="00E70219" w:rsidRPr="008809EC">
        <w:rPr>
          <w:rFonts w:ascii="Times New Roman" w:eastAsia="Times New Roman" w:hAnsi="Times New Roman" w:cs="Times New Roman"/>
          <w:b/>
          <w:bCs/>
          <w:color w:val="000000"/>
          <w:sz w:val="24"/>
          <w:szCs w:val="24"/>
          <w:lang w:eastAsia="ru-RU"/>
        </w:rPr>
        <w:t xml:space="preserve"> </w:t>
      </w:r>
      <w:r w:rsidRPr="008809EC">
        <w:rPr>
          <w:rFonts w:ascii="Times New Roman" w:eastAsia="Times New Roman" w:hAnsi="Times New Roman" w:cs="Times New Roman"/>
          <w:b/>
          <w:bCs/>
          <w:color w:val="000000"/>
          <w:sz w:val="24"/>
          <w:szCs w:val="24"/>
          <w:lang w:eastAsia="ru-RU"/>
        </w:rPr>
        <w:t>INTRODUCERE</w:t>
      </w:r>
    </w:p>
    <w:p w14:paraId="1EC72F76" w14:textId="7F7B93E3" w:rsidR="00795A29" w:rsidRPr="008809EC" w:rsidRDefault="00795A29" w:rsidP="00795A29">
      <w:pPr>
        <w:spacing w:after="0" w:line="240" w:lineRule="auto"/>
        <w:jc w:val="both"/>
        <w:rPr>
          <w:rFonts w:ascii="Times New Roman" w:hAnsi="Times New Roman" w:cs="Times New Roman"/>
          <w:sz w:val="24"/>
          <w:szCs w:val="24"/>
        </w:rPr>
      </w:pPr>
      <w:r w:rsidRPr="008809EC">
        <w:rPr>
          <w:rFonts w:ascii="Times New Roman" w:hAnsi="Times New Roman" w:cs="Times New Roman"/>
          <w:sz w:val="24"/>
          <w:szCs w:val="24"/>
        </w:rPr>
        <w:t xml:space="preserve">Clima </w:t>
      </w:r>
      <w:proofErr w:type="spellStart"/>
      <w:r w:rsidRPr="008809EC">
        <w:rPr>
          <w:rFonts w:ascii="Times New Roman" w:hAnsi="Times New Roman" w:cs="Times New Roman"/>
          <w:sz w:val="24"/>
          <w:szCs w:val="24"/>
        </w:rPr>
        <w:t>păm</w:t>
      </w:r>
      <w:r w:rsidR="00E8690D">
        <w:rPr>
          <w:rFonts w:ascii="Times New Roman" w:hAnsi="Times New Roman" w:cs="Times New Roman"/>
          <w:sz w:val="24"/>
          <w:szCs w:val="24"/>
        </w:rPr>
        <w:t>î</w:t>
      </w:r>
      <w:r w:rsidRPr="008809EC">
        <w:rPr>
          <w:rFonts w:ascii="Times New Roman" w:hAnsi="Times New Roman" w:cs="Times New Roman"/>
          <w:sz w:val="24"/>
          <w:szCs w:val="24"/>
        </w:rPr>
        <w:t>ntului</w:t>
      </w:r>
      <w:proofErr w:type="spellEnd"/>
      <w:r w:rsidRPr="008809EC">
        <w:rPr>
          <w:rFonts w:ascii="Times New Roman" w:hAnsi="Times New Roman" w:cs="Times New Roman"/>
          <w:sz w:val="24"/>
          <w:szCs w:val="24"/>
        </w:rPr>
        <w:t xml:space="preserve"> se schimbă vertiginos, resimțit de ultimele generații</w:t>
      </w:r>
      <w:r w:rsidR="00E8690D">
        <w:rPr>
          <w:rFonts w:ascii="Times New Roman" w:hAnsi="Times New Roman" w:cs="Times New Roman"/>
          <w:sz w:val="24"/>
          <w:szCs w:val="24"/>
        </w:rPr>
        <w:t xml:space="preserve"> tot mai puternic</w:t>
      </w:r>
      <w:r w:rsidRPr="008809EC">
        <w:rPr>
          <w:rFonts w:ascii="Times New Roman" w:hAnsi="Times New Roman" w:cs="Times New Roman"/>
          <w:sz w:val="24"/>
          <w:szCs w:val="24"/>
        </w:rPr>
        <w:t xml:space="preserve">. </w:t>
      </w:r>
      <w:r w:rsidR="00E8690D">
        <w:rPr>
          <w:rFonts w:ascii="Times New Roman" w:hAnsi="Times New Roman" w:cs="Times New Roman"/>
          <w:sz w:val="24"/>
          <w:szCs w:val="24"/>
        </w:rPr>
        <w:t>Astfel</w:t>
      </w:r>
      <w:r w:rsidR="004D51B7">
        <w:rPr>
          <w:rFonts w:ascii="Times New Roman" w:hAnsi="Times New Roman" w:cs="Times New Roman"/>
          <w:sz w:val="24"/>
          <w:szCs w:val="24"/>
        </w:rPr>
        <w:t>,</w:t>
      </w:r>
      <w:r w:rsidR="00F4252F">
        <w:rPr>
          <w:rFonts w:ascii="Times New Roman" w:hAnsi="Times New Roman" w:cs="Times New Roman"/>
          <w:sz w:val="24"/>
          <w:szCs w:val="24"/>
        </w:rPr>
        <w:t xml:space="preserve"> </w:t>
      </w:r>
      <w:r w:rsidR="001925DE">
        <w:rPr>
          <w:rFonts w:ascii="Times New Roman" w:hAnsi="Times New Roman" w:cs="Times New Roman"/>
          <w:sz w:val="24"/>
          <w:szCs w:val="24"/>
        </w:rPr>
        <w:t>deceniul dintre anii</w:t>
      </w:r>
      <w:r w:rsidR="00E8690D" w:rsidRPr="00E8690D">
        <w:rPr>
          <w:rFonts w:ascii="Times New Roman" w:hAnsi="Times New Roman" w:cs="Times New Roman"/>
          <w:sz w:val="24"/>
          <w:szCs w:val="24"/>
        </w:rPr>
        <w:t xml:space="preserve"> 2011-2020 a fost c</w:t>
      </w:r>
      <w:r w:rsidR="00E8690D">
        <w:rPr>
          <w:rFonts w:ascii="Times New Roman" w:hAnsi="Times New Roman" w:cs="Times New Roman"/>
          <w:sz w:val="24"/>
          <w:szCs w:val="24"/>
        </w:rPr>
        <w:t>e</w:t>
      </w:r>
      <w:r w:rsidR="001925DE">
        <w:rPr>
          <w:rFonts w:ascii="Times New Roman" w:hAnsi="Times New Roman" w:cs="Times New Roman"/>
          <w:sz w:val="24"/>
          <w:szCs w:val="24"/>
        </w:rPr>
        <w:t>l</w:t>
      </w:r>
      <w:r w:rsidR="00E8690D" w:rsidRPr="00E8690D">
        <w:rPr>
          <w:rFonts w:ascii="Times New Roman" w:hAnsi="Times New Roman" w:cs="Times New Roman"/>
          <w:sz w:val="24"/>
          <w:szCs w:val="24"/>
        </w:rPr>
        <w:t xml:space="preserve"> mai fierbinte din istori</w:t>
      </w:r>
      <w:r w:rsidR="00EA1D72">
        <w:rPr>
          <w:rFonts w:ascii="Times New Roman" w:hAnsi="Times New Roman" w:cs="Times New Roman"/>
          <w:sz w:val="24"/>
          <w:szCs w:val="24"/>
        </w:rPr>
        <w:t xml:space="preserve">a </w:t>
      </w:r>
      <w:proofErr w:type="spellStart"/>
      <w:r w:rsidR="001925DE">
        <w:rPr>
          <w:rFonts w:ascii="Times New Roman" w:hAnsi="Times New Roman" w:cs="Times New Roman"/>
          <w:sz w:val="24"/>
          <w:szCs w:val="24"/>
        </w:rPr>
        <w:t>observaţiilor</w:t>
      </w:r>
      <w:proofErr w:type="spellEnd"/>
      <w:r w:rsidR="001925DE">
        <w:rPr>
          <w:rFonts w:ascii="Times New Roman" w:hAnsi="Times New Roman" w:cs="Times New Roman"/>
          <w:sz w:val="24"/>
          <w:szCs w:val="24"/>
        </w:rPr>
        <w:t xml:space="preserve"> meteorologice. În această perioadă au fost </w:t>
      </w:r>
      <w:r w:rsidR="00EA1D72">
        <w:rPr>
          <w:rFonts w:ascii="Times New Roman" w:hAnsi="Times New Roman" w:cs="Times New Roman"/>
          <w:sz w:val="24"/>
          <w:szCs w:val="24"/>
        </w:rPr>
        <w:t xml:space="preserve"> </w:t>
      </w:r>
      <w:proofErr w:type="spellStart"/>
      <w:r w:rsidR="00EA1D72">
        <w:rPr>
          <w:rFonts w:ascii="Times New Roman" w:hAnsi="Times New Roman" w:cs="Times New Roman"/>
          <w:sz w:val="24"/>
          <w:szCs w:val="24"/>
        </w:rPr>
        <w:t>înregistr</w:t>
      </w:r>
      <w:r w:rsidR="001925DE">
        <w:rPr>
          <w:rFonts w:ascii="Times New Roman" w:hAnsi="Times New Roman" w:cs="Times New Roman"/>
          <w:sz w:val="24"/>
          <w:szCs w:val="24"/>
        </w:rPr>
        <w:t>aţi</w:t>
      </w:r>
      <w:proofErr w:type="spellEnd"/>
      <w:r w:rsidR="001925DE">
        <w:rPr>
          <w:rFonts w:ascii="Times New Roman" w:hAnsi="Times New Roman" w:cs="Times New Roman"/>
          <w:sz w:val="24"/>
          <w:szCs w:val="24"/>
        </w:rPr>
        <w:t xml:space="preserve"> </w:t>
      </w:r>
      <w:r w:rsidR="00EA1D72">
        <w:rPr>
          <w:rFonts w:ascii="Times New Roman" w:hAnsi="Times New Roman" w:cs="Times New Roman"/>
          <w:sz w:val="24"/>
          <w:szCs w:val="24"/>
        </w:rPr>
        <w:t>cei mai călduroși ani, pe primul loc în acest aspect se menține anul 2016 după care urmează anii 2019 și 2020.</w:t>
      </w:r>
      <w:r w:rsidR="004D51B7">
        <w:rPr>
          <w:rFonts w:ascii="Times New Roman" w:hAnsi="Times New Roman" w:cs="Times New Roman"/>
          <w:sz w:val="24"/>
          <w:szCs w:val="24"/>
        </w:rPr>
        <w:t xml:space="preserve"> Conform datelor Organizației Meteorologice Mondiale î</w:t>
      </w:r>
      <w:r w:rsidR="004D51B7" w:rsidRPr="004D51B7">
        <w:rPr>
          <w:rFonts w:ascii="Times New Roman" w:hAnsi="Times New Roman" w:cs="Times New Roman"/>
          <w:sz w:val="24"/>
          <w:szCs w:val="24"/>
        </w:rPr>
        <w:t xml:space="preserve">n </w:t>
      </w:r>
      <w:r w:rsidR="004D51B7">
        <w:rPr>
          <w:rFonts w:ascii="Times New Roman" w:hAnsi="Times New Roman" w:cs="Times New Roman"/>
          <w:sz w:val="24"/>
          <w:szCs w:val="24"/>
        </w:rPr>
        <w:t xml:space="preserve"> anul </w:t>
      </w:r>
      <w:r w:rsidR="004D51B7" w:rsidRPr="004D51B7">
        <w:rPr>
          <w:rFonts w:ascii="Times New Roman" w:hAnsi="Times New Roman" w:cs="Times New Roman"/>
          <w:sz w:val="24"/>
          <w:szCs w:val="24"/>
        </w:rPr>
        <w:t>2020</w:t>
      </w:r>
      <w:r w:rsidR="004D51B7">
        <w:rPr>
          <w:rFonts w:ascii="Times New Roman" w:hAnsi="Times New Roman" w:cs="Times New Roman"/>
          <w:sz w:val="24"/>
          <w:szCs w:val="24"/>
        </w:rPr>
        <w:t xml:space="preserve"> </w:t>
      </w:r>
      <w:r w:rsidR="004D51B7" w:rsidRPr="004D51B7">
        <w:rPr>
          <w:rFonts w:ascii="Times New Roman" w:hAnsi="Times New Roman" w:cs="Times New Roman"/>
          <w:sz w:val="24"/>
          <w:szCs w:val="24"/>
        </w:rPr>
        <w:t xml:space="preserve">temperatura medie anuală </w:t>
      </w:r>
      <w:r w:rsidR="004D51B7">
        <w:rPr>
          <w:rFonts w:ascii="Times New Roman" w:hAnsi="Times New Roman" w:cs="Times New Roman"/>
          <w:sz w:val="24"/>
          <w:szCs w:val="24"/>
        </w:rPr>
        <w:t xml:space="preserve">de la suprafața </w:t>
      </w:r>
      <w:proofErr w:type="spellStart"/>
      <w:r w:rsidR="004D51B7">
        <w:rPr>
          <w:rFonts w:ascii="Times New Roman" w:hAnsi="Times New Roman" w:cs="Times New Roman"/>
          <w:sz w:val="24"/>
          <w:szCs w:val="24"/>
        </w:rPr>
        <w:t>Pămîntului</w:t>
      </w:r>
      <w:proofErr w:type="spellEnd"/>
      <w:r w:rsidR="004D51B7">
        <w:rPr>
          <w:rFonts w:ascii="Times New Roman" w:hAnsi="Times New Roman" w:cs="Times New Roman"/>
          <w:sz w:val="24"/>
          <w:szCs w:val="24"/>
        </w:rPr>
        <w:t xml:space="preserve"> </w:t>
      </w:r>
      <w:r w:rsidR="004D51B7" w:rsidRPr="004D51B7">
        <w:rPr>
          <w:rFonts w:ascii="Times New Roman" w:hAnsi="Times New Roman" w:cs="Times New Roman"/>
          <w:sz w:val="24"/>
          <w:szCs w:val="24"/>
        </w:rPr>
        <w:t xml:space="preserve">a fost de 14,9 grade Celsius, care este cu 1,2 grade peste nivelul </w:t>
      </w:r>
      <w:r w:rsidR="004D51B7">
        <w:rPr>
          <w:rFonts w:ascii="Times New Roman" w:hAnsi="Times New Roman" w:cs="Times New Roman"/>
          <w:sz w:val="24"/>
          <w:szCs w:val="24"/>
        </w:rPr>
        <w:t xml:space="preserve">al acestui indice din perioada </w:t>
      </w:r>
      <w:r w:rsidR="004D51B7" w:rsidRPr="004D51B7">
        <w:rPr>
          <w:rFonts w:ascii="Times New Roman" w:hAnsi="Times New Roman" w:cs="Times New Roman"/>
          <w:sz w:val="24"/>
          <w:szCs w:val="24"/>
        </w:rPr>
        <w:t>pre-industrial</w:t>
      </w:r>
      <w:r w:rsidR="009A2A4E">
        <w:rPr>
          <w:rFonts w:ascii="Times New Roman" w:hAnsi="Times New Roman" w:cs="Times New Roman"/>
          <w:sz w:val="24"/>
          <w:szCs w:val="24"/>
        </w:rPr>
        <w:t>ă</w:t>
      </w:r>
      <w:r w:rsidR="004D51B7" w:rsidRPr="004D51B7">
        <w:rPr>
          <w:rFonts w:ascii="Times New Roman" w:hAnsi="Times New Roman" w:cs="Times New Roman"/>
          <w:sz w:val="24"/>
          <w:szCs w:val="24"/>
        </w:rPr>
        <w:t xml:space="preserve">. </w:t>
      </w:r>
      <w:r w:rsidR="009A2A4E">
        <w:rPr>
          <w:rFonts w:ascii="Times New Roman" w:hAnsi="Times New Roman" w:cs="Times New Roman"/>
          <w:sz w:val="24"/>
          <w:szCs w:val="24"/>
        </w:rPr>
        <w:t xml:space="preserve"> În conformitate cu </w:t>
      </w:r>
      <w:proofErr w:type="spellStart"/>
      <w:r w:rsidR="009A2A4E">
        <w:rPr>
          <w:rFonts w:ascii="Times New Roman" w:hAnsi="Times New Roman" w:cs="Times New Roman"/>
          <w:sz w:val="24"/>
          <w:szCs w:val="24"/>
        </w:rPr>
        <w:t>ultimile</w:t>
      </w:r>
      <w:proofErr w:type="spellEnd"/>
      <w:r w:rsidR="009A2A4E">
        <w:rPr>
          <w:rFonts w:ascii="Times New Roman" w:hAnsi="Times New Roman" w:cs="Times New Roman"/>
          <w:sz w:val="24"/>
          <w:szCs w:val="24"/>
        </w:rPr>
        <w:t xml:space="preserve"> prospecțiuni climatice</w:t>
      </w:r>
      <w:r w:rsidR="001925DE">
        <w:rPr>
          <w:rFonts w:ascii="Times New Roman" w:hAnsi="Times New Roman" w:cs="Times New Roman"/>
          <w:sz w:val="24"/>
          <w:szCs w:val="24"/>
        </w:rPr>
        <w:t>,</w:t>
      </w:r>
      <w:r w:rsidR="009A2A4E">
        <w:rPr>
          <w:rFonts w:ascii="Times New Roman" w:hAnsi="Times New Roman" w:cs="Times New Roman"/>
          <w:sz w:val="24"/>
          <w:szCs w:val="24"/>
        </w:rPr>
        <w:t xml:space="preserve"> c</w:t>
      </w:r>
      <w:r w:rsidRPr="008809EC">
        <w:rPr>
          <w:rFonts w:ascii="Times New Roman" w:hAnsi="Times New Roman" w:cs="Times New Roman"/>
          <w:sz w:val="24"/>
          <w:szCs w:val="24"/>
        </w:rPr>
        <w:t>u un grad înalt de probabilitate</w:t>
      </w:r>
      <w:r w:rsidR="001925DE">
        <w:rPr>
          <w:rFonts w:ascii="Times New Roman" w:hAnsi="Times New Roman" w:cs="Times New Roman"/>
          <w:sz w:val="24"/>
          <w:szCs w:val="24"/>
        </w:rPr>
        <w:t>,</w:t>
      </w:r>
      <w:r w:rsidRPr="008809EC">
        <w:rPr>
          <w:rFonts w:ascii="Times New Roman" w:hAnsi="Times New Roman" w:cs="Times New Roman"/>
          <w:sz w:val="24"/>
          <w:szCs w:val="24"/>
        </w:rPr>
        <w:t xml:space="preserve"> </w:t>
      </w:r>
      <w:r w:rsidR="009A2A4E">
        <w:rPr>
          <w:rFonts w:ascii="Times New Roman" w:hAnsi="Times New Roman" w:cs="Times New Roman"/>
          <w:sz w:val="24"/>
          <w:szCs w:val="24"/>
        </w:rPr>
        <w:t xml:space="preserve">se atestă că </w:t>
      </w:r>
      <w:proofErr w:type="spellStart"/>
      <w:r w:rsidR="00F4252F">
        <w:rPr>
          <w:rFonts w:ascii="Times New Roman" w:hAnsi="Times New Roman" w:cs="Times New Roman"/>
          <w:sz w:val="24"/>
          <w:szCs w:val="24"/>
        </w:rPr>
        <w:t>creşterea</w:t>
      </w:r>
      <w:proofErr w:type="spellEnd"/>
      <w:r w:rsidR="00F4252F">
        <w:rPr>
          <w:rFonts w:ascii="Times New Roman" w:hAnsi="Times New Roman" w:cs="Times New Roman"/>
          <w:sz w:val="24"/>
          <w:szCs w:val="24"/>
        </w:rPr>
        <w:t xml:space="preserve"> temperaturii medii globale </w:t>
      </w:r>
      <w:r w:rsidRPr="008809EC">
        <w:rPr>
          <w:rFonts w:ascii="Times New Roman" w:hAnsi="Times New Roman" w:cs="Times New Roman"/>
          <w:sz w:val="24"/>
          <w:szCs w:val="24"/>
        </w:rPr>
        <w:t>către anul 2100 poate fi în limitele unei medii de 1,8-4°C. Se atenționează faptul că aceste schimbării pot avea un impact ireversibil asupra procesului evolutiv de dezvoltare a vieții pe pământ. Conform ultimului Raport al Grupului interguvernamental privind schimbările climatice (IPCC, 2014), „Este foarte probabil ca valurile de căldură să apară mai des și să dureze mai mult, iar evenimentele de precipitații extreme vor deveni mai intense și frecvente în multe regiuni. Oceanul va continua să se încălzească și să se acidifice, iar nivelul mediu global al mării să crească.”</w:t>
      </w:r>
    </w:p>
    <w:p w14:paraId="5A748FA4" w14:textId="044AEF69" w:rsidR="00795A29" w:rsidRPr="008809EC" w:rsidRDefault="009A2A4E" w:rsidP="00795A29">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La momentul actual s</w:t>
      </w:r>
      <w:r w:rsidR="00795A29" w:rsidRPr="008809EC">
        <w:rPr>
          <w:rFonts w:ascii="Times New Roman" w:hAnsi="Times New Roman" w:cs="Times New Roman"/>
          <w:sz w:val="24"/>
          <w:szCs w:val="24"/>
        </w:rPr>
        <w:t xml:space="preserve">unt dovezi certe că încălzirea globală este, în cea mai mare parte, rezultatul </w:t>
      </w:r>
      <w:r w:rsidR="008809EC" w:rsidRPr="008809EC">
        <w:rPr>
          <w:rFonts w:ascii="Times New Roman" w:hAnsi="Times New Roman" w:cs="Times New Roman"/>
          <w:sz w:val="24"/>
          <w:szCs w:val="24"/>
        </w:rPr>
        <w:t>activității</w:t>
      </w:r>
      <w:r w:rsidR="00795A29" w:rsidRPr="008809EC">
        <w:rPr>
          <w:rFonts w:ascii="Times New Roman" w:hAnsi="Times New Roman" w:cs="Times New Roman"/>
          <w:sz w:val="24"/>
          <w:szCs w:val="24"/>
        </w:rPr>
        <w:t xml:space="preserve"> </w:t>
      </w:r>
      <w:r>
        <w:rPr>
          <w:rFonts w:ascii="Times New Roman" w:hAnsi="Times New Roman" w:cs="Times New Roman"/>
          <w:sz w:val="24"/>
          <w:szCs w:val="24"/>
        </w:rPr>
        <w:t xml:space="preserve">antropice </w:t>
      </w:r>
      <w:r w:rsidR="00795A29" w:rsidRPr="008809EC">
        <w:rPr>
          <w:rFonts w:ascii="Times New Roman" w:hAnsi="Times New Roman" w:cs="Times New Roman"/>
          <w:sz w:val="24"/>
          <w:szCs w:val="24"/>
        </w:rPr>
        <w:t xml:space="preserve"> manifestată prin emiterea </w:t>
      </w:r>
      <w:r>
        <w:rPr>
          <w:rFonts w:ascii="Times New Roman" w:hAnsi="Times New Roman" w:cs="Times New Roman"/>
          <w:sz w:val="24"/>
          <w:szCs w:val="24"/>
        </w:rPr>
        <w:t xml:space="preserve">masivă în atmosferă a </w:t>
      </w:r>
      <w:r w:rsidR="00795A29" w:rsidRPr="008809EC">
        <w:rPr>
          <w:rFonts w:ascii="Times New Roman" w:hAnsi="Times New Roman" w:cs="Times New Roman"/>
          <w:sz w:val="24"/>
          <w:szCs w:val="24"/>
        </w:rPr>
        <w:t xml:space="preserve">gazelor cu efect de seră (GES) </w:t>
      </w:r>
      <w:r>
        <w:rPr>
          <w:rFonts w:ascii="Times New Roman" w:hAnsi="Times New Roman" w:cs="Times New Roman"/>
          <w:sz w:val="24"/>
          <w:szCs w:val="24"/>
        </w:rPr>
        <w:t xml:space="preserve">provenite din arderea </w:t>
      </w:r>
      <w:proofErr w:type="spellStart"/>
      <w:r>
        <w:rPr>
          <w:rFonts w:ascii="Times New Roman" w:hAnsi="Times New Roman" w:cs="Times New Roman"/>
          <w:sz w:val="24"/>
          <w:szCs w:val="24"/>
        </w:rPr>
        <w:t>combustibilor</w:t>
      </w:r>
      <w:proofErr w:type="spellEnd"/>
      <w:r>
        <w:rPr>
          <w:rFonts w:ascii="Times New Roman" w:hAnsi="Times New Roman" w:cs="Times New Roman"/>
          <w:sz w:val="24"/>
          <w:szCs w:val="24"/>
        </w:rPr>
        <w:t xml:space="preserve"> fosili, acestea preponderent </w:t>
      </w:r>
      <w:proofErr w:type="spellStart"/>
      <w:r>
        <w:rPr>
          <w:rFonts w:ascii="Times New Roman" w:hAnsi="Times New Roman" w:cs="Times New Roman"/>
          <w:sz w:val="24"/>
          <w:szCs w:val="24"/>
        </w:rPr>
        <w:t>referindu</w:t>
      </w:r>
      <w:r w:rsidR="00F4252F">
        <w:rPr>
          <w:rFonts w:ascii="Times New Roman" w:hAnsi="Times New Roman" w:cs="Times New Roman"/>
          <w:sz w:val="24"/>
          <w:szCs w:val="24"/>
        </w:rPr>
        <w:t>-</w:t>
      </w:r>
      <w:r>
        <w:rPr>
          <w:rFonts w:ascii="Times New Roman" w:hAnsi="Times New Roman" w:cs="Times New Roman"/>
          <w:sz w:val="24"/>
          <w:szCs w:val="24"/>
        </w:rPr>
        <w:t>se</w:t>
      </w:r>
      <w:proofErr w:type="spellEnd"/>
      <w:r>
        <w:rPr>
          <w:rFonts w:ascii="Times New Roman" w:hAnsi="Times New Roman" w:cs="Times New Roman"/>
          <w:sz w:val="24"/>
          <w:szCs w:val="24"/>
        </w:rPr>
        <w:t xml:space="preserve"> </w:t>
      </w:r>
      <w:r w:rsidR="00F4252F">
        <w:rPr>
          <w:rFonts w:ascii="Times New Roman" w:hAnsi="Times New Roman" w:cs="Times New Roman"/>
          <w:sz w:val="24"/>
          <w:szCs w:val="24"/>
        </w:rPr>
        <w:t>la</w:t>
      </w:r>
      <w:r>
        <w:rPr>
          <w:rFonts w:ascii="Times New Roman" w:hAnsi="Times New Roman" w:cs="Times New Roman"/>
          <w:sz w:val="24"/>
          <w:szCs w:val="24"/>
        </w:rPr>
        <w:t xml:space="preserve"> </w:t>
      </w:r>
      <w:r w:rsidR="00795A29" w:rsidRPr="008809EC">
        <w:rPr>
          <w:rFonts w:ascii="Times New Roman" w:hAnsi="Times New Roman" w:cs="Times New Roman"/>
          <w:sz w:val="24"/>
          <w:szCs w:val="24"/>
        </w:rPr>
        <w:t>dioxid</w:t>
      </w:r>
      <w:r>
        <w:rPr>
          <w:rFonts w:ascii="Times New Roman" w:hAnsi="Times New Roman" w:cs="Times New Roman"/>
          <w:sz w:val="24"/>
          <w:szCs w:val="24"/>
        </w:rPr>
        <w:t>ul</w:t>
      </w:r>
      <w:r w:rsidR="00795A29" w:rsidRPr="008809EC">
        <w:rPr>
          <w:rFonts w:ascii="Times New Roman" w:hAnsi="Times New Roman" w:cs="Times New Roman"/>
          <w:sz w:val="24"/>
          <w:szCs w:val="24"/>
        </w:rPr>
        <w:t xml:space="preserve"> de carbon, metan, protoxid de azot </w:t>
      </w:r>
      <w:r w:rsidR="008809EC" w:rsidRPr="008809EC">
        <w:rPr>
          <w:rFonts w:ascii="Times New Roman" w:hAnsi="Times New Roman" w:cs="Times New Roman"/>
          <w:sz w:val="24"/>
          <w:szCs w:val="24"/>
        </w:rPr>
        <w:t>și</w:t>
      </w:r>
      <w:r w:rsidR="00795A29" w:rsidRPr="008809EC">
        <w:rPr>
          <w:rFonts w:ascii="Times New Roman" w:hAnsi="Times New Roman" w:cs="Times New Roman"/>
          <w:sz w:val="24"/>
          <w:szCs w:val="24"/>
        </w:rPr>
        <w:t xml:space="preserve"> altele.</w:t>
      </w:r>
    </w:p>
    <w:p w14:paraId="44B7753F" w14:textId="7F5AC5D2" w:rsidR="00795A29" w:rsidRPr="008809EC" w:rsidRDefault="00795A29" w:rsidP="00795A29">
      <w:pPr>
        <w:spacing w:after="120" w:line="240" w:lineRule="auto"/>
        <w:jc w:val="both"/>
        <w:rPr>
          <w:rFonts w:ascii="Times New Roman" w:hAnsi="Times New Roman" w:cs="Times New Roman"/>
          <w:sz w:val="24"/>
          <w:szCs w:val="24"/>
        </w:rPr>
      </w:pPr>
      <w:r w:rsidRPr="008809EC">
        <w:rPr>
          <w:rFonts w:ascii="Times New Roman" w:hAnsi="Times New Roman" w:cs="Times New Roman"/>
          <w:sz w:val="24"/>
          <w:szCs w:val="24"/>
        </w:rPr>
        <w:t xml:space="preserve">Cu referire la Republica Moldova, în ultimii 130 de ani temperatura medie anuală </w:t>
      </w:r>
      <w:r w:rsidR="00756437" w:rsidRPr="008809EC">
        <w:rPr>
          <w:rFonts w:ascii="Times New Roman" w:hAnsi="Times New Roman" w:cs="Times New Roman"/>
          <w:sz w:val="24"/>
          <w:szCs w:val="24"/>
        </w:rPr>
        <w:t>în</w:t>
      </w:r>
      <w:r w:rsidRPr="008809EC">
        <w:rPr>
          <w:rFonts w:ascii="Times New Roman" w:hAnsi="Times New Roman" w:cs="Times New Roman"/>
          <w:sz w:val="24"/>
          <w:szCs w:val="24"/>
        </w:rPr>
        <w:t xml:space="preserve"> Republica Moldova a crescut cu peste 1</w:t>
      </w:r>
      <w:r w:rsidR="00214ED2" w:rsidRPr="008809EC">
        <w:rPr>
          <w:rFonts w:ascii="Times New Roman" w:hAnsi="Times New Roman" w:cs="Times New Roman"/>
          <w:sz w:val="24"/>
          <w:szCs w:val="24"/>
        </w:rPr>
        <w:t>,</w:t>
      </w:r>
      <w:r w:rsidRPr="008809EC">
        <w:rPr>
          <w:rFonts w:ascii="Times New Roman" w:hAnsi="Times New Roman" w:cs="Times New Roman"/>
          <w:sz w:val="24"/>
          <w:szCs w:val="24"/>
        </w:rPr>
        <w:t>0 °C. Drept urmare, seceta</w:t>
      </w:r>
      <w:r w:rsidR="00EA661C">
        <w:rPr>
          <w:rFonts w:ascii="Times New Roman" w:hAnsi="Times New Roman" w:cs="Times New Roman"/>
          <w:sz w:val="24"/>
          <w:szCs w:val="24"/>
        </w:rPr>
        <w:t xml:space="preserve">, </w:t>
      </w:r>
      <w:r w:rsidR="008809EC" w:rsidRPr="008809EC">
        <w:rPr>
          <w:rFonts w:ascii="Times New Roman" w:hAnsi="Times New Roman" w:cs="Times New Roman"/>
          <w:sz w:val="24"/>
          <w:szCs w:val="24"/>
        </w:rPr>
        <w:t>inundațiile</w:t>
      </w:r>
      <w:r w:rsidRPr="008809EC">
        <w:rPr>
          <w:rFonts w:ascii="Times New Roman" w:hAnsi="Times New Roman" w:cs="Times New Roman"/>
          <w:sz w:val="24"/>
          <w:szCs w:val="24"/>
        </w:rPr>
        <w:t xml:space="preserve"> de </w:t>
      </w:r>
      <w:r w:rsidR="008809EC" w:rsidRPr="008809EC">
        <w:rPr>
          <w:rFonts w:ascii="Times New Roman" w:hAnsi="Times New Roman" w:cs="Times New Roman"/>
          <w:sz w:val="24"/>
          <w:szCs w:val="24"/>
        </w:rPr>
        <w:t>proporții</w:t>
      </w:r>
      <w:r w:rsidR="00EA661C">
        <w:rPr>
          <w:rFonts w:ascii="Times New Roman" w:hAnsi="Times New Roman" w:cs="Times New Roman"/>
          <w:sz w:val="24"/>
          <w:szCs w:val="24"/>
        </w:rPr>
        <w:t>, valurile de căldură, ploile torențiale și alte fenomene climaterice extremale</w:t>
      </w:r>
      <w:r w:rsidRPr="008809EC">
        <w:rPr>
          <w:rFonts w:ascii="Times New Roman" w:hAnsi="Times New Roman" w:cs="Times New Roman"/>
          <w:sz w:val="24"/>
          <w:szCs w:val="24"/>
        </w:rPr>
        <w:t xml:space="preserve"> au devenit tot mai frecvente, </w:t>
      </w:r>
      <w:proofErr w:type="spellStart"/>
      <w:r w:rsidRPr="008809EC">
        <w:rPr>
          <w:rFonts w:ascii="Times New Roman" w:hAnsi="Times New Roman" w:cs="Times New Roman"/>
          <w:sz w:val="24"/>
          <w:szCs w:val="24"/>
        </w:rPr>
        <w:t>lăs</w:t>
      </w:r>
      <w:r w:rsidR="00EA661C">
        <w:rPr>
          <w:rFonts w:ascii="Times New Roman" w:hAnsi="Times New Roman" w:cs="Times New Roman"/>
          <w:sz w:val="24"/>
          <w:szCs w:val="24"/>
        </w:rPr>
        <w:t>î</w:t>
      </w:r>
      <w:r w:rsidRPr="008809EC">
        <w:rPr>
          <w:rFonts w:ascii="Times New Roman" w:hAnsi="Times New Roman" w:cs="Times New Roman"/>
          <w:sz w:val="24"/>
          <w:szCs w:val="24"/>
        </w:rPr>
        <w:t>nd</w:t>
      </w:r>
      <w:proofErr w:type="spellEnd"/>
      <w:r w:rsidRPr="008809EC">
        <w:rPr>
          <w:rFonts w:ascii="Times New Roman" w:hAnsi="Times New Roman" w:cs="Times New Roman"/>
          <w:sz w:val="24"/>
          <w:szCs w:val="24"/>
        </w:rPr>
        <w:t xml:space="preserve"> </w:t>
      </w:r>
      <w:r w:rsidR="00EA661C">
        <w:rPr>
          <w:rFonts w:ascii="Times New Roman" w:hAnsi="Times New Roman" w:cs="Times New Roman"/>
          <w:sz w:val="24"/>
          <w:szCs w:val="24"/>
        </w:rPr>
        <w:t xml:space="preserve">în urmă </w:t>
      </w:r>
      <w:r w:rsidRPr="008809EC">
        <w:rPr>
          <w:rFonts w:ascii="Times New Roman" w:hAnsi="Times New Roman" w:cs="Times New Roman"/>
          <w:sz w:val="24"/>
          <w:szCs w:val="24"/>
        </w:rPr>
        <w:t xml:space="preserve">un impact profund asupra economiei </w:t>
      </w:r>
      <w:r w:rsidR="008809EC" w:rsidRPr="008809EC">
        <w:rPr>
          <w:rFonts w:ascii="Times New Roman" w:hAnsi="Times New Roman" w:cs="Times New Roman"/>
          <w:sz w:val="24"/>
          <w:szCs w:val="24"/>
        </w:rPr>
        <w:t>și</w:t>
      </w:r>
      <w:r w:rsidRPr="008809EC">
        <w:rPr>
          <w:rFonts w:ascii="Times New Roman" w:hAnsi="Times New Roman" w:cs="Times New Roman"/>
          <w:sz w:val="24"/>
          <w:szCs w:val="24"/>
        </w:rPr>
        <w:t xml:space="preserve"> </w:t>
      </w:r>
      <w:r w:rsidR="008809EC" w:rsidRPr="008809EC">
        <w:rPr>
          <w:rFonts w:ascii="Times New Roman" w:hAnsi="Times New Roman" w:cs="Times New Roman"/>
          <w:sz w:val="24"/>
          <w:szCs w:val="24"/>
        </w:rPr>
        <w:t>societății</w:t>
      </w:r>
      <w:r w:rsidRPr="008809EC">
        <w:rPr>
          <w:rFonts w:ascii="Times New Roman" w:hAnsi="Times New Roman" w:cs="Times New Roman"/>
          <w:sz w:val="24"/>
          <w:szCs w:val="24"/>
        </w:rPr>
        <w:t xml:space="preserve">. Din cele 38 de episoade de secetă sezonieră constatate oficial începând cu anul 1945, 13 episoade îi revin perioadei de după anul 2000, iar 9 dintre acestea au avut un asemenea grad de cuprindere teritorială încât au fost catalogate ca fiind catastrofale. </w:t>
      </w:r>
      <w:r w:rsidR="008809EC" w:rsidRPr="008809EC">
        <w:rPr>
          <w:rFonts w:ascii="Times New Roman" w:hAnsi="Times New Roman" w:cs="Times New Roman"/>
          <w:sz w:val="24"/>
          <w:szCs w:val="24"/>
        </w:rPr>
        <w:t>Așa</w:t>
      </w:r>
      <w:r w:rsidRPr="008809EC">
        <w:rPr>
          <w:rFonts w:ascii="Times New Roman" w:hAnsi="Times New Roman" w:cs="Times New Roman"/>
          <w:sz w:val="24"/>
          <w:szCs w:val="24"/>
        </w:rPr>
        <w:t xml:space="preserve"> cum este </w:t>
      </w:r>
      <w:r w:rsidR="008809EC" w:rsidRPr="008809EC">
        <w:rPr>
          <w:rFonts w:ascii="Times New Roman" w:hAnsi="Times New Roman" w:cs="Times New Roman"/>
          <w:sz w:val="24"/>
          <w:szCs w:val="24"/>
        </w:rPr>
        <w:t>menționat</w:t>
      </w:r>
      <w:r w:rsidRPr="008809EC">
        <w:rPr>
          <w:rFonts w:ascii="Times New Roman" w:hAnsi="Times New Roman" w:cs="Times New Roman"/>
          <w:sz w:val="24"/>
          <w:szCs w:val="24"/>
        </w:rPr>
        <w:t xml:space="preserve"> în proiectul Strategiei naționale de dezvoltare „Moldova 2030”, consecința cea mai directă a climei mai aride care se prefigurează în următoarele decenii va fi reducerea productivității culturilor agricole, inclusiv a grâului, porumbului, strugurilor, legumelor, culturilor tehnice și furajere, cu un gradient nord-sud pronunțat în magnitudinea impactului.</w:t>
      </w:r>
    </w:p>
    <w:p w14:paraId="2760E544" w14:textId="0ABC7C4D" w:rsidR="00997D16" w:rsidRPr="008809EC" w:rsidRDefault="003F67C2" w:rsidP="006364B2">
      <w:pPr>
        <w:spacing w:before="120" w:after="120" w:line="240" w:lineRule="auto"/>
        <w:jc w:val="both"/>
        <w:rPr>
          <w:rFonts w:ascii="Times New Roman" w:eastAsia="Times New Roman" w:hAnsi="Times New Roman" w:cs="Times New Roman"/>
          <w:color w:val="000000"/>
          <w:sz w:val="24"/>
          <w:szCs w:val="24"/>
          <w:shd w:val="clear" w:color="auto" w:fill="FFFFFF"/>
          <w:lang w:eastAsia="ru-RU"/>
        </w:rPr>
      </w:pPr>
      <w:r w:rsidRPr="008809EC">
        <w:rPr>
          <w:rFonts w:ascii="Times New Roman" w:eastAsia="Times New Roman" w:hAnsi="Times New Roman" w:cs="Times New Roman"/>
          <w:color w:val="000000"/>
          <w:sz w:val="24"/>
          <w:szCs w:val="24"/>
          <w:shd w:val="clear" w:color="auto" w:fill="FFFFFF"/>
          <w:lang w:eastAsia="ru-RU"/>
        </w:rPr>
        <w:t xml:space="preserve">Pentru </w:t>
      </w:r>
      <w:r w:rsidR="00EA661C">
        <w:rPr>
          <w:rFonts w:ascii="Times New Roman" w:eastAsia="Times New Roman" w:hAnsi="Times New Roman" w:cs="Times New Roman"/>
          <w:color w:val="000000"/>
          <w:sz w:val="24"/>
          <w:szCs w:val="24"/>
          <w:shd w:val="clear" w:color="auto" w:fill="FFFFFF"/>
          <w:lang w:eastAsia="ru-RU"/>
        </w:rPr>
        <w:t xml:space="preserve">atenuarea </w:t>
      </w:r>
      <w:r w:rsidRPr="008809EC">
        <w:rPr>
          <w:rFonts w:ascii="Times New Roman" w:eastAsia="Times New Roman" w:hAnsi="Times New Roman" w:cs="Times New Roman"/>
          <w:color w:val="000000"/>
          <w:sz w:val="24"/>
          <w:szCs w:val="24"/>
          <w:shd w:val="clear" w:color="auto" w:fill="FFFFFF"/>
          <w:lang w:eastAsia="ru-RU"/>
        </w:rPr>
        <w:t xml:space="preserve">fenomenului </w:t>
      </w:r>
      <w:r w:rsidR="00EA661C">
        <w:rPr>
          <w:rFonts w:ascii="Times New Roman" w:eastAsia="Times New Roman" w:hAnsi="Times New Roman" w:cs="Times New Roman"/>
          <w:color w:val="000000"/>
          <w:sz w:val="24"/>
          <w:szCs w:val="24"/>
          <w:shd w:val="clear" w:color="auto" w:fill="FFFFFF"/>
          <w:lang w:eastAsia="ru-RU"/>
        </w:rPr>
        <w:t xml:space="preserve">schimbărilor </w:t>
      </w:r>
      <w:proofErr w:type="spellStart"/>
      <w:r w:rsidR="00EA661C">
        <w:rPr>
          <w:rFonts w:ascii="Times New Roman" w:eastAsia="Times New Roman" w:hAnsi="Times New Roman" w:cs="Times New Roman"/>
          <w:color w:val="000000"/>
          <w:sz w:val="24"/>
          <w:szCs w:val="24"/>
          <w:shd w:val="clear" w:color="auto" w:fill="FFFFFF"/>
          <w:lang w:eastAsia="ru-RU"/>
        </w:rPr>
        <w:t>climaice</w:t>
      </w:r>
      <w:proofErr w:type="spellEnd"/>
      <w:r w:rsidR="00EA661C">
        <w:rPr>
          <w:rFonts w:ascii="Times New Roman" w:eastAsia="Times New Roman" w:hAnsi="Times New Roman" w:cs="Times New Roman"/>
          <w:color w:val="000000"/>
          <w:sz w:val="24"/>
          <w:szCs w:val="24"/>
          <w:shd w:val="clear" w:color="auto" w:fill="FFFFFF"/>
          <w:lang w:eastAsia="ru-RU"/>
        </w:rPr>
        <w:t xml:space="preserve"> </w:t>
      </w:r>
      <w:r w:rsidRPr="008809EC">
        <w:rPr>
          <w:rFonts w:ascii="Times New Roman" w:eastAsia="Times New Roman" w:hAnsi="Times New Roman" w:cs="Times New Roman"/>
          <w:color w:val="000000"/>
          <w:sz w:val="24"/>
          <w:szCs w:val="24"/>
          <w:shd w:val="clear" w:color="auto" w:fill="FFFFFF"/>
          <w:lang w:eastAsia="ru-RU"/>
        </w:rPr>
        <w:t>se cer eforturi globale comune</w:t>
      </w:r>
      <w:r w:rsidR="00EA661C">
        <w:rPr>
          <w:rFonts w:ascii="Times New Roman" w:eastAsia="Times New Roman" w:hAnsi="Times New Roman" w:cs="Times New Roman"/>
          <w:color w:val="000000"/>
          <w:sz w:val="24"/>
          <w:szCs w:val="24"/>
          <w:shd w:val="clear" w:color="auto" w:fill="FFFFFF"/>
          <w:lang w:eastAsia="ru-RU"/>
        </w:rPr>
        <w:t xml:space="preserve"> în cadrul cărora </w:t>
      </w:r>
      <w:r w:rsidR="00997D16" w:rsidRPr="008809EC">
        <w:rPr>
          <w:rFonts w:ascii="Times New Roman" w:eastAsia="Times New Roman" w:hAnsi="Times New Roman" w:cs="Times New Roman"/>
          <w:color w:val="000000"/>
          <w:sz w:val="24"/>
          <w:szCs w:val="24"/>
          <w:shd w:val="clear" w:color="auto" w:fill="FFFFFF"/>
          <w:lang w:eastAsia="ru-RU"/>
        </w:rPr>
        <w:t>Republic</w:t>
      </w:r>
      <w:r w:rsidR="00756437" w:rsidRPr="008809EC">
        <w:rPr>
          <w:rFonts w:ascii="Times New Roman" w:eastAsia="Times New Roman" w:hAnsi="Times New Roman" w:cs="Times New Roman"/>
          <w:color w:val="000000"/>
          <w:sz w:val="24"/>
          <w:szCs w:val="24"/>
          <w:shd w:val="clear" w:color="auto" w:fill="FFFFFF"/>
          <w:lang w:eastAsia="ru-RU"/>
        </w:rPr>
        <w:t>ii</w:t>
      </w:r>
      <w:r w:rsidR="00997D16" w:rsidRPr="008809EC">
        <w:rPr>
          <w:rFonts w:ascii="Times New Roman" w:eastAsia="Times New Roman" w:hAnsi="Times New Roman" w:cs="Times New Roman"/>
          <w:color w:val="000000"/>
          <w:sz w:val="24"/>
          <w:szCs w:val="24"/>
          <w:shd w:val="clear" w:color="auto" w:fill="FFFFFF"/>
          <w:lang w:eastAsia="ru-RU"/>
        </w:rPr>
        <w:t xml:space="preserve"> Moldova</w:t>
      </w:r>
      <w:r w:rsidR="00EA661C">
        <w:rPr>
          <w:rFonts w:ascii="Times New Roman" w:eastAsia="Times New Roman" w:hAnsi="Times New Roman" w:cs="Times New Roman"/>
          <w:color w:val="000000"/>
          <w:sz w:val="24"/>
          <w:szCs w:val="24"/>
          <w:shd w:val="clear" w:color="auto" w:fill="FFFFFF"/>
          <w:lang w:eastAsia="ru-RU"/>
        </w:rPr>
        <w:t xml:space="preserve"> de </w:t>
      </w:r>
      <w:proofErr w:type="spellStart"/>
      <w:r w:rsidR="00EA661C">
        <w:rPr>
          <w:rFonts w:ascii="Times New Roman" w:eastAsia="Times New Roman" w:hAnsi="Times New Roman" w:cs="Times New Roman"/>
          <w:color w:val="000000"/>
          <w:sz w:val="24"/>
          <w:szCs w:val="24"/>
          <w:shd w:val="clear" w:color="auto" w:fill="FFFFFF"/>
          <w:lang w:eastAsia="ru-RU"/>
        </w:rPr>
        <w:t>rînd</w:t>
      </w:r>
      <w:proofErr w:type="spellEnd"/>
      <w:r w:rsidR="00EA661C">
        <w:rPr>
          <w:rFonts w:ascii="Times New Roman" w:eastAsia="Times New Roman" w:hAnsi="Times New Roman" w:cs="Times New Roman"/>
          <w:color w:val="000000"/>
          <w:sz w:val="24"/>
          <w:szCs w:val="24"/>
          <w:shd w:val="clear" w:color="auto" w:fill="FFFFFF"/>
          <w:lang w:eastAsia="ru-RU"/>
        </w:rPr>
        <w:t xml:space="preserve"> cu toate țările trebuie să devină un participant activ. </w:t>
      </w:r>
    </w:p>
    <w:p w14:paraId="54B26CA8" w14:textId="070A2E4B" w:rsidR="00A01C61" w:rsidRDefault="0003121D" w:rsidP="006364B2">
      <w:pPr>
        <w:spacing w:before="120" w:after="120" w:line="240" w:lineRule="auto"/>
        <w:jc w:val="both"/>
        <w:rPr>
          <w:rFonts w:ascii="Times New Roman" w:eastAsia="Times New Roman" w:hAnsi="Times New Roman" w:cs="Times New Roman"/>
          <w:color w:val="000000"/>
          <w:sz w:val="24"/>
          <w:szCs w:val="24"/>
          <w:shd w:val="clear" w:color="auto" w:fill="FFFFFF"/>
          <w:lang w:eastAsia="ru-RU"/>
        </w:rPr>
      </w:pPr>
      <w:r w:rsidRPr="008809EC">
        <w:rPr>
          <w:rFonts w:ascii="Times New Roman" w:eastAsia="Times New Roman" w:hAnsi="Times New Roman" w:cs="Times New Roman"/>
          <w:color w:val="000000"/>
          <w:sz w:val="24"/>
          <w:szCs w:val="24"/>
          <w:shd w:val="clear" w:color="auto" w:fill="FFFFFF"/>
          <w:lang w:eastAsia="ru-RU"/>
        </w:rPr>
        <w:t xml:space="preserve">Prima </w:t>
      </w:r>
      <w:r w:rsidR="009F51F1" w:rsidRPr="008809EC">
        <w:rPr>
          <w:rFonts w:ascii="Times New Roman" w:eastAsia="Times New Roman" w:hAnsi="Times New Roman" w:cs="Times New Roman"/>
          <w:color w:val="000000"/>
          <w:sz w:val="24"/>
          <w:szCs w:val="24"/>
          <w:shd w:val="clear" w:color="auto" w:fill="FFFFFF"/>
          <w:lang w:eastAsia="ru-RU"/>
        </w:rPr>
        <w:t>acțiune</w:t>
      </w:r>
      <w:r w:rsidRPr="008809EC">
        <w:rPr>
          <w:rFonts w:ascii="Times New Roman" w:eastAsia="Times New Roman" w:hAnsi="Times New Roman" w:cs="Times New Roman"/>
          <w:color w:val="000000"/>
          <w:sz w:val="24"/>
          <w:szCs w:val="24"/>
          <w:shd w:val="clear" w:color="auto" w:fill="FFFFFF"/>
          <w:lang w:eastAsia="ru-RU"/>
        </w:rPr>
        <w:t xml:space="preserve"> de </w:t>
      </w:r>
      <w:r w:rsidR="00EA661C">
        <w:rPr>
          <w:rFonts w:ascii="Times New Roman" w:eastAsia="Times New Roman" w:hAnsi="Times New Roman" w:cs="Times New Roman"/>
          <w:color w:val="000000"/>
          <w:sz w:val="24"/>
          <w:szCs w:val="24"/>
          <w:shd w:val="clear" w:color="auto" w:fill="FFFFFF"/>
          <w:lang w:eastAsia="ru-RU"/>
        </w:rPr>
        <w:t xml:space="preserve">talie internațională ce ține </w:t>
      </w:r>
      <w:r w:rsidR="00E54D26">
        <w:rPr>
          <w:rFonts w:ascii="Times New Roman" w:eastAsia="Times New Roman" w:hAnsi="Times New Roman" w:cs="Times New Roman"/>
          <w:color w:val="000000"/>
          <w:sz w:val="24"/>
          <w:szCs w:val="24"/>
          <w:shd w:val="clear" w:color="auto" w:fill="FFFFFF"/>
          <w:lang w:eastAsia="ru-RU"/>
        </w:rPr>
        <w:t xml:space="preserve">de </w:t>
      </w:r>
      <w:r w:rsidR="00EA661C">
        <w:rPr>
          <w:rFonts w:ascii="Times New Roman" w:eastAsia="Times New Roman" w:hAnsi="Times New Roman" w:cs="Times New Roman"/>
          <w:color w:val="000000"/>
          <w:sz w:val="24"/>
          <w:szCs w:val="24"/>
          <w:shd w:val="clear" w:color="auto" w:fill="FFFFFF"/>
          <w:lang w:eastAsia="ru-RU"/>
        </w:rPr>
        <w:t xml:space="preserve">consolidarea eforturilor globale </w:t>
      </w:r>
      <w:r w:rsidR="00E54D26">
        <w:rPr>
          <w:rFonts w:ascii="Times New Roman" w:eastAsia="Times New Roman" w:hAnsi="Times New Roman" w:cs="Times New Roman"/>
          <w:color w:val="000000"/>
          <w:sz w:val="24"/>
          <w:szCs w:val="24"/>
          <w:shd w:val="clear" w:color="auto" w:fill="FFFFFF"/>
          <w:lang w:eastAsia="ru-RU"/>
        </w:rPr>
        <w:t>spre</w:t>
      </w:r>
      <w:r w:rsidR="00EA661C">
        <w:rPr>
          <w:rFonts w:ascii="Times New Roman" w:eastAsia="Times New Roman" w:hAnsi="Times New Roman" w:cs="Times New Roman"/>
          <w:color w:val="000000"/>
          <w:sz w:val="24"/>
          <w:szCs w:val="24"/>
          <w:shd w:val="clear" w:color="auto" w:fill="FFFFFF"/>
          <w:lang w:eastAsia="ru-RU"/>
        </w:rPr>
        <w:t xml:space="preserve"> atenu</w:t>
      </w:r>
      <w:r w:rsidR="00E54D26">
        <w:rPr>
          <w:rFonts w:ascii="Times New Roman" w:eastAsia="Times New Roman" w:hAnsi="Times New Roman" w:cs="Times New Roman"/>
          <w:color w:val="000000"/>
          <w:sz w:val="24"/>
          <w:szCs w:val="24"/>
          <w:shd w:val="clear" w:color="auto" w:fill="FFFFFF"/>
          <w:lang w:eastAsia="ru-RU"/>
        </w:rPr>
        <w:t>area</w:t>
      </w:r>
      <w:r w:rsidR="00EA661C">
        <w:rPr>
          <w:rFonts w:ascii="Times New Roman" w:eastAsia="Times New Roman" w:hAnsi="Times New Roman" w:cs="Times New Roman"/>
          <w:color w:val="000000"/>
          <w:sz w:val="24"/>
          <w:szCs w:val="24"/>
          <w:shd w:val="clear" w:color="auto" w:fill="FFFFFF"/>
          <w:lang w:eastAsia="ru-RU"/>
        </w:rPr>
        <w:t xml:space="preserve"> </w:t>
      </w:r>
      <w:r w:rsidRPr="008809EC">
        <w:rPr>
          <w:rFonts w:ascii="Times New Roman" w:eastAsia="Times New Roman" w:hAnsi="Times New Roman" w:cs="Times New Roman"/>
          <w:color w:val="000000"/>
          <w:sz w:val="24"/>
          <w:szCs w:val="24"/>
          <w:shd w:val="clear" w:color="auto" w:fill="FFFFFF"/>
          <w:lang w:eastAsia="ru-RU"/>
        </w:rPr>
        <w:t xml:space="preserve">fenomenului </w:t>
      </w:r>
      <w:r w:rsidR="00997D16" w:rsidRPr="008809EC">
        <w:rPr>
          <w:rFonts w:ascii="Times New Roman" w:eastAsia="Times New Roman" w:hAnsi="Times New Roman" w:cs="Times New Roman"/>
          <w:color w:val="000000"/>
          <w:sz w:val="24"/>
          <w:szCs w:val="24"/>
          <w:shd w:val="clear" w:color="auto" w:fill="FFFFFF"/>
          <w:lang w:eastAsia="ru-RU"/>
        </w:rPr>
        <w:t xml:space="preserve">schimbărilor climatice </w:t>
      </w:r>
      <w:r w:rsidRPr="008809EC">
        <w:rPr>
          <w:rFonts w:ascii="Times New Roman" w:eastAsia="Times New Roman" w:hAnsi="Times New Roman" w:cs="Times New Roman"/>
          <w:color w:val="000000"/>
          <w:sz w:val="24"/>
          <w:szCs w:val="24"/>
          <w:shd w:val="clear" w:color="auto" w:fill="FFFFFF"/>
          <w:lang w:eastAsia="ru-RU"/>
        </w:rPr>
        <w:t xml:space="preserve">a avut loc în anul 1992 la Rio de Janeiro prin semnarea </w:t>
      </w:r>
      <w:bookmarkStart w:id="0" w:name="_Hlk69028980"/>
      <w:r w:rsidR="00E54D26">
        <w:rPr>
          <w:rFonts w:ascii="Times New Roman" w:eastAsia="Times New Roman" w:hAnsi="Times New Roman" w:cs="Times New Roman"/>
          <w:color w:val="000000"/>
          <w:sz w:val="24"/>
          <w:szCs w:val="24"/>
          <w:shd w:val="clear" w:color="auto" w:fill="FFFFFF"/>
          <w:lang w:eastAsia="ru-RU"/>
        </w:rPr>
        <w:t xml:space="preserve">de către </w:t>
      </w:r>
      <w:proofErr w:type="spellStart"/>
      <w:r w:rsidR="00E54D26">
        <w:rPr>
          <w:rFonts w:ascii="Times New Roman" w:eastAsia="Times New Roman" w:hAnsi="Times New Roman" w:cs="Times New Roman"/>
          <w:color w:val="000000"/>
          <w:sz w:val="24"/>
          <w:szCs w:val="24"/>
          <w:shd w:val="clear" w:color="auto" w:fill="FFFFFF"/>
          <w:lang w:eastAsia="ru-RU"/>
        </w:rPr>
        <w:t>ţările</w:t>
      </w:r>
      <w:proofErr w:type="spellEnd"/>
      <w:r w:rsidR="00E54D26">
        <w:rPr>
          <w:rFonts w:ascii="Times New Roman" w:eastAsia="Times New Roman" w:hAnsi="Times New Roman" w:cs="Times New Roman"/>
          <w:color w:val="000000"/>
          <w:sz w:val="24"/>
          <w:szCs w:val="24"/>
          <w:shd w:val="clear" w:color="auto" w:fill="FFFFFF"/>
          <w:lang w:eastAsia="ru-RU"/>
        </w:rPr>
        <w:t xml:space="preserve"> participante a </w:t>
      </w:r>
      <w:r w:rsidR="009F51F1" w:rsidRPr="008809EC">
        <w:rPr>
          <w:rFonts w:ascii="Times New Roman" w:eastAsia="Times New Roman" w:hAnsi="Times New Roman" w:cs="Times New Roman"/>
          <w:color w:val="000000"/>
          <w:sz w:val="24"/>
          <w:szCs w:val="24"/>
          <w:shd w:val="clear" w:color="auto" w:fill="FFFFFF"/>
          <w:lang w:eastAsia="ru-RU"/>
        </w:rPr>
        <w:t>Convenției</w:t>
      </w:r>
      <w:r w:rsidRPr="008809EC">
        <w:rPr>
          <w:rFonts w:ascii="Times New Roman" w:eastAsia="Times New Roman" w:hAnsi="Times New Roman" w:cs="Times New Roman"/>
          <w:color w:val="000000"/>
          <w:sz w:val="24"/>
          <w:szCs w:val="24"/>
          <w:shd w:val="clear" w:color="auto" w:fill="FFFFFF"/>
          <w:lang w:eastAsia="ru-RU"/>
        </w:rPr>
        <w:t xml:space="preserve">-cadru a </w:t>
      </w:r>
      <w:r w:rsidR="009F51F1" w:rsidRPr="008809EC">
        <w:rPr>
          <w:rFonts w:ascii="Times New Roman" w:eastAsia="Times New Roman" w:hAnsi="Times New Roman" w:cs="Times New Roman"/>
          <w:color w:val="000000"/>
          <w:sz w:val="24"/>
          <w:szCs w:val="24"/>
          <w:shd w:val="clear" w:color="auto" w:fill="FFFFFF"/>
          <w:lang w:eastAsia="ru-RU"/>
        </w:rPr>
        <w:t>Națiunilor</w:t>
      </w:r>
      <w:r w:rsidRPr="008809EC">
        <w:rPr>
          <w:rFonts w:ascii="Times New Roman" w:eastAsia="Times New Roman" w:hAnsi="Times New Roman" w:cs="Times New Roman"/>
          <w:color w:val="000000"/>
          <w:sz w:val="24"/>
          <w:szCs w:val="24"/>
          <w:shd w:val="clear" w:color="auto" w:fill="FFFFFF"/>
          <w:lang w:eastAsia="ru-RU"/>
        </w:rPr>
        <w:t xml:space="preserve"> Unite</w:t>
      </w:r>
      <w:r w:rsidR="0081672E">
        <w:rPr>
          <w:rFonts w:ascii="Times New Roman" w:eastAsia="Times New Roman" w:hAnsi="Times New Roman" w:cs="Times New Roman"/>
          <w:color w:val="000000"/>
          <w:sz w:val="24"/>
          <w:szCs w:val="24"/>
          <w:shd w:val="clear" w:color="auto" w:fill="FFFFFF"/>
          <w:lang w:eastAsia="ru-RU"/>
        </w:rPr>
        <w:t xml:space="preserve"> cu privire la schimbarea climei</w:t>
      </w:r>
      <w:r w:rsidR="00902B11">
        <w:rPr>
          <w:rFonts w:ascii="Times New Roman" w:eastAsia="Times New Roman" w:hAnsi="Times New Roman" w:cs="Times New Roman"/>
          <w:color w:val="000000"/>
          <w:sz w:val="24"/>
          <w:szCs w:val="24"/>
          <w:shd w:val="clear" w:color="auto" w:fill="FFFFFF"/>
          <w:lang w:eastAsia="ru-RU"/>
        </w:rPr>
        <w:t>,</w:t>
      </w:r>
      <w:r w:rsidR="0081672E">
        <w:rPr>
          <w:rFonts w:ascii="Times New Roman" w:eastAsia="Times New Roman" w:hAnsi="Times New Roman" w:cs="Times New Roman"/>
          <w:color w:val="000000"/>
          <w:sz w:val="24"/>
          <w:szCs w:val="24"/>
          <w:shd w:val="clear" w:color="auto" w:fill="FFFFFF"/>
          <w:lang w:eastAsia="ru-RU"/>
        </w:rPr>
        <w:t xml:space="preserve"> forum</w:t>
      </w:r>
      <w:r w:rsidR="00902B11">
        <w:rPr>
          <w:rFonts w:ascii="Times New Roman" w:eastAsia="Times New Roman" w:hAnsi="Times New Roman" w:cs="Times New Roman"/>
          <w:color w:val="000000"/>
          <w:sz w:val="24"/>
          <w:szCs w:val="24"/>
          <w:shd w:val="clear" w:color="auto" w:fill="FFFFFF"/>
          <w:lang w:eastAsia="ru-RU"/>
        </w:rPr>
        <w:t xml:space="preserve">, </w:t>
      </w:r>
      <w:r w:rsidR="0081672E">
        <w:rPr>
          <w:rFonts w:ascii="Times New Roman" w:eastAsia="Times New Roman" w:hAnsi="Times New Roman" w:cs="Times New Roman"/>
          <w:color w:val="000000"/>
          <w:sz w:val="24"/>
          <w:szCs w:val="24"/>
          <w:shd w:val="clear" w:color="auto" w:fill="FFFFFF"/>
          <w:lang w:eastAsia="ru-RU"/>
        </w:rPr>
        <w:t xml:space="preserve">care ulterior a primit denumirea de </w:t>
      </w:r>
      <w:r w:rsidR="00A01C61">
        <w:rPr>
          <w:rFonts w:ascii="Times New Roman" w:eastAsia="Times New Roman" w:hAnsi="Times New Roman" w:cs="Times New Roman"/>
          <w:color w:val="000000"/>
          <w:sz w:val="24"/>
          <w:szCs w:val="24"/>
          <w:shd w:val="clear" w:color="auto" w:fill="FFFFFF"/>
          <w:lang w:eastAsia="ru-RU"/>
        </w:rPr>
        <w:t>”</w:t>
      </w:r>
      <w:proofErr w:type="spellStart"/>
      <w:r w:rsidR="00A01C61">
        <w:rPr>
          <w:rFonts w:ascii="Times New Roman" w:eastAsia="Times New Roman" w:hAnsi="Times New Roman" w:cs="Times New Roman"/>
          <w:color w:val="000000"/>
          <w:sz w:val="24"/>
          <w:szCs w:val="24"/>
          <w:shd w:val="clear" w:color="auto" w:fill="FFFFFF"/>
          <w:lang w:eastAsia="ru-RU"/>
        </w:rPr>
        <w:t>î</w:t>
      </w:r>
      <w:r w:rsidR="0081672E">
        <w:rPr>
          <w:rFonts w:ascii="Times New Roman" w:eastAsia="Times New Roman" w:hAnsi="Times New Roman" w:cs="Times New Roman"/>
          <w:color w:val="000000"/>
          <w:sz w:val="24"/>
          <w:szCs w:val="24"/>
          <w:shd w:val="clear" w:color="auto" w:fill="FFFFFF"/>
          <w:lang w:eastAsia="ru-RU"/>
        </w:rPr>
        <w:t>ntîlnirea</w:t>
      </w:r>
      <w:proofErr w:type="spellEnd"/>
      <w:r w:rsidR="0081672E">
        <w:rPr>
          <w:rFonts w:ascii="Times New Roman" w:eastAsia="Times New Roman" w:hAnsi="Times New Roman" w:cs="Times New Roman"/>
          <w:color w:val="000000"/>
          <w:sz w:val="24"/>
          <w:szCs w:val="24"/>
          <w:shd w:val="clear" w:color="auto" w:fill="FFFFFF"/>
          <w:lang w:eastAsia="ru-RU"/>
        </w:rPr>
        <w:t xml:space="preserve"> la nivel înalt (summit)</w:t>
      </w:r>
      <w:r w:rsidR="00A01C61">
        <w:rPr>
          <w:rFonts w:ascii="Times New Roman" w:eastAsia="Times New Roman" w:hAnsi="Times New Roman" w:cs="Times New Roman"/>
          <w:color w:val="000000"/>
          <w:sz w:val="24"/>
          <w:szCs w:val="24"/>
          <w:shd w:val="clear" w:color="auto" w:fill="FFFFFF"/>
          <w:lang w:eastAsia="ru-RU"/>
        </w:rPr>
        <w:t>”</w:t>
      </w:r>
      <w:r w:rsidR="0081672E">
        <w:rPr>
          <w:rFonts w:ascii="Times New Roman" w:eastAsia="Times New Roman" w:hAnsi="Times New Roman" w:cs="Times New Roman"/>
          <w:color w:val="000000"/>
          <w:sz w:val="24"/>
          <w:szCs w:val="24"/>
          <w:shd w:val="clear" w:color="auto" w:fill="FFFFFF"/>
          <w:lang w:eastAsia="ru-RU"/>
        </w:rPr>
        <w:t xml:space="preserve"> de la Rio de Janeiro.  </w:t>
      </w:r>
      <w:r w:rsidR="00EA661C">
        <w:rPr>
          <w:rFonts w:ascii="Times New Roman" w:eastAsia="Times New Roman" w:hAnsi="Times New Roman" w:cs="Times New Roman"/>
          <w:color w:val="000000"/>
          <w:sz w:val="24"/>
          <w:szCs w:val="24"/>
          <w:shd w:val="clear" w:color="auto" w:fill="FFFFFF"/>
          <w:lang w:eastAsia="ru-RU"/>
        </w:rPr>
        <w:t xml:space="preserve">Republica Moldova a aderat la </w:t>
      </w:r>
      <w:proofErr w:type="spellStart"/>
      <w:r w:rsidR="00EA661C">
        <w:rPr>
          <w:rFonts w:ascii="Times New Roman" w:eastAsia="Times New Roman" w:hAnsi="Times New Roman" w:cs="Times New Roman"/>
          <w:color w:val="000000"/>
          <w:sz w:val="24"/>
          <w:szCs w:val="24"/>
          <w:shd w:val="clear" w:color="auto" w:fill="FFFFFF"/>
          <w:lang w:eastAsia="ru-RU"/>
        </w:rPr>
        <w:t>acet</w:t>
      </w:r>
      <w:proofErr w:type="spellEnd"/>
      <w:r w:rsidR="00EA661C">
        <w:rPr>
          <w:rFonts w:ascii="Times New Roman" w:eastAsia="Times New Roman" w:hAnsi="Times New Roman" w:cs="Times New Roman"/>
          <w:color w:val="000000"/>
          <w:sz w:val="24"/>
          <w:szCs w:val="24"/>
          <w:shd w:val="clear" w:color="auto" w:fill="FFFFFF"/>
          <w:lang w:eastAsia="ru-RU"/>
        </w:rPr>
        <w:t xml:space="preserve"> Tratat internațional la 16 martie 1995 </w:t>
      </w:r>
      <w:r w:rsidR="0081672E">
        <w:rPr>
          <w:rFonts w:ascii="Times New Roman" w:eastAsia="Times New Roman" w:hAnsi="Times New Roman" w:cs="Times New Roman"/>
          <w:color w:val="000000"/>
          <w:sz w:val="24"/>
          <w:szCs w:val="24"/>
          <w:shd w:val="clear" w:color="auto" w:fill="FFFFFF"/>
          <w:lang w:eastAsia="ru-RU"/>
        </w:rPr>
        <w:t>(</w:t>
      </w:r>
      <w:r w:rsidR="00EF1F94" w:rsidRPr="008809EC">
        <w:rPr>
          <w:rFonts w:ascii="Times New Roman" w:eastAsia="Times New Roman" w:hAnsi="Times New Roman" w:cs="Times New Roman"/>
          <w:color w:val="000000"/>
          <w:sz w:val="24"/>
          <w:szCs w:val="24"/>
          <w:shd w:val="clear" w:color="auto" w:fill="FFFFFF"/>
          <w:lang w:eastAsia="ru-RU"/>
        </w:rPr>
        <w:t>Hotărârea</w:t>
      </w:r>
      <w:r w:rsidR="003F67C2" w:rsidRPr="008809EC">
        <w:rPr>
          <w:rFonts w:ascii="Times New Roman" w:eastAsia="Times New Roman" w:hAnsi="Times New Roman" w:cs="Times New Roman"/>
          <w:color w:val="000000"/>
          <w:sz w:val="24"/>
          <w:szCs w:val="24"/>
          <w:shd w:val="clear" w:color="auto" w:fill="FFFFFF"/>
          <w:lang w:eastAsia="ru-RU"/>
        </w:rPr>
        <w:t xml:space="preserve"> Parlamentului nr. 404-XIII din 16 martie 1995</w:t>
      </w:r>
      <w:bookmarkEnd w:id="0"/>
      <w:r w:rsidR="00A01C61">
        <w:rPr>
          <w:rFonts w:ascii="Times New Roman" w:eastAsia="Times New Roman" w:hAnsi="Times New Roman" w:cs="Times New Roman"/>
          <w:color w:val="000000"/>
          <w:sz w:val="24"/>
          <w:szCs w:val="24"/>
          <w:shd w:val="clear" w:color="auto" w:fill="FFFFFF"/>
          <w:lang w:eastAsia="ru-RU"/>
        </w:rPr>
        <w:t xml:space="preserve">). Cele 197 </w:t>
      </w:r>
      <w:r w:rsidRPr="008809EC">
        <w:rPr>
          <w:rFonts w:ascii="Times New Roman" w:eastAsia="Times New Roman" w:hAnsi="Times New Roman" w:cs="Times New Roman"/>
          <w:color w:val="000000"/>
          <w:sz w:val="24"/>
          <w:szCs w:val="24"/>
          <w:shd w:val="clear" w:color="auto" w:fill="FFFFFF"/>
          <w:lang w:eastAsia="ru-RU"/>
        </w:rPr>
        <w:t xml:space="preserve"> </w:t>
      </w:r>
      <w:proofErr w:type="spellStart"/>
      <w:r w:rsidRPr="008809EC">
        <w:rPr>
          <w:rFonts w:ascii="Times New Roman" w:eastAsia="Times New Roman" w:hAnsi="Times New Roman" w:cs="Times New Roman"/>
          <w:color w:val="000000"/>
          <w:sz w:val="24"/>
          <w:szCs w:val="24"/>
          <w:shd w:val="clear" w:color="auto" w:fill="FFFFFF"/>
          <w:lang w:eastAsia="ru-RU"/>
        </w:rPr>
        <w:t>ţări</w:t>
      </w:r>
      <w:proofErr w:type="spellEnd"/>
      <w:r w:rsidRPr="008809EC">
        <w:rPr>
          <w:rFonts w:ascii="Times New Roman" w:eastAsia="Times New Roman" w:hAnsi="Times New Roman" w:cs="Times New Roman"/>
          <w:color w:val="000000"/>
          <w:sz w:val="24"/>
          <w:szCs w:val="24"/>
          <w:shd w:val="clear" w:color="auto" w:fill="FFFFFF"/>
          <w:lang w:eastAsia="ru-RU"/>
        </w:rPr>
        <w:t xml:space="preserve"> semnatare au convenit să </w:t>
      </w:r>
      <w:r w:rsidR="009F51F1" w:rsidRPr="008809EC">
        <w:rPr>
          <w:rFonts w:ascii="Times New Roman" w:eastAsia="Times New Roman" w:hAnsi="Times New Roman" w:cs="Times New Roman"/>
          <w:color w:val="000000"/>
          <w:sz w:val="24"/>
          <w:szCs w:val="24"/>
          <w:shd w:val="clear" w:color="auto" w:fill="FFFFFF"/>
          <w:lang w:eastAsia="ru-RU"/>
        </w:rPr>
        <w:t>acționeze</w:t>
      </w:r>
      <w:r w:rsidRPr="008809EC">
        <w:rPr>
          <w:rFonts w:ascii="Times New Roman" w:eastAsia="Times New Roman" w:hAnsi="Times New Roman" w:cs="Times New Roman"/>
          <w:color w:val="000000"/>
          <w:sz w:val="24"/>
          <w:szCs w:val="24"/>
          <w:shd w:val="clear" w:color="auto" w:fill="FFFFFF"/>
          <w:lang w:eastAsia="ru-RU"/>
        </w:rPr>
        <w:t xml:space="preserve"> pe termen lung în vederea stabilizării </w:t>
      </w:r>
      <w:r w:rsidR="009F51F1" w:rsidRPr="008809EC">
        <w:rPr>
          <w:rFonts w:ascii="Times New Roman" w:eastAsia="Times New Roman" w:hAnsi="Times New Roman" w:cs="Times New Roman"/>
          <w:color w:val="000000"/>
          <w:sz w:val="24"/>
          <w:szCs w:val="24"/>
          <w:shd w:val="clear" w:color="auto" w:fill="FFFFFF"/>
          <w:lang w:eastAsia="ru-RU"/>
        </w:rPr>
        <w:t>concentrației</w:t>
      </w:r>
      <w:r w:rsidRPr="008809EC">
        <w:rPr>
          <w:rFonts w:ascii="Times New Roman" w:eastAsia="Times New Roman" w:hAnsi="Times New Roman" w:cs="Times New Roman"/>
          <w:color w:val="000000"/>
          <w:sz w:val="24"/>
          <w:szCs w:val="24"/>
          <w:shd w:val="clear" w:color="auto" w:fill="FFFFFF"/>
          <w:lang w:eastAsia="ru-RU"/>
        </w:rPr>
        <w:t xml:space="preserve"> de gaze cu efect de seră din atmosferă la un nivel care să împiedice </w:t>
      </w:r>
      <w:r w:rsidR="009F51F1" w:rsidRPr="008809EC">
        <w:rPr>
          <w:rFonts w:ascii="Times New Roman" w:eastAsia="Times New Roman" w:hAnsi="Times New Roman" w:cs="Times New Roman"/>
          <w:color w:val="000000"/>
          <w:sz w:val="24"/>
          <w:szCs w:val="24"/>
          <w:shd w:val="clear" w:color="auto" w:fill="FFFFFF"/>
          <w:lang w:eastAsia="ru-RU"/>
        </w:rPr>
        <w:t>influenta</w:t>
      </w:r>
      <w:r w:rsidRPr="008809EC">
        <w:rPr>
          <w:rFonts w:ascii="Times New Roman" w:eastAsia="Times New Roman" w:hAnsi="Times New Roman" w:cs="Times New Roman"/>
          <w:color w:val="000000"/>
          <w:sz w:val="24"/>
          <w:szCs w:val="24"/>
          <w:shd w:val="clear" w:color="auto" w:fill="FFFFFF"/>
          <w:lang w:eastAsia="ru-RU"/>
        </w:rPr>
        <w:t xml:space="preserve"> periculoasă a omului asupra sistemului climatic.</w:t>
      </w:r>
      <w:r w:rsidR="00BC1068">
        <w:rPr>
          <w:rFonts w:ascii="Times New Roman" w:eastAsia="Times New Roman" w:hAnsi="Times New Roman" w:cs="Times New Roman"/>
          <w:color w:val="000000"/>
          <w:sz w:val="24"/>
          <w:szCs w:val="24"/>
          <w:shd w:val="clear" w:color="auto" w:fill="FFFFFF"/>
          <w:lang w:eastAsia="ru-RU"/>
        </w:rPr>
        <w:t xml:space="preserve"> Astfel</w:t>
      </w:r>
      <w:r w:rsidR="00902B11">
        <w:rPr>
          <w:rFonts w:ascii="Times New Roman" w:eastAsia="Times New Roman" w:hAnsi="Times New Roman" w:cs="Times New Roman"/>
          <w:color w:val="000000"/>
          <w:sz w:val="24"/>
          <w:szCs w:val="24"/>
          <w:shd w:val="clear" w:color="auto" w:fill="FFFFFF"/>
          <w:lang w:eastAsia="ru-RU"/>
        </w:rPr>
        <w:t>,</w:t>
      </w:r>
      <w:r w:rsidR="00BC1068">
        <w:rPr>
          <w:rFonts w:ascii="Times New Roman" w:eastAsia="Times New Roman" w:hAnsi="Times New Roman" w:cs="Times New Roman"/>
          <w:color w:val="000000"/>
          <w:sz w:val="24"/>
          <w:szCs w:val="24"/>
          <w:shd w:val="clear" w:color="auto" w:fill="FFFFFF"/>
          <w:lang w:eastAsia="ru-RU"/>
        </w:rPr>
        <w:t xml:space="preserve"> a fost stabilit că o</w:t>
      </w:r>
      <w:r w:rsidR="00A01C61" w:rsidRPr="00A01C61">
        <w:rPr>
          <w:rFonts w:ascii="Times New Roman" w:eastAsia="Times New Roman" w:hAnsi="Times New Roman" w:cs="Times New Roman"/>
          <w:color w:val="000000"/>
          <w:sz w:val="24"/>
          <w:szCs w:val="24"/>
          <w:shd w:val="clear" w:color="auto" w:fill="FFFFFF"/>
          <w:lang w:eastAsia="ru-RU"/>
        </w:rPr>
        <w:t xml:space="preserve">biectivul final al </w:t>
      </w:r>
      <w:r w:rsidR="00BC1068">
        <w:rPr>
          <w:rFonts w:ascii="Times New Roman" w:eastAsia="Times New Roman" w:hAnsi="Times New Roman" w:cs="Times New Roman"/>
          <w:color w:val="000000"/>
          <w:sz w:val="24"/>
          <w:szCs w:val="24"/>
          <w:shd w:val="clear" w:color="auto" w:fill="FFFFFF"/>
          <w:lang w:eastAsia="ru-RU"/>
        </w:rPr>
        <w:t xml:space="preserve">acestei </w:t>
      </w:r>
      <w:proofErr w:type="spellStart"/>
      <w:r w:rsidR="00BC1068">
        <w:rPr>
          <w:rFonts w:ascii="Times New Roman" w:eastAsia="Times New Roman" w:hAnsi="Times New Roman" w:cs="Times New Roman"/>
          <w:color w:val="000000"/>
          <w:sz w:val="24"/>
          <w:szCs w:val="24"/>
          <w:shd w:val="clear" w:color="auto" w:fill="FFFFFF"/>
          <w:lang w:eastAsia="ru-RU"/>
        </w:rPr>
        <w:t>C</w:t>
      </w:r>
      <w:r w:rsidR="00A01C61" w:rsidRPr="00A01C61">
        <w:rPr>
          <w:rFonts w:ascii="Times New Roman" w:eastAsia="Times New Roman" w:hAnsi="Times New Roman" w:cs="Times New Roman"/>
          <w:color w:val="000000"/>
          <w:sz w:val="24"/>
          <w:szCs w:val="24"/>
          <w:shd w:val="clear" w:color="auto" w:fill="FFFFFF"/>
          <w:lang w:eastAsia="ru-RU"/>
        </w:rPr>
        <w:t>onvenţii</w:t>
      </w:r>
      <w:proofErr w:type="spellEnd"/>
      <w:r w:rsidR="00A01C61" w:rsidRPr="00A01C61">
        <w:rPr>
          <w:rFonts w:ascii="Times New Roman" w:eastAsia="Times New Roman" w:hAnsi="Times New Roman" w:cs="Times New Roman"/>
          <w:color w:val="000000"/>
          <w:sz w:val="24"/>
          <w:szCs w:val="24"/>
          <w:shd w:val="clear" w:color="auto" w:fill="FFFFFF"/>
          <w:lang w:eastAsia="ru-RU"/>
        </w:rPr>
        <w:t xml:space="preserve"> </w:t>
      </w:r>
      <w:proofErr w:type="spellStart"/>
      <w:r w:rsidR="00A01C61" w:rsidRPr="00A01C61">
        <w:rPr>
          <w:rFonts w:ascii="Times New Roman" w:eastAsia="Times New Roman" w:hAnsi="Times New Roman" w:cs="Times New Roman"/>
          <w:color w:val="000000"/>
          <w:sz w:val="24"/>
          <w:szCs w:val="24"/>
          <w:shd w:val="clear" w:color="auto" w:fill="FFFFFF"/>
          <w:lang w:eastAsia="ru-RU"/>
        </w:rPr>
        <w:t>şi</w:t>
      </w:r>
      <w:proofErr w:type="spellEnd"/>
      <w:r w:rsidR="00A01C61" w:rsidRPr="00A01C61">
        <w:rPr>
          <w:rFonts w:ascii="Times New Roman" w:eastAsia="Times New Roman" w:hAnsi="Times New Roman" w:cs="Times New Roman"/>
          <w:color w:val="000000"/>
          <w:sz w:val="24"/>
          <w:szCs w:val="24"/>
          <w:shd w:val="clear" w:color="auto" w:fill="FFFFFF"/>
          <w:lang w:eastAsia="ru-RU"/>
        </w:rPr>
        <w:t xml:space="preserve"> al tuturor instrumentelor </w:t>
      </w:r>
      <w:r w:rsidR="00A01C61" w:rsidRPr="00A01C61">
        <w:rPr>
          <w:rFonts w:ascii="Times New Roman" w:eastAsia="Times New Roman" w:hAnsi="Times New Roman" w:cs="Times New Roman"/>
          <w:color w:val="000000"/>
          <w:sz w:val="24"/>
          <w:szCs w:val="24"/>
          <w:shd w:val="clear" w:color="auto" w:fill="FFFFFF"/>
          <w:lang w:eastAsia="ru-RU"/>
        </w:rPr>
        <w:lastRenderedPageBreak/>
        <w:t xml:space="preserve">juridice conexe pe care </w:t>
      </w:r>
      <w:proofErr w:type="spellStart"/>
      <w:r w:rsidR="00BC1068">
        <w:rPr>
          <w:rFonts w:ascii="Times New Roman" w:eastAsia="Times New Roman" w:hAnsi="Times New Roman" w:cs="Times New Roman"/>
          <w:color w:val="000000"/>
          <w:sz w:val="24"/>
          <w:szCs w:val="24"/>
          <w:shd w:val="clear" w:color="auto" w:fill="FFFFFF"/>
          <w:lang w:eastAsia="ru-RU"/>
        </w:rPr>
        <w:t>C</w:t>
      </w:r>
      <w:r w:rsidR="00A01C61" w:rsidRPr="00A01C61">
        <w:rPr>
          <w:rFonts w:ascii="Times New Roman" w:eastAsia="Times New Roman" w:hAnsi="Times New Roman" w:cs="Times New Roman"/>
          <w:color w:val="000000"/>
          <w:sz w:val="24"/>
          <w:szCs w:val="24"/>
          <w:shd w:val="clear" w:color="auto" w:fill="FFFFFF"/>
          <w:lang w:eastAsia="ru-RU"/>
        </w:rPr>
        <w:t>onferinţa</w:t>
      </w:r>
      <w:proofErr w:type="spellEnd"/>
      <w:r w:rsidR="00A01C61" w:rsidRPr="00A01C61">
        <w:rPr>
          <w:rFonts w:ascii="Times New Roman" w:eastAsia="Times New Roman" w:hAnsi="Times New Roman" w:cs="Times New Roman"/>
          <w:color w:val="000000"/>
          <w:sz w:val="24"/>
          <w:szCs w:val="24"/>
          <w:shd w:val="clear" w:color="auto" w:fill="FFFFFF"/>
          <w:lang w:eastAsia="ru-RU"/>
        </w:rPr>
        <w:t xml:space="preserve"> </w:t>
      </w:r>
      <w:proofErr w:type="spellStart"/>
      <w:r w:rsidR="00BC1068">
        <w:rPr>
          <w:rFonts w:ascii="Times New Roman" w:eastAsia="Times New Roman" w:hAnsi="Times New Roman" w:cs="Times New Roman"/>
          <w:color w:val="000000"/>
          <w:sz w:val="24"/>
          <w:szCs w:val="24"/>
          <w:shd w:val="clear" w:color="auto" w:fill="FFFFFF"/>
          <w:lang w:eastAsia="ru-RU"/>
        </w:rPr>
        <w:t>P</w:t>
      </w:r>
      <w:r w:rsidR="00A01C61" w:rsidRPr="00A01C61">
        <w:rPr>
          <w:rFonts w:ascii="Times New Roman" w:eastAsia="Times New Roman" w:hAnsi="Times New Roman" w:cs="Times New Roman"/>
          <w:color w:val="000000"/>
          <w:sz w:val="24"/>
          <w:szCs w:val="24"/>
          <w:shd w:val="clear" w:color="auto" w:fill="FFFFFF"/>
          <w:lang w:eastAsia="ru-RU"/>
        </w:rPr>
        <w:t>ărţilor</w:t>
      </w:r>
      <w:proofErr w:type="spellEnd"/>
      <w:r w:rsidR="00A01C61" w:rsidRPr="00A01C61">
        <w:rPr>
          <w:rFonts w:ascii="Times New Roman" w:eastAsia="Times New Roman" w:hAnsi="Times New Roman" w:cs="Times New Roman"/>
          <w:color w:val="000000"/>
          <w:sz w:val="24"/>
          <w:szCs w:val="24"/>
          <w:shd w:val="clear" w:color="auto" w:fill="FFFFFF"/>
          <w:lang w:eastAsia="ru-RU"/>
        </w:rPr>
        <w:t xml:space="preserve"> le-ar putea adopta este de a stabiliza </w:t>
      </w:r>
      <w:proofErr w:type="spellStart"/>
      <w:r w:rsidR="00A01C61" w:rsidRPr="00A01C61">
        <w:rPr>
          <w:rFonts w:ascii="Times New Roman" w:eastAsia="Times New Roman" w:hAnsi="Times New Roman" w:cs="Times New Roman"/>
          <w:color w:val="000000"/>
          <w:sz w:val="24"/>
          <w:szCs w:val="24"/>
          <w:shd w:val="clear" w:color="auto" w:fill="FFFFFF"/>
          <w:lang w:eastAsia="ru-RU"/>
        </w:rPr>
        <w:t>concentratiile</w:t>
      </w:r>
      <w:proofErr w:type="spellEnd"/>
      <w:r w:rsidR="00A01C61" w:rsidRPr="00A01C61">
        <w:rPr>
          <w:rFonts w:ascii="Times New Roman" w:eastAsia="Times New Roman" w:hAnsi="Times New Roman" w:cs="Times New Roman"/>
          <w:color w:val="000000"/>
          <w:sz w:val="24"/>
          <w:szCs w:val="24"/>
          <w:shd w:val="clear" w:color="auto" w:fill="FFFFFF"/>
          <w:lang w:eastAsia="ru-RU"/>
        </w:rPr>
        <w:t xml:space="preserve"> de gaze cu efect de sera în atmosfera la un nivel care să împiedice orice perturbare antropica periculoasa a sistemului climatic. S</w:t>
      </w:r>
      <w:r w:rsidR="00902B11">
        <w:rPr>
          <w:rFonts w:ascii="Times New Roman" w:eastAsia="Times New Roman" w:hAnsi="Times New Roman" w:cs="Times New Roman"/>
          <w:color w:val="000000"/>
          <w:sz w:val="24"/>
          <w:szCs w:val="24"/>
          <w:shd w:val="clear" w:color="auto" w:fill="FFFFFF"/>
          <w:lang w:eastAsia="ru-RU"/>
        </w:rPr>
        <w:t>-</w:t>
      </w:r>
      <w:r w:rsidR="00BC1068">
        <w:rPr>
          <w:rFonts w:ascii="Times New Roman" w:eastAsia="Times New Roman" w:hAnsi="Times New Roman" w:cs="Times New Roman"/>
          <w:color w:val="000000"/>
          <w:sz w:val="24"/>
          <w:szCs w:val="24"/>
          <w:shd w:val="clear" w:color="auto" w:fill="FFFFFF"/>
          <w:lang w:eastAsia="ru-RU"/>
        </w:rPr>
        <w:t xml:space="preserve">a </w:t>
      </w:r>
      <w:r w:rsidR="00A01C61" w:rsidRPr="00A01C61">
        <w:rPr>
          <w:rFonts w:ascii="Times New Roman" w:eastAsia="Times New Roman" w:hAnsi="Times New Roman" w:cs="Times New Roman"/>
          <w:color w:val="000000"/>
          <w:sz w:val="24"/>
          <w:szCs w:val="24"/>
          <w:shd w:val="clear" w:color="auto" w:fill="FFFFFF"/>
          <w:lang w:eastAsia="ru-RU"/>
        </w:rPr>
        <w:t>conveni</w:t>
      </w:r>
      <w:r w:rsidR="00BC1068">
        <w:rPr>
          <w:rFonts w:ascii="Times New Roman" w:eastAsia="Times New Roman" w:hAnsi="Times New Roman" w:cs="Times New Roman"/>
          <w:color w:val="000000"/>
          <w:sz w:val="24"/>
          <w:szCs w:val="24"/>
          <w:shd w:val="clear" w:color="auto" w:fill="FFFFFF"/>
          <w:lang w:eastAsia="ru-RU"/>
        </w:rPr>
        <w:t xml:space="preserve">t ca acest obiectiv să fie atins </w:t>
      </w:r>
      <w:r w:rsidR="00A01C61" w:rsidRPr="00A01C61">
        <w:rPr>
          <w:rFonts w:ascii="Times New Roman" w:eastAsia="Times New Roman" w:hAnsi="Times New Roman" w:cs="Times New Roman"/>
          <w:color w:val="000000"/>
          <w:sz w:val="24"/>
          <w:szCs w:val="24"/>
          <w:shd w:val="clear" w:color="auto" w:fill="FFFFFF"/>
          <w:lang w:eastAsia="ru-RU"/>
        </w:rPr>
        <w:t xml:space="preserve">într-un interval de timp suficient pentru ca ecosistemele să se poată adapta natural la schimbările climatice, pentru ca </w:t>
      </w:r>
      <w:proofErr w:type="spellStart"/>
      <w:r w:rsidR="00A01C61" w:rsidRPr="00A01C61">
        <w:rPr>
          <w:rFonts w:ascii="Times New Roman" w:eastAsia="Times New Roman" w:hAnsi="Times New Roman" w:cs="Times New Roman"/>
          <w:color w:val="000000"/>
          <w:sz w:val="24"/>
          <w:szCs w:val="24"/>
          <w:shd w:val="clear" w:color="auto" w:fill="FFFFFF"/>
          <w:lang w:eastAsia="ru-RU"/>
        </w:rPr>
        <w:t>producţia</w:t>
      </w:r>
      <w:proofErr w:type="spellEnd"/>
      <w:r w:rsidR="00A01C61" w:rsidRPr="00A01C61">
        <w:rPr>
          <w:rFonts w:ascii="Times New Roman" w:eastAsia="Times New Roman" w:hAnsi="Times New Roman" w:cs="Times New Roman"/>
          <w:color w:val="000000"/>
          <w:sz w:val="24"/>
          <w:szCs w:val="24"/>
          <w:shd w:val="clear" w:color="auto" w:fill="FFFFFF"/>
          <w:lang w:eastAsia="ru-RU"/>
        </w:rPr>
        <w:t xml:space="preserve"> alimentar</w:t>
      </w:r>
      <w:r w:rsidR="00902B11">
        <w:rPr>
          <w:rFonts w:ascii="Times New Roman" w:eastAsia="Times New Roman" w:hAnsi="Times New Roman" w:cs="Times New Roman"/>
          <w:color w:val="000000"/>
          <w:sz w:val="24"/>
          <w:szCs w:val="24"/>
          <w:shd w:val="clear" w:color="auto" w:fill="FFFFFF"/>
          <w:lang w:eastAsia="ru-RU"/>
        </w:rPr>
        <w:t>ă</w:t>
      </w:r>
      <w:r w:rsidR="00A01C61" w:rsidRPr="00A01C61">
        <w:rPr>
          <w:rFonts w:ascii="Times New Roman" w:eastAsia="Times New Roman" w:hAnsi="Times New Roman" w:cs="Times New Roman"/>
          <w:color w:val="000000"/>
          <w:sz w:val="24"/>
          <w:szCs w:val="24"/>
          <w:shd w:val="clear" w:color="auto" w:fill="FFFFFF"/>
          <w:lang w:eastAsia="ru-RU"/>
        </w:rPr>
        <w:t xml:space="preserve"> sa nu fie </w:t>
      </w:r>
      <w:proofErr w:type="spellStart"/>
      <w:r w:rsidR="00A01C61" w:rsidRPr="00A01C61">
        <w:rPr>
          <w:rFonts w:ascii="Times New Roman" w:eastAsia="Times New Roman" w:hAnsi="Times New Roman" w:cs="Times New Roman"/>
          <w:color w:val="000000"/>
          <w:sz w:val="24"/>
          <w:szCs w:val="24"/>
          <w:shd w:val="clear" w:color="auto" w:fill="FFFFFF"/>
          <w:lang w:eastAsia="ru-RU"/>
        </w:rPr>
        <w:t>ameninţată</w:t>
      </w:r>
      <w:proofErr w:type="spellEnd"/>
      <w:r w:rsidR="00A01C61" w:rsidRPr="00A01C61">
        <w:rPr>
          <w:rFonts w:ascii="Times New Roman" w:eastAsia="Times New Roman" w:hAnsi="Times New Roman" w:cs="Times New Roman"/>
          <w:color w:val="000000"/>
          <w:sz w:val="24"/>
          <w:szCs w:val="24"/>
          <w:shd w:val="clear" w:color="auto" w:fill="FFFFFF"/>
          <w:lang w:eastAsia="ru-RU"/>
        </w:rPr>
        <w:t xml:space="preserve">, iar dezvoltarea economică să se poată </w:t>
      </w:r>
      <w:proofErr w:type="spellStart"/>
      <w:r w:rsidR="00A01C61" w:rsidRPr="00A01C61">
        <w:rPr>
          <w:rFonts w:ascii="Times New Roman" w:eastAsia="Times New Roman" w:hAnsi="Times New Roman" w:cs="Times New Roman"/>
          <w:color w:val="000000"/>
          <w:sz w:val="24"/>
          <w:szCs w:val="24"/>
          <w:shd w:val="clear" w:color="auto" w:fill="FFFFFF"/>
          <w:lang w:eastAsia="ru-RU"/>
        </w:rPr>
        <w:t>desfăşura</w:t>
      </w:r>
      <w:proofErr w:type="spellEnd"/>
      <w:r w:rsidR="00A01C61" w:rsidRPr="00A01C61">
        <w:rPr>
          <w:rFonts w:ascii="Times New Roman" w:eastAsia="Times New Roman" w:hAnsi="Times New Roman" w:cs="Times New Roman"/>
          <w:color w:val="000000"/>
          <w:sz w:val="24"/>
          <w:szCs w:val="24"/>
          <w:shd w:val="clear" w:color="auto" w:fill="FFFFFF"/>
          <w:lang w:eastAsia="ru-RU"/>
        </w:rPr>
        <w:t xml:space="preserve"> în mod durabil.</w:t>
      </w:r>
    </w:p>
    <w:p w14:paraId="75FE2940" w14:textId="2C440463" w:rsidR="006364B2" w:rsidRPr="008809EC" w:rsidRDefault="00C90CE4" w:rsidP="00B166B9">
      <w:pPr>
        <w:spacing w:before="120" w:after="120" w:line="240" w:lineRule="auto"/>
        <w:jc w:val="both"/>
        <w:rPr>
          <w:rFonts w:ascii="Times New Roman" w:eastAsia="Times New Roman" w:hAnsi="Times New Roman" w:cs="Times New Roman"/>
          <w:sz w:val="24"/>
          <w:szCs w:val="24"/>
          <w:lang w:eastAsia="ru-RU"/>
        </w:rPr>
      </w:pPr>
      <w:r w:rsidRPr="008809EC">
        <w:rPr>
          <w:rFonts w:ascii="Times New Roman" w:eastAsia="Times New Roman" w:hAnsi="Times New Roman" w:cs="Times New Roman"/>
          <w:color w:val="000000"/>
          <w:sz w:val="24"/>
          <w:szCs w:val="24"/>
          <w:shd w:val="clear" w:color="auto" w:fill="FFFFFF"/>
          <w:lang w:eastAsia="ru-RU"/>
        </w:rPr>
        <w:t xml:space="preserve">Ulterior, au urmat 25 de </w:t>
      </w:r>
      <w:r w:rsidR="009F51F1" w:rsidRPr="008809EC">
        <w:rPr>
          <w:rFonts w:ascii="Times New Roman" w:eastAsia="Times New Roman" w:hAnsi="Times New Roman" w:cs="Times New Roman"/>
          <w:color w:val="000000"/>
          <w:sz w:val="24"/>
          <w:szCs w:val="24"/>
          <w:shd w:val="clear" w:color="auto" w:fill="FFFFFF"/>
          <w:lang w:eastAsia="ru-RU"/>
        </w:rPr>
        <w:t>Conferințe</w:t>
      </w:r>
      <w:r w:rsidRPr="008809EC">
        <w:rPr>
          <w:rFonts w:ascii="Times New Roman" w:eastAsia="Times New Roman" w:hAnsi="Times New Roman" w:cs="Times New Roman"/>
          <w:color w:val="000000"/>
          <w:sz w:val="24"/>
          <w:szCs w:val="24"/>
          <w:shd w:val="clear" w:color="auto" w:fill="FFFFFF"/>
          <w:lang w:eastAsia="ru-RU"/>
        </w:rPr>
        <w:t xml:space="preserve"> a </w:t>
      </w:r>
      <w:r w:rsidR="009F51F1" w:rsidRPr="008809EC">
        <w:rPr>
          <w:rFonts w:ascii="Times New Roman" w:eastAsia="Times New Roman" w:hAnsi="Times New Roman" w:cs="Times New Roman"/>
          <w:color w:val="000000"/>
          <w:sz w:val="24"/>
          <w:szCs w:val="24"/>
          <w:shd w:val="clear" w:color="auto" w:fill="FFFFFF"/>
          <w:lang w:eastAsia="ru-RU"/>
        </w:rPr>
        <w:t>Părților</w:t>
      </w:r>
      <w:r w:rsidRPr="008809EC">
        <w:rPr>
          <w:rFonts w:ascii="Times New Roman" w:eastAsia="Times New Roman" w:hAnsi="Times New Roman" w:cs="Times New Roman"/>
          <w:color w:val="000000"/>
          <w:sz w:val="24"/>
          <w:szCs w:val="24"/>
          <w:shd w:val="clear" w:color="auto" w:fill="FFFFFF"/>
          <w:lang w:eastAsia="ru-RU"/>
        </w:rPr>
        <w:t xml:space="preserve"> la </w:t>
      </w:r>
      <w:r w:rsidR="009F51F1" w:rsidRPr="008809EC">
        <w:rPr>
          <w:rFonts w:ascii="Times New Roman" w:eastAsia="Times New Roman" w:hAnsi="Times New Roman" w:cs="Times New Roman"/>
          <w:color w:val="000000"/>
          <w:sz w:val="24"/>
          <w:szCs w:val="24"/>
          <w:shd w:val="clear" w:color="auto" w:fill="FFFFFF"/>
          <w:lang w:eastAsia="ru-RU"/>
        </w:rPr>
        <w:t>Convenți</w:t>
      </w:r>
      <w:r w:rsidR="00BC1068">
        <w:rPr>
          <w:rFonts w:ascii="Times New Roman" w:eastAsia="Times New Roman" w:hAnsi="Times New Roman" w:cs="Times New Roman"/>
          <w:color w:val="000000"/>
          <w:sz w:val="24"/>
          <w:szCs w:val="24"/>
          <w:shd w:val="clear" w:color="auto" w:fill="FFFFFF"/>
          <w:lang w:eastAsia="ru-RU"/>
        </w:rPr>
        <w:t xml:space="preserve">e </w:t>
      </w:r>
      <w:r w:rsidRPr="008809EC">
        <w:rPr>
          <w:rFonts w:ascii="Times New Roman" w:eastAsia="Times New Roman" w:hAnsi="Times New Roman" w:cs="Times New Roman"/>
          <w:color w:val="000000"/>
          <w:sz w:val="24"/>
          <w:szCs w:val="24"/>
          <w:shd w:val="clear" w:color="auto" w:fill="FFFFFF"/>
          <w:lang w:eastAsia="ru-RU"/>
        </w:rPr>
        <w:t>, fiecare având aportul său specific la consolidarea eforturilor spre reducerea emisiilor de gaze cu efect de seră</w:t>
      </w:r>
      <w:r w:rsidR="006077D9" w:rsidRPr="008809EC">
        <w:rPr>
          <w:rFonts w:ascii="Times New Roman" w:eastAsia="Times New Roman" w:hAnsi="Times New Roman" w:cs="Times New Roman"/>
          <w:color w:val="000000"/>
          <w:sz w:val="24"/>
          <w:szCs w:val="24"/>
          <w:shd w:val="clear" w:color="auto" w:fill="FFFFFF"/>
          <w:lang w:eastAsia="ru-RU"/>
        </w:rPr>
        <w:t xml:space="preserve">. </w:t>
      </w:r>
      <w:r w:rsidR="00B166B9" w:rsidRPr="008809EC">
        <w:rPr>
          <w:rFonts w:ascii="Times New Roman" w:eastAsia="Times New Roman" w:hAnsi="Times New Roman" w:cs="Times New Roman"/>
          <w:color w:val="000000"/>
          <w:sz w:val="24"/>
          <w:szCs w:val="24"/>
          <w:shd w:val="clear" w:color="auto" w:fill="FFFFFF"/>
          <w:lang w:eastAsia="ru-RU"/>
        </w:rPr>
        <w:t>Printre cele mai importante avute loc</w:t>
      </w:r>
      <w:r w:rsidR="009949D8" w:rsidRPr="008809EC">
        <w:rPr>
          <w:rFonts w:ascii="Times New Roman" w:eastAsia="Times New Roman" w:hAnsi="Times New Roman" w:cs="Times New Roman"/>
          <w:color w:val="000000"/>
          <w:sz w:val="24"/>
          <w:szCs w:val="24"/>
          <w:shd w:val="clear" w:color="auto" w:fill="FFFFFF"/>
          <w:lang w:eastAsia="ru-RU"/>
        </w:rPr>
        <w:t xml:space="preserve"> relativ</w:t>
      </w:r>
      <w:r w:rsidR="00B166B9" w:rsidRPr="008809EC">
        <w:rPr>
          <w:rFonts w:ascii="Times New Roman" w:eastAsia="Times New Roman" w:hAnsi="Times New Roman" w:cs="Times New Roman"/>
          <w:color w:val="000000"/>
          <w:sz w:val="24"/>
          <w:szCs w:val="24"/>
          <w:shd w:val="clear" w:color="auto" w:fill="FFFFFF"/>
          <w:lang w:eastAsia="ru-RU"/>
        </w:rPr>
        <w:t xml:space="preserve"> recent se numără </w:t>
      </w:r>
      <w:r w:rsidR="009F51F1" w:rsidRPr="008809EC">
        <w:rPr>
          <w:rFonts w:ascii="Times New Roman" w:eastAsia="Times New Roman" w:hAnsi="Times New Roman" w:cs="Times New Roman"/>
          <w:color w:val="000000"/>
          <w:sz w:val="24"/>
          <w:szCs w:val="24"/>
          <w:shd w:val="clear" w:color="auto" w:fill="FFFFFF"/>
          <w:lang w:eastAsia="ru-RU"/>
        </w:rPr>
        <w:t>Conferința</w:t>
      </w:r>
      <w:r w:rsidR="00F44C22" w:rsidRPr="008809EC">
        <w:rPr>
          <w:rFonts w:ascii="Times New Roman" w:eastAsia="Times New Roman" w:hAnsi="Times New Roman" w:cs="Times New Roman"/>
          <w:color w:val="000000"/>
          <w:sz w:val="24"/>
          <w:szCs w:val="24"/>
          <w:shd w:val="clear" w:color="auto" w:fill="FFFFFF"/>
          <w:lang w:eastAsia="ru-RU"/>
        </w:rPr>
        <w:t xml:space="preserve"> XXI a </w:t>
      </w:r>
      <w:r w:rsidR="009F51F1" w:rsidRPr="008809EC">
        <w:rPr>
          <w:rFonts w:ascii="Times New Roman" w:eastAsia="Times New Roman" w:hAnsi="Times New Roman" w:cs="Times New Roman"/>
          <w:color w:val="000000"/>
          <w:sz w:val="24"/>
          <w:szCs w:val="24"/>
          <w:shd w:val="clear" w:color="auto" w:fill="FFFFFF"/>
          <w:lang w:eastAsia="ru-RU"/>
        </w:rPr>
        <w:t>Părților</w:t>
      </w:r>
      <w:r w:rsidR="00F44C22" w:rsidRPr="008809EC">
        <w:rPr>
          <w:rFonts w:ascii="Times New Roman" w:eastAsia="Times New Roman" w:hAnsi="Times New Roman" w:cs="Times New Roman"/>
          <w:color w:val="000000"/>
          <w:sz w:val="24"/>
          <w:szCs w:val="24"/>
          <w:shd w:val="clear" w:color="auto" w:fill="FFFFFF"/>
          <w:lang w:eastAsia="ru-RU"/>
        </w:rPr>
        <w:t xml:space="preserve"> la </w:t>
      </w:r>
      <w:r w:rsidR="009F51F1" w:rsidRPr="008809EC">
        <w:rPr>
          <w:rFonts w:ascii="Times New Roman" w:eastAsia="Times New Roman" w:hAnsi="Times New Roman" w:cs="Times New Roman"/>
          <w:color w:val="000000"/>
          <w:sz w:val="24"/>
          <w:szCs w:val="24"/>
          <w:shd w:val="clear" w:color="auto" w:fill="FFFFFF"/>
          <w:lang w:eastAsia="ru-RU"/>
        </w:rPr>
        <w:t>Convenția</w:t>
      </w:r>
      <w:r w:rsidR="00F44C22" w:rsidRPr="008809EC">
        <w:rPr>
          <w:rFonts w:ascii="Times New Roman" w:eastAsia="Times New Roman" w:hAnsi="Times New Roman" w:cs="Times New Roman"/>
          <w:color w:val="000000"/>
          <w:sz w:val="24"/>
          <w:szCs w:val="24"/>
          <w:shd w:val="clear" w:color="auto" w:fill="FFFFFF"/>
          <w:lang w:eastAsia="ru-RU"/>
        </w:rPr>
        <w:t>-cadru de la Paris din 2015</w:t>
      </w:r>
      <w:r w:rsidR="00B166B9" w:rsidRPr="008809EC">
        <w:rPr>
          <w:rFonts w:ascii="Times New Roman" w:eastAsia="Times New Roman" w:hAnsi="Times New Roman" w:cs="Times New Roman"/>
          <w:color w:val="000000"/>
          <w:sz w:val="24"/>
          <w:szCs w:val="24"/>
          <w:shd w:val="clear" w:color="auto" w:fill="FFFFFF"/>
          <w:lang w:eastAsia="ru-RU"/>
        </w:rPr>
        <w:t>, care</w:t>
      </w:r>
      <w:r w:rsidR="00F44C22" w:rsidRPr="008809EC">
        <w:rPr>
          <w:rFonts w:ascii="Times New Roman" w:eastAsia="Times New Roman" w:hAnsi="Times New Roman" w:cs="Times New Roman"/>
          <w:color w:val="000000"/>
          <w:sz w:val="24"/>
          <w:szCs w:val="24"/>
          <w:shd w:val="clear" w:color="auto" w:fill="FFFFFF"/>
          <w:lang w:eastAsia="ru-RU"/>
        </w:rPr>
        <w:t xml:space="preserve"> </w:t>
      </w:r>
      <w:r w:rsidR="00F77F47" w:rsidRPr="008809EC">
        <w:rPr>
          <w:rFonts w:ascii="Times New Roman" w:eastAsia="Times New Roman" w:hAnsi="Times New Roman" w:cs="Times New Roman"/>
          <w:color w:val="000000"/>
          <w:sz w:val="24"/>
          <w:szCs w:val="24"/>
          <w:shd w:val="clear" w:color="auto" w:fill="FFFFFF"/>
          <w:lang w:eastAsia="ru-RU"/>
        </w:rPr>
        <w:t>a stabilit un plan de acțiuni pentru limitarea încălzirii globale „mult sub” 2°C, exprimat în Acordul de la Paris, pe care Republica Moldova l</w:t>
      </w:r>
      <w:r w:rsidR="00756437" w:rsidRPr="008809EC">
        <w:rPr>
          <w:rFonts w:ascii="Times New Roman" w:eastAsia="Times New Roman" w:hAnsi="Times New Roman" w:cs="Times New Roman"/>
          <w:color w:val="000000"/>
          <w:sz w:val="24"/>
          <w:szCs w:val="24"/>
          <w:shd w:val="clear" w:color="auto" w:fill="FFFFFF"/>
          <w:lang w:eastAsia="ru-RU"/>
        </w:rPr>
        <w:t>-</w:t>
      </w:r>
      <w:r w:rsidR="00F77F47" w:rsidRPr="008809EC">
        <w:rPr>
          <w:rFonts w:ascii="Times New Roman" w:eastAsia="Times New Roman" w:hAnsi="Times New Roman" w:cs="Times New Roman"/>
          <w:color w:val="000000"/>
          <w:sz w:val="24"/>
          <w:szCs w:val="24"/>
          <w:shd w:val="clear" w:color="auto" w:fill="FFFFFF"/>
          <w:lang w:eastAsia="ru-RU"/>
        </w:rPr>
        <w:t xml:space="preserve">a ratificat prin Legea </w:t>
      </w:r>
      <w:r w:rsidR="00B166B9" w:rsidRPr="008809EC">
        <w:rPr>
          <w:rFonts w:ascii="Times New Roman" w:eastAsia="Times New Roman" w:hAnsi="Times New Roman" w:cs="Times New Roman"/>
          <w:color w:val="000000"/>
          <w:sz w:val="24"/>
          <w:szCs w:val="24"/>
          <w:shd w:val="clear" w:color="auto" w:fill="FFFFFF"/>
          <w:lang w:eastAsia="ru-RU"/>
        </w:rPr>
        <w:t>n</w:t>
      </w:r>
      <w:r w:rsidR="00F77F47" w:rsidRPr="008809EC">
        <w:rPr>
          <w:rFonts w:ascii="Times New Roman" w:eastAsia="Times New Roman" w:hAnsi="Times New Roman" w:cs="Times New Roman"/>
          <w:color w:val="000000"/>
          <w:sz w:val="24"/>
          <w:szCs w:val="24"/>
          <w:shd w:val="clear" w:color="auto" w:fill="FFFFFF"/>
          <w:lang w:eastAsia="ru-RU"/>
        </w:rPr>
        <w:t xml:space="preserve">r. 78/2017. În </w:t>
      </w:r>
      <w:r w:rsidR="00B70589" w:rsidRPr="008809EC">
        <w:rPr>
          <w:rFonts w:ascii="Times New Roman" w:eastAsia="Times New Roman" w:hAnsi="Times New Roman" w:cs="Times New Roman"/>
          <w:color w:val="000000"/>
          <w:sz w:val="24"/>
          <w:szCs w:val="24"/>
          <w:shd w:val="clear" w:color="auto" w:fill="FFFFFF"/>
          <w:lang w:eastAsia="ru-RU"/>
        </w:rPr>
        <w:t>vederea</w:t>
      </w:r>
      <w:r w:rsidR="00F77F47" w:rsidRPr="008809EC">
        <w:rPr>
          <w:rFonts w:ascii="Times New Roman" w:eastAsia="Times New Roman" w:hAnsi="Times New Roman" w:cs="Times New Roman"/>
          <w:color w:val="000000"/>
          <w:sz w:val="24"/>
          <w:szCs w:val="24"/>
          <w:shd w:val="clear" w:color="auto" w:fill="FFFFFF"/>
          <w:lang w:eastAsia="ru-RU"/>
        </w:rPr>
        <w:t xml:space="preserve"> atingerii scopului </w:t>
      </w:r>
      <w:r w:rsidR="00B70589" w:rsidRPr="008809EC">
        <w:rPr>
          <w:rFonts w:ascii="Times New Roman" w:eastAsia="Times New Roman" w:hAnsi="Times New Roman" w:cs="Times New Roman"/>
          <w:color w:val="000000"/>
          <w:sz w:val="24"/>
          <w:szCs w:val="24"/>
          <w:shd w:val="clear" w:color="auto" w:fill="FFFFFF"/>
          <w:lang w:eastAsia="ru-RU"/>
        </w:rPr>
        <w:t>Acordului</w:t>
      </w:r>
      <w:r w:rsidR="00BC1068">
        <w:rPr>
          <w:rFonts w:ascii="Times New Roman" w:eastAsia="Times New Roman" w:hAnsi="Times New Roman" w:cs="Times New Roman"/>
          <w:color w:val="000000"/>
          <w:sz w:val="24"/>
          <w:szCs w:val="24"/>
          <w:shd w:val="clear" w:color="auto" w:fill="FFFFFF"/>
          <w:lang w:eastAsia="ru-RU"/>
        </w:rPr>
        <w:t xml:space="preserve"> de la Paris</w:t>
      </w:r>
      <w:r w:rsidR="009949D8" w:rsidRPr="008809EC">
        <w:rPr>
          <w:rFonts w:ascii="Times New Roman" w:eastAsia="Times New Roman" w:hAnsi="Times New Roman" w:cs="Times New Roman"/>
          <w:color w:val="000000"/>
          <w:sz w:val="24"/>
          <w:szCs w:val="24"/>
          <w:shd w:val="clear" w:color="auto" w:fill="FFFFFF"/>
          <w:lang w:eastAsia="ru-RU"/>
        </w:rPr>
        <w:t>,</w:t>
      </w:r>
      <w:r w:rsidR="00B70589" w:rsidRPr="008809EC">
        <w:rPr>
          <w:rFonts w:ascii="Times New Roman" w:eastAsia="Times New Roman" w:hAnsi="Times New Roman" w:cs="Times New Roman"/>
          <w:color w:val="000000"/>
          <w:sz w:val="24"/>
          <w:szCs w:val="24"/>
          <w:shd w:val="clear" w:color="auto" w:fill="FFFFFF"/>
          <w:lang w:eastAsia="ru-RU"/>
        </w:rPr>
        <w:t xml:space="preserve"> toate </w:t>
      </w:r>
      <w:r w:rsidR="009F51F1" w:rsidRPr="008809EC">
        <w:rPr>
          <w:rFonts w:ascii="Times New Roman" w:eastAsia="Times New Roman" w:hAnsi="Times New Roman" w:cs="Times New Roman"/>
          <w:color w:val="000000"/>
          <w:sz w:val="24"/>
          <w:szCs w:val="24"/>
          <w:shd w:val="clear" w:color="auto" w:fill="FFFFFF"/>
          <w:lang w:eastAsia="ru-RU"/>
        </w:rPr>
        <w:t>părțile</w:t>
      </w:r>
      <w:r w:rsidR="00B70589" w:rsidRPr="008809EC">
        <w:rPr>
          <w:rFonts w:ascii="Times New Roman" w:eastAsia="Times New Roman" w:hAnsi="Times New Roman" w:cs="Times New Roman"/>
          <w:color w:val="000000"/>
          <w:sz w:val="24"/>
          <w:szCs w:val="24"/>
          <w:shd w:val="clear" w:color="auto" w:fill="FFFFFF"/>
          <w:lang w:eastAsia="ru-RU"/>
        </w:rPr>
        <w:t xml:space="preserve"> trebuie să întreprindă </w:t>
      </w:r>
      <w:r w:rsidR="009F51F1" w:rsidRPr="008809EC">
        <w:rPr>
          <w:rFonts w:ascii="Times New Roman" w:eastAsia="Times New Roman" w:hAnsi="Times New Roman" w:cs="Times New Roman"/>
          <w:color w:val="000000"/>
          <w:sz w:val="24"/>
          <w:szCs w:val="24"/>
          <w:shd w:val="clear" w:color="auto" w:fill="FFFFFF"/>
          <w:lang w:eastAsia="ru-RU"/>
        </w:rPr>
        <w:t>și</w:t>
      </w:r>
      <w:r w:rsidR="00B70589" w:rsidRPr="008809EC">
        <w:rPr>
          <w:rFonts w:ascii="Times New Roman" w:eastAsia="Times New Roman" w:hAnsi="Times New Roman" w:cs="Times New Roman"/>
          <w:color w:val="000000"/>
          <w:sz w:val="24"/>
          <w:szCs w:val="24"/>
          <w:shd w:val="clear" w:color="auto" w:fill="FFFFFF"/>
          <w:lang w:eastAsia="ru-RU"/>
        </w:rPr>
        <w:t xml:space="preserve"> să comunice eforturile </w:t>
      </w:r>
      <w:r w:rsidR="009F51F1" w:rsidRPr="008809EC">
        <w:rPr>
          <w:rFonts w:ascii="Times New Roman" w:eastAsia="Times New Roman" w:hAnsi="Times New Roman" w:cs="Times New Roman"/>
          <w:color w:val="000000"/>
          <w:sz w:val="24"/>
          <w:szCs w:val="24"/>
          <w:shd w:val="clear" w:color="auto" w:fill="FFFFFF"/>
          <w:lang w:eastAsia="ru-RU"/>
        </w:rPr>
        <w:t>ambițioase</w:t>
      </w:r>
      <w:r w:rsidR="00B70589" w:rsidRPr="008809EC">
        <w:rPr>
          <w:rFonts w:ascii="Times New Roman" w:eastAsia="Times New Roman" w:hAnsi="Times New Roman" w:cs="Times New Roman"/>
          <w:color w:val="000000"/>
          <w:sz w:val="24"/>
          <w:szCs w:val="24"/>
          <w:shd w:val="clear" w:color="auto" w:fill="FFFFFF"/>
          <w:lang w:eastAsia="ru-RU"/>
        </w:rPr>
        <w:t xml:space="preserve"> de reducere a emisiilor de GES, exprimate în </w:t>
      </w:r>
      <w:r w:rsidR="009F51F1" w:rsidRPr="008809EC">
        <w:rPr>
          <w:rFonts w:ascii="Times New Roman" w:eastAsia="Times New Roman" w:hAnsi="Times New Roman" w:cs="Times New Roman"/>
          <w:color w:val="000000"/>
          <w:sz w:val="24"/>
          <w:szCs w:val="24"/>
          <w:shd w:val="clear" w:color="auto" w:fill="FFFFFF"/>
          <w:lang w:eastAsia="ru-RU"/>
        </w:rPr>
        <w:t>așa</w:t>
      </w:r>
      <w:r w:rsidR="00B70589" w:rsidRPr="008809EC">
        <w:rPr>
          <w:rFonts w:ascii="Times New Roman" w:eastAsia="Times New Roman" w:hAnsi="Times New Roman" w:cs="Times New Roman"/>
          <w:color w:val="000000"/>
          <w:sz w:val="24"/>
          <w:szCs w:val="24"/>
          <w:shd w:val="clear" w:color="auto" w:fill="FFFFFF"/>
          <w:lang w:eastAsia="ru-RU"/>
        </w:rPr>
        <w:t xml:space="preserve"> numit</w:t>
      </w:r>
      <w:r w:rsidR="00A36605" w:rsidRPr="008809EC">
        <w:rPr>
          <w:rFonts w:ascii="Times New Roman" w:eastAsia="Times New Roman" w:hAnsi="Times New Roman" w:cs="Times New Roman"/>
          <w:color w:val="000000"/>
          <w:sz w:val="24"/>
          <w:szCs w:val="24"/>
          <w:shd w:val="clear" w:color="auto" w:fill="FFFFFF"/>
          <w:lang w:eastAsia="ru-RU"/>
        </w:rPr>
        <w:t>a</w:t>
      </w:r>
      <w:r w:rsidR="00B70589" w:rsidRPr="008809EC">
        <w:rPr>
          <w:rFonts w:ascii="Times New Roman" w:eastAsia="Times New Roman" w:hAnsi="Times New Roman" w:cs="Times New Roman"/>
          <w:color w:val="000000"/>
          <w:sz w:val="24"/>
          <w:szCs w:val="24"/>
          <w:shd w:val="clear" w:color="auto" w:fill="FFFFFF"/>
          <w:lang w:eastAsia="ru-RU"/>
        </w:rPr>
        <w:t xml:space="preserve"> </w:t>
      </w:r>
      <w:r w:rsidR="003525EF" w:rsidRPr="008809EC">
        <w:rPr>
          <w:rFonts w:ascii="Times New Roman" w:eastAsia="Times New Roman" w:hAnsi="Times New Roman" w:cs="Times New Roman"/>
          <w:color w:val="000000"/>
          <w:sz w:val="24"/>
          <w:szCs w:val="24"/>
          <w:shd w:val="clear" w:color="auto" w:fill="FFFFFF"/>
          <w:lang w:eastAsia="ru-RU"/>
        </w:rPr>
        <w:t>Contribuție</w:t>
      </w:r>
      <w:r w:rsidR="00B70589" w:rsidRPr="008809EC">
        <w:rPr>
          <w:rFonts w:ascii="Times New Roman" w:eastAsia="Times New Roman" w:hAnsi="Times New Roman" w:cs="Times New Roman"/>
          <w:color w:val="000000"/>
          <w:sz w:val="24"/>
          <w:szCs w:val="24"/>
          <w:shd w:val="clear" w:color="auto" w:fill="FFFFFF"/>
          <w:lang w:eastAsia="ru-RU"/>
        </w:rPr>
        <w:t xml:space="preserve"> </w:t>
      </w:r>
      <w:r w:rsidR="003525EF" w:rsidRPr="008809EC">
        <w:rPr>
          <w:rFonts w:ascii="Times New Roman" w:eastAsia="Times New Roman" w:hAnsi="Times New Roman" w:cs="Times New Roman"/>
          <w:color w:val="000000"/>
          <w:sz w:val="24"/>
          <w:szCs w:val="24"/>
          <w:shd w:val="clear" w:color="auto" w:fill="FFFFFF"/>
          <w:lang w:eastAsia="ru-RU"/>
        </w:rPr>
        <w:t>Națională</w:t>
      </w:r>
      <w:r w:rsidR="00B70589" w:rsidRPr="008809EC">
        <w:rPr>
          <w:rFonts w:ascii="Times New Roman" w:eastAsia="Times New Roman" w:hAnsi="Times New Roman" w:cs="Times New Roman"/>
          <w:color w:val="000000"/>
          <w:sz w:val="24"/>
          <w:szCs w:val="24"/>
          <w:shd w:val="clear" w:color="auto" w:fill="FFFFFF"/>
          <w:lang w:eastAsia="ru-RU"/>
        </w:rPr>
        <w:t xml:space="preserve"> Determinată (CND). Republica Moldova a raportat către </w:t>
      </w:r>
      <w:r w:rsidR="003525EF" w:rsidRPr="008809EC">
        <w:rPr>
          <w:rFonts w:ascii="Times New Roman" w:eastAsia="Times New Roman" w:hAnsi="Times New Roman" w:cs="Times New Roman"/>
          <w:color w:val="000000"/>
          <w:sz w:val="24"/>
          <w:szCs w:val="24"/>
          <w:shd w:val="clear" w:color="auto" w:fill="FFFFFF"/>
          <w:lang w:eastAsia="ru-RU"/>
        </w:rPr>
        <w:t>Convenție</w:t>
      </w:r>
      <w:r w:rsidR="00B70589" w:rsidRPr="008809EC">
        <w:rPr>
          <w:rFonts w:ascii="Times New Roman" w:eastAsia="Times New Roman" w:hAnsi="Times New Roman" w:cs="Times New Roman"/>
          <w:color w:val="000000"/>
          <w:sz w:val="24"/>
          <w:szCs w:val="24"/>
          <w:shd w:val="clear" w:color="auto" w:fill="FFFFFF"/>
          <w:lang w:eastAsia="ru-RU"/>
        </w:rPr>
        <w:t xml:space="preserve"> prima sa CND</w:t>
      </w:r>
      <w:r w:rsidR="00A36605" w:rsidRPr="008809EC">
        <w:rPr>
          <w:rFonts w:ascii="Times New Roman" w:eastAsia="Times New Roman" w:hAnsi="Times New Roman" w:cs="Times New Roman"/>
          <w:color w:val="000000"/>
          <w:sz w:val="24"/>
          <w:szCs w:val="24"/>
          <w:shd w:val="clear" w:color="auto" w:fill="FFFFFF"/>
          <w:lang w:eastAsia="ru-RU"/>
        </w:rPr>
        <w:t xml:space="preserve"> (numită </w:t>
      </w:r>
      <w:r w:rsidR="003525EF" w:rsidRPr="008809EC">
        <w:rPr>
          <w:rFonts w:ascii="Times New Roman" w:eastAsia="Times New Roman" w:hAnsi="Times New Roman" w:cs="Times New Roman"/>
          <w:color w:val="000000"/>
          <w:sz w:val="24"/>
          <w:szCs w:val="24"/>
          <w:shd w:val="clear" w:color="auto" w:fill="FFFFFF"/>
          <w:lang w:eastAsia="ru-RU"/>
        </w:rPr>
        <w:t>și</w:t>
      </w:r>
      <w:r w:rsidR="00A36605" w:rsidRPr="008809EC">
        <w:rPr>
          <w:rFonts w:ascii="Times New Roman" w:eastAsia="Times New Roman" w:hAnsi="Times New Roman" w:cs="Times New Roman"/>
          <w:color w:val="000000"/>
          <w:sz w:val="24"/>
          <w:szCs w:val="24"/>
          <w:shd w:val="clear" w:color="auto" w:fill="FFFFFF"/>
          <w:lang w:eastAsia="ru-RU"/>
        </w:rPr>
        <w:t xml:space="preserve"> intenționată</w:t>
      </w:r>
      <w:r w:rsidR="00EF1F94" w:rsidRPr="008809EC">
        <w:rPr>
          <w:rFonts w:ascii="Times New Roman" w:eastAsia="Times New Roman" w:hAnsi="Times New Roman" w:cs="Times New Roman"/>
          <w:color w:val="000000"/>
          <w:sz w:val="24"/>
          <w:szCs w:val="24"/>
          <w:shd w:val="clear" w:color="auto" w:fill="FFFFFF"/>
          <w:lang w:eastAsia="ru-RU"/>
        </w:rPr>
        <w:t xml:space="preserve"> (</w:t>
      </w:r>
      <w:r w:rsidR="00A36605" w:rsidRPr="008809EC">
        <w:rPr>
          <w:rFonts w:ascii="Times New Roman" w:eastAsia="Times New Roman" w:hAnsi="Times New Roman" w:cs="Times New Roman"/>
          <w:color w:val="000000"/>
          <w:sz w:val="24"/>
          <w:szCs w:val="24"/>
          <w:shd w:val="clear" w:color="auto" w:fill="FFFFFF"/>
          <w:lang w:eastAsia="ru-RU"/>
        </w:rPr>
        <w:t>CNDI)</w:t>
      </w:r>
      <w:r w:rsidR="00EF1F94" w:rsidRPr="008809EC">
        <w:rPr>
          <w:rFonts w:ascii="Times New Roman" w:eastAsia="Times New Roman" w:hAnsi="Times New Roman" w:cs="Times New Roman"/>
          <w:color w:val="000000"/>
          <w:sz w:val="24"/>
          <w:szCs w:val="24"/>
          <w:shd w:val="clear" w:color="auto" w:fill="FFFFFF"/>
          <w:lang w:eastAsia="ru-RU"/>
        </w:rPr>
        <w:t>)</w:t>
      </w:r>
      <w:r w:rsidR="00A36605" w:rsidRPr="008809EC">
        <w:rPr>
          <w:rFonts w:ascii="Times New Roman" w:eastAsia="Times New Roman" w:hAnsi="Times New Roman" w:cs="Times New Roman"/>
          <w:color w:val="000000"/>
          <w:sz w:val="24"/>
          <w:szCs w:val="24"/>
          <w:shd w:val="clear" w:color="auto" w:fill="FFFFFF"/>
          <w:lang w:eastAsia="ru-RU"/>
        </w:rPr>
        <w:t xml:space="preserve"> </w:t>
      </w:r>
      <w:r w:rsidR="00FE6E86" w:rsidRPr="008809EC">
        <w:rPr>
          <w:rFonts w:ascii="Times New Roman" w:eastAsia="Times New Roman" w:hAnsi="Times New Roman" w:cs="Times New Roman"/>
          <w:color w:val="000000"/>
          <w:sz w:val="24"/>
          <w:szCs w:val="24"/>
          <w:shd w:val="clear" w:color="auto" w:fill="FFFFFF"/>
          <w:lang w:eastAsia="ru-RU"/>
        </w:rPr>
        <w:t>la 25</w:t>
      </w:r>
      <w:r w:rsidR="00A36605" w:rsidRPr="008809EC">
        <w:rPr>
          <w:rFonts w:ascii="Times New Roman" w:eastAsia="Times New Roman" w:hAnsi="Times New Roman" w:cs="Times New Roman"/>
          <w:color w:val="000000"/>
          <w:sz w:val="24"/>
          <w:szCs w:val="24"/>
          <w:shd w:val="clear" w:color="auto" w:fill="FFFFFF"/>
          <w:lang w:eastAsia="ru-RU"/>
        </w:rPr>
        <w:t xml:space="preserve"> septembrie 2015</w:t>
      </w:r>
      <w:r w:rsidR="00B70589" w:rsidRPr="008809EC">
        <w:rPr>
          <w:rFonts w:ascii="Times New Roman" w:eastAsia="Times New Roman" w:hAnsi="Times New Roman" w:cs="Times New Roman"/>
          <w:color w:val="000000"/>
          <w:sz w:val="24"/>
          <w:szCs w:val="24"/>
          <w:shd w:val="clear" w:color="auto" w:fill="FFFFFF"/>
          <w:lang w:eastAsia="ru-RU"/>
        </w:rPr>
        <w:t xml:space="preserve">. </w:t>
      </w:r>
      <w:r w:rsidR="006364B2" w:rsidRPr="008809EC">
        <w:rPr>
          <w:rFonts w:ascii="Times New Roman" w:eastAsia="Times New Roman" w:hAnsi="Times New Roman" w:cs="Times New Roman"/>
          <w:color w:val="000000"/>
          <w:sz w:val="24"/>
          <w:szCs w:val="24"/>
          <w:shd w:val="clear" w:color="auto" w:fill="FFFFFF"/>
          <w:lang w:eastAsia="ru-RU"/>
        </w:rPr>
        <w:t xml:space="preserve">Conform </w:t>
      </w:r>
      <w:r w:rsidR="00B70589" w:rsidRPr="008809EC">
        <w:rPr>
          <w:rFonts w:ascii="Times New Roman" w:eastAsia="Times New Roman" w:hAnsi="Times New Roman" w:cs="Times New Roman"/>
          <w:color w:val="000000"/>
          <w:sz w:val="24"/>
          <w:szCs w:val="24"/>
          <w:shd w:val="clear" w:color="auto" w:fill="FFFFFF"/>
          <w:lang w:eastAsia="ru-RU"/>
        </w:rPr>
        <w:t>acesteia</w:t>
      </w:r>
      <w:r w:rsidR="006364B2" w:rsidRPr="008809EC">
        <w:rPr>
          <w:rFonts w:ascii="Times New Roman" w:eastAsia="Times New Roman" w:hAnsi="Times New Roman" w:cs="Times New Roman"/>
          <w:color w:val="000000"/>
          <w:sz w:val="24"/>
          <w:szCs w:val="24"/>
          <w:shd w:val="clear" w:color="auto" w:fill="FFFFFF"/>
          <w:lang w:eastAsia="ru-RU"/>
        </w:rPr>
        <w:t xml:space="preserve">, Republica Moldova </w:t>
      </w:r>
      <w:proofErr w:type="spellStart"/>
      <w:r w:rsidR="00B70589" w:rsidRPr="008809EC">
        <w:rPr>
          <w:rFonts w:ascii="Times New Roman" w:eastAsia="Times New Roman" w:hAnsi="Times New Roman" w:cs="Times New Roman"/>
          <w:color w:val="000000"/>
          <w:sz w:val="24"/>
          <w:szCs w:val="24"/>
          <w:shd w:val="clear" w:color="auto" w:fill="FFFFFF"/>
          <w:lang w:eastAsia="ru-RU"/>
        </w:rPr>
        <w:t>şi</w:t>
      </w:r>
      <w:proofErr w:type="spellEnd"/>
      <w:r w:rsidR="00B70589" w:rsidRPr="008809EC">
        <w:rPr>
          <w:rFonts w:ascii="Times New Roman" w:eastAsia="Times New Roman" w:hAnsi="Times New Roman" w:cs="Times New Roman"/>
          <w:color w:val="000000"/>
          <w:sz w:val="24"/>
          <w:szCs w:val="24"/>
          <w:shd w:val="clear" w:color="auto" w:fill="FFFFFF"/>
          <w:lang w:eastAsia="ru-RU"/>
        </w:rPr>
        <w:t xml:space="preserve">-a </w:t>
      </w:r>
      <w:r w:rsidR="006364B2" w:rsidRPr="008809EC">
        <w:rPr>
          <w:rFonts w:ascii="Times New Roman" w:eastAsia="Times New Roman" w:hAnsi="Times New Roman" w:cs="Times New Roman"/>
          <w:color w:val="000000"/>
          <w:sz w:val="24"/>
          <w:szCs w:val="24"/>
          <w:shd w:val="clear" w:color="auto" w:fill="FFFFFF"/>
          <w:lang w:eastAsia="ru-RU"/>
        </w:rPr>
        <w:t>asum</w:t>
      </w:r>
      <w:r w:rsidR="00B70589" w:rsidRPr="008809EC">
        <w:rPr>
          <w:rFonts w:ascii="Times New Roman" w:eastAsia="Times New Roman" w:hAnsi="Times New Roman" w:cs="Times New Roman"/>
          <w:color w:val="000000"/>
          <w:sz w:val="24"/>
          <w:szCs w:val="24"/>
          <w:shd w:val="clear" w:color="auto" w:fill="FFFFFF"/>
          <w:lang w:eastAsia="ru-RU"/>
        </w:rPr>
        <w:t>at</w:t>
      </w:r>
      <w:r w:rsidR="006364B2" w:rsidRPr="008809EC">
        <w:rPr>
          <w:rFonts w:ascii="Times New Roman" w:eastAsia="Times New Roman" w:hAnsi="Times New Roman" w:cs="Times New Roman"/>
          <w:color w:val="000000"/>
          <w:sz w:val="24"/>
          <w:szCs w:val="24"/>
          <w:shd w:val="clear" w:color="auto" w:fill="FFFFFF"/>
          <w:lang w:eastAsia="ru-RU"/>
        </w:rPr>
        <w:t xml:space="preserve"> angajamentul de a atinge, </w:t>
      </w:r>
      <w:proofErr w:type="spellStart"/>
      <w:r w:rsidR="00562789" w:rsidRPr="008809EC">
        <w:rPr>
          <w:rFonts w:ascii="Times New Roman" w:eastAsia="Times New Roman" w:hAnsi="Times New Roman" w:cs="Times New Roman"/>
          <w:color w:val="000000"/>
          <w:sz w:val="24"/>
          <w:szCs w:val="24"/>
          <w:shd w:val="clear" w:color="auto" w:fill="FFFFFF"/>
          <w:lang w:eastAsia="ru-RU"/>
        </w:rPr>
        <w:t>p</w:t>
      </w:r>
      <w:r w:rsidR="00BC1068">
        <w:rPr>
          <w:rFonts w:ascii="Times New Roman" w:eastAsia="Times New Roman" w:hAnsi="Times New Roman" w:cs="Times New Roman"/>
          <w:color w:val="000000"/>
          <w:sz w:val="24"/>
          <w:szCs w:val="24"/>
          <w:shd w:val="clear" w:color="auto" w:fill="FFFFFF"/>
          <w:lang w:eastAsia="ru-RU"/>
        </w:rPr>
        <w:t>î</w:t>
      </w:r>
      <w:r w:rsidR="00562789" w:rsidRPr="008809EC">
        <w:rPr>
          <w:rFonts w:ascii="Times New Roman" w:eastAsia="Times New Roman" w:hAnsi="Times New Roman" w:cs="Times New Roman"/>
          <w:color w:val="000000"/>
          <w:sz w:val="24"/>
          <w:szCs w:val="24"/>
          <w:shd w:val="clear" w:color="auto" w:fill="FFFFFF"/>
          <w:lang w:eastAsia="ru-RU"/>
        </w:rPr>
        <w:t>nă</w:t>
      </w:r>
      <w:proofErr w:type="spellEnd"/>
      <w:r w:rsidR="006364B2" w:rsidRPr="008809EC">
        <w:rPr>
          <w:rFonts w:ascii="Times New Roman" w:eastAsia="Times New Roman" w:hAnsi="Times New Roman" w:cs="Times New Roman"/>
          <w:color w:val="000000"/>
          <w:sz w:val="24"/>
          <w:szCs w:val="24"/>
          <w:shd w:val="clear" w:color="auto" w:fill="FFFFFF"/>
          <w:lang w:eastAsia="ru-RU"/>
        </w:rPr>
        <w:t xml:space="preserve"> în anul 2030, </w:t>
      </w:r>
      <w:proofErr w:type="spellStart"/>
      <w:r w:rsidR="006364B2" w:rsidRPr="008809EC">
        <w:rPr>
          <w:rFonts w:ascii="Times New Roman" w:eastAsia="Times New Roman" w:hAnsi="Times New Roman" w:cs="Times New Roman"/>
          <w:color w:val="000000"/>
          <w:sz w:val="24"/>
          <w:szCs w:val="24"/>
          <w:shd w:val="clear" w:color="auto" w:fill="FFFFFF"/>
          <w:lang w:eastAsia="ru-RU"/>
        </w:rPr>
        <w:t>ţinta</w:t>
      </w:r>
      <w:proofErr w:type="spellEnd"/>
      <w:r w:rsidR="006364B2" w:rsidRPr="008809EC">
        <w:rPr>
          <w:rFonts w:ascii="Times New Roman" w:eastAsia="Times New Roman" w:hAnsi="Times New Roman" w:cs="Times New Roman"/>
          <w:color w:val="000000"/>
          <w:sz w:val="24"/>
          <w:szCs w:val="24"/>
          <w:shd w:val="clear" w:color="auto" w:fill="FFFFFF"/>
          <w:lang w:eastAsia="ru-RU"/>
        </w:rPr>
        <w:t xml:space="preserve"> </w:t>
      </w:r>
      <w:r w:rsidR="003525EF" w:rsidRPr="008809EC">
        <w:rPr>
          <w:rFonts w:ascii="Times New Roman" w:eastAsia="Times New Roman" w:hAnsi="Times New Roman" w:cs="Times New Roman"/>
          <w:color w:val="000000"/>
          <w:sz w:val="24"/>
          <w:szCs w:val="24"/>
          <w:shd w:val="clear" w:color="auto" w:fill="FFFFFF"/>
          <w:lang w:eastAsia="ru-RU"/>
        </w:rPr>
        <w:t>necondiționată</w:t>
      </w:r>
      <w:r w:rsidR="006364B2" w:rsidRPr="008809EC">
        <w:rPr>
          <w:rFonts w:ascii="Times New Roman" w:eastAsia="Times New Roman" w:hAnsi="Times New Roman" w:cs="Times New Roman"/>
          <w:color w:val="000000"/>
          <w:sz w:val="24"/>
          <w:szCs w:val="24"/>
          <w:shd w:val="clear" w:color="auto" w:fill="FFFFFF"/>
          <w:lang w:eastAsia="ru-RU"/>
        </w:rPr>
        <w:t xml:space="preserve"> de 64% reducere a emisiilor nete a gazelor cu efect de seră comparativ cu nivelurile anului 1990. Angajamentul de reducere a emisiilor ar putea </w:t>
      </w:r>
      <w:r w:rsidR="003525EF" w:rsidRPr="008809EC">
        <w:rPr>
          <w:rFonts w:ascii="Times New Roman" w:eastAsia="Times New Roman" w:hAnsi="Times New Roman" w:cs="Times New Roman"/>
          <w:color w:val="000000"/>
          <w:sz w:val="24"/>
          <w:szCs w:val="24"/>
          <w:shd w:val="clear" w:color="auto" w:fill="FFFFFF"/>
          <w:lang w:eastAsia="ru-RU"/>
        </w:rPr>
        <w:t>crește</w:t>
      </w:r>
      <w:r w:rsidR="006364B2" w:rsidRPr="008809EC">
        <w:rPr>
          <w:rFonts w:ascii="Times New Roman" w:eastAsia="Times New Roman" w:hAnsi="Times New Roman" w:cs="Times New Roman"/>
          <w:color w:val="000000"/>
          <w:sz w:val="24"/>
          <w:szCs w:val="24"/>
          <w:shd w:val="clear" w:color="auto" w:fill="FFFFFF"/>
          <w:lang w:eastAsia="ru-RU"/>
        </w:rPr>
        <w:t xml:space="preserve"> </w:t>
      </w:r>
      <w:r w:rsidR="00562789" w:rsidRPr="008809EC">
        <w:rPr>
          <w:rFonts w:ascii="Times New Roman" w:eastAsia="Times New Roman" w:hAnsi="Times New Roman" w:cs="Times New Roman"/>
          <w:color w:val="000000"/>
          <w:sz w:val="24"/>
          <w:szCs w:val="24"/>
          <w:shd w:val="clear" w:color="auto" w:fill="FFFFFF"/>
          <w:lang w:eastAsia="ru-RU"/>
        </w:rPr>
        <w:t>până</w:t>
      </w:r>
      <w:r w:rsidR="006364B2" w:rsidRPr="008809EC">
        <w:rPr>
          <w:rFonts w:ascii="Times New Roman" w:eastAsia="Times New Roman" w:hAnsi="Times New Roman" w:cs="Times New Roman"/>
          <w:color w:val="000000"/>
          <w:sz w:val="24"/>
          <w:szCs w:val="24"/>
          <w:shd w:val="clear" w:color="auto" w:fill="FFFFFF"/>
          <w:lang w:eastAsia="ru-RU"/>
        </w:rPr>
        <w:t xml:space="preserve"> la 78% în mod </w:t>
      </w:r>
      <w:r w:rsidR="003525EF" w:rsidRPr="008809EC">
        <w:rPr>
          <w:rFonts w:ascii="Times New Roman" w:eastAsia="Times New Roman" w:hAnsi="Times New Roman" w:cs="Times New Roman"/>
          <w:color w:val="000000"/>
          <w:sz w:val="24"/>
          <w:szCs w:val="24"/>
          <w:shd w:val="clear" w:color="auto" w:fill="FFFFFF"/>
          <w:lang w:eastAsia="ru-RU"/>
        </w:rPr>
        <w:t>condiționat</w:t>
      </w:r>
      <w:r w:rsidR="00B70589" w:rsidRPr="008809EC">
        <w:rPr>
          <w:rFonts w:ascii="Times New Roman" w:eastAsia="Times New Roman" w:hAnsi="Times New Roman" w:cs="Times New Roman"/>
          <w:color w:val="000000"/>
          <w:sz w:val="24"/>
          <w:szCs w:val="24"/>
          <w:shd w:val="clear" w:color="auto" w:fill="FFFFFF"/>
          <w:lang w:eastAsia="ru-RU"/>
        </w:rPr>
        <w:t>, având suportul respectiv al donatorilor</w:t>
      </w:r>
      <w:r w:rsidR="00B166B9" w:rsidRPr="008809EC">
        <w:rPr>
          <w:rFonts w:ascii="Times New Roman" w:eastAsia="Times New Roman" w:hAnsi="Times New Roman" w:cs="Times New Roman"/>
          <w:color w:val="000000"/>
          <w:sz w:val="24"/>
          <w:szCs w:val="24"/>
          <w:shd w:val="clear" w:color="auto" w:fill="FFFFFF"/>
          <w:lang w:eastAsia="ru-RU"/>
        </w:rPr>
        <w:t xml:space="preserve"> </w:t>
      </w:r>
      <w:r w:rsidR="003525EF" w:rsidRPr="008809EC">
        <w:rPr>
          <w:rFonts w:ascii="Times New Roman" w:eastAsia="Times New Roman" w:hAnsi="Times New Roman" w:cs="Times New Roman"/>
          <w:color w:val="000000"/>
          <w:sz w:val="24"/>
          <w:szCs w:val="24"/>
          <w:shd w:val="clear" w:color="auto" w:fill="FFFFFF"/>
          <w:lang w:eastAsia="ru-RU"/>
        </w:rPr>
        <w:t>internaționali</w:t>
      </w:r>
      <w:r w:rsidR="006364B2" w:rsidRPr="008809EC">
        <w:rPr>
          <w:rFonts w:ascii="Times New Roman" w:eastAsia="Times New Roman" w:hAnsi="Times New Roman" w:cs="Times New Roman"/>
          <w:color w:val="000000"/>
          <w:sz w:val="24"/>
          <w:szCs w:val="24"/>
          <w:shd w:val="clear" w:color="auto" w:fill="FFFFFF"/>
          <w:lang w:eastAsia="ru-RU"/>
        </w:rPr>
        <w:t>.</w:t>
      </w:r>
    </w:p>
    <w:p w14:paraId="24D81D1D" w14:textId="51B043EB" w:rsidR="00654EB5" w:rsidRDefault="000F4AA4" w:rsidP="00654EB5">
      <w:pPr>
        <w:spacing w:after="120" w:line="240" w:lineRule="auto"/>
        <w:jc w:val="both"/>
        <w:rPr>
          <w:rFonts w:ascii="Times New Roman" w:hAnsi="Times New Roman" w:cs="Times New Roman"/>
          <w:sz w:val="24"/>
          <w:szCs w:val="24"/>
        </w:rPr>
      </w:pPr>
      <w:r w:rsidRPr="008809EC">
        <w:rPr>
          <w:rFonts w:ascii="Times New Roman" w:eastAsia="Times New Roman" w:hAnsi="Times New Roman" w:cs="Times New Roman"/>
          <w:color w:val="000000"/>
          <w:sz w:val="24"/>
          <w:szCs w:val="24"/>
          <w:shd w:val="clear" w:color="auto" w:fill="FFFFFF"/>
          <w:lang w:eastAsia="ru-RU"/>
        </w:rPr>
        <w:t>În vederea atingerii obiectivelor primei CND, Guvernul</w:t>
      </w:r>
      <w:r w:rsidR="00BC1068">
        <w:rPr>
          <w:rFonts w:ascii="Times New Roman" w:eastAsia="Times New Roman" w:hAnsi="Times New Roman" w:cs="Times New Roman"/>
          <w:color w:val="000000"/>
          <w:sz w:val="24"/>
          <w:szCs w:val="24"/>
          <w:shd w:val="clear" w:color="auto" w:fill="FFFFFF"/>
          <w:lang w:eastAsia="ru-RU"/>
        </w:rPr>
        <w:t xml:space="preserve"> </w:t>
      </w:r>
      <w:r w:rsidRPr="008809EC">
        <w:rPr>
          <w:rFonts w:ascii="Times New Roman" w:eastAsia="Times New Roman" w:hAnsi="Times New Roman" w:cs="Times New Roman"/>
          <w:color w:val="000000"/>
          <w:sz w:val="24"/>
          <w:szCs w:val="24"/>
          <w:shd w:val="clear" w:color="auto" w:fill="FFFFFF"/>
          <w:lang w:eastAsia="ru-RU"/>
        </w:rPr>
        <w:t xml:space="preserve">a elaborat </w:t>
      </w:r>
      <w:r w:rsidR="003525EF" w:rsidRPr="008809EC">
        <w:rPr>
          <w:rFonts w:ascii="Times New Roman" w:eastAsia="Times New Roman" w:hAnsi="Times New Roman" w:cs="Times New Roman"/>
          <w:color w:val="000000"/>
          <w:sz w:val="24"/>
          <w:szCs w:val="24"/>
          <w:shd w:val="clear" w:color="auto" w:fill="FFFFFF"/>
          <w:lang w:eastAsia="ru-RU"/>
        </w:rPr>
        <w:t>și</w:t>
      </w:r>
      <w:r w:rsidRPr="008809EC">
        <w:rPr>
          <w:rFonts w:ascii="Times New Roman" w:eastAsia="Times New Roman" w:hAnsi="Times New Roman" w:cs="Times New Roman"/>
          <w:color w:val="000000"/>
          <w:sz w:val="24"/>
          <w:szCs w:val="24"/>
          <w:shd w:val="clear" w:color="auto" w:fill="FFFFFF"/>
          <w:lang w:eastAsia="ru-RU"/>
        </w:rPr>
        <w:t xml:space="preserve"> aprobat în 2016 Strategia de dezvoltare cu emisii reduse a Republicii Moldova până în anul 2030 </w:t>
      </w:r>
      <w:r w:rsidR="003525EF" w:rsidRPr="008809EC">
        <w:rPr>
          <w:rFonts w:ascii="Times New Roman" w:eastAsia="Times New Roman" w:hAnsi="Times New Roman" w:cs="Times New Roman"/>
          <w:color w:val="000000"/>
          <w:sz w:val="24"/>
          <w:szCs w:val="24"/>
          <w:shd w:val="clear" w:color="auto" w:fill="FFFFFF"/>
          <w:lang w:eastAsia="ru-RU"/>
        </w:rPr>
        <w:t>și</w:t>
      </w:r>
      <w:r w:rsidRPr="008809EC">
        <w:rPr>
          <w:rFonts w:ascii="Times New Roman" w:eastAsia="Times New Roman" w:hAnsi="Times New Roman" w:cs="Times New Roman"/>
          <w:color w:val="000000"/>
          <w:sz w:val="24"/>
          <w:szCs w:val="24"/>
          <w:shd w:val="clear" w:color="auto" w:fill="FFFFFF"/>
          <w:lang w:eastAsia="ru-RU"/>
        </w:rPr>
        <w:t xml:space="preserve"> Planul de </w:t>
      </w:r>
      <w:r w:rsidR="001065C1" w:rsidRPr="008809EC">
        <w:rPr>
          <w:rFonts w:ascii="Times New Roman" w:eastAsia="Times New Roman" w:hAnsi="Times New Roman" w:cs="Times New Roman"/>
          <w:color w:val="000000"/>
          <w:sz w:val="24"/>
          <w:szCs w:val="24"/>
          <w:shd w:val="clear" w:color="auto" w:fill="FFFFFF"/>
          <w:lang w:eastAsia="ru-RU"/>
        </w:rPr>
        <w:t>acțiuni</w:t>
      </w:r>
      <w:r w:rsidRPr="008809EC">
        <w:rPr>
          <w:rFonts w:ascii="Times New Roman" w:eastAsia="Times New Roman" w:hAnsi="Times New Roman" w:cs="Times New Roman"/>
          <w:color w:val="000000"/>
          <w:sz w:val="24"/>
          <w:szCs w:val="24"/>
          <w:shd w:val="clear" w:color="auto" w:fill="FFFFFF"/>
          <w:lang w:eastAsia="ru-RU"/>
        </w:rPr>
        <w:t xml:space="preserve"> pentru implementarea acesteia (SDER), HG </w:t>
      </w:r>
      <w:r w:rsidR="00B166B9" w:rsidRPr="008809EC">
        <w:rPr>
          <w:rFonts w:ascii="Times New Roman" w:eastAsia="Times New Roman" w:hAnsi="Times New Roman" w:cs="Times New Roman"/>
          <w:color w:val="000000"/>
          <w:sz w:val="24"/>
          <w:szCs w:val="24"/>
          <w:shd w:val="clear" w:color="auto" w:fill="FFFFFF"/>
          <w:lang w:eastAsia="ru-RU"/>
        </w:rPr>
        <w:t xml:space="preserve">nr. </w:t>
      </w:r>
      <w:r w:rsidRPr="008809EC">
        <w:rPr>
          <w:rFonts w:ascii="Times New Roman" w:eastAsia="Times New Roman" w:hAnsi="Times New Roman" w:cs="Times New Roman"/>
          <w:color w:val="000000"/>
          <w:sz w:val="24"/>
          <w:szCs w:val="24"/>
          <w:shd w:val="clear" w:color="auto" w:fill="FFFFFF"/>
          <w:lang w:eastAsia="ru-RU"/>
        </w:rPr>
        <w:t xml:space="preserve">1470/2016. </w:t>
      </w:r>
      <w:r w:rsidR="00654EB5" w:rsidRPr="008809EC">
        <w:rPr>
          <w:rFonts w:ascii="Times New Roman" w:hAnsi="Times New Roman" w:cs="Times New Roman"/>
          <w:sz w:val="24"/>
          <w:szCs w:val="24"/>
        </w:rPr>
        <w:t xml:space="preserve">SDER în vigoare este chemată să stabilească politica de atingere a angajamentelor formulate în CNDI, stabilite în anul 2015. Totodată, conform Deciziei 1/CP.21 ale CONUSC, părțile a căror CND au termenul de </w:t>
      </w:r>
      <w:proofErr w:type="spellStart"/>
      <w:r w:rsidR="00654EB5" w:rsidRPr="008809EC">
        <w:rPr>
          <w:rFonts w:ascii="Times New Roman" w:hAnsi="Times New Roman" w:cs="Times New Roman"/>
          <w:sz w:val="24"/>
          <w:szCs w:val="24"/>
        </w:rPr>
        <w:t>p</w:t>
      </w:r>
      <w:r w:rsidR="00A907FA">
        <w:rPr>
          <w:rFonts w:ascii="Times New Roman" w:hAnsi="Times New Roman" w:cs="Times New Roman"/>
          <w:sz w:val="24"/>
          <w:szCs w:val="24"/>
        </w:rPr>
        <w:t>î</w:t>
      </w:r>
      <w:r w:rsidR="00654EB5" w:rsidRPr="008809EC">
        <w:rPr>
          <w:rFonts w:ascii="Times New Roman" w:hAnsi="Times New Roman" w:cs="Times New Roman"/>
          <w:sz w:val="24"/>
          <w:szCs w:val="24"/>
        </w:rPr>
        <w:t>nă</w:t>
      </w:r>
      <w:proofErr w:type="spellEnd"/>
      <w:r w:rsidR="00654EB5" w:rsidRPr="008809EC">
        <w:rPr>
          <w:rFonts w:ascii="Times New Roman" w:hAnsi="Times New Roman" w:cs="Times New Roman"/>
          <w:sz w:val="24"/>
          <w:szCs w:val="24"/>
        </w:rPr>
        <w:t xml:space="preserve"> în 2030 (cazul Republicii Moldova), comunică sau actualizează aceste documente </w:t>
      </w:r>
      <w:proofErr w:type="spellStart"/>
      <w:r w:rsidR="00654EB5" w:rsidRPr="008809EC">
        <w:rPr>
          <w:rFonts w:ascii="Times New Roman" w:hAnsi="Times New Roman" w:cs="Times New Roman"/>
          <w:sz w:val="24"/>
          <w:szCs w:val="24"/>
        </w:rPr>
        <w:t>p</w:t>
      </w:r>
      <w:r w:rsidR="00A907FA">
        <w:rPr>
          <w:rFonts w:ascii="Times New Roman" w:hAnsi="Times New Roman" w:cs="Times New Roman"/>
          <w:sz w:val="24"/>
          <w:szCs w:val="24"/>
        </w:rPr>
        <w:t>î</w:t>
      </w:r>
      <w:r w:rsidR="00654EB5" w:rsidRPr="008809EC">
        <w:rPr>
          <w:rFonts w:ascii="Times New Roman" w:hAnsi="Times New Roman" w:cs="Times New Roman"/>
          <w:sz w:val="24"/>
          <w:szCs w:val="24"/>
        </w:rPr>
        <w:t>nă</w:t>
      </w:r>
      <w:proofErr w:type="spellEnd"/>
      <w:r w:rsidR="00654EB5" w:rsidRPr="008809EC">
        <w:rPr>
          <w:rFonts w:ascii="Times New Roman" w:hAnsi="Times New Roman" w:cs="Times New Roman"/>
          <w:sz w:val="24"/>
          <w:szCs w:val="24"/>
        </w:rPr>
        <w:t xml:space="preserve"> în 2020 și vor face acest lucru fiecare cinci ani după aceasta, conform Articolului 4, alineatul 9, al </w:t>
      </w:r>
      <w:r w:rsidR="00654EB5" w:rsidRPr="001065C1">
        <w:rPr>
          <w:rFonts w:ascii="Times New Roman" w:hAnsi="Times New Roman" w:cs="Times New Roman"/>
          <w:sz w:val="24"/>
          <w:szCs w:val="24"/>
        </w:rPr>
        <w:t xml:space="preserve">Acordului de la Paris. Urmare a Deciziei 1/CP21, în anii 2019-2020, a fost elaborată CND actualizată, iar prin adresarea Ministerului Agriculturii, Dezvoltării Regionale </w:t>
      </w:r>
      <w:r w:rsidR="001065C1" w:rsidRPr="001065C1">
        <w:rPr>
          <w:rFonts w:ascii="Times New Roman" w:hAnsi="Times New Roman" w:cs="Times New Roman"/>
          <w:sz w:val="24"/>
          <w:szCs w:val="24"/>
        </w:rPr>
        <w:t>și</w:t>
      </w:r>
      <w:r w:rsidR="00654EB5" w:rsidRPr="001065C1">
        <w:rPr>
          <w:rFonts w:ascii="Times New Roman" w:hAnsi="Times New Roman" w:cs="Times New Roman"/>
          <w:sz w:val="24"/>
          <w:szCs w:val="24"/>
        </w:rPr>
        <w:t xml:space="preserve"> Mediului către Secretariatul CONUSC din 21.02.20 aceasta a fost înregistrată pe platforma </w:t>
      </w:r>
      <w:r w:rsidR="001065C1" w:rsidRPr="001065C1">
        <w:rPr>
          <w:rFonts w:ascii="Times New Roman" w:hAnsi="Times New Roman" w:cs="Times New Roman"/>
          <w:sz w:val="24"/>
          <w:szCs w:val="24"/>
        </w:rPr>
        <w:t>Convenției</w:t>
      </w:r>
      <w:r w:rsidR="009949D8" w:rsidRPr="001065C1">
        <w:rPr>
          <w:rFonts w:ascii="Times New Roman" w:hAnsi="Times New Roman" w:cs="Times New Roman"/>
          <w:sz w:val="24"/>
          <w:szCs w:val="24"/>
        </w:rPr>
        <w:t>.</w:t>
      </w:r>
      <w:r w:rsidR="00654EB5" w:rsidRPr="001065C1">
        <w:rPr>
          <w:rFonts w:ascii="Times New Roman" w:hAnsi="Times New Roman" w:cs="Times New Roman"/>
          <w:sz w:val="24"/>
          <w:szCs w:val="24"/>
        </w:rPr>
        <w:t xml:space="preserve"> Odată înregistrată, se cer </w:t>
      </w:r>
      <w:r w:rsidR="001065C1" w:rsidRPr="001065C1">
        <w:rPr>
          <w:rFonts w:ascii="Times New Roman" w:hAnsi="Times New Roman" w:cs="Times New Roman"/>
          <w:sz w:val="24"/>
          <w:szCs w:val="24"/>
        </w:rPr>
        <w:t>acțiuni</w:t>
      </w:r>
      <w:r w:rsidR="00654EB5" w:rsidRPr="001065C1">
        <w:rPr>
          <w:rFonts w:ascii="Times New Roman" w:hAnsi="Times New Roman" w:cs="Times New Roman"/>
          <w:sz w:val="24"/>
          <w:szCs w:val="24"/>
        </w:rPr>
        <w:t xml:space="preserve"> concrete din partea Republicii Moldova spre realizarea angajamentelor noi, asumate de țară față de CONUSC</w:t>
      </w:r>
      <w:r w:rsidR="00A907FA">
        <w:rPr>
          <w:rFonts w:ascii="Times New Roman" w:hAnsi="Times New Roman" w:cs="Times New Roman"/>
          <w:sz w:val="24"/>
          <w:szCs w:val="24"/>
        </w:rPr>
        <w:t xml:space="preserve">, care la fel sunt în armonie și cu Acordul de asociere cu </w:t>
      </w:r>
      <w:r w:rsidR="00654EB5" w:rsidRPr="001065C1">
        <w:rPr>
          <w:rFonts w:ascii="Times New Roman" w:hAnsi="Times New Roman" w:cs="Times New Roman"/>
          <w:sz w:val="24"/>
          <w:szCs w:val="24"/>
        </w:rPr>
        <w:t>Uniunea Europeană.</w:t>
      </w:r>
    </w:p>
    <w:p w14:paraId="0842F379" w14:textId="352CAB7A" w:rsidR="00A022F8" w:rsidRPr="001065C1" w:rsidRDefault="005A44AE" w:rsidP="00654EB5">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Cu referire la </w:t>
      </w:r>
      <w:r w:rsidR="00EA0610">
        <w:rPr>
          <w:rFonts w:ascii="Times New Roman" w:hAnsi="Times New Roman" w:cs="Times New Roman"/>
          <w:sz w:val="24"/>
          <w:szCs w:val="24"/>
        </w:rPr>
        <w:t xml:space="preserve">obiectivul SDER pentru anul 2020, </w:t>
      </w:r>
      <w:r w:rsidR="00A022F8" w:rsidRPr="00A022F8">
        <w:rPr>
          <w:rFonts w:ascii="Times New Roman" w:hAnsi="Times New Roman" w:cs="Times New Roman"/>
          <w:sz w:val="24"/>
          <w:szCs w:val="24"/>
        </w:rPr>
        <w:t>Republica Moldova a depășit nivelul planificat de emisii cu doar cca 4%</w:t>
      </w:r>
      <w:r w:rsidR="00514B83">
        <w:rPr>
          <w:rFonts w:ascii="Times New Roman" w:hAnsi="Times New Roman" w:cs="Times New Roman"/>
          <w:sz w:val="24"/>
          <w:szCs w:val="24"/>
        </w:rPr>
        <w:t xml:space="preserve">. Această </w:t>
      </w:r>
      <w:r w:rsidR="005318ED">
        <w:rPr>
          <w:rFonts w:ascii="Times New Roman" w:hAnsi="Times New Roman" w:cs="Times New Roman"/>
          <w:sz w:val="24"/>
          <w:szCs w:val="24"/>
        </w:rPr>
        <w:t>devansare, însă, este una estimativă</w:t>
      </w:r>
      <w:r w:rsidR="00310749">
        <w:rPr>
          <w:rFonts w:ascii="Times New Roman" w:hAnsi="Times New Roman" w:cs="Times New Roman"/>
          <w:sz w:val="24"/>
          <w:szCs w:val="24"/>
        </w:rPr>
        <w:t xml:space="preserve"> și ar putea fi </w:t>
      </w:r>
      <w:r w:rsidR="000F68D1">
        <w:rPr>
          <w:rFonts w:ascii="Times New Roman" w:hAnsi="Times New Roman" w:cs="Times New Roman"/>
          <w:sz w:val="24"/>
          <w:szCs w:val="24"/>
        </w:rPr>
        <w:t xml:space="preserve">revăzută după </w:t>
      </w:r>
      <w:r w:rsidR="008B4CFE">
        <w:rPr>
          <w:rFonts w:ascii="Times New Roman" w:hAnsi="Times New Roman" w:cs="Times New Roman"/>
          <w:sz w:val="24"/>
          <w:szCs w:val="24"/>
        </w:rPr>
        <w:t xml:space="preserve">actualizarea </w:t>
      </w:r>
      <w:r w:rsidR="00827950">
        <w:rPr>
          <w:rFonts w:ascii="Times New Roman" w:hAnsi="Times New Roman" w:cs="Times New Roman"/>
          <w:sz w:val="24"/>
          <w:szCs w:val="24"/>
        </w:rPr>
        <w:t xml:space="preserve">Raportului </w:t>
      </w:r>
      <w:proofErr w:type="spellStart"/>
      <w:r w:rsidR="00827950">
        <w:rPr>
          <w:rFonts w:ascii="Times New Roman" w:hAnsi="Times New Roman" w:cs="Times New Roman"/>
          <w:sz w:val="24"/>
          <w:szCs w:val="24"/>
        </w:rPr>
        <w:t>Națion</w:t>
      </w:r>
      <w:proofErr w:type="spellEnd"/>
      <w:r w:rsidR="00827950">
        <w:rPr>
          <w:rFonts w:ascii="Times New Roman" w:hAnsi="Times New Roman" w:cs="Times New Roman"/>
          <w:sz w:val="24"/>
          <w:szCs w:val="24"/>
        </w:rPr>
        <w:t xml:space="preserve"> al de </w:t>
      </w:r>
      <w:r w:rsidR="000F68D1">
        <w:rPr>
          <w:rFonts w:ascii="Times New Roman" w:hAnsi="Times New Roman" w:cs="Times New Roman"/>
          <w:sz w:val="24"/>
          <w:szCs w:val="24"/>
        </w:rPr>
        <w:t>Inventar</w:t>
      </w:r>
      <w:r w:rsidR="00827950">
        <w:rPr>
          <w:rFonts w:ascii="Times New Roman" w:hAnsi="Times New Roman" w:cs="Times New Roman"/>
          <w:sz w:val="24"/>
          <w:szCs w:val="24"/>
        </w:rPr>
        <w:t>iere 1990-</w:t>
      </w:r>
      <w:r w:rsidR="00E85102">
        <w:rPr>
          <w:rFonts w:ascii="Times New Roman" w:hAnsi="Times New Roman" w:cs="Times New Roman"/>
          <w:sz w:val="24"/>
          <w:szCs w:val="24"/>
        </w:rPr>
        <w:t xml:space="preserve">2019 care a servit ca sursă pentru efectuarea estimărilor respective. </w:t>
      </w:r>
    </w:p>
    <w:p w14:paraId="11E22B22" w14:textId="722A78C4" w:rsidR="00654EB5" w:rsidRPr="001065C1" w:rsidRDefault="00654EB5" w:rsidP="00654EB5">
      <w:pPr>
        <w:spacing w:after="120" w:line="240" w:lineRule="auto"/>
        <w:jc w:val="both"/>
        <w:rPr>
          <w:rFonts w:ascii="Times New Roman" w:eastAsia="Times New Roman" w:hAnsi="Times New Roman" w:cs="Times New Roman"/>
          <w:color w:val="000000"/>
          <w:sz w:val="24"/>
          <w:szCs w:val="24"/>
          <w:shd w:val="clear" w:color="auto" w:fill="FFFFFF"/>
          <w:lang w:eastAsia="ru-RU"/>
        </w:rPr>
      </w:pPr>
      <w:r w:rsidRPr="001065C1">
        <w:rPr>
          <w:rFonts w:ascii="Times New Roman" w:hAnsi="Times New Roman" w:cs="Times New Roman"/>
          <w:sz w:val="24"/>
          <w:szCs w:val="24"/>
        </w:rPr>
        <w:t xml:space="preserve">Scopul </w:t>
      </w:r>
      <w:r w:rsidR="009949D8" w:rsidRPr="001065C1">
        <w:rPr>
          <w:rFonts w:ascii="Times New Roman" w:hAnsi="Times New Roman" w:cs="Times New Roman"/>
          <w:sz w:val="24"/>
          <w:szCs w:val="24"/>
        </w:rPr>
        <w:t xml:space="preserve">prezentului </w:t>
      </w:r>
      <w:r w:rsidRPr="001065C1">
        <w:rPr>
          <w:rFonts w:ascii="Times New Roman" w:hAnsi="Times New Roman" w:cs="Times New Roman"/>
          <w:sz w:val="24"/>
          <w:szCs w:val="24"/>
        </w:rPr>
        <w:t xml:space="preserve">Program de dezvoltare cu emisii reduse a Republicii Moldova </w:t>
      </w:r>
      <w:proofErr w:type="spellStart"/>
      <w:r w:rsidRPr="001065C1">
        <w:rPr>
          <w:rFonts w:ascii="Times New Roman" w:hAnsi="Times New Roman" w:cs="Times New Roman"/>
          <w:sz w:val="24"/>
          <w:szCs w:val="24"/>
        </w:rPr>
        <w:t>p</w:t>
      </w:r>
      <w:r w:rsidR="00A907FA">
        <w:rPr>
          <w:rFonts w:ascii="Times New Roman" w:hAnsi="Times New Roman" w:cs="Times New Roman"/>
          <w:sz w:val="24"/>
          <w:szCs w:val="24"/>
        </w:rPr>
        <w:t>î</w:t>
      </w:r>
      <w:r w:rsidRPr="001065C1">
        <w:rPr>
          <w:rFonts w:ascii="Times New Roman" w:hAnsi="Times New Roman" w:cs="Times New Roman"/>
          <w:sz w:val="24"/>
          <w:szCs w:val="24"/>
        </w:rPr>
        <w:t>nă</w:t>
      </w:r>
      <w:proofErr w:type="spellEnd"/>
      <w:r w:rsidRPr="001065C1">
        <w:rPr>
          <w:rFonts w:ascii="Times New Roman" w:hAnsi="Times New Roman" w:cs="Times New Roman"/>
          <w:sz w:val="24"/>
          <w:szCs w:val="24"/>
        </w:rPr>
        <w:t xml:space="preserve"> în anul 2030 </w:t>
      </w:r>
      <w:r w:rsidR="001065C1" w:rsidRPr="001065C1">
        <w:rPr>
          <w:rFonts w:ascii="Times New Roman" w:hAnsi="Times New Roman" w:cs="Times New Roman"/>
          <w:sz w:val="24"/>
          <w:szCs w:val="24"/>
        </w:rPr>
        <w:t>și</w:t>
      </w:r>
      <w:r w:rsidRPr="001065C1">
        <w:rPr>
          <w:rFonts w:ascii="Times New Roman" w:hAnsi="Times New Roman" w:cs="Times New Roman"/>
          <w:sz w:val="24"/>
          <w:szCs w:val="24"/>
        </w:rPr>
        <w:t xml:space="preserve"> Planul de </w:t>
      </w:r>
      <w:r w:rsidR="001065C1" w:rsidRPr="001065C1">
        <w:rPr>
          <w:rFonts w:ascii="Times New Roman" w:hAnsi="Times New Roman" w:cs="Times New Roman"/>
          <w:sz w:val="24"/>
          <w:szCs w:val="24"/>
        </w:rPr>
        <w:t>acțiuni</w:t>
      </w:r>
      <w:r w:rsidRPr="001065C1">
        <w:rPr>
          <w:rFonts w:ascii="Times New Roman" w:hAnsi="Times New Roman" w:cs="Times New Roman"/>
          <w:sz w:val="24"/>
          <w:szCs w:val="24"/>
        </w:rPr>
        <w:t xml:space="preserve"> pentru implementarea acestuia (PDER) constă în atingerea obiectivelor de reducere a emisiilor de gaze cu efect de seră expuse în </w:t>
      </w:r>
      <w:r w:rsidR="001065C1" w:rsidRPr="001065C1">
        <w:rPr>
          <w:rFonts w:ascii="Times New Roman" w:hAnsi="Times New Roman" w:cs="Times New Roman"/>
          <w:sz w:val="24"/>
          <w:szCs w:val="24"/>
        </w:rPr>
        <w:t>Contribuția</w:t>
      </w:r>
      <w:r w:rsidRPr="001065C1">
        <w:rPr>
          <w:rFonts w:ascii="Times New Roman" w:hAnsi="Times New Roman" w:cs="Times New Roman"/>
          <w:sz w:val="24"/>
          <w:szCs w:val="24"/>
        </w:rPr>
        <w:t xml:space="preserve"> </w:t>
      </w:r>
      <w:r w:rsidR="001065C1" w:rsidRPr="001065C1">
        <w:rPr>
          <w:rFonts w:ascii="Times New Roman" w:hAnsi="Times New Roman" w:cs="Times New Roman"/>
          <w:sz w:val="24"/>
          <w:szCs w:val="24"/>
        </w:rPr>
        <w:t>Națională</w:t>
      </w:r>
      <w:r w:rsidRPr="001065C1">
        <w:rPr>
          <w:rFonts w:ascii="Times New Roman" w:hAnsi="Times New Roman" w:cs="Times New Roman"/>
          <w:sz w:val="24"/>
          <w:szCs w:val="24"/>
        </w:rPr>
        <w:t xml:space="preserve"> Determinată actualizată (CNDA) raportată </w:t>
      </w:r>
      <w:r w:rsidR="00A907FA">
        <w:rPr>
          <w:rFonts w:ascii="Times New Roman" w:hAnsi="Times New Roman" w:cs="Times New Roman"/>
          <w:sz w:val="24"/>
          <w:szCs w:val="24"/>
        </w:rPr>
        <w:t xml:space="preserve">către </w:t>
      </w:r>
      <w:r w:rsidRPr="001065C1">
        <w:rPr>
          <w:rFonts w:ascii="Times New Roman" w:hAnsi="Times New Roman" w:cs="Times New Roman"/>
          <w:sz w:val="24"/>
          <w:szCs w:val="24"/>
        </w:rPr>
        <w:t xml:space="preserve">CONUSC </w:t>
      </w:r>
      <w:r w:rsidR="001065C1" w:rsidRPr="001065C1">
        <w:rPr>
          <w:rFonts w:ascii="Times New Roman" w:hAnsi="Times New Roman" w:cs="Times New Roman"/>
          <w:sz w:val="24"/>
          <w:szCs w:val="24"/>
        </w:rPr>
        <w:t>și</w:t>
      </w:r>
      <w:r w:rsidRPr="001065C1">
        <w:rPr>
          <w:rFonts w:ascii="Times New Roman" w:hAnsi="Times New Roman" w:cs="Times New Roman"/>
          <w:sz w:val="24"/>
          <w:szCs w:val="24"/>
        </w:rPr>
        <w:t xml:space="preserve"> înregistrată pe platforma acesteia pe 4 martie 2020.</w:t>
      </w:r>
    </w:p>
    <w:p w14:paraId="2C9D80B5" w14:textId="4923A72F" w:rsidR="00654EB5" w:rsidRPr="001065C1" w:rsidRDefault="00654EB5" w:rsidP="00654EB5">
      <w:pPr>
        <w:spacing w:after="0" w:line="240" w:lineRule="auto"/>
        <w:jc w:val="both"/>
        <w:rPr>
          <w:rFonts w:ascii="Times New Roman" w:eastAsia="Times New Roman" w:hAnsi="Times New Roman" w:cs="Times New Roman"/>
          <w:sz w:val="24"/>
          <w:szCs w:val="24"/>
          <w:lang w:eastAsia="ru-RU"/>
        </w:rPr>
      </w:pPr>
      <w:r w:rsidRPr="001065C1">
        <w:rPr>
          <w:rFonts w:ascii="Times New Roman" w:eastAsia="Times New Roman" w:hAnsi="Times New Roman" w:cs="Times New Roman"/>
          <w:sz w:val="24"/>
          <w:szCs w:val="24"/>
          <w:lang w:eastAsia="ru-RU"/>
        </w:rPr>
        <w:t xml:space="preserve">În CND actualizată (CNDA), Republica Moldova intenționează să atingă obiective mai ambițioase </w:t>
      </w:r>
      <w:proofErr w:type="spellStart"/>
      <w:r w:rsidRPr="001065C1">
        <w:rPr>
          <w:rFonts w:ascii="Times New Roman" w:eastAsia="Times New Roman" w:hAnsi="Times New Roman" w:cs="Times New Roman"/>
          <w:sz w:val="24"/>
          <w:szCs w:val="24"/>
          <w:lang w:eastAsia="ru-RU"/>
        </w:rPr>
        <w:t>dec</w:t>
      </w:r>
      <w:r w:rsidR="00A907FA">
        <w:rPr>
          <w:rFonts w:ascii="Times New Roman" w:eastAsia="Times New Roman" w:hAnsi="Times New Roman" w:cs="Times New Roman"/>
          <w:sz w:val="24"/>
          <w:szCs w:val="24"/>
          <w:lang w:eastAsia="ru-RU"/>
        </w:rPr>
        <w:t>î</w:t>
      </w:r>
      <w:r w:rsidRPr="001065C1">
        <w:rPr>
          <w:rFonts w:ascii="Times New Roman" w:eastAsia="Times New Roman" w:hAnsi="Times New Roman" w:cs="Times New Roman"/>
          <w:sz w:val="24"/>
          <w:szCs w:val="24"/>
          <w:lang w:eastAsia="ru-RU"/>
        </w:rPr>
        <w:t>t</w:t>
      </w:r>
      <w:proofErr w:type="spellEnd"/>
      <w:r w:rsidRPr="001065C1">
        <w:rPr>
          <w:rFonts w:ascii="Times New Roman" w:eastAsia="Times New Roman" w:hAnsi="Times New Roman" w:cs="Times New Roman"/>
          <w:sz w:val="24"/>
          <w:szCs w:val="24"/>
          <w:lang w:eastAsia="ru-RU"/>
        </w:rPr>
        <w:t xml:space="preserve"> în prima CND(I). Obiectivul nou, necondiționat, care cuprinde întreaga economie a țării, prevede reducerea emisiilor de gaze cu efect de seră cu 70% </w:t>
      </w:r>
      <w:r w:rsidR="00A907FA">
        <w:rPr>
          <w:rFonts w:ascii="Times New Roman" w:eastAsia="Times New Roman" w:hAnsi="Times New Roman" w:cs="Times New Roman"/>
          <w:sz w:val="24"/>
          <w:szCs w:val="24"/>
          <w:lang w:eastAsia="ru-RU"/>
        </w:rPr>
        <w:t xml:space="preserve">către </w:t>
      </w:r>
      <w:r w:rsidRPr="001065C1">
        <w:rPr>
          <w:rFonts w:ascii="Times New Roman" w:eastAsia="Times New Roman" w:hAnsi="Times New Roman" w:cs="Times New Roman"/>
          <w:sz w:val="24"/>
          <w:szCs w:val="24"/>
          <w:lang w:eastAsia="ru-RU"/>
        </w:rPr>
        <w:t xml:space="preserve">anul 2030 </w:t>
      </w:r>
      <w:r w:rsidR="001065C1" w:rsidRPr="001065C1">
        <w:rPr>
          <w:rFonts w:ascii="Times New Roman" w:eastAsia="Times New Roman" w:hAnsi="Times New Roman" w:cs="Times New Roman"/>
          <w:sz w:val="24"/>
          <w:szCs w:val="24"/>
          <w:lang w:eastAsia="ru-RU"/>
        </w:rPr>
        <w:t>fată</w:t>
      </w:r>
      <w:r w:rsidRPr="001065C1">
        <w:rPr>
          <w:rFonts w:ascii="Times New Roman" w:eastAsia="Times New Roman" w:hAnsi="Times New Roman" w:cs="Times New Roman"/>
          <w:sz w:val="24"/>
          <w:szCs w:val="24"/>
          <w:lang w:eastAsia="ru-RU"/>
        </w:rPr>
        <w:t xml:space="preserve"> de anul 1990, în loc de 64-67% asumate în CND(I).</w:t>
      </w:r>
    </w:p>
    <w:p w14:paraId="315F72ED" w14:textId="32996671" w:rsidR="00654EB5" w:rsidRPr="001065C1" w:rsidRDefault="00654EB5" w:rsidP="00654EB5">
      <w:pPr>
        <w:spacing w:after="120" w:line="240" w:lineRule="auto"/>
        <w:jc w:val="both"/>
        <w:rPr>
          <w:rFonts w:ascii="Times New Roman" w:eastAsia="Times New Roman" w:hAnsi="Times New Roman" w:cs="Times New Roman"/>
          <w:sz w:val="24"/>
          <w:szCs w:val="24"/>
          <w:lang w:eastAsia="ru-RU"/>
        </w:rPr>
      </w:pPr>
      <w:r w:rsidRPr="001065C1">
        <w:rPr>
          <w:rFonts w:ascii="Times New Roman" w:eastAsia="Times New Roman" w:hAnsi="Times New Roman" w:cs="Times New Roman"/>
          <w:sz w:val="24"/>
          <w:szCs w:val="24"/>
          <w:lang w:eastAsia="ru-RU"/>
        </w:rPr>
        <w:t>În ceea ce privește obiectivul condiționat, în loc de 78%, asumate în CNDA, angajamentul de reducere exprimat mai sus ar putea fi sporit până la 88% sub nivelul 1990, cu condiția suportului adecvat din partea donatorilor</w:t>
      </w:r>
      <w:r w:rsidR="006C45CE" w:rsidRPr="001065C1">
        <w:rPr>
          <w:rFonts w:ascii="Times New Roman" w:eastAsia="Times New Roman" w:hAnsi="Times New Roman" w:cs="Times New Roman"/>
          <w:sz w:val="24"/>
          <w:szCs w:val="24"/>
          <w:lang w:eastAsia="ru-RU"/>
        </w:rPr>
        <w:t xml:space="preserve"> </w:t>
      </w:r>
      <w:r w:rsidR="001065C1" w:rsidRPr="001065C1">
        <w:rPr>
          <w:rFonts w:ascii="Times New Roman" w:eastAsia="Times New Roman" w:hAnsi="Times New Roman" w:cs="Times New Roman"/>
          <w:sz w:val="24"/>
          <w:szCs w:val="24"/>
          <w:lang w:eastAsia="ru-RU"/>
        </w:rPr>
        <w:t>internaționali</w:t>
      </w:r>
      <w:r w:rsidRPr="001065C1">
        <w:rPr>
          <w:rFonts w:ascii="Times New Roman" w:eastAsia="Times New Roman" w:hAnsi="Times New Roman" w:cs="Times New Roman"/>
          <w:sz w:val="24"/>
          <w:szCs w:val="24"/>
          <w:lang w:eastAsia="ru-RU"/>
        </w:rPr>
        <w:t>.</w:t>
      </w:r>
    </w:p>
    <w:p w14:paraId="35C8B967" w14:textId="297CE99C" w:rsidR="00654EB5" w:rsidRPr="001065C1" w:rsidRDefault="00654EB5" w:rsidP="00654EB5">
      <w:pPr>
        <w:spacing w:after="120" w:line="240" w:lineRule="auto"/>
        <w:jc w:val="both"/>
        <w:rPr>
          <w:rFonts w:ascii="Times New Roman" w:eastAsia="Times New Roman" w:hAnsi="Times New Roman" w:cs="Times New Roman"/>
          <w:sz w:val="24"/>
          <w:szCs w:val="24"/>
          <w:lang w:eastAsia="ru-RU"/>
        </w:rPr>
      </w:pPr>
      <w:r w:rsidRPr="001065C1">
        <w:rPr>
          <w:rFonts w:ascii="Times New Roman" w:eastAsia="Times New Roman" w:hAnsi="Times New Roman" w:cs="Times New Roman"/>
          <w:sz w:val="24"/>
          <w:szCs w:val="24"/>
          <w:lang w:eastAsia="ru-RU"/>
        </w:rPr>
        <w:t xml:space="preserve">Odată cu stabilirea în CNDA a unor </w:t>
      </w:r>
      <w:r w:rsidR="001065C1" w:rsidRPr="001065C1">
        <w:rPr>
          <w:rFonts w:ascii="Times New Roman" w:eastAsia="Times New Roman" w:hAnsi="Times New Roman" w:cs="Times New Roman"/>
          <w:sz w:val="24"/>
          <w:szCs w:val="24"/>
          <w:lang w:eastAsia="ru-RU"/>
        </w:rPr>
        <w:t>ținte</w:t>
      </w:r>
      <w:r w:rsidRPr="001065C1">
        <w:rPr>
          <w:rFonts w:ascii="Times New Roman" w:eastAsia="Times New Roman" w:hAnsi="Times New Roman" w:cs="Times New Roman"/>
          <w:sz w:val="24"/>
          <w:szCs w:val="24"/>
          <w:lang w:eastAsia="ru-RU"/>
        </w:rPr>
        <w:t xml:space="preserve"> mai </w:t>
      </w:r>
      <w:r w:rsidR="001065C1" w:rsidRPr="001065C1">
        <w:rPr>
          <w:rFonts w:ascii="Times New Roman" w:eastAsia="Times New Roman" w:hAnsi="Times New Roman" w:cs="Times New Roman"/>
          <w:sz w:val="24"/>
          <w:szCs w:val="24"/>
          <w:lang w:eastAsia="ru-RU"/>
        </w:rPr>
        <w:t>ambițioase</w:t>
      </w:r>
      <w:r w:rsidRPr="001065C1">
        <w:rPr>
          <w:rFonts w:ascii="Times New Roman" w:eastAsia="Times New Roman" w:hAnsi="Times New Roman" w:cs="Times New Roman"/>
          <w:sz w:val="24"/>
          <w:szCs w:val="24"/>
          <w:lang w:eastAsia="ru-RU"/>
        </w:rPr>
        <w:t xml:space="preserve"> de reducere a</w:t>
      </w:r>
      <w:r w:rsidR="00A907FA">
        <w:rPr>
          <w:rFonts w:ascii="Times New Roman" w:eastAsia="Times New Roman" w:hAnsi="Times New Roman" w:cs="Times New Roman"/>
          <w:sz w:val="24"/>
          <w:szCs w:val="24"/>
          <w:lang w:eastAsia="ru-RU"/>
        </w:rPr>
        <w:t xml:space="preserve"> emisiilor de</w:t>
      </w:r>
      <w:r w:rsidRPr="001065C1">
        <w:rPr>
          <w:rFonts w:ascii="Times New Roman" w:eastAsia="Times New Roman" w:hAnsi="Times New Roman" w:cs="Times New Roman"/>
          <w:sz w:val="24"/>
          <w:szCs w:val="24"/>
          <w:lang w:eastAsia="ru-RU"/>
        </w:rPr>
        <w:t xml:space="preserve"> GES, SDER actuală nu mai poate servi ca mijloc de îndeplinire în deplină măsură a CND actualizate. Cu alte </w:t>
      </w:r>
      <w:r w:rsidRPr="001065C1">
        <w:rPr>
          <w:rFonts w:ascii="Times New Roman" w:eastAsia="Times New Roman" w:hAnsi="Times New Roman" w:cs="Times New Roman"/>
          <w:sz w:val="24"/>
          <w:szCs w:val="24"/>
          <w:lang w:eastAsia="ru-RU"/>
        </w:rPr>
        <w:lastRenderedPageBreak/>
        <w:t xml:space="preserve">cuvinte, în vederea atingerii scopului CNDA se cere actualizarea </w:t>
      </w:r>
      <w:r w:rsidR="001065C1" w:rsidRPr="001065C1">
        <w:rPr>
          <w:rFonts w:ascii="Times New Roman" w:eastAsia="Times New Roman" w:hAnsi="Times New Roman" w:cs="Times New Roman"/>
          <w:sz w:val="24"/>
          <w:szCs w:val="24"/>
          <w:lang w:eastAsia="ru-RU"/>
        </w:rPr>
        <w:t>și</w:t>
      </w:r>
      <w:r w:rsidRPr="001065C1">
        <w:rPr>
          <w:rFonts w:ascii="Times New Roman" w:eastAsia="Times New Roman" w:hAnsi="Times New Roman" w:cs="Times New Roman"/>
          <w:sz w:val="24"/>
          <w:szCs w:val="24"/>
          <w:lang w:eastAsia="ru-RU"/>
        </w:rPr>
        <w:t xml:space="preserve"> a SDER în vigoare. Totodată, prevederea pct. 4 din </w:t>
      </w:r>
      <w:r w:rsidR="009949D8" w:rsidRPr="001065C1">
        <w:rPr>
          <w:rFonts w:ascii="Times New Roman" w:eastAsia="Times New Roman" w:hAnsi="Times New Roman" w:cs="Times New Roman"/>
          <w:sz w:val="24"/>
          <w:szCs w:val="24"/>
          <w:lang w:eastAsia="ru-RU"/>
        </w:rPr>
        <w:t xml:space="preserve">recenta </w:t>
      </w:r>
      <w:r w:rsidRPr="001065C1">
        <w:rPr>
          <w:rFonts w:ascii="Times New Roman" w:eastAsia="Times New Roman" w:hAnsi="Times New Roman" w:cs="Times New Roman"/>
          <w:sz w:val="24"/>
          <w:szCs w:val="24"/>
          <w:lang w:eastAsia="ru-RU"/>
        </w:rPr>
        <w:t xml:space="preserve">HG 386/2020 </w:t>
      </w:r>
      <w:r w:rsidR="001065C1" w:rsidRPr="001065C1">
        <w:rPr>
          <w:rFonts w:ascii="Times New Roman" w:eastAsia="Times New Roman" w:hAnsi="Times New Roman" w:cs="Times New Roman"/>
          <w:sz w:val="24"/>
          <w:szCs w:val="24"/>
          <w:lang w:eastAsia="ru-RU"/>
        </w:rPr>
        <w:t>stabilește</w:t>
      </w:r>
      <w:r w:rsidRPr="001065C1">
        <w:rPr>
          <w:rFonts w:ascii="Times New Roman" w:eastAsia="Times New Roman" w:hAnsi="Times New Roman" w:cs="Times New Roman"/>
          <w:sz w:val="24"/>
          <w:szCs w:val="24"/>
          <w:lang w:eastAsia="ru-RU"/>
        </w:rPr>
        <w:t xml:space="preserve"> că, ”Documentele de politici publice în vigoare care nu se conformează cu prevederile prezentei hotărâri rămân executabile până la finalizarea termenului prevăzut de implementare, dar nu mai mult de 2 ani de la intrarea în vigoare a prezentei hotărâri”. Drept urmare a acestei clauze, prezentul document </w:t>
      </w:r>
      <w:r w:rsidR="000E3669" w:rsidRPr="001065C1">
        <w:rPr>
          <w:rFonts w:ascii="Times New Roman" w:eastAsia="Times New Roman" w:hAnsi="Times New Roman" w:cs="Times New Roman"/>
          <w:sz w:val="24"/>
          <w:szCs w:val="24"/>
          <w:lang w:eastAsia="ru-RU"/>
        </w:rPr>
        <w:t>corespunde</w:t>
      </w:r>
      <w:r w:rsidRPr="001065C1">
        <w:rPr>
          <w:rFonts w:ascii="Times New Roman" w:eastAsia="Times New Roman" w:hAnsi="Times New Roman" w:cs="Times New Roman"/>
          <w:sz w:val="24"/>
          <w:szCs w:val="24"/>
          <w:lang w:eastAsia="ru-RU"/>
        </w:rPr>
        <w:t xml:space="preserve"> Programu</w:t>
      </w:r>
      <w:r w:rsidR="000E3669" w:rsidRPr="001065C1">
        <w:rPr>
          <w:rFonts w:ascii="Times New Roman" w:eastAsia="Times New Roman" w:hAnsi="Times New Roman" w:cs="Times New Roman"/>
          <w:sz w:val="24"/>
          <w:szCs w:val="24"/>
          <w:lang w:eastAsia="ru-RU"/>
        </w:rPr>
        <w:t>lui</w:t>
      </w:r>
      <w:r w:rsidRPr="001065C1">
        <w:rPr>
          <w:rFonts w:ascii="Times New Roman" w:eastAsia="Times New Roman" w:hAnsi="Times New Roman" w:cs="Times New Roman"/>
          <w:sz w:val="24"/>
          <w:szCs w:val="24"/>
          <w:lang w:eastAsia="ru-RU"/>
        </w:rPr>
        <w:t xml:space="preserve"> de dezvoltare cu emisii reduse a Republicii Moldova în vederea atingerii obiectivelor CNDA, precum </w:t>
      </w:r>
      <w:r w:rsidR="001065C1" w:rsidRPr="001065C1">
        <w:rPr>
          <w:rFonts w:ascii="Times New Roman" w:eastAsia="Times New Roman" w:hAnsi="Times New Roman" w:cs="Times New Roman"/>
          <w:sz w:val="24"/>
          <w:szCs w:val="24"/>
          <w:lang w:eastAsia="ru-RU"/>
        </w:rPr>
        <w:t>și</w:t>
      </w:r>
      <w:r w:rsidRPr="001065C1">
        <w:rPr>
          <w:rFonts w:ascii="Times New Roman" w:eastAsia="Times New Roman" w:hAnsi="Times New Roman" w:cs="Times New Roman"/>
          <w:sz w:val="24"/>
          <w:szCs w:val="24"/>
          <w:lang w:eastAsia="ru-RU"/>
        </w:rPr>
        <w:t xml:space="preserve"> a obiectivelor specifice la capitolul reducerii emisiilor de GES expuse în Strategia de mediu pentru anii 2014-2023, HG nr. 301/2014, </w:t>
      </w:r>
      <w:r w:rsidR="001065C1" w:rsidRPr="001065C1">
        <w:rPr>
          <w:rFonts w:ascii="Times New Roman" w:eastAsia="Times New Roman" w:hAnsi="Times New Roman" w:cs="Times New Roman"/>
          <w:sz w:val="24"/>
          <w:szCs w:val="24"/>
          <w:lang w:eastAsia="ru-RU"/>
        </w:rPr>
        <w:t>și</w:t>
      </w:r>
      <w:r w:rsidRPr="001065C1">
        <w:rPr>
          <w:rFonts w:ascii="Times New Roman" w:eastAsia="Times New Roman" w:hAnsi="Times New Roman" w:cs="Times New Roman"/>
          <w:sz w:val="24"/>
          <w:szCs w:val="24"/>
          <w:lang w:eastAsia="ru-RU"/>
        </w:rPr>
        <w:t xml:space="preserve"> anume:</w:t>
      </w:r>
    </w:p>
    <w:p w14:paraId="707D6CF2" w14:textId="7BCE2BCD" w:rsidR="00654EB5" w:rsidRPr="001065C1" w:rsidRDefault="00654EB5" w:rsidP="00654EB5">
      <w:pPr>
        <w:spacing w:after="120" w:line="240" w:lineRule="auto"/>
        <w:jc w:val="both"/>
        <w:rPr>
          <w:rFonts w:ascii="Times New Roman" w:eastAsia="Times New Roman" w:hAnsi="Times New Roman" w:cs="Times New Roman"/>
          <w:sz w:val="24"/>
          <w:szCs w:val="24"/>
          <w:lang w:eastAsia="ru-RU"/>
        </w:rPr>
      </w:pPr>
      <w:r w:rsidRPr="001065C1">
        <w:rPr>
          <w:rFonts w:ascii="Times New Roman" w:eastAsia="Times New Roman" w:hAnsi="Times New Roman" w:cs="Times New Roman"/>
          <w:i/>
          <w:iCs/>
          <w:sz w:val="24"/>
          <w:szCs w:val="24"/>
          <w:lang w:eastAsia="ru-RU"/>
        </w:rPr>
        <w:t>Obiectivul specific 2:</w:t>
      </w:r>
      <w:r w:rsidRPr="001065C1">
        <w:rPr>
          <w:rFonts w:ascii="Times New Roman" w:eastAsia="Times New Roman" w:hAnsi="Times New Roman" w:cs="Times New Roman"/>
          <w:sz w:val="24"/>
          <w:szCs w:val="24"/>
          <w:lang w:eastAsia="ru-RU"/>
        </w:rPr>
        <w:t xml:space="preserve"> „Integrarea principiilor de </w:t>
      </w:r>
      <w:r w:rsidR="001065C1" w:rsidRPr="001065C1">
        <w:rPr>
          <w:rFonts w:ascii="Times New Roman" w:eastAsia="Times New Roman" w:hAnsi="Times New Roman" w:cs="Times New Roman"/>
          <w:sz w:val="24"/>
          <w:szCs w:val="24"/>
          <w:lang w:eastAsia="ru-RU"/>
        </w:rPr>
        <w:t>protecție</w:t>
      </w:r>
      <w:r w:rsidRPr="001065C1">
        <w:rPr>
          <w:rFonts w:ascii="Times New Roman" w:eastAsia="Times New Roman" w:hAnsi="Times New Roman" w:cs="Times New Roman"/>
          <w:sz w:val="24"/>
          <w:szCs w:val="24"/>
          <w:lang w:eastAsia="ru-RU"/>
        </w:rPr>
        <w:t xml:space="preserve"> a mediului, de dezvoltare durabilă </w:t>
      </w:r>
      <w:r w:rsidR="001065C1" w:rsidRPr="001065C1">
        <w:rPr>
          <w:rFonts w:ascii="Times New Roman" w:eastAsia="Times New Roman" w:hAnsi="Times New Roman" w:cs="Times New Roman"/>
          <w:sz w:val="24"/>
          <w:szCs w:val="24"/>
          <w:lang w:eastAsia="ru-RU"/>
        </w:rPr>
        <w:t>și</w:t>
      </w:r>
      <w:r w:rsidRPr="001065C1">
        <w:rPr>
          <w:rFonts w:ascii="Times New Roman" w:eastAsia="Times New Roman" w:hAnsi="Times New Roman" w:cs="Times New Roman"/>
          <w:sz w:val="24"/>
          <w:szCs w:val="24"/>
          <w:lang w:eastAsia="ru-RU"/>
        </w:rPr>
        <w:t xml:space="preserve"> dezvoltare economică verde...”.</w:t>
      </w:r>
    </w:p>
    <w:p w14:paraId="16C97987" w14:textId="6DE67D36" w:rsidR="00654EB5" w:rsidRPr="001065C1" w:rsidRDefault="00654EB5" w:rsidP="00654EB5">
      <w:pPr>
        <w:spacing w:after="120" w:line="240" w:lineRule="auto"/>
        <w:jc w:val="both"/>
        <w:rPr>
          <w:rFonts w:ascii="Times New Roman" w:eastAsia="Times New Roman" w:hAnsi="Times New Roman" w:cs="Times New Roman"/>
          <w:sz w:val="24"/>
          <w:szCs w:val="24"/>
          <w:lang w:eastAsia="ru-RU"/>
        </w:rPr>
      </w:pPr>
      <w:r w:rsidRPr="001065C1">
        <w:rPr>
          <w:rFonts w:ascii="Times New Roman" w:eastAsia="Times New Roman" w:hAnsi="Times New Roman" w:cs="Times New Roman"/>
          <w:i/>
          <w:iCs/>
          <w:sz w:val="24"/>
          <w:szCs w:val="24"/>
          <w:lang w:eastAsia="ru-RU"/>
        </w:rPr>
        <w:t>Obiectivul specific 4:</w:t>
      </w:r>
      <w:r w:rsidRPr="001065C1">
        <w:rPr>
          <w:rFonts w:ascii="Times New Roman" w:eastAsia="Times New Roman" w:hAnsi="Times New Roman" w:cs="Times New Roman"/>
          <w:sz w:val="24"/>
          <w:szCs w:val="24"/>
          <w:lang w:eastAsia="ru-RU"/>
        </w:rPr>
        <w:t xml:space="preserve"> „Reducerea impactului negativ al </w:t>
      </w:r>
      <w:r w:rsidR="001065C1" w:rsidRPr="001065C1">
        <w:rPr>
          <w:rFonts w:ascii="Times New Roman" w:eastAsia="Times New Roman" w:hAnsi="Times New Roman" w:cs="Times New Roman"/>
          <w:sz w:val="24"/>
          <w:szCs w:val="24"/>
          <w:lang w:eastAsia="ru-RU"/>
        </w:rPr>
        <w:t>activității</w:t>
      </w:r>
      <w:r w:rsidRPr="001065C1">
        <w:rPr>
          <w:rFonts w:ascii="Times New Roman" w:eastAsia="Times New Roman" w:hAnsi="Times New Roman" w:cs="Times New Roman"/>
          <w:sz w:val="24"/>
          <w:szCs w:val="24"/>
          <w:lang w:eastAsia="ru-RU"/>
        </w:rPr>
        <w:t xml:space="preserve"> economice asupra mediului </w:t>
      </w:r>
      <w:r w:rsidR="001065C1" w:rsidRPr="001065C1">
        <w:rPr>
          <w:rFonts w:ascii="Times New Roman" w:eastAsia="Times New Roman" w:hAnsi="Times New Roman" w:cs="Times New Roman"/>
          <w:sz w:val="24"/>
          <w:szCs w:val="24"/>
          <w:lang w:eastAsia="ru-RU"/>
        </w:rPr>
        <w:t>și</w:t>
      </w:r>
      <w:r w:rsidRPr="001065C1">
        <w:rPr>
          <w:rFonts w:ascii="Times New Roman" w:eastAsia="Times New Roman" w:hAnsi="Times New Roman" w:cs="Times New Roman"/>
          <w:sz w:val="24"/>
          <w:szCs w:val="24"/>
          <w:lang w:eastAsia="ru-RU"/>
        </w:rPr>
        <w:t xml:space="preserve"> </w:t>
      </w:r>
      <w:r w:rsidR="001065C1" w:rsidRPr="001065C1">
        <w:rPr>
          <w:rFonts w:ascii="Times New Roman" w:eastAsia="Times New Roman" w:hAnsi="Times New Roman" w:cs="Times New Roman"/>
          <w:sz w:val="24"/>
          <w:szCs w:val="24"/>
          <w:lang w:eastAsia="ru-RU"/>
        </w:rPr>
        <w:t>îmbunătățirea</w:t>
      </w:r>
      <w:r w:rsidRPr="001065C1">
        <w:rPr>
          <w:rFonts w:ascii="Times New Roman" w:eastAsia="Times New Roman" w:hAnsi="Times New Roman" w:cs="Times New Roman"/>
          <w:sz w:val="24"/>
          <w:szCs w:val="24"/>
          <w:lang w:eastAsia="ru-RU"/>
        </w:rPr>
        <w:t xml:space="preserve"> măsurilor de prevenire a poluării mediului.”</w:t>
      </w:r>
    </w:p>
    <w:p w14:paraId="4A47DC07" w14:textId="4A1C2E7D" w:rsidR="00654EB5" w:rsidRPr="001065C1" w:rsidRDefault="00654EB5" w:rsidP="00654EB5">
      <w:pPr>
        <w:spacing w:after="120" w:line="240" w:lineRule="auto"/>
        <w:jc w:val="both"/>
        <w:rPr>
          <w:rFonts w:ascii="Times New Roman" w:eastAsia="Times New Roman" w:hAnsi="Times New Roman" w:cs="Times New Roman"/>
          <w:sz w:val="24"/>
          <w:szCs w:val="24"/>
          <w:lang w:eastAsia="ru-RU"/>
        </w:rPr>
      </w:pPr>
      <w:r w:rsidRPr="001065C1">
        <w:rPr>
          <w:rFonts w:ascii="Times New Roman" w:eastAsia="Times New Roman" w:hAnsi="Times New Roman" w:cs="Times New Roman"/>
          <w:i/>
          <w:iCs/>
          <w:sz w:val="24"/>
          <w:szCs w:val="24"/>
          <w:lang w:eastAsia="ru-RU"/>
        </w:rPr>
        <w:t>Obiectivul specific 7:</w:t>
      </w:r>
      <w:r w:rsidRPr="001065C1">
        <w:rPr>
          <w:rFonts w:ascii="Times New Roman" w:eastAsia="Times New Roman" w:hAnsi="Times New Roman" w:cs="Times New Roman"/>
          <w:sz w:val="24"/>
          <w:szCs w:val="24"/>
          <w:lang w:eastAsia="ru-RU"/>
        </w:rPr>
        <w:t xml:space="preserve"> „Crearea sistemului de management integrat al </w:t>
      </w:r>
      <w:r w:rsidR="001065C1" w:rsidRPr="001065C1">
        <w:rPr>
          <w:rFonts w:ascii="Times New Roman" w:eastAsia="Times New Roman" w:hAnsi="Times New Roman" w:cs="Times New Roman"/>
          <w:sz w:val="24"/>
          <w:szCs w:val="24"/>
          <w:lang w:eastAsia="ru-RU"/>
        </w:rPr>
        <w:t>calității</w:t>
      </w:r>
      <w:r w:rsidRPr="001065C1">
        <w:rPr>
          <w:rFonts w:ascii="Times New Roman" w:eastAsia="Times New Roman" w:hAnsi="Times New Roman" w:cs="Times New Roman"/>
          <w:sz w:val="24"/>
          <w:szCs w:val="24"/>
          <w:lang w:eastAsia="ru-RU"/>
        </w:rPr>
        <w:t xml:space="preserve"> aerului...”</w:t>
      </w:r>
    </w:p>
    <w:p w14:paraId="41D0C3EC" w14:textId="77D19155" w:rsidR="00654EB5" w:rsidRPr="001065C1" w:rsidRDefault="00654EB5" w:rsidP="00654EB5">
      <w:pPr>
        <w:spacing w:after="120" w:line="240" w:lineRule="auto"/>
        <w:jc w:val="both"/>
        <w:rPr>
          <w:rFonts w:ascii="Times New Roman" w:eastAsia="Times New Roman" w:hAnsi="Times New Roman" w:cs="Times New Roman"/>
          <w:sz w:val="24"/>
          <w:szCs w:val="24"/>
          <w:lang w:eastAsia="ru-RU"/>
        </w:rPr>
      </w:pPr>
      <w:r w:rsidRPr="001065C1">
        <w:rPr>
          <w:rFonts w:ascii="Times New Roman" w:eastAsia="Times New Roman" w:hAnsi="Times New Roman" w:cs="Times New Roman"/>
          <w:sz w:val="24"/>
          <w:szCs w:val="24"/>
          <w:lang w:eastAsia="ru-RU"/>
        </w:rPr>
        <w:t xml:space="preserve">Obiectivul principal al </w:t>
      </w:r>
      <w:r w:rsidR="009949D8" w:rsidRPr="001065C1">
        <w:rPr>
          <w:rFonts w:ascii="Times New Roman" w:eastAsia="Times New Roman" w:hAnsi="Times New Roman" w:cs="Times New Roman"/>
          <w:sz w:val="24"/>
          <w:szCs w:val="24"/>
          <w:lang w:eastAsia="ru-RU"/>
        </w:rPr>
        <w:t>P</w:t>
      </w:r>
      <w:r w:rsidRPr="001065C1">
        <w:rPr>
          <w:rFonts w:ascii="Times New Roman" w:eastAsia="Times New Roman" w:hAnsi="Times New Roman" w:cs="Times New Roman"/>
          <w:sz w:val="24"/>
          <w:szCs w:val="24"/>
          <w:lang w:eastAsia="ru-RU"/>
        </w:rPr>
        <w:t>rogramului este de a mobiliza și de a permite actorilor privați și publici să reducă emisiile de gaze cu efect de seră</w:t>
      </w:r>
      <w:r w:rsidR="00A907FA">
        <w:rPr>
          <w:rFonts w:ascii="Times New Roman" w:eastAsia="Times New Roman" w:hAnsi="Times New Roman" w:cs="Times New Roman"/>
          <w:sz w:val="24"/>
          <w:szCs w:val="24"/>
          <w:lang w:eastAsia="ru-RU"/>
        </w:rPr>
        <w:t xml:space="preserve"> </w:t>
      </w:r>
      <w:r w:rsidRPr="001065C1">
        <w:rPr>
          <w:rFonts w:ascii="Times New Roman" w:eastAsia="Times New Roman" w:hAnsi="Times New Roman" w:cs="Times New Roman"/>
          <w:sz w:val="24"/>
          <w:szCs w:val="24"/>
          <w:lang w:eastAsia="ru-RU"/>
        </w:rPr>
        <w:t xml:space="preserve">provenite din activitățile economice în conformitate cu țintele stabilite în CNDA. În ceea ce privește procesul de reducere al emisiilor de GES, acest Program </w:t>
      </w:r>
      <w:r w:rsidR="001065C1" w:rsidRPr="001065C1">
        <w:rPr>
          <w:rFonts w:ascii="Times New Roman" w:eastAsia="Times New Roman" w:hAnsi="Times New Roman" w:cs="Times New Roman"/>
          <w:sz w:val="24"/>
          <w:szCs w:val="24"/>
          <w:lang w:eastAsia="ru-RU"/>
        </w:rPr>
        <w:t>stabilește</w:t>
      </w:r>
      <w:r w:rsidRPr="001065C1">
        <w:rPr>
          <w:rFonts w:ascii="Times New Roman" w:eastAsia="Times New Roman" w:hAnsi="Times New Roman" w:cs="Times New Roman"/>
          <w:sz w:val="24"/>
          <w:szCs w:val="24"/>
          <w:lang w:eastAsia="ru-RU"/>
        </w:rPr>
        <w:t xml:space="preserve"> ținte cuantificabile în conformitate cu aspirațiile UE pentru anul 2030 </w:t>
      </w:r>
      <w:r w:rsidR="001065C1" w:rsidRPr="001065C1">
        <w:rPr>
          <w:rFonts w:ascii="Times New Roman" w:eastAsia="Times New Roman" w:hAnsi="Times New Roman" w:cs="Times New Roman"/>
          <w:sz w:val="24"/>
          <w:szCs w:val="24"/>
          <w:lang w:eastAsia="ru-RU"/>
        </w:rPr>
        <w:t>și</w:t>
      </w:r>
      <w:r w:rsidRPr="001065C1">
        <w:rPr>
          <w:rFonts w:ascii="Times New Roman" w:eastAsia="Times New Roman" w:hAnsi="Times New Roman" w:cs="Times New Roman"/>
          <w:sz w:val="24"/>
          <w:szCs w:val="24"/>
          <w:lang w:eastAsia="ru-RU"/>
        </w:rPr>
        <w:t xml:space="preserve"> Obiectivele de dezvoltare durabilă (ODD) formulate de Agenda de Dezvoltare Durabilă 2030.</w:t>
      </w:r>
    </w:p>
    <w:p w14:paraId="4B5DDC9F" w14:textId="0BBE24BF" w:rsidR="00D81A4E" w:rsidRPr="001065C1" w:rsidRDefault="00D81A4E" w:rsidP="00D81A4E">
      <w:pPr>
        <w:spacing w:after="0" w:line="240" w:lineRule="auto"/>
        <w:jc w:val="both"/>
        <w:rPr>
          <w:rFonts w:ascii="Times New Roman" w:hAnsi="Times New Roman" w:cs="Times New Roman"/>
          <w:sz w:val="24"/>
          <w:szCs w:val="24"/>
          <w:lang w:eastAsia="ru-RU"/>
        </w:rPr>
      </w:pPr>
      <w:r w:rsidRPr="001065C1">
        <w:rPr>
          <w:rFonts w:ascii="Times New Roman" w:eastAsia="Times New Roman" w:hAnsi="Times New Roman" w:cs="Times New Roman"/>
          <w:sz w:val="24"/>
          <w:szCs w:val="24"/>
          <w:lang w:eastAsia="ru-RU"/>
        </w:rPr>
        <w:t xml:space="preserve">Programul este chemat să îndeplinească </w:t>
      </w:r>
      <w:r w:rsidR="001065C1" w:rsidRPr="001065C1">
        <w:rPr>
          <w:rFonts w:ascii="Times New Roman" w:eastAsia="Times New Roman" w:hAnsi="Times New Roman" w:cs="Times New Roman"/>
          <w:sz w:val="24"/>
          <w:szCs w:val="24"/>
          <w:lang w:eastAsia="ru-RU"/>
        </w:rPr>
        <w:t>și</w:t>
      </w:r>
      <w:r w:rsidRPr="001065C1">
        <w:rPr>
          <w:rFonts w:ascii="Times New Roman" w:eastAsia="Times New Roman" w:hAnsi="Times New Roman" w:cs="Times New Roman"/>
          <w:sz w:val="24"/>
          <w:szCs w:val="24"/>
          <w:lang w:eastAsia="ru-RU"/>
        </w:rPr>
        <w:t xml:space="preserve"> angajamentele expuse în </w:t>
      </w:r>
      <w:r w:rsidRPr="001065C1">
        <w:rPr>
          <w:rFonts w:ascii="Times New Roman" w:hAnsi="Times New Roman" w:cs="Times New Roman"/>
          <w:color w:val="000000"/>
          <w:sz w:val="24"/>
          <w:szCs w:val="24"/>
          <w:shd w:val="clear" w:color="auto" w:fill="FFFFFF"/>
          <w:lang w:eastAsia="ru-RU"/>
        </w:rPr>
        <w:t xml:space="preserve">Acordul de Asociere între Republica Moldova, pe de o parte, </w:t>
      </w:r>
      <w:r w:rsidR="001065C1" w:rsidRPr="001065C1">
        <w:rPr>
          <w:rFonts w:ascii="Times New Roman" w:hAnsi="Times New Roman" w:cs="Times New Roman"/>
          <w:color w:val="000000"/>
          <w:sz w:val="24"/>
          <w:szCs w:val="24"/>
          <w:shd w:val="clear" w:color="auto" w:fill="FFFFFF"/>
          <w:lang w:eastAsia="ru-RU"/>
        </w:rPr>
        <w:t>și</w:t>
      </w:r>
      <w:r w:rsidRPr="001065C1">
        <w:rPr>
          <w:rFonts w:ascii="Times New Roman" w:hAnsi="Times New Roman" w:cs="Times New Roman"/>
          <w:color w:val="000000"/>
          <w:sz w:val="24"/>
          <w:szCs w:val="24"/>
          <w:shd w:val="clear" w:color="auto" w:fill="FFFFFF"/>
          <w:lang w:eastAsia="ru-RU"/>
        </w:rPr>
        <w:t xml:space="preserve"> Uniunea Europeană </w:t>
      </w:r>
      <w:r w:rsidR="001065C1" w:rsidRPr="001065C1">
        <w:rPr>
          <w:rFonts w:ascii="Times New Roman" w:hAnsi="Times New Roman" w:cs="Times New Roman"/>
          <w:color w:val="000000"/>
          <w:sz w:val="24"/>
          <w:szCs w:val="24"/>
          <w:shd w:val="clear" w:color="auto" w:fill="FFFFFF"/>
          <w:lang w:eastAsia="ru-RU"/>
        </w:rPr>
        <w:t>și</w:t>
      </w:r>
      <w:r w:rsidRPr="001065C1">
        <w:rPr>
          <w:rFonts w:ascii="Times New Roman" w:hAnsi="Times New Roman" w:cs="Times New Roman"/>
          <w:color w:val="000000"/>
          <w:sz w:val="24"/>
          <w:szCs w:val="24"/>
          <w:shd w:val="clear" w:color="auto" w:fill="FFFFFF"/>
          <w:lang w:eastAsia="ru-RU"/>
        </w:rPr>
        <w:t xml:space="preserve"> Comunitatea Europeană a Energiei Atomice </w:t>
      </w:r>
      <w:r w:rsidR="001065C1" w:rsidRPr="001065C1">
        <w:rPr>
          <w:rFonts w:ascii="Times New Roman" w:hAnsi="Times New Roman" w:cs="Times New Roman"/>
          <w:color w:val="000000"/>
          <w:sz w:val="24"/>
          <w:szCs w:val="24"/>
          <w:shd w:val="clear" w:color="auto" w:fill="FFFFFF"/>
          <w:lang w:eastAsia="ru-RU"/>
        </w:rPr>
        <w:t>și</w:t>
      </w:r>
      <w:r w:rsidRPr="001065C1">
        <w:rPr>
          <w:rFonts w:ascii="Times New Roman" w:hAnsi="Times New Roman" w:cs="Times New Roman"/>
          <w:color w:val="000000"/>
          <w:sz w:val="24"/>
          <w:szCs w:val="24"/>
          <w:shd w:val="clear" w:color="auto" w:fill="FFFFFF"/>
          <w:lang w:eastAsia="ru-RU"/>
        </w:rPr>
        <w:t xml:space="preserve"> statele membre ale acestora, pe de altă parte, la capitolul </w:t>
      </w:r>
      <w:r w:rsidR="001065C1" w:rsidRPr="001065C1">
        <w:rPr>
          <w:rFonts w:ascii="Times New Roman" w:hAnsi="Times New Roman" w:cs="Times New Roman"/>
          <w:color w:val="000000"/>
          <w:sz w:val="24"/>
          <w:szCs w:val="24"/>
          <w:shd w:val="clear" w:color="auto" w:fill="FFFFFF"/>
          <w:lang w:eastAsia="ru-RU"/>
        </w:rPr>
        <w:t>Acțiuni</w:t>
      </w:r>
      <w:r w:rsidRPr="001065C1">
        <w:rPr>
          <w:rFonts w:ascii="Times New Roman" w:hAnsi="Times New Roman" w:cs="Times New Roman"/>
          <w:color w:val="000000"/>
          <w:sz w:val="24"/>
          <w:szCs w:val="24"/>
          <w:shd w:val="clear" w:color="auto" w:fill="FFFFFF"/>
          <w:lang w:eastAsia="ru-RU"/>
        </w:rPr>
        <w:t xml:space="preserve"> climatice. Art. 95 al acestui document, prevede elaborarea </w:t>
      </w:r>
      <w:r w:rsidR="001065C1" w:rsidRPr="001065C1">
        <w:rPr>
          <w:rFonts w:ascii="Times New Roman" w:hAnsi="Times New Roman" w:cs="Times New Roman"/>
          <w:color w:val="000000"/>
          <w:sz w:val="24"/>
          <w:szCs w:val="24"/>
          <w:shd w:val="clear" w:color="auto" w:fill="FFFFFF"/>
          <w:lang w:eastAsia="ru-RU"/>
        </w:rPr>
        <w:t>și</w:t>
      </w:r>
      <w:r w:rsidRPr="001065C1">
        <w:rPr>
          <w:rFonts w:ascii="Times New Roman" w:hAnsi="Times New Roman" w:cs="Times New Roman"/>
          <w:color w:val="000000"/>
          <w:sz w:val="24"/>
          <w:szCs w:val="24"/>
          <w:shd w:val="clear" w:color="auto" w:fill="FFFFFF"/>
          <w:lang w:eastAsia="ru-RU"/>
        </w:rPr>
        <w:t xml:space="preserve"> aprobarea de către Republica Moldova a unor măsuri pe termen mediu </w:t>
      </w:r>
      <w:r w:rsidR="001065C1" w:rsidRPr="001065C1">
        <w:rPr>
          <w:rFonts w:ascii="Times New Roman" w:hAnsi="Times New Roman" w:cs="Times New Roman"/>
          <w:color w:val="000000"/>
          <w:sz w:val="24"/>
          <w:szCs w:val="24"/>
          <w:shd w:val="clear" w:color="auto" w:fill="FFFFFF"/>
          <w:lang w:eastAsia="ru-RU"/>
        </w:rPr>
        <w:t>și</w:t>
      </w:r>
      <w:r w:rsidRPr="001065C1">
        <w:rPr>
          <w:rFonts w:ascii="Times New Roman" w:hAnsi="Times New Roman" w:cs="Times New Roman"/>
          <w:color w:val="000000"/>
          <w:sz w:val="24"/>
          <w:szCs w:val="24"/>
          <w:shd w:val="clear" w:color="auto" w:fill="FFFFFF"/>
          <w:lang w:eastAsia="ru-RU"/>
        </w:rPr>
        <w:t xml:space="preserve"> lung de reducere a emisiilor de gaze cu efect de seră.</w:t>
      </w:r>
    </w:p>
    <w:p w14:paraId="0D4FD9A9" w14:textId="75B207AA" w:rsidR="00D81A4E" w:rsidRPr="001065C1" w:rsidRDefault="00D81A4E" w:rsidP="00D81A4E">
      <w:pPr>
        <w:spacing w:after="120" w:line="240" w:lineRule="auto"/>
        <w:jc w:val="both"/>
        <w:rPr>
          <w:rFonts w:ascii="Times New Roman" w:eastAsia="Times New Roman" w:hAnsi="Times New Roman" w:cs="Times New Roman"/>
          <w:sz w:val="24"/>
          <w:szCs w:val="24"/>
          <w:lang w:eastAsia="ru-RU"/>
        </w:rPr>
      </w:pPr>
      <w:r w:rsidRPr="001065C1">
        <w:rPr>
          <w:rFonts w:ascii="Times New Roman" w:eastAsia="Times New Roman" w:hAnsi="Times New Roman" w:cs="Times New Roman"/>
          <w:color w:val="000000"/>
          <w:sz w:val="24"/>
          <w:szCs w:val="24"/>
          <w:lang w:eastAsia="ru-RU"/>
        </w:rPr>
        <w:t>Programul se conformează cu obiectivele proiectului Strategiei naționale de</w:t>
      </w:r>
      <w:r w:rsidRPr="001065C1">
        <w:rPr>
          <w:rFonts w:ascii="Times New Roman" w:eastAsia="Times New Roman" w:hAnsi="Times New Roman" w:cs="Times New Roman"/>
          <w:color w:val="000000"/>
          <w:sz w:val="24"/>
          <w:szCs w:val="24"/>
          <w:shd w:val="clear" w:color="auto" w:fill="FFFFFF"/>
          <w:lang w:eastAsia="ru-RU"/>
        </w:rPr>
        <w:t xml:space="preserve"> dezvoltare „Moldova 2030”</w:t>
      </w:r>
      <w:r w:rsidRPr="001065C1">
        <w:rPr>
          <w:rFonts w:ascii="Times New Roman" w:eastAsia="Times New Roman" w:hAnsi="Times New Roman" w:cs="Times New Roman"/>
          <w:color w:val="000000"/>
          <w:sz w:val="24"/>
          <w:szCs w:val="24"/>
          <w:shd w:val="clear" w:color="auto" w:fill="FFFFFF"/>
          <w:lang w:eastAsia="ru-RU"/>
        </w:rPr>
        <w:fldChar w:fldCharType="begin"/>
      </w:r>
      <w:r w:rsidRPr="001065C1">
        <w:rPr>
          <w:rFonts w:ascii="Times New Roman" w:eastAsia="Times New Roman" w:hAnsi="Times New Roman" w:cs="Times New Roman"/>
          <w:color w:val="000000"/>
          <w:sz w:val="24"/>
          <w:szCs w:val="24"/>
          <w:shd w:val="clear" w:color="auto" w:fill="FFFFFF"/>
          <w:lang w:eastAsia="ru-RU"/>
        </w:rPr>
        <w:instrText xml:space="preserve"> NOTEREF _Ref58084513 \f \h </w:instrText>
      </w:r>
      <w:r w:rsidRPr="001065C1">
        <w:rPr>
          <w:rFonts w:ascii="Times New Roman" w:eastAsia="Times New Roman" w:hAnsi="Times New Roman" w:cs="Times New Roman"/>
          <w:color w:val="000000"/>
          <w:sz w:val="24"/>
          <w:szCs w:val="24"/>
          <w:shd w:val="clear" w:color="auto" w:fill="FFFFFF"/>
          <w:lang w:eastAsia="ru-RU"/>
        </w:rPr>
      </w:r>
      <w:r w:rsidRPr="001065C1">
        <w:rPr>
          <w:rFonts w:ascii="Times New Roman" w:eastAsia="Times New Roman" w:hAnsi="Times New Roman" w:cs="Times New Roman"/>
          <w:color w:val="000000"/>
          <w:sz w:val="24"/>
          <w:szCs w:val="24"/>
          <w:shd w:val="clear" w:color="auto" w:fill="FFFFFF"/>
          <w:lang w:eastAsia="ru-RU"/>
        </w:rPr>
        <w:fldChar w:fldCharType="end"/>
      </w:r>
      <w:r w:rsidRPr="001065C1">
        <w:rPr>
          <w:rFonts w:ascii="Times New Roman" w:eastAsia="Times New Roman" w:hAnsi="Times New Roman" w:cs="Times New Roman"/>
          <w:color w:val="000000"/>
          <w:sz w:val="24"/>
          <w:szCs w:val="24"/>
          <w:shd w:val="clear" w:color="auto" w:fill="FFFFFF"/>
          <w:lang w:eastAsia="ru-RU"/>
        </w:rPr>
        <w:t xml:space="preserve">, </w:t>
      </w:r>
      <w:proofErr w:type="spellStart"/>
      <w:r w:rsidR="00F11966">
        <w:rPr>
          <w:rFonts w:ascii="Times New Roman" w:eastAsia="Times New Roman" w:hAnsi="Times New Roman" w:cs="Times New Roman"/>
          <w:color w:val="000000"/>
          <w:sz w:val="24"/>
          <w:szCs w:val="24"/>
          <w:shd w:val="clear" w:color="auto" w:fill="FFFFFF"/>
          <w:lang w:eastAsia="ru-RU"/>
        </w:rPr>
        <w:t>inaintată</w:t>
      </w:r>
      <w:proofErr w:type="spellEnd"/>
      <w:r w:rsidR="00F11966">
        <w:rPr>
          <w:rFonts w:ascii="Times New Roman" w:eastAsia="Times New Roman" w:hAnsi="Times New Roman" w:cs="Times New Roman"/>
          <w:color w:val="000000"/>
          <w:sz w:val="24"/>
          <w:szCs w:val="24"/>
          <w:shd w:val="clear" w:color="auto" w:fill="FFFFFF"/>
          <w:lang w:eastAsia="ru-RU"/>
        </w:rPr>
        <w:t xml:space="preserve"> pentru</w:t>
      </w:r>
      <w:r w:rsidRPr="001065C1">
        <w:rPr>
          <w:rFonts w:ascii="Times New Roman" w:eastAsia="Times New Roman" w:hAnsi="Times New Roman" w:cs="Times New Roman"/>
          <w:color w:val="000000"/>
          <w:sz w:val="24"/>
          <w:szCs w:val="24"/>
          <w:shd w:val="clear" w:color="auto" w:fill="FFFFFF"/>
          <w:lang w:eastAsia="ru-RU"/>
        </w:rPr>
        <w:t xml:space="preserve"> dezbateri </w:t>
      </w:r>
      <w:r w:rsidR="001065C1" w:rsidRPr="001065C1">
        <w:rPr>
          <w:rFonts w:ascii="Times New Roman" w:eastAsia="Times New Roman" w:hAnsi="Times New Roman" w:cs="Times New Roman"/>
          <w:color w:val="000000"/>
          <w:sz w:val="24"/>
          <w:szCs w:val="24"/>
          <w:shd w:val="clear" w:color="auto" w:fill="FFFFFF"/>
          <w:lang w:eastAsia="ru-RU"/>
        </w:rPr>
        <w:t>și</w:t>
      </w:r>
      <w:r w:rsidRPr="001065C1">
        <w:rPr>
          <w:rFonts w:ascii="Times New Roman" w:eastAsia="Times New Roman" w:hAnsi="Times New Roman" w:cs="Times New Roman"/>
          <w:color w:val="000000"/>
          <w:sz w:val="24"/>
          <w:szCs w:val="24"/>
          <w:shd w:val="clear" w:color="auto" w:fill="FFFFFF"/>
          <w:lang w:eastAsia="ru-RU"/>
        </w:rPr>
        <w:t xml:space="preserve"> aprobare în Parlament. Documentul în cauză acordă </w:t>
      </w:r>
      <w:r w:rsidR="001065C1" w:rsidRPr="001065C1">
        <w:rPr>
          <w:rFonts w:ascii="Times New Roman" w:eastAsia="Times New Roman" w:hAnsi="Times New Roman" w:cs="Times New Roman"/>
          <w:color w:val="000000"/>
          <w:sz w:val="24"/>
          <w:szCs w:val="24"/>
          <w:shd w:val="clear" w:color="auto" w:fill="FFFFFF"/>
          <w:lang w:eastAsia="ru-RU"/>
        </w:rPr>
        <w:t>atenție</w:t>
      </w:r>
      <w:r w:rsidRPr="001065C1">
        <w:rPr>
          <w:rFonts w:ascii="Times New Roman" w:eastAsia="Times New Roman" w:hAnsi="Times New Roman" w:cs="Times New Roman"/>
          <w:color w:val="000000"/>
          <w:sz w:val="24"/>
          <w:szCs w:val="24"/>
          <w:shd w:val="clear" w:color="auto" w:fill="FFFFFF"/>
          <w:lang w:eastAsia="ru-RU"/>
        </w:rPr>
        <w:t xml:space="preserve"> separată problemei schimbărilor climatice.</w:t>
      </w:r>
    </w:p>
    <w:p w14:paraId="3CB621D2" w14:textId="4DFD5010" w:rsidR="00D81A4E" w:rsidRPr="001065C1" w:rsidRDefault="00654EB5" w:rsidP="00654EB5">
      <w:pPr>
        <w:spacing w:after="120" w:line="240" w:lineRule="auto"/>
        <w:jc w:val="both"/>
        <w:rPr>
          <w:rFonts w:ascii="Times New Roman" w:eastAsia="Times New Roman" w:hAnsi="Times New Roman" w:cs="Times New Roman"/>
          <w:sz w:val="24"/>
          <w:szCs w:val="24"/>
          <w:lang w:eastAsia="ru-RU"/>
        </w:rPr>
      </w:pPr>
      <w:r w:rsidRPr="001065C1">
        <w:rPr>
          <w:rFonts w:ascii="Times New Roman" w:eastAsia="Times New Roman" w:hAnsi="Times New Roman" w:cs="Times New Roman"/>
          <w:sz w:val="24"/>
          <w:szCs w:val="24"/>
          <w:lang w:eastAsia="ru-RU"/>
        </w:rPr>
        <w:t>Programul identifică acțiunile-cheie pentru diferite sectoare ale economiei în vederea reducerii emisiilor de GES în comparație cu nivelul înregistrat în anul 1990, an de bază</w:t>
      </w:r>
      <w:r w:rsidR="00F11966">
        <w:rPr>
          <w:rFonts w:ascii="Times New Roman" w:eastAsia="Times New Roman" w:hAnsi="Times New Roman" w:cs="Times New Roman"/>
          <w:sz w:val="24"/>
          <w:szCs w:val="24"/>
          <w:lang w:eastAsia="ru-RU"/>
        </w:rPr>
        <w:t xml:space="preserve">.  </w:t>
      </w:r>
      <w:r w:rsidR="00D81A4E" w:rsidRPr="001065C1">
        <w:rPr>
          <w:rFonts w:ascii="Times New Roman" w:eastAsia="Times New Roman" w:hAnsi="Times New Roman" w:cs="Times New Roman"/>
          <w:sz w:val="24"/>
          <w:szCs w:val="24"/>
          <w:lang w:eastAsia="ru-RU"/>
        </w:rPr>
        <w:t xml:space="preserve">Aceste sectoare sunt: </w:t>
      </w:r>
      <w:r w:rsidR="00F11966">
        <w:rPr>
          <w:rFonts w:ascii="Times New Roman" w:eastAsia="Times New Roman" w:hAnsi="Times New Roman" w:cs="Times New Roman"/>
          <w:sz w:val="24"/>
          <w:szCs w:val="24"/>
          <w:lang w:eastAsia="ru-RU"/>
        </w:rPr>
        <w:t xml:space="preserve">(i) </w:t>
      </w:r>
      <w:r w:rsidR="00D81A4E" w:rsidRPr="001065C1">
        <w:rPr>
          <w:rFonts w:ascii="Times New Roman" w:eastAsia="Times New Roman" w:hAnsi="Times New Roman" w:cs="Times New Roman"/>
          <w:sz w:val="24"/>
          <w:szCs w:val="24"/>
          <w:lang w:eastAsia="ru-RU"/>
        </w:rPr>
        <w:t xml:space="preserve">energie, </w:t>
      </w:r>
      <w:r w:rsidR="00F11966">
        <w:rPr>
          <w:rFonts w:ascii="Times New Roman" w:eastAsia="Times New Roman" w:hAnsi="Times New Roman" w:cs="Times New Roman"/>
          <w:sz w:val="24"/>
          <w:szCs w:val="24"/>
          <w:lang w:eastAsia="ru-RU"/>
        </w:rPr>
        <w:t xml:space="preserve">(ii) </w:t>
      </w:r>
      <w:r w:rsidR="00D81A4E" w:rsidRPr="001065C1">
        <w:rPr>
          <w:rFonts w:ascii="Times New Roman" w:eastAsia="Times New Roman" w:hAnsi="Times New Roman" w:cs="Times New Roman"/>
          <w:sz w:val="24"/>
          <w:szCs w:val="24"/>
          <w:lang w:eastAsia="ru-RU"/>
        </w:rPr>
        <w:t xml:space="preserve">transport, </w:t>
      </w:r>
      <w:r w:rsidR="00F11966">
        <w:rPr>
          <w:rFonts w:ascii="Times New Roman" w:eastAsia="Times New Roman" w:hAnsi="Times New Roman" w:cs="Times New Roman"/>
          <w:sz w:val="24"/>
          <w:szCs w:val="24"/>
          <w:lang w:eastAsia="ru-RU"/>
        </w:rPr>
        <w:t xml:space="preserve">(iii) </w:t>
      </w:r>
      <w:r w:rsidR="00D81A4E" w:rsidRPr="001065C1">
        <w:rPr>
          <w:rFonts w:ascii="Times New Roman" w:eastAsia="Times New Roman" w:hAnsi="Times New Roman" w:cs="Times New Roman"/>
          <w:sz w:val="24"/>
          <w:szCs w:val="24"/>
          <w:lang w:eastAsia="ru-RU"/>
        </w:rPr>
        <w:t xml:space="preserve">clădiri, </w:t>
      </w:r>
      <w:r w:rsidR="00F11966">
        <w:rPr>
          <w:rFonts w:ascii="Times New Roman" w:eastAsia="Times New Roman" w:hAnsi="Times New Roman" w:cs="Times New Roman"/>
          <w:sz w:val="24"/>
          <w:szCs w:val="24"/>
          <w:lang w:eastAsia="ru-RU"/>
        </w:rPr>
        <w:t xml:space="preserve">(iv) </w:t>
      </w:r>
      <w:r w:rsidR="00D81A4E" w:rsidRPr="001065C1">
        <w:rPr>
          <w:rFonts w:ascii="Times New Roman" w:eastAsia="Times New Roman" w:hAnsi="Times New Roman" w:cs="Times New Roman"/>
          <w:sz w:val="24"/>
          <w:szCs w:val="24"/>
          <w:lang w:eastAsia="ru-RU"/>
        </w:rPr>
        <w:t xml:space="preserve">procese industriale, </w:t>
      </w:r>
      <w:r w:rsidR="00F11966">
        <w:rPr>
          <w:rFonts w:ascii="Times New Roman" w:eastAsia="Times New Roman" w:hAnsi="Times New Roman" w:cs="Times New Roman"/>
          <w:sz w:val="24"/>
          <w:szCs w:val="24"/>
          <w:lang w:eastAsia="ru-RU"/>
        </w:rPr>
        <w:t xml:space="preserve">(v) </w:t>
      </w:r>
      <w:r w:rsidR="00D81A4E" w:rsidRPr="001065C1">
        <w:rPr>
          <w:rFonts w:ascii="Times New Roman" w:eastAsia="Times New Roman" w:hAnsi="Times New Roman" w:cs="Times New Roman"/>
          <w:sz w:val="24"/>
          <w:szCs w:val="24"/>
          <w:lang w:eastAsia="ru-RU"/>
        </w:rPr>
        <w:t xml:space="preserve">agricultură, silvicultură și folosința terenurilor, schimbarea </w:t>
      </w:r>
      <w:r w:rsidR="001065C1" w:rsidRPr="001065C1">
        <w:rPr>
          <w:rFonts w:ascii="Times New Roman" w:eastAsia="Times New Roman" w:hAnsi="Times New Roman" w:cs="Times New Roman"/>
          <w:sz w:val="24"/>
          <w:szCs w:val="24"/>
          <w:lang w:eastAsia="ru-RU"/>
        </w:rPr>
        <w:t>destinației</w:t>
      </w:r>
      <w:r w:rsidR="00D81A4E" w:rsidRPr="001065C1">
        <w:rPr>
          <w:rFonts w:ascii="Times New Roman" w:eastAsia="Times New Roman" w:hAnsi="Times New Roman" w:cs="Times New Roman"/>
          <w:sz w:val="24"/>
          <w:szCs w:val="24"/>
          <w:lang w:eastAsia="ru-RU"/>
        </w:rPr>
        <w:t xml:space="preserve"> terenurilor </w:t>
      </w:r>
      <w:r w:rsidR="001065C1" w:rsidRPr="001065C1">
        <w:rPr>
          <w:rFonts w:ascii="Times New Roman" w:eastAsia="Times New Roman" w:hAnsi="Times New Roman" w:cs="Times New Roman"/>
          <w:sz w:val="24"/>
          <w:szCs w:val="24"/>
          <w:lang w:eastAsia="ru-RU"/>
        </w:rPr>
        <w:t>și</w:t>
      </w:r>
      <w:r w:rsidR="00D81A4E" w:rsidRPr="001065C1">
        <w:rPr>
          <w:rFonts w:ascii="Times New Roman" w:eastAsia="Times New Roman" w:hAnsi="Times New Roman" w:cs="Times New Roman"/>
          <w:sz w:val="24"/>
          <w:szCs w:val="24"/>
          <w:lang w:eastAsia="ru-RU"/>
        </w:rPr>
        <w:t xml:space="preserve"> silvicultura (FTSCFTS)</w:t>
      </w:r>
      <w:r w:rsidR="00F11966">
        <w:rPr>
          <w:rFonts w:ascii="Times New Roman" w:eastAsia="Times New Roman" w:hAnsi="Times New Roman" w:cs="Times New Roman"/>
          <w:sz w:val="24"/>
          <w:szCs w:val="24"/>
          <w:lang w:eastAsia="ru-RU"/>
        </w:rPr>
        <w:t xml:space="preserve"> și</w:t>
      </w:r>
      <w:r w:rsidR="00D81A4E" w:rsidRPr="001065C1">
        <w:rPr>
          <w:rFonts w:ascii="Times New Roman" w:eastAsia="Times New Roman" w:hAnsi="Times New Roman" w:cs="Times New Roman"/>
          <w:sz w:val="24"/>
          <w:szCs w:val="24"/>
          <w:lang w:eastAsia="ru-RU"/>
        </w:rPr>
        <w:t xml:space="preserve"> </w:t>
      </w:r>
      <w:r w:rsidR="00F11966">
        <w:rPr>
          <w:rFonts w:ascii="Times New Roman" w:eastAsia="Times New Roman" w:hAnsi="Times New Roman" w:cs="Times New Roman"/>
          <w:sz w:val="24"/>
          <w:szCs w:val="24"/>
          <w:lang w:eastAsia="ru-RU"/>
        </w:rPr>
        <w:t xml:space="preserve">(vi) </w:t>
      </w:r>
      <w:r w:rsidR="001065C1" w:rsidRPr="001065C1">
        <w:rPr>
          <w:rFonts w:ascii="Times New Roman" w:eastAsia="Times New Roman" w:hAnsi="Times New Roman" w:cs="Times New Roman"/>
          <w:sz w:val="24"/>
          <w:szCs w:val="24"/>
          <w:lang w:eastAsia="ru-RU"/>
        </w:rPr>
        <w:t>deșeuri</w:t>
      </w:r>
      <w:r w:rsidR="00D81A4E" w:rsidRPr="001065C1">
        <w:rPr>
          <w:rFonts w:ascii="Times New Roman" w:eastAsia="Times New Roman" w:hAnsi="Times New Roman" w:cs="Times New Roman"/>
          <w:sz w:val="24"/>
          <w:szCs w:val="24"/>
          <w:lang w:eastAsia="ru-RU"/>
        </w:rPr>
        <w:t xml:space="preserve">. Accentul este pus </w:t>
      </w:r>
      <w:r w:rsidR="00513F50" w:rsidRPr="001065C1">
        <w:rPr>
          <w:rFonts w:ascii="Times New Roman" w:eastAsia="Times New Roman" w:hAnsi="Times New Roman" w:cs="Times New Roman"/>
          <w:sz w:val="24"/>
          <w:szCs w:val="24"/>
          <w:lang w:eastAsia="ru-RU"/>
        </w:rPr>
        <w:t xml:space="preserve">pe măsurile și principiile economiei verzi: </w:t>
      </w:r>
      <w:r w:rsidR="00D81A4E" w:rsidRPr="001065C1">
        <w:rPr>
          <w:rFonts w:ascii="Times New Roman" w:eastAsia="Times New Roman" w:hAnsi="Times New Roman" w:cs="Times New Roman"/>
          <w:sz w:val="24"/>
          <w:szCs w:val="24"/>
          <w:lang w:eastAsia="ru-RU"/>
        </w:rPr>
        <w:t xml:space="preserve">pe </w:t>
      </w:r>
      <w:r w:rsidR="001065C1" w:rsidRPr="001065C1">
        <w:rPr>
          <w:rFonts w:ascii="Times New Roman" w:eastAsia="Times New Roman" w:hAnsi="Times New Roman" w:cs="Times New Roman"/>
          <w:sz w:val="24"/>
          <w:szCs w:val="24"/>
          <w:lang w:eastAsia="ru-RU"/>
        </w:rPr>
        <w:t>eficientă</w:t>
      </w:r>
      <w:r w:rsidR="00D81A4E" w:rsidRPr="001065C1">
        <w:rPr>
          <w:rFonts w:ascii="Times New Roman" w:eastAsia="Times New Roman" w:hAnsi="Times New Roman" w:cs="Times New Roman"/>
          <w:sz w:val="24"/>
          <w:szCs w:val="24"/>
          <w:lang w:eastAsia="ru-RU"/>
        </w:rPr>
        <w:t xml:space="preserve"> energetică, dezvoltarea surselor regenerabile, aplicarea tehnologiilor performante de producere a cimentului </w:t>
      </w:r>
      <w:r w:rsidR="001065C1" w:rsidRPr="001065C1">
        <w:rPr>
          <w:rFonts w:ascii="Times New Roman" w:eastAsia="Times New Roman" w:hAnsi="Times New Roman" w:cs="Times New Roman"/>
          <w:sz w:val="24"/>
          <w:szCs w:val="24"/>
          <w:lang w:eastAsia="ru-RU"/>
        </w:rPr>
        <w:t>și</w:t>
      </w:r>
      <w:r w:rsidR="00D81A4E" w:rsidRPr="001065C1">
        <w:rPr>
          <w:rFonts w:ascii="Times New Roman" w:eastAsia="Times New Roman" w:hAnsi="Times New Roman" w:cs="Times New Roman"/>
          <w:sz w:val="24"/>
          <w:szCs w:val="24"/>
          <w:lang w:eastAsia="ru-RU"/>
        </w:rPr>
        <w:t xml:space="preserve"> sticlei, agricultură conservativă, împăduriri </w:t>
      </w:r>
      <w:r w:rsidR="001065C1" w:rsidRPr="001065C1">
        <w:rPr>
          <w:rFonts w:ascii="Times New Roman" w:eastAsia="Times New Roman" w:hAnsi="Times New Roman" w:cs="Times New Roman"/>
          <w:sz w:val="24"/>
          <w:szCs w:val="24"/>
          <w:lang w:eastAsia="ru-RU"/>
        </w:rPr>
        <w:t>și</w:t>
      </w:r>
      <w:r w:rsidR="00D81A4E" w:rsidRPr="001065C1">
        <w:rPr>
          <w:rFonts w:ascii="Times New Roman" w:eastAsia="Times New Roman" w:hAnsi="Times New Roman" w:cs="Times New Roman"/>
          <w:sz w:val="24"/>
          <w:szCs w:val="24"/>
          <w:lang w:eastAsia="ru-RU"/>
        </w:rPr>
        <w:t xml:space="preserve"> management eficient a </w:t>
      </w:r>
      <w:r w:rsidR="001065C1" w:rsidRPr="001065C1">
        <w:rPr>
          <w:rFonts w:ascii="Times New Roman" w:eastAsia="Times New Roman" w:hAnsi="Times New Roman" w:cs="Times New Roman"/>
          <w:sz w:val="24"/>
          <w:szCs w:val="24"/>
          <w:lang w:eastAsia="ru-RU"/>
        </w:rPr>
        <w:t>deșeurilor</w:t>
      </w:r>
      <w:r w:rsidR="00513F50" w:rsidRPr="001065C1">
        <w:rPr>
          <w:rFonts w:ascii="Times New Roman" w:eastAsia="Times New Roman" w:hAnsi="Times New Roman" w:cs="Times New Roman"/>
          <w:sz w:val="24"/>
          <w:szCs w:val="24"/>
          <w:lang w:eastAsia="ru-RU"/>
        </w:rPr>
        <w:t xml:space="preserve"> etc</w:t>
      </w:r>
      <w:r w:rsidR="00D81A4E" w:rsidRPr="001065C1">
        <w:rPr>
          <w:rFonts w:ascii="Times New Roman" w:eastAsia="Times New Roman" w:hAnsi="Times New Roman" w:cs="Times New Roman"/>
          <w:sz w:val="24"/>
          <w:szCs w:val="24"/>
          <w:lang w:eastAsia="ru-RU"/>
        </w:rPr>
        <w:t xml:space="preserve">. </w:t>
      </w:r>
      <w:r w:rsidR="001065C1" w:rsidRPr="001065C1">
        <w:rPr>
          <w:rFonts w:ascii="Times New Roman" w:eastAsia="Times New Roman" w:hAnsi="Times New Roman" w:cs="Times New Roman"/>
          <w:sz w:val="24"/>
          <w:szCs w:val="24"/>
          <w:lang w:eastAsia="ru-RU"/>
        </w:rPr>
        <w:t>Acțiunile</w:t>
      </w:r>
      <w:r w:rsidR="00D81A4E" w:rsidRPr="001065C1">
        <w:rPr>
          <w:rFonts w:ascii="Times New Roman" w:eastAsia="Times New Roman" w:hAnsi="Times New Roman" w:cs="Times New Roman"/>
          <w:sz w:val="24"/>
          <w:szCs w:val="24"/>
          <w:lang w:eastAsia="ru-RU"/>
        </w:rPr>
        <w:t xml:space="preserve"> în cauză reflectă politicile </w:t>
      </w:r>
      <w:r w:rsidR="001065C1" w:rsidRPr="001065C1">
        <w:rPr>
          <w:rFonts w:ascii="Times New Roman" w:eastAsia="Times New Roman" w:hAnsi="Times New Roman" w:cs="Times New Roman"/>
          <w:sz w:val="24"/>
          <w:szCs w:val="24"/>
          <w:lang w:eastAsia="ru-RU"/>
        </w:rPr>
        <w:t>și</w:t>
      </w:r>
      <w:r w:rsidR="00D81A4E" w:rsidRPr="001065C1">
        <w:rPr>
          <w:rFonts w:ascii="Times New Roman" w:eastAsia="Times New Roman" w:hAnsi="Times New Roman" w:cs="Times New Roman"/>
          <w:sz w:val="24"/>
          <w:szCs w:val="24"/>
          <w:lang w:eastAsia="ru-RU"/>
        </w:rPr>
        <w:t xml:space="preserve"> măsurile sectoriale ale statului exprimate în actele normative ale </w:t>
      </w:r>
      <w:r w:rsidR="001065C1" w:rsidRPr="001065C1">
        <w:rPr>
          <w:rFonts w:ascii="Times New Roman" w:eastAsia="Times New Roman" w:hAnsi="Times New Roman" w:cs="Times New Roman"/>
          <w:sz w:val="24"/>
          <w:szCs w:val="24"/>
          <w:lang w:eastAsia="ru-RU"/>
        </w:rPr>
        <w:t>țării</w:t>
      </w:r>
      <w:r w:rsidR="00D81A4E" w:rsidRPr="001065C1">
        <w:rPr>
          <w:rFonts w:ascii="Times New Roman" w:eastAsia="Times New Roman" w:hAnsi="Times New Roman" w:cs="Times New Roman"/>
          <w:sz w:val="24"/>
          <w:szCs w:val="24"/>
          <w:lang w:eastAsia="ru-RU"/>
        </w:rPr>
        <w:t xml:space="preserve">. Cu alte cuvinte, </w:t>
      </w:r>
      <w:r w:rsidR="00E95230" w:rsidRPr="001065C1">
        <w:rPr>
          <w:rFonts w:ascii="Times New Roman" w:eastAsia="Times New Roman" w:hAnsi="Times New Roman" w:cs="Times New Roman"/>
          <w:sz w:val="24"/>
          <w:szCs w:val="24"/>
          <w:lang w:eastAsia="ru-RU"/>
        </w:rPr>
        <w:t>Programul</w:t>
      </w:r>
      <w:r w:rsidR="00D81A4E" w:rsidRPr="001065C1">
        <w:rPr>
          <w:rFonts w:ascii="Times New Roman" w:eastAsia="Times New Roman" w:hAnsi="Times New Roman" w:cs="Times New Roman"/>
          <w:sz w:val="24"/>
          <w:szCs w:val="24"/>
          <w:lang w:eastAsia="ru-RU"/>
        </w:rPr>
        <w:t xml:space="preserve"> nu impune sectoarelor economiei promovarea unor politici </w:t>
      </w:r>
      <w:r w:rsidR="001065C1" w:rsidRPr="001065C1">
        <w:rPr>
          <w:rFonts w:ascii="Times New Roman" w:eastAsia="Times New Roman" w:hAnsi="Times New Roman" w:cs="Times New Roman"/>
          <w:sz w:val="24"/>
          <w:szCs w:val="24"/>
          <w:lang w:eastAsia="ru-RU"/>
        </w:rPr>
        <w:t>și</w:t>
      </w:r>
      <w:r w:rsidR="00D81A4E" w:rsidRPr="001065C1">
        <w:rPr>
          <w:rFonts w:ascii="Times New Roman" w:eastAsia="Times New Roman" w:hAnsi="Times New Roman" w:cs="Times New Roman"/>
          <w:sz w:val="24"/>
          <w:szCs w:val="24"/>
          <w:lang w:eastAsia="ru-RU"/>
        </w:rPr>
        <w:t xml:space="preserve"> măsuri determinate de aceasta, ci înglobează în sine politicile </w:t>
      </w:r>
      <w:r w:rsidR="001065C1" w:rsidRPr="001065C1">
        <w:rPr>
          <w:rFonts w:ascii="Times New Roman" w:eastAsia="Times New Roman" w:hAnsi="Times New Roman" w:cs="Times New Roman"/>
          <w:sz w:val="24"/>
          <w:szCs w:val="24"/>
          <w:lang w:eastAsia="ru-RU"/>
        </w:rPr>
        <w:t>și</w:t>
      </w:r>
      <w:r w:rsidR="00D81A4E" w:rsidRPr="001065C1">
        <w:rPr>
          <w:rFonts w:ascii="Times New Roman" w:eastAsia="Times New Roman" w:hAnsi="Times New Roman" w:cs="Times New Roman"/>
          <w:sz w:val="24"/>
          <w:szCs w:val="24"/>
          <w:lang w:eastAsia="ru-RU"/>
        </w:rPr>
        <w:t xml:space="preserve"> măsurile stabilite la nivel sectorial.</w:t>
      </w:r>
    </w:p>
    <w:p w14:paraId="6C2440EB" w14:textId="561978A1" w:rsidR="00654EB5" w:rsidRPr="001065C1" w:rsidRDefault="00654EB5" w:rsidP="00654EB5">
      <w:pPr>
        <w:spacing w:after="120" w:line="240" w:lineRule="auto"/>
        <w:jc w:val="both"/>
        <w:rPr>
          <w:rFonts w:ascii="Times New Roman" w:eastAsia="Times New Roman" w:hAnsi="Times New Roman" w:cs="Times New Roman"/>
          <w:sz w:val="24"/>
          <w:szCs w:val="24"/>
          <w:lang w:eastAsia="ru-RU"/>
        </w:rPr>
      </w:pPr>
      <w:r w:rsidRPr="001065C1">
        <w:rPr>
          <w:rFonts w:ascii="Times New Roman" w:eastAsia="Times New Roman" w:hAnsi="Times New Roman" w:cs="Times New Roman"/>
          <w:sz w:val="24"/>
          <w:szCs w:val="24"/>
          <w:lang w:eastAsia="ru-RU"/>
        </w:rPr>
        <w:t>Implementarea Programului, inclusiv a</w:t>
      </w:r>
      <w:r w:rsidRPr="001065C1">
        <w:t xml:space="preserve"> </w:t>
      </w:r>
      <w:r w:rsidRPr="001065C1">
        <w:rPr>
          <w:rFonts w:ascii="Times New Roman" w:eastAsia="Times New Roman" w:hAnsi="Times New Roman" w:cs="Times New Roman"/>
          <w:sz w:val="24"/>
          <w:szCs w:val="24"/>
          <w:lang w:eastAsia="ru-RU"/>
        </w:rPr>
        <w:t xml:space="preserve">tehnologiilor performante </w:t>
      </w:r>
      <w:r w:rsidR="001065C1" w:rsidRPr="001065C1">
        <w:rPr>
          <w:rFonts w:ascii="Times New Roman" w:eastAsia="Times New Roman" w:hAnsi="Times New Roman" w:cs="Times New Roman"/>
          <w:sz w:val="24"/>
          <w:szCs w:val="24"/>
          <w:lang w:eastAsia="ru-RU"/>
        </w:rPr>
        <w:t>și</w:t>
      </w:r>
      <w:r w:rsidRPr="001065C1">
        <w:rPr>
          <w:rFonts w:ascii="Times New Roman" w:eastAsia="Times New Roman" w:hAnsi="Times New Roman" w:cs="Times New Roman"/>
          <w:sz w:val="24"/>
          <w:szCs w:val="24"/>
          <w:lang w:eastAsia="ru-RU"/>
        </w:rPr>
        <w:t xml:space="preserve"> celor mai bune practici de pe glob, este asociată cu o gamă largă de beneficii: financiare, dar </w:t>
      </w:r>
      <w:r w:rsidR="001065C1" w:rsidRPr="001065C1">
        <w:rPr>
          <w:rFonts w:ascii="Times New Roman" w:eastAsia="Times New Roman" w:hAnsi="Times New Roman" w:cs="Times New Roman"/>
          <w:sz w:val="24"/>
          <w:szCs w:val="24"/>
          <w:lang w:eastAsia="ru-RU"/>
        </w:rPr>
        <w:t>și</w:t>
      </w:r>
      <w:r w:rsidRPr="001065C1">
        <w:rPr>
          <w:rFonts w:ascii="Times New Roman" w:eastAsia="Times New Roman" w:hAnsi="Times New Roman" w:cs="Times New Roman"/>
          <w:sz w:val="24"/>
          <w:szCs w:val="24"/>
          <w:lang w:eastAsia="ru-RU"/>
        </w:rPr>
        <w:t xml:space="preserve"> de dezvoltare, cu impacturi de creare a noi locuri de muncă </w:t>
      </w:r>
      <w:r w:rsidR="001065C1" w:rsidRPr="001065C1">
        <w:rPr>
          <w:rFonts w:ascii="Times New Roman" w:eastAsia="Times New Roman" w:hAnsi="Times New Roman" w:cs="Times New Roman"/>
          <w:sz w:val="24"/>
          <w:szCs w:val="24"/>
          <w:lang w:eastAsia="ru-RU"/>
        </w:rPr>
        <w:t>și</w:t>
      </w:r>
      <w:r w:rsidRPr="001065C1">
        <w:rPr>
          <w:rFonts w:ascii="Times New Roman" w:eastAsia="Times New Roman" w:hAnsi="Times New Roman" w:cs="Times New Roman"/>
          <w:sz w:val="24"/>
          <w:szCs w:val="24"/>
          <w:lang w:eastAsia="ru-RU"/>
        </w:rPr>
        <w:t xml:space="preserve"> </w:t>
      </w:r>
      <w:r w:rsidR="001065C1" w:rsidRPr="001065C1">
        <w:rPr>
          <w:rFonts w:ascii="Times New Roman" w:eastAsia="Times New Roman" w:hAnsi="Times New Roman" w:cs="Times New Roman"/>
          <w:sz w:val="24"/>
          <w:szCs w:val="24"/>
          <w:lang w:eastAsia="ru-RU"/>
        </w:rPr>
        <w:t>oportunități</w:t>
      </w:r>
      <w:r w:rsidRPr="001065C1">
        <w:rPr>
          <w:rFonts w:ascii="Times New Roman" w:eastAsia="Times New Roman" w:hAnsi="Times New Roman" w:cs="Times New Roman"/>
          <w:sz w:val="24"/>
          <w:szCs w:val="24"/>
          <w:lang w:eastAsia="ru-RU"/>
        </w:rPr>
        <w:t xml:space="preserve"> de afaceri, mediu ambiant </w:t>
      </w:r>
      <w:r w:rsidR="001065C1" w:rsidRPr="001065C1">
        <w:rPr>
          <w:rFonts w:ascii="Times New Roman" w:eastAsia="Times New Roman" w:hAnsi="Times New Roman" w:cs="Times New Roman"/>
          <w:sz w:val="24"/>
          <w:szCs w:val="24"/>
          <w:lang w:eastAsia="ru-RU"/>
        </w:rPr>
        <w:t>îmbunătățit</w:t>
      </w:r>
      <w:r w:rsidRPr="001065C1">
        <w:rPr>
          <w:rFonts w:ascii="Times New Roman" w:eastAsia="Times New Roman" w:hAnsi="Times New Roman" w:cs="Times New Roman"/>
          <w:sz w:val="24"/>
          <w:szCs w:val="24"/>
          <w:lang w:eastAsia="ru-RU"/>
        </w:rPr>
        <w:t xml:space="preserve"> </w:t>
      </w:r>
      <w:r w:rsidR="001065C1" w:rsidRPr="001065C1">
        <w:rPr>
          <w:rFonts w:ascii="Times New Roman" w:eastAsia="Times New Roman" w:hAnsi="Times New Roman" w:cs="Times New Roman"/>
          <w:sz w:val="24"/>
          <w:szCs w:val="24"/>
          <w:lang w:eastAsia="ru-RU"/>
        </w:rPr>
        <w:t>și</w:t>
      </w:r>
      <w:r w:rsidRPr="001065C1">
        <w:rPr>
          <w:rFonts w:ascii="Times New Roman" w:eastAsia="Times New Roman" w:hAnsi="Times New Roman" w:cs="Times New Roman"/>
          <w:sz w:val="24"/>
          <w:szCs w:val="24"/>
          <w:lang w:eastAsia="ru-RU"/>
        </w:rPr>
        <w:t xml:space="preserve"> calitate a </w:t>
      </w:r>
      <w:r w:rsidR="001065C1" w:rsidRPr="001065C1">
        <w:rPr>
          <w:rFonts w:ascii="Times New Roman" w:eastAsia="Times New Roman" w:hAnsi="Times New Roman" w:cs="Times New Roman"/>
          <w:sz w:val="24"/>
          <w:szCs w:val="24"/>
          <w:lang w:eastAsia="ru-RU"/>
        </w:rPr>
        <w:t>vieții</w:t>
      </w:r>
      <w:r w:rsidRPr="001065C1">
        <w:rPr>
          <w:rFonts w:ascii="Times New Roman" w:eastAsia="Times New Roman" w:hAnsi="Times New Roman" w:cs="Times New Roman"/>
          <w:sz w:val="24"/>
          <w:szCs w:val="24"/>
          <w:lang w:eastAsia="ru-RU"/>
        </w:rPr>
        <w:t xml:space="preserve"> </w:t>
      </w:r>
      <w:r w:rsidR="001065C1" w:rsidRPr="001065C1">
        <w:rPr>
          <w:rFonts w:ascii="Times New Roman" w:eastAsia="Times New Roman" w:hAnsi="Times New Roman" w:cs="Times New Roman"/>
          <w:sz w:val="24"/>
          <w:szCs w:val="24"/>
          <w:lang w:eastAsia="ru-RU"/>
        </w:rPr>
        <w:t>populației</w:t>
      </w:r>
      <w:r w:rsidRPr="001065C1">
        <w:rPr>
          <w:rFonts w:ascii="Times New Roman" w:eastAsia="Times New Roman" w:hAnsi="Times New Roman" w:cs="Times New Roman"/>
          <w:sz w:val="24"/>
          <w:szCs w:val="24"/>
          <w:lang w:eastAsia="ru-RU"/>
        </w:rPr>
        <w:t xml:space="preserve">, de securitate energetică sporită </w:t>
      </w:r>
      <w:r w:rsidR="001065C1" w:rsidRPr="001065C1">
        <w:rPr>
          <w:rFonts w:ascii="Times New Roman" w:eastAsia="Times New Roman" w:hAnsi="Times New Roman" w:cs="Times New Roman"/>
          <w:sz w:val="24"/>
          <w:szCs w:val="24"/>
          <w:lang w:eastAsia="ru-RU"/>
        </w:rPr>
        <w:t>și</w:t>
      </w:r>
      <w:r w:rsidRPr="001065C1">
        <w:rPr>
          <w:rFonts w:ascii="Times New Roman" w:eastAsia="Times New Roman" w:hAnsi="Times New Roman" w:cs="Times New Roman"/>
          <w:sz w:val="24"/>
          <w:szCs w:val="24"/>
          <w:lang w:eastAsia="ru-RU"/>
        </w:rPr>
        <w:t xml:space="preserve">, nu în ultimul </w:t>
      </w:r>
      <w:r w:rsidR="001065C1" w:rsidRPr="001065C1">
        <w:rPr>
          <w:rFonts w:ascii="Times New Roman" w:eastAsia="Times New Roman" w:hAnsi="Times New Roman" w:cs="Times New Roman"/>
          <w:sz w:val="24"/>
          <w:szCs w:val="24"/>
          <w:lang w:eastAsia="ru-RU"/>
        </w:rPr>
        <w:t>rând</w:t>
      </w:r>
      <w:r w:rsidRPr="001065C1">
        <w:rPr>
          <w:rFonts w:ascii="Times New Roman" w:eastAsia="Times New Roman" w:hAnsi="Times New Roman" w:cs="Times New Roman"/>
          <w:sz w:val="24"/>
          <w:szCs w:val="24"/>
          <w:lang w:eastAsia="ru-RU"/>
        </w:rPr>
        <w:t xml:space="preserve">, de standarde de mediu mai bune </w:t>
      </w:r>
      <w:r w:rsidR="001065C1" w:rsidRPr="001065C1">
        <w:rPr>
          <w:rFonts w:ascii="Times New Roman" w:eastAsia="Times New Roman" w:hAnsi="Times New Roman" w:cs="Times New Roman"/>
          <w:sz w:val="24"/>
          <w:szCs w:val="24"/>
          <w:lang w:eastAsia="ru-RU"/>
        </w:rPr>
        <w:t>și</w:t>
      </w:r>
      <w:r w:rsidRPr="001065C1">
        <w:rPr>
          <w:rFonts w:ascii="Times New Roman" w:eastAsia="Times New Roman" w:hAnsi="Times New Roman" w:cs="Times New Roman"/>
          <w:sz w:val="24"/>
          <w:szCs w:val="24"/>
          <w:lang w:eastAsia="ru-RU"/>
        </w:rPr>
        <w:t xml:space="preserve"> o securitate ecologică sporită. De pe urma implementării Programului vor beneficia</w:t>
      </w:r>
      <w:r w:rsidR="00E70219" w:rsidRPr="001065C1">
        <w:rPr>
          <w:rFonts w:ascii="Times New Roman" w:eastAsia="Times New Roman" w:hAnsi="Times New Roman" w:cs="Times New Roman"/>
          <w:sz w:val="24"/>
          <w:szCs w:val="24"/>
          <w:lang w:eastAsia="ru-RU"/>
        </w:rPr>
        <w:t xml:space="preserve"> </w:t>
      </w:r>
      <w:r w:rsidR="001065C1" w:rsidRPr="001065C1">
        <w:rPr>
          <w:rFonts w:ascii="Times New Roman" w:eastAsia="Times New Roman" w:hAnsi="Times New Roman" w:cs="Times New Roman"/>
          <w:sz w:val="24"/>
          <w:szCs w:val="24"/>
          <w:lang w:eastAsia="ru-RU"/>
        </w:rPr>
        <w:t>cetățenii</w:t>
      </w:r>
      <w:r w:rsidRPr="001065C1">
        <w:rPr>
          <w:rFonts w:ascii="Times New Roman" w:eastAsia="Times New Roman" w:hAnsi="Times New Roman" w:cs="Times New Roman"/>
          <w:sz w:val="24"/>
          <w:szCs w:val="24"/>
          <w:lang w:eastAsia="ru-RU"/>
        </w:rPr>
        <w:t xml:space="preserve">, </w:t>
      </w:r>
      <w:r w:rsidR="001065C1" w:rsidRPr="001065C1">
        <w:rPr>
          <w:rFonts w:ascii="Times New Roman" w:eastAsia="Times New Roman" w:hAnsi="Times New Roman" w:cs="Times New Roman"/>
          <w:sz w:val="24"/>
          <w:szCs w:val="24"/>
          <w:lang w:eastAsia="ru-RU"/>
        </w:rPr>
        <w:t>entitățile</w:t>
      </w:r>
      <w:r w:rsidRPr="001065C1">
        <w:rPr>
          <w:rFonts w:ascii="Times New Roman" w:eastAsia="Times New Roman" w:hAnsi="Times New Roman" w:cs="Times New Roman"/>
          <w:sz w:val="24"/>
          <w:szCs w:val="24"/>
          <w:lang w:eastAsia="ru-RU"/>
        </w:rPr>
        <w:t xml:space="preserve"> economice </w:t>
      </w:r>
      <w:r w:rsidR="001065C1" w:rsidRPr="001065C1">
        <w:rPr>
          <w:rFonts w:ascii="Times New Roman" w:eastAsia="Times New Roman" w:hAnsi="Times New Roman" w:cs="Times New Roman"/>
          <w:sz w:val="24"/>
          <w:szCs w:val="24"/>
          <w:lang w:eastAsia="ru-RU"/>
        </w:rPr>
        <w:t>și</w:t>
      </w:r>
      <w:r w:rsidRPr="001065C1">
        <w:rPr>
          <w:rFonts w:ascii="Times New Roman" w:eastAsia="Times New Roman" w:hAnsi="Times New Roman" w:cs="Times New Roman"/>
          <w:sz w:val="24"/>
          <w:szCs w:val="24"/>
          <w:lang w:eastAsia="ru-RU"/>
        </w:rPr>
        <w:t xml:space="preserve"> </w:t>
      </w:r>
      <w:r w:rsidR="001065C1" w:rsidRPr="001065C1">
        <w:rPr>
          <w:rFonts w:ascii="Times New Roman" w:eastAsia="Times New Roman" w:hAnsi="Times New Roman" w:cs="Times New Roman"/>
          <w:sz w:val="24"/>
          <w:szCs w:val="24"/>
          <w:lang w:eastAsia="ru-RU"/>
        </w:rPr>
        <w:t>țara</w:t>
      </w:r>
      <w:r w:rsidRPr="001065C1">
        <w:rPr>
          <w:rFonts w:ascii="Times New Roman" w:eastAsia="Times New Roman" w:hAnsi="Times New Roman" w:cs="Times New Roman"/>
          <w:sz w:val="24"/>
          <w:szCs w:val="24"/>
          <w:lang w:eastAsia="ru-RU"/>
        </w:rPr>
        <w:t xml:space="preserve"> în ansamblu. Documentul va stabili o coeziune sporită între ramurile economiei </w:t>
      </w:r>
      <w:r w:rsidR="001065C1" w:rsidRPr="001065C1">
        <w:rPr>
          <w:rFonts w:ascii="Times New Roman" w:eastAsia="Times New Roman" w:hAnsi="Times New Roman" w:cs="Times New Roman"/>
          <w:sz w:val="24"/>
          <w:szCs w:val="24"/>
          <w:lang w:eastAsia="ru-RU"/>
        </w:rPr>
        <w:t>naționale</w:t>
      </w:r>
      <w:r w:rsidRPr="001065C1">
        <w:rPr>
          <w:rFonts w:ascii="Times New Roman" w:eastAsia="Times New Roman" w:hAnsi="Times New Roman" w:cs="Times New Roman"/>
          <w:sz w:val="24"/>
          <w:szCs w:val="24"/>
          <w:lang w:eastAsia="ru-RU"/>
        </w:rPr>
        <w:t xml:space="preserve"> spre reducerea emisiilor de gaze cu efect de seră, precum </w:t>
      </w:r>
      <w:r w:rsidR="001065C1" w:rsidRPr="001065C1">
        <w:rPr>
          <w:rFonts w:ascii="Times New Roman" w:eastAsia="Times New Roman" w:hAnsi="Times New Roman" w:cs="Times New Roman"/>
          <w:sz w:val="24"/>
          <w:szCs w:val="24"/>
          <w:lang w:eastAsia="ru-RU"/>
        </w:rPr>
        <w:t>și</w:t>
      </w:r>
      <w:r w:rsidRPr="001065C1">
        <w:rPr>
          <w:rFonts w:ascii="Times New Roman" w:eastAsia="Times New Roman" w:hAnsi="Times New Roman" w:cs="Times New Roman"/>
          <w:sz w:val="24"/>
          <w:szCs w:val="24"/>
          <w:lang w:eastAsia="ru-RU"/>
        </w:rPr>
        <w:t xml:space="preserve"> a consumului de combustibili fosili.</w:t>
      </w:r>
    </w:p>
    <w:p w14:paraId="5444E9E9" w14:textId="231A4A0C" w:rsidR="00454011" w:rsidRPr="001065C1" w:rsidRDefault="00625684" w:rsidP="00454011">
      <w:pPr>
        <w:spacing w:before="120" w:after="120" w:line="240" w:lineRule="auto"/>
        <w:jc w:val="both"/>
        <w:rPr>
          <w:rFonts w:ascii="Times New Roman" w:eastAsia="Times New Roman" w:hAnsi="Times New Roman" w:cs="Times New Roman"/>
          <w:sz w:val="24"/>
          <w:szCs w:val="24"/>
          <w:lang w:eastAsia="ru-RU"/>
        </w:rPr>
      </w:pPr>
      <w:r w:rsidRPr="001065C1">
        <w:rPr>
          <w:rFonts w:ascii="Times New Roman" w:eastAsia="Times New Roman" w:hAnsi="Times New Roman" w:cs="Times New Roman"/>
          <w:sz w:val="24"/>
          <w:szCs w:val="24"/>
          <w:lang w:eastAsia="ru-RU"/>
        </w:rPr>
        <w:t xml:space="preserve">Atingerea obiectivelor specificate în Program va fi efectuată prin </w:t>
      </w:r>
      <w:r w:rsidR="00454011" w:rsidRPr="001065C1">
        <w:rPr>
          <w:rFonts w:ascii="Times New Roman" w:eastAsia="Times New Roman" w:hAnsi="Times New Roman" w:cs="Times New Roman"/>
          <w:sz w:val="24"/>
          <w:szCs w:val="24"/>
          <w:lang w:eastAsia="ru-RU"/>
        </w:rPr>
        <w:t>intermediul P</w:t>
      </w:r>
      <w:r w:rsidRPr="001065C1">
        <w:rPr>
          <w:rFonts w:ascii="Times New Roman" w:eastAsia="Times New Roman" w:hAnsi="Times New Roman" w:cs="Times New Roman"/>
          <w:sz w:val="24"/>
          <w:szCs w:val="24"/>
          <w:lang w:eastAsia="ru-RU"/>
        </w:rPr>
        <w:t>lanul</w:t>
      </w:r>
      <w:r w:rsidR="00454011" w:rsidRPr="001065C1">
        <w:rPr>
          <w:rFonts w:ascii="Times New Roman" w:eastAsia="Times New Roman" w:hAnsi="Times New Roman" w:cs="Times New Roman"/>
          <w:sz w:val="24"/>
          <w:szCs w:val="24"/>
          <w:lang w:eastAsia="ru-RU"/>
        </w:rPr>
        <w:t>ui</w:t>
      </w:r>
      <w:r w:rsidRPr="001065C1">
        <w:rPr>
          <w:rFonts w:ascii="Times New Roman" w:eastAsia="Times New Roman" w:hAnsi="Times New Roman" w:cs="Times New Roman"/>
          <w:sz w:val="24"/>
          <w:szCs w:val="24"/>
          <w:lang w:eastAsia="ru-RU"/>
        </w:rPr>
        <w:t xml:space="preserve"> </w:t>
      </w:r>
      <w:r w:rsidR="00B276D2" w:rsidRPr="001065C1">
        <w:rPr>
          <w:rFonts w:ascii="Times New Roman" w:eastAsia="Times New Roman" w:hAnsi="Times New Roman" w:cs="Times New Roman"/>
          <w:sz w:val="24"/>
          <w:szCs w:val="24"/>
          <w:lang w:eastAsia="ru-RU"/>
        </w:rPr>
        <w:t xml:space="preserve">de </w:t>
      </w:r>
      <w:r w:rsidR="001065C1" w:rsidRPr="001065C1">
        <w:rPr>
          <w:rFonts w:ascii="Times New Roman" w:eastAsia="Times New Roman" w:hAnsi="Times New Roman" w:cs="Times New Roman"/>
          <w:sz w:val="24"/>
          <w:szCs w:val="24"/>
          <w:lang w:eastAsia="ru-RU"/>
        </w:rPr>
        <w:t>acțiuni</w:t>
      </w:r>
      <w:r w:rsidR="00B276D2" w:rsidRPr="001065C1">
        <w:rPr>
          <w:rFonts w:ascii="Times New Roman" w:eastAsia="Times New Roman" w:hAnsi="Times New Roman" w:cs="Times New Roman"/>
          <w:sz w:val="24"/>
          <w:szCs w:val="24"/>
          <w:lang w:eastAsia="ru-RU"/>
        </w:rPr>
        <w:t xml:space="preserve"> pentru implementarea Programului de dezvoltare cu emisii reduse a Republicii Moldova </w:t>
      </w:r>
      <w:proofErr w:type="spellStart"/>
      <w:r w:rsidR="00B276D2" w:rsidRPr="001065C1">
        <w:rPr>
          <w:rFonts w:ascii="Times New Roman" w:eastAsia="Times New Roman" w:hAnsi="Times New Roman" w:cs="Times New Roman"/>
          <w:sz w:val="24"/>
          <w:szCs w:val="24"/>
          <w:lang w:eastAsia="ru-RU"/>
        </w:rPr>
        <w:t>pînă</w:t>
      </w:r>
      <w:proofErr w:type="spellEnd"/>
      <w:r w:rsidR="00B276D2" w:rsidRPr="001065C1">
        <w:rPr>
          <w:rFonts w:ascii="Times New Roman" w:eastAsia="Times New Roman" w:hAnsi="Times New Roman" w:cs="Times New Roman"/>
          <w:sz w:val="24"/>
          <w:szCs w:val="24"/>
          <w:lang w:eastAsia="ru-RU"/>
        </w:rPr>
        <w:t xml:space="preserve"> în anul 2030, </w:t>
      </w:r>
      <w:r w:rsidR="00F11966">
        <w:rPr>
          <w:rFonts w:ascii="Times New Roman" w:eastAsia="Times New Roman" w:hAnsi="Times New Roman" w:cs="Times New Roman"/>
          <w:sz w:val="24"/>
          <w:szCs w:val="24"/>
          <w:lang w:eastAsia="ru-RU"/>
        </w:rPr>
        <w:t xml:space="preserve">parte componentă a </w:t>
      </w:r>
      <w:r w:rsidR="00B276D2" w:rsidRPr="001065C1">
        <w:rPr>
          <w:rFonts w:ascii="Times New Roman" w:eastAsia="Times New Roman" w:hAnsi="Times New Roman" w:cs="Times New Roman"/>
          <w:sz w:val="24"/>
          <w:szCs w:val="24"/>
          <w:lang w:eastAsia="ru-RU"/>
        </w:rPr>
        <w:t>acest</w:t>
      </w:r>
      <w:r w:rsidR="00F11966">
        <w:rPr>
          <w:rFonts w:ascii="Times New Roman" w:eastAsia="Times New Roman" w:hAnsi="Times New Roman" w:cs="Times New Roman"/>
          <w:sz w:val="24"/>
          <w:szCs w:val="24"/>
          <w:lang w:eastAsia="ru-RU"/>
        </w:rPr>
        <w:t>ui</w:t>
      </w:r>
      <w:r w:rsidR="00B276D2" w:rsidRPr="001065C1">
        <w:rPr>
          <w:rFonts w:ascii="Times New Roman" w:eastAsia="Times New Roman" w:hAnsi="Times New Roman" w:cs="Times New Roman"/>
          <w:sz w:val="24"/>
          <w:szCs w:val="24"/>
          <w:lang w:eastAsia="ru-RU"/>
        </w:rPr>
        <w:t xml:space="preserve"> Program.</w:t>
      </w:r>
    </w:p>
    <w:p w14:paraId="5439059C" w14:textId="088B3C61" w:rsidR="00625684" w:rsidRPr="001065C1" w:rsidRDefault="00625684" w:rsidP="00B276D2">
      <w:pPr>
        <w:spacing w:before="120" w:after="120" w:line="240" w:lineRule="auto"/>
        <w:jc w:val="both"/>
        <w:rPr>
          <w:rFonts w:ascii="Times New Roman" w:eastAsia="Times New Roman" w:hAnsi="Times New Roman" w:cs="Times New Roman"/>
          <w:color w:val="000000"/>
          <w:sz w:val="24"/>
          <w:szCs w:val="24"/>
          <w:shd w:val="clear" w:color="auto" w:fill="FFFFFF"/>
          <w:lang w:eastAsia="ru-RU"/>
        </w:rPr>
      </w:pPr>
      <w:r w:rsidRPr="001065C1">
        <w:rPr>
          <w:rFonts w:ascii="Times New Roman" w:eastAsia="Times New Roman" w:hAnsi="Times New Roman" w:cs="Times New Roman"/>
          <w:color w:val="000000"/>
          <w:sz w:val="24"/>
          <w:szCs w:val="24"/>
          <w:shd w:val="clear" w:color="auto" w:fill="FFFFFF"/>
          <w:lang w:eastAsia="ru-RU"/>
        </w:rPr>
        <w:lastRenderedPageBreak/>
        <w:t xml:space="preserve">Perioada de implementare a Programului de </w:t>
      </w:r>
      <w:r w:rsidR="001065C1" w:rsidRPr="001065C1">
        <w:rPr>
          <w:rFonts w:ascii="Times New Roman" w:eastAsia="Times New Roman" w:hAnsi="Times New Roman" w:cs="Times New Roman"/>
          <w:color w:val="000000"/>
          <w:sz w:val="24"/>
          <w:szCs w:val="24"/>
          <w:shd w:val="clear" w:color="auto" w:fill="FFFFFF"/>
          <w:lang w:eastAsia="ru-RU"/>
        </w:rPr>
        <w:t>față</w:t>
      </w:r>
      <w:r w:rsidRPr="001065C1">
        <w:rPr>
          <w:rFonts w:ascii="Times New Roman" w:eastAsia="Times New Roman" w:hAnsi="Times New Roman" w:cs="Times New Roman"/>
          <w:color w:val="000000"/>
          <w:sz w:val="24"/>
          <w:szCs w:val="24"/>
          <w:shd w:val="clear" w:color="auto" w:fill="FFFFFF"/>
          <w:lang w:eastAsia="ru-RU"/>
        </w:rPr>
        <w:t xml:space="preserve"> cuprinde anii 2021-2030, actorul coordonator al acesteia fiind </w:t>
      </w:r>
      <w:r w:rsidR="002C1CB9">
        <w:rPr>
          <w:rFonts w:ascii="Times New Roman" w:eastAsia="Times New Roman" w:hAnsi="Times New Roman" w:cs="Times New Roman"/>
          <w:color w:val="000000"/>
          <w:sz w:val="24"/>
          <w:szCs w:val="24"/>
          <w:shd w:val="clear" w:color="auto" w:fill="FFFFFF"/>
          <w:lang w:eastAsia="ru-RU"/>
        </w:rPr>
        <w:t>Ministerul Mediului</w:t>
      </w:r>
      <w:r w:rsidRPr="001065C1">
        <w:rPr>
          <w:rFonts w:ascii="Times New Roman" w:eastAsia="Times New Roman" w:hAnsi="Times New Roman" w:cs="Times New Roman"/>
          <w:color w:val="000000"/>
          <w:sz w:val="24"/>
          <w:szCs w:val="24"/>
          <w:shd w:val="clear" w:color="auto" w:fill="FFFFFF"/>
          <w:lang w:eastAsia="ru-RU"/>
        </w:rPr>
        <w:t xml:space="preserve">. Acesta din </w:t>
      </w:r>
      <w:r w:rsidR="00513F50" w:rsidRPr="001065C1">
        <w:rPr>
          <w:rFonts w:ascii="Times New Roman" w:eastAsia="Times New Roman" w:hAnsi="Times New Roman" w:cs="Times New Roman"/>
          <w:color w:val="000000"/>
          <w:sz w:val="24"/>
          <w:szCs w:val="24"/>
          <w:shd w:val="clear" w:color="auto" w:fill="FFFFFF"/>
          <w:lang w:eastAsia="ru-RU"/>
        </w:rPr>
        <w:t>u</w:t>
      </w:r>
      <w:r w:rsidRPr="001065C1">
        <w:rPr>
          <w:rFonts w:ascii="Times New Roman" w:eastAsia="Times New Roman" w:hAnsi="Times New Roman" w:cs="Times New Roman"/>
          <w:color w:val="000000"/>
          <w:sz w:val="24"/>
          <w:szCs w:val="24"/>
          <w:shd w:val="clear" w:color="auto" w:fill="FFFFFF"/>
          <w:lang w:eastAsia="ru-RU"/>
        </w:rPr>
        <w:t xml:space="preserve">rmă poartă responsabilitate pentru monitorizarea, raportarea </w:t>
      </w:r>
      <w:r w:rsidR="001065C1" w:rsidRPr="001065C1">
        <w:rPr>
          <w:rFonts w:ascii="Times New Roman" w:eastAsia="Times New Roman" w:hAnsi="Times New Roman" w:cs="Times New Roman"/>
          <w:color w:val="000000"/>
          <w:sz w:val="24"/>
          <w:szCs w:val="24"/>
          <w:shd w:val="clear" w:color="auto" w:fill="FFFFFF"/>
          <w:lang w:eastAsia="ru-RU"/>
        </w:rPr>
        <w:t>și</w:t>
      </w:r>
      <w:r w:rsidRPr="001065C1">
        <w:rPr>
          <w:rFonts w:ascii="Times New Roman" w:eastAsia="Times New Roman" w:hAnsi="Times New Roman" w:cs="Times New Roman"/>
          <w:color w:val="000000"/>
          <w:sz w:val="24"/>
          <w:szCs w:val="24"/>
          <w:shd w:val="clear" w:color="auto" w:fill="FFFFFF"/>
          <w:lang w:eastAsia="ru-RU"/>
        </w:rPr>
        <w:t xml:space="preserve"> verificarea </w:t>
      </w:r>
      <w:r w:rsidR="001065C1" w:rsidRPr="001065C1">
        <w:rPr>
          <w:rFonts w:ascii="Times New Roman" w:eastAsia="Times New Roman" w:hAnsi="Times New Roman" w:cs="Times New Roman"/>
          <w:color w:val="000000"/>
          <w:sz w:val="24"/>
          <w:szCs w:val="24"/>
          <w:shd w:val="clear" w:color="auto" w:fill="FFFFFF"/>
          <w:lang w:eastAsia="ru-RU"/>
        </w:rPr>
        <w:t>acțiunilor</w:t>
      </w:r>
      <w:r w:rsidRPr="001065C1">
        <w:rPr>
          <w:rFonts w:ascii="Times New Roman" w:eastAsia="Times New Roman" w:hAnsi="Times New Roman" w:cs="Times New Roman"/>
          <w:color w:val="000000"/>
          <w:sz w:val="24"/>
          <w:szCs w:val="24"/>
          <w:shd w:val="clear" w:color="auto" w:fill="FFFFFF"/>
          <w:lang w:eastAsia="ru-RU"/>
        </w:rPr>
        <w:t xml:space="preserve"> prevăzute de program. În procesul de implementare vor fi </w:t>
      </w:r>
      <w:r w:rsidR="001065C1" w:rsidRPr="001065C1">
        <w:rPr>
          <w:rFonts w:ascii="Times New Roman" w:eastAsia="Times New Roman" w:hAnsi="Times New Roman" w:cs="Times New Roman"/>
          <w:color w:val="000000"/>
          <w:sz w:val="24"/>
          <w:szCs w:val="24"/>
          <w:shd w:val="clear" w:color="auto" w:fill="FFFFFF"/>
          <w:lang w:eastAsia="ru-RU"/>
        </w:rPr>
        <w:t>implicați</w:t>
      </w:r>
      <w:r w:rsidRPr="001065C1">
        <w:rPr>
          <w:rFonts w:ascii="Times New Roman" w:eastAsia="Times New Roman" w:hAnsi="Times New Roman" w:cs="Times New Roman"/>
          <w:color w:val="000000"/>
          <w:sz w:val="24"/>
          <w:szCs w:val="24"/>
          <w:shd w:val="clear" w:color="auto" w:fill="FFFFFF"/>
          <w:lang w:eastAsia="ru-RU"/>
        </w:rPr>
        <w:t>, în principal:</w:t>
      </w:r>
      <w:r w:rsidR="00B276D2" w:rsidRPr="001065C1">
        <w:rPr>
          <w:rFonts w:ascii="Times New Roman" w:eastAsia="Times New Roman" w:hAnsi="Times New Roman" w:cs="Times New Roman"/>
          <w:color w:val="000000"/>
          <w:sz w:val="24"/>
          <w:szCs w:val="24"/>
          <w:shd w:val="clear" w:color="auto" w:fill="FFFFFF"/>
          <w:lang w:eastAsia="ru-RU"/>
        </w:rPr>
        <w:t xml:space="preserve"> </w:t>
      </w:r>
      <w:r w:rsidR="0024706D">
        <w:rPr>
          <w:rFonts w:ascii="Times New Roman" w:eastAsia="Times New Roman" w:hAnsi="Times New Roman" w:cs="Times New Roman"/>
          <w:color w:val="000000"/>
          <w:sz w:val="24"/>
          <w:szCs w:val="24"/>
          <w:shd w:val="clear" w:color="auto" w:fill="FFFFFF"/>
          <w:lang w:eastAsia="ru-RU"/>
        </w:rPr>
        <w:t>Ministerul Infrastructurii și Dezvoltării Regionale</w:t>
      </w:r>
      <w:r w:rsidR="00B276D2" w:rsidRPr="001065C1">
        <w:rPr>
          <w:rFonts w:ascii="Times New Roman" w:eastAsia="Times New Roman" w:hAnsi="Times New Roman" w:cs="Times New Roman"/>
          <w:color w:val="000000"/>
          <w:sz w:val="24"/>
          <w:szCs w:val="24"/>
          <w:shd w:val="clear" w:color="auto" w:fill="FFFFFF"/>
          <w:lang w:eastAsia="ru-RU"/>
        </w:rPr>
        <w:t xml:space="preserve">, </w:t>
      </w:r>
      <w:r w:rsidRPr="001065C1">
        <w:rPr>
          <w:rFonts w:ascii="Times New Roman" w:eastAsia="Times New Roman" w:hAnsi="Times New Roman" w:cs="Times New Roman"/>
          <w:color w:val="000000"/>
          <w:sz w:val="24"/>
          <w:szCs w:val="24"/>
          <w:shd w:val="clear" w:color="auto" w:fill="FFFFFF"/>
          <w:lang w:eastAsia="ru-RU"/>
        </w:rPr>
        <w:t xml:space="preserve">Ministerul </w:t>
      </w:r>
      <w:r w:rsidR="001065C1" w:rsidRPr="001065C1">
        <w:rPr>
          <w:rFonts w:ascii="Times New Roman" w:eastAsia="Times New Roman" w:hAnsi="Times New Roman" w:cs="Times New Roman"/>
          <w:color w:val="000000"/>
          <w:sz w:val="24"/>
          <w:szCs w:val="24"/>
          <w:shd w:val="clear" w:color="auto" w:fill="FFFFFF"/>
          <w:lang w:eastAsia="ru-RU"/>
        </w:rPr>
        <w:t>Finanțelor</w:t>
      </w:r>
      <w:r w:rsidR="00B276D2" w:rsidRPr="001065C1">
        <w:rPr>
          <w:rFonts w:ascii="Times New Roman" w:eastAsia="Times New Roman" w:hAnsi="Times New Roman" w:cs="Times New Roman"/>
          <w:color w:val="000000"/>
          <w:sz w:val="24"/>
          <w:szCs w:val="24"/>
          <w:shd w:val="clear" w:color="auto" w:fill="FFFFFF"/>
          <w:lang w:eastAsia="ru-RU"/>
        </w:rPr>
        <w:t xml:space="preserve">, </w:t>
      </w:r>
      <w:r w:rsidRPr="001065C1">
        <w:rPr>
          <w:rFonts w:ascii="Times New Roman" w:eastAsia="Times New Roman" w:hAnsi="Times New Roman" w:cs="Times New Roman"/>
          <w:color w:val="000000"/>
          <w:sz w:val="24"/>
          <w:szCs w:val="24"/>
          <w:shd w:val="clear" w:color="auto" w:fill="FFFFFF"/>
          <w:lang w:eastAsia="ru-RU"/>
        </w:rPr>
        <w:t xml:space="preserve">Ministerul </w:t>
      </w:r>
      <w:r w:rsidR="001065C1" w:rsidRPr="001065C1">
        <w:rPr>
          <w:rFonts w:ascii="Times New Roman" w:eastAsia="Times New Roman" w:hAnsi="Times New Roman" w:cs="Times New Roman"/>
          <w:color w:val="000000"/>
          <w:sz w:val="24"/>
          <w:szCs w:val="24"/>
          <w:shd w:val="clear" w:color="auto" w:fill="FFFFFF"/>
          <w:lang w:eastAsia="ru-RU"/>
        </w:rPr>
        <w:t>Educației</w:t>
      </w:r>
      <w:r w:rsidRPr="001065C1">
        <w:rPr>
          <w:rFonts w:ascii="Times New Roman" w:eastAsia="Times New Roman" w:hAnsi="Times New Roman" w:cs="Times New Roman"/>
          <w:color w:val="000000"/>
          <w:sz w:val="24"/>
          <w:szCs w:val="24"/>
          <w:shd w:val="clear" w:color="auto" w:fill="FFFFFF"/>
          <w:lang w:eastAsia="ru-RU"/>
        </w:rPr>
        <w:t xml:space="preserve">, Culturii </w:t>
      </w:r>
      <w:r w:rsidR="001065C1" w:rsidRPr="001065C1">
        <w:rPr>
          <w:rFonts w:ascii="Times New Roman" w:eastAsia="Times New Roman" w:hAnsi="Times New Roman" w:cs="Times New Roman"/>
          <w:color w:val="000000"/>
          <w:sz w:val="24"/>
          <w:szCs w:val="24"/>
          <w:shd w:val="clear" w:color="auto" w:fill="FFFFFF"/>
          <w:lang w:eastAsia="ru-RU"/>
        </w:rPr>
        <w:t>și</w:t>
      </w:r>
      <w:r w:rsidRPr="001065C1">
        <w:rPr>
          <w:rFonts w:ascii="Times New Roman" w:eastAsia="Times New Roman" w:hAnsi="Times New Roman" w:cs="Times New Roman"/>
          <w:color w:val="000000"/>
          <w:sz w:val="24"/>
          <w:szCs w:val="24"/>
          <w:shd w:val="clear" w:color="auto" w:fill="FFFFFF"/>
          <w:lang w:eastAsia="ru-RU"/>
        </w:rPr>
        <w:t xml:space="preserve"> </w:t>
      </w:r>
      <w:r w:rsidR="00DB3EEE" w:rsidRPr="001065C1">
        <w:rPr>
          <w:rFonts w:ascii="Times New Roman" w:eastAsia="Times New Roman" w:hAnsi="Times New Roman" w:cs="Times New Roman"/>
          <w:color w:val="000000"/>
          <w:sz w:val="24"/>
          <w:szCs w:val="24"/>
          <w:shd w:val="clear" w:color="auto" w:fill="FFFFFF"/>
          <w:lang w:eastAsia="ru-RU"/>
        </w:rPr>
        <w:t>Cercetării</w:t>
      </w:r>
      <w:r w:rsidR="00B276D2" w:rsidRPr="001065C1">
        <w:rPr>
          <w:rFonts w:ascii="Times New Roman" w:eastAsia="Times New Roman" w:hAnsi="Times New Roman" w:cs="Times New Roman"/>
          <w:color w:val="000000"/>
          <w:sz w:val="24"/>
          <w:szCs w:val="24"/>
          <w:shd w:val="clear" w:color="auto" w:fill="FFFFFF"/>
          <w:lang w:eastAsia="ru-RU"/>
        </w:rPr>
        <w:t>.</w:t>
      </w:r>
    </w:p>
    <w:p w14:paraId="36820DF9" w14:textId="7DAE26FE" w:rsidR="00625684" w:rsidRPr="001065C1" w:rsidRDefault="00625684" w:rsidP="00AC461F">
      <w:pPr>
        <w:spacing w:before="120" w:after="240" w:line="240" w:lineRule="auto"/>
        <w:jc w:val="both"/>
        <w:rPr>
          <w:rFonts w:ascii="Times New Roman" w:eastAsia="Times New Roman" w:hAnsi="Times New Roman" w:cs="Times New Roman"/>
          <w:color w:val="000000"/>
          <w:sz w:val="24"/>
          <w:szCs w:val="24"/>
          <w:shd w:val="clear" w:color="auto" w:fill="FFFFFF"/>
          <w:lang w:eastAsia="ru-RU"/>
        </w:rPr>
      </w:pPr>
      <w:r w:rsidRPr="001065C1">
        <w:rPr>
          <w:rFonts w:ascii="Times New Roman" w:eastAsia="Times New Roman" w:hAnsi="Times New Roman" w:cs="Times New Roman"/>
          <w:color w:val="000000"/>
          <w:sz w:val="24"/>
          <w:szCs w:val="24"/>
          <w:shd w:val="clear" w:color="auto" w:fill="FFFFFF"/>
          <w:lang w:eastAsia="ru-RU"/>
        </w:rPr>
        <w:t xml:space="preserve">La realizarea Programului vor participa </w:t>
      </w:r>
      <w:r w:rsidR="001065C1" w:rsidRPr="001065C1">
        <w:rPr>
          <w:rFonts w:ascii="Times New Roman" w:eastAsia="Times New Roman" w:hAnsi="Times New Roman" w:cs="Times New Roman"/>
          <w:color w:val="000000"/>
          <w:sz w:val="24"/>
          <w:szCs w:val="24"/>
          <w:shd w:val="clear" w:color="auto" w:fill="FFFFFF"/>
          <w:lang w:eastAsia="ru-RU"/>
        </w:rPr>
        <w:t>agenții</w:t>
      </w:r>
      <w:r w:rsidRPr="001065C1">
        <w:rPr>
          <w:rFonts w:ascii="Times New Roman" w:eastAsia="Times New Roman" w:hAnsi="Times New Roman" w:cs="Times New Roman"/>
          <w:color w:val="000000"/>
          <w:sz w:val="24"/>
          <w:szCs w:val="24"/>
          <w:shd w:val="clear" w:color="auto" w:fill="FFFFFF"/>
          <w:lang w:eastAsia="ru-RU"/>
        </w:rPr>
        <w:t xml:space="preserve"> economici, </w:t>
      </w:r>
      <w:r w:rsidR="001065C1" w:rsidRPr="001065C1">
        <w:rPr>
          <w:rFonts w:ascii="Times New Roman" w:eastAsia="Times New Roman" w:hAnsi="Times New Roman" w:cs="Times New Roman"/>
          <w:color w:val="000000"/>
          <w:sz w:val="24"/>
          <w:szCs w:val="24"/>
          <w:shd w:val="clear" w:color="auto" w:fill="FFFFFF"/>
          <w:lang w:eastAsia="ru-RU"/>
        </w:rPr>
        <w:t>autoritățile</w:t>
      </w:r>
      <w:r w:rsidRPr="001065C1">
        <w:rPr>
          <w:rFonts w:ascii="Times New Roman" w:eastAsia="Times New Roman" w:hAnsi="Times New Roman" w:cs="Times New Roman"/>
          <w:color w:val="000000"/>
          <w:sz w:val="24"/>
          <w:szCs w:val="24"/>
          <w:shd w:val="clear" w:color="auto" w:fill="FFFFFF"/>
          <w:lang w:eastAsia="ru-RU"/>
        </w:rPr>
        <w:t xml:space="preserve"> centrale </w:t>
      </w:r>
      <w:r w:rsidR="001065C1" w:rsidRPr="001065C1">
        <w:rPr>
          <w:rFonts w:ascii="Times New Roman" w:eastAsia="Times New Roman" w:hAnsi="Times New Roman" w:cs="Times New Roman"/>
          <w:color w:val="000000"/>
          <w:sz w:val="24"/>
          <w:szCs w:val="24"/>
          <w:shd w:val="clear" w:color="auto" w:fill="FFFFFF"/>
          <w:lang w:eastAsia="ru-RU"/>
        </w:rPr>
        <w:t>și</w:t>
      </w:r>
      <w:r w:rsidRPr="001065C1">
        <w:rPr>
          <w:rFonts w:ascii="Times New Roman" w:eastAsia="Times New Roman" w:hAnsi="Times New Roman" w:cs="Times New Roman"/>
          <w:color w:val="000000"/>
          <w:sz w:val="24"/>
          <w:szCs w:val="24"/>
          <w:shd w:val="clear" w:color="auto" w:fill="FFFFFF"/>
          <w:lang w:eastAsia="ru-RU"/>
        </w:rPr>
        <w:t xml:space="preserve"> locale, societatea civilă, </w:t>
      </w:r>
      <w:r w:rsidR="001065C1" w:rsidRPr="001065C1">
        <w:rPr>
          <w:rFonts w:ascii="Times New Roman" w:eastAsia="Times New Roman" w:hAnsi="Times New Roman" w:cs="Times New Roman"/>
          <w:color w:val="000000"/>
          <w:sz w:val="24"/>
          <w:szCs w:val="24"/>
          <w:shd w:val="clear" w:color="auto" w:fill="FFFFFF"/>
          <w:lang w:eastAsia="ru-RU"/>
        </w:rPr>
        <w:t>cetățenii</w:t>
      </w:r>
      <w:r w:rsidRPr="001065C1">
        <w:rPr>
          <w:rFonts w:ascii="Times New Roman" w:eastAsia="Times New Roman" w:hAnsi="Times New Roman" w:cs="Times New Roman"/>
          <w:color w:val="000000"/>
          <w:sz w:val="24"/>
          <w:szCs w:val="24"/>
          <w:shd w:val="clear" w:color="auto" w:fill="FFFFFF"/>
          <w:lang w:eastAsia="ru-RU"/>
        </w:rPr>
        <w:t xml:space="preserve"> de rând.</w:t>
      </w:r>
    </w:p>
    <w:p w14:paraId="1BBBD53D" w14:textId="1133AC29" w:rsidR="00D0750A" w:rsidRPr="001065C1" w:rsidRDefault="00513F50" w:rsidP="00513F50">
      <w:pPr>
        <w:spacing w:before="120" w:after="120" w:line="240" w:lineRule="auto"/>
        <w:jc w:val="center"/>
        <w:rPr>
          <w:rFonts w:ascii="Times New Roman" w:eastAsia="Times New Roman" w:hAnsi="Times New Roman" w:cs="Times New Roman"/>
          <w:b/>
          <w:bCs/>
          <w:color w:val="000000"/>
          <w:sz w:val="24"/>
          <w:szCs w:val="24"/>
          <w:shd w:val="clear" w:color="auto" w:fill="FFFFFF"/>
          <w:lang w:eastAsia="ru-RU"/>
        </w:rPr>
      </w:pPr>
      <w:r w:rsidRPr="001065C1">
        <w:rPr>
          <w:rFonts w:ascii="Times New Roman" w:eastAsia="Times New Roman" w:hAnsi="Times New Roman" w:cs="Times New Roman"/>
          <w:b/>
          <w:bCs/>
          <w:color w:val="000000"/>
          <w:sz w:val="24"/>
          <w:szCs w:val="24"/>
          <w:shd w:val="clear" w:color="auto" w:fill="FFFFFF"/>
          <w:lang w:eastAsia="ru-RU"/>
        </w:rPr>
        <w:t>II. ANALIZA SITUAŢIEI</w:t>
      </w:r>
    </w:p>
    <w:p w14:paraId="519502CE" w14:textId="2C5CAE7B" w:rsidR="006364B2" w:rsidRPr="001065C1" w:rsidRDefault="00403E3C" w:rsidP="00B276D2">
      <w:pPr>
        <w:spacing w:before="120" w:after="120" w:line="240" w:lineRule="auto"/>
        <w:jc w:val="center"/>
        <w:outlineLvl w:val="2"/>
        <w:rPr>
          <w:rFonts w:ascii="Times New Roman" w:eastAsia="Times New Roman" w:hAnsi="Times New Roman" w:cs="Times New Roman"/>
          <w:b/>
          <w:bCs/>
          <w:color w:val="000000"/>
          <w:sz w:val="24"/>
          <w:szCs w:val="24"/>
          <w:lang w:eastAsia="ru-RU"/>
        </w:rPr>
      </w:pPr>
      <w:r w:rsidRPr="001065C1">
        <w:rPr>
          <w:rFonts w:ascii="Times New Roman" w:eastAsia="Times New Roman" w:hAnsi="Times New Roman" w:cs="Times New Roman"/>
          <w:b/>
          <w:bCs/>
          <w:color w:val="000000"/>
          <w:sz w:val="24"/>
          <w:szCs w:val="24"/>
          <w:lang w:eastAsia="ru-RU"/>
        </w:rPr>
        <w:t xml:space="preserve">2.1. </w:t>
      </w:r>
      <w:r w:rsidR="006364B2" w:rsidRPr="001065C1">
        <w:rPr>
          <w:rFonts w:ascii="Times New Roman" w:eastAsia="Times New Roman" w:hAnsi="Times New Roman" w:cs="Times New Roman"/>
          <w:b/>
          <w:bCs/>
          <w:color w:val="000000"/>
          <w:sz w:val="24"/>
          <w:szCs w:val="24"/>
          <w:lang w:eastAsia="ru-RU"/>
        </w:rPr>
        <w:t xml:space="preserve">Privire generală asupra </w:t>
      </w:r>
      <w:r w:rsidR="001065C1" w:rsidRPr="001065C1">
        <w:rPr>
          <w:rFonts w:ascii="Times New Roman" w:eastAsia="Times New Roman" w:hAnsi="Times New Roman" w:cs="Times New Roman"/>
          <w:b/>
          <w:bCs/>
          <w:color w:val="000000"/>
          <w:sz w:val="24"/>
          <w:szCs w:val="24"/>
          <w:lang w:eastAsia="ru-RU"/>
        </w:rPr>
        <w:t>tendințelor</w:t>
      </w:r>
      <w:r w:rsidR="006364B2" w:rsidRPr="001065C1">
        <w:rPr>
          <w:rFonts w:ascii="Times New Roman" w:eastAsia="Times New Roman" w:hAnsi="Times New Roman" w:cs="Times New Roman"/>
          <w:b/>
          <w:bCs/>
          <w:color w:val="000000"/>
          <w:sz w:val="24"/>
          <w:szCs w:val="24"/>
          <w:lang w:eastAsia="ru-RU"/>
        </w:rPr>
        <w:t xml:space="preserve"> emisiilor</w:t>
      </w:r>
      <w:r w:rsidR="00FB699F" w:rsidRPr="001065C1">
        <w:rPr>
          <w:rFonts w:ascii="Times New Roman" w:eastAsia="Times New Roman" w:hAnsi="Times New Roman" w:cs="Times New Roman"/>
          <w:b/>
          <w:bCs/>
          <w:color w:val="000000"/>
          <w:sz w:val="24"/>
          <w:szCs w:val="24"/>
          <w:lang w:eastAsia="ru-RU"/>
        </w:rPr>
        <w:t xml:space="preserve"> </w:t>
      </w:r>
      <w:r w:rsidR="006364B2" w:rsidRPr="001065C1">
        <w:rPr>
          <w:rFonts w:ascii="Times New Roman" w:eastAsia="Times New Roman" w:hAnsi="Times New Roman" w:cs="Times New Roman"/>
          <w:b/>
          <w:bCs/>
          <w:color w:val="000000"/>
          <w:sz w:val="24"/>
          <w:szCs w:val="24"/>
          <w:lang w:eastAsia="ru-RU"/>
        </w:rPr>
        <w:t>de gaze cu efect de seră</w:t>
      </w:r>
    </w:p>
    <w:p w14:paraId="5C996B41" w14:textId="3880C677" w:rsidR="006364B2" w:rsidRPr="001065C1" w:rsidRDefault="00403E3C" w:rsidP="00B276D2">
      <w:pPr>
        <w:spacing w:before="120" w:after="120" w:line="240" w:lineRule="auto"/>
        <w:jc w:val="center"/>
        <w:outlineLvl w:val="2"/>
        <w:rPr>
          <w:rFonts w:ascii="Times New Roman" w:eastAsia="Times New Roman" w:hAnsi="Times New Roman" w:cs="Times New Roman"/>
          <w:b/>
          <w:bCs/>
          <w:sz w:val="24"/>
          <w:szCs w:val="24"/>
          <w:lang w:eastAsia="ru-RU"/>
        </w:rPr>
      </w:pPr>
      <w:r w:rsidRPr="001065C1">
        <w:rPr>
          <w:rFonts w:ascii="Times New Roman" w:eastAsia="Times New Roman" w:hAnsi="Times New Roman" w:cs="Times New Roman"/>
          <w:b/>
          <w:bCs/>
          <w:color w:val="000000"/>
          <w:sz w:val="24"/>
          <w:szCs w:val="24"/>
          <w:lang w:eastAsia="ru-RU"/>
        </w:rPr>
        <w:t>2</w:t>
      </w:r>
      <w:r w:rsidR="006364B2" w:rsidRPr="001065C1">
        <w:rPr>
          <w:rFonts w:ascii="Times New Roman" w:eastAsia="Times New Roman" w:hAnsi="Times New Roman" w:cs="Times New Roman"/>
          <w:b/>
          <w:bCs/>
          <w:color w:val="000000"/>
          <w:sz w:val="24"/>
          <w:szCs w:val="24"/>
          <w:lang w:eastAsia="ru-RU"/>
        </w:rPr>
        <w:t>.1.</w:t>
      </w:r>
      <w:r w:rsidRPr="001065C1">
        <w:rPr>
          <w:rFonts w:ascii="Times New Roman" w:eastAsia="Times New Roman" w:hAnsi="Times New Roman" w:cs="Times New Roman"/>
          <w:b/>
          <w:bCs/>
          <w:color w:val="000000"/>
          <w:sz w:val="24"/>
          <w:szCs w:val="24"/>
          <w:lang w:eastAsia="ru-RU"/>
        </w:rPr>
        <w:t>1.</w:t>
      </w:r>
      <w:r w:rsidR="006364B2" w:rsidRPr="001065C1">
        <w:rPr>
          <w:rFonts w:ascii="Times New Roman" w:eastAsia="Times New Roman" w:hAnsi="Times New Roman" w:cs="Times New Roman"/>
          <w:b/>
          <w:bCs/>
          <w:color w:val="000000"/>
          <w:sz w:val="24"/>
          <w:szCs w:val="24"/>
          <w:lang w:eastAsia="ru-RU"/>
        </w:rPr>
        <w:t xml:space="preserve"> </w:t>
      </w:r>
      <w:r w:rsidR="001065C1" w:rsidRPr="001065C1">
        <w:rPr>
          <w:rFonts w:ascii="Times New Roman" w:eastAsia="Times New Roman" w:hAnsi="Times New Roman" w:cs="Times New Roman"/>
          <w:b/>
          <w:bCs/>
          <w:color w:val="000000"/>
          <w:sz w:val="24"/>
          <w:szCs w:val="24"/>
          <w:lang w:eastAsia="ru-RU"/>
        </w:rPr>
        <w:t>Tendințele</w:t>
      </w:r>
      <w:r w:rsidR="006364B2" w:rsidRPr="001065C1">
        <w:rPr>
          <w:rFonts w:ascii="Times New Roman" w:eastAsia="Times New Roman" w:hAnsi="Times New Roman" w:cs="Times New Roman"/>
          <w:b/>
          <w:bCs/>
          <w:color w:val="000000"/>
          <w:sz w:val="24"/>
          <w:szCs w:val="24"/>
          <w:lang w:eastAsia="ru-RU"/>
        </w:rPr>
        <w:t xml:space="preserve"> </w:t>
      </w:r>
      <w:r w:rsidR="001065C1" w:rsidRPr="001065C1">
        <w:rPr>
          <w:rFonts w:ascii="Times New Roman" w:eastAsia="Times New Roman" w:hAnsi="Times New Roman" w:cs="Times New Roman"/>
          <w:b/>
          <w:bCs/>
          <w:color w:val="000000"/>
          <w:sz w:val="24"/>
          <w:szCs w:val="24"/>
          <w:lang w:eastAsia="ru-RU"/>
        </w:rPr>
        <w:t>naționale</w:t>
      </w:r>
      <w:r w:rsidR="006364B2" w:rsidRPr="001065C1">
        <w:rPr>
          <w:rFonts w:ascii="Times New Roman" w:eastAsia="Times New Roman" w:hAnsi="Times New Roman" w:cs="Times New Roman"/>
          <w:b/>
          <w:bCs/>
          <w:color w:val="000000"/>
          <w:sz w:val="24"/>
          <w:szCs w:val="24"/>
          <w:lang w:eastAsia="ru-RU"/>
        </w:rPr>
        <w:t xml:space="preserve"> ale emisiilor de gaze cu efect</w:t>
      </w:r>
      <w:r w:rsidR="00B566C6" w:rsidRPr="001065C1">
        <w:rPr>
          <w:rFonts w:ascii="Times New Roman" w:eastAsia="Times New Roman" w:hAnsi="Times New Roman" w:cs="Times New Roman"/>
          <w:b/>
          <w:bCs/>
          <w:color w:val="000000"/>
          <w:sz w:val="24"/>
          <w:szCs w:val="24"/>
          <w:lang w:eastAsia="ru-RU"/>
        </w:rPr>
        <w:t xml:space="preserve"> </w:t>
      </w:r>
      <w:r w:rsidR="006364B2" w:rsidRPr="001065C1">
        <w:rPr>
          <w:rFonts w:ascii="Times New Roman" w:eastAsia="Times New Roman" w:hAnsi="Times New Roman" w:cs="Times New Roman"/>
          <w:b/>
          <w:bCs/>
          <w:color w:val="000000"/>
          <w:sz w:val="24"/>
          <w:szCs w:val="24"/>
          <w:lang w:eastAsia="ru-RU"/>
        </w:rPr>
        <w:t>de seră</w:t>
      </w:r>
    </w:p>
    <w:p w14:paraId="1ED15C88" w14:textId="1A75F3AD" w:rsidR="006364B2" w:rsidRPr="001065C1" w:rsidRDefault="006364B2" w:rsidP="006364B2">
      <w:pPr>
        <w:spacing w:after="0" w:line="240" w:lineRule="auto"/>
        <w:ind w:firstLine="720"/>
        <w:jc w:val="both"/>
        <w:rPr>
          <w:rFonts w:ascii="Times New Roman" w:eastAsia="Times New Roman" w:hAnsi="Times New Roman" w:cs="Times New Roman"/>
          <w:sz w:val="24"/>
          <w:szCs w:val="24"/>
          <w:lang w:eastAsia="ru-RU"/>
        </w:rPr>
      </w:pPr>
      <w:r w:rsidRPr="001065C1">
        <w:rPr>
          <w:rFonts w:ascii="Times New Roman" w:eastAsia="Times New Roman" w:hAnsi="Times New Roman" w:cs="Times New Roman"/>
          <w:color w:val="000000"/>
          <w:sz w:val="24"/>
          <w:szCs w:val="24"/>
          <w:shd w:val="clear" w:color="auto" w:fill="FFFFFF"/>
          <w:lang w:eastAsia="ru-RU"/>
        </w:rPr>
        <w:t xml:space="preserve">1. Republica Moldova monitorizează </w:t>
      </w:r>
      <w:r w:rsidR="001065C1" w:rsidRPr="001065C1">
        <w:rPr>
          <w:rFonts w:ascii="Times New Roman" w:eastAsia="Times New Roman" w:hAnsi="Times New Roman" w:cs="Times New Roman"/>
          <w:color w:val="000000"/>
          <w:sz w:val="24"/>
          <w:szCs w:val="24"/>
          <w:shd w:val="clear" w:color="auto" w:fill="FFFFFF"/>
          <w:lang w:eastAsia="ru-RU"/>
        </w:rPr>
        <w:t>și</w:t>
      </w:r>
      <w:r w:rsidRPr="001065C1">
        <w:rPr>
          <w:rFonts w:ascii="Times New Roman" w:eastAsia="Times New Roman" w:hAnsi="Times New Roman" w:cs="Times New Roman"/>
          <w:color w:val="000000"/>
          <w:sz w:val="24"/>
          <w:szCs w:val="24"/>
          <w:shd w:val="clear" w:color="auto" w:fill="FFFFFF"/>
          <w:lang w:eastAsia="ru-RU"/>
        </w:rPr>
        <w:t xml:space="preserve"> estimează emisiile de gaze cu efect de seră prin</w:t>
      </w:r>
      <w:r w:rsidR="00A50F82">
        <w:rPr>
          <w:rFonts w:ascii="Times New Roman" w:eastAsia="Times New Roman" w:hAnsi="Times New Roman" w:cs="Times New Roman"/>
          <w:color w:val="000000"/>
          <w:sz w:val="24"/>
          <w:szCs w:val="24"/>
          <w:shd w:val="clear" w:color="auto" w:fill="FFFFFF"/>
          <w:lang w:eastAsia="ru-RU"/>
        </w:rPr>
        <w:t xml:space="preserve"> intermediul procesului de </w:t>
      </w:r>
      <w:r w:rsidRPr="001065C1">
        <w:rPr>
          <w:rFonts w:ascii="Times New Roman" w:eastAsia="Times New Roman" w:hAnsi="Times New Roman" w:cs="Times New Roman"/>
          <w:color w:val="000000"/>
          <w:sz w:val="24"/>
          <w:szCs w:val="24"/>
          <w:shd w:val="clear" w:color="auto" w:fill="FFFFFF"/>
          <w:lang w:eastAsia="ru-RU"/>
        </w:rPr>
        <w:t xml:space="preserve">inventariere la nivel </w:t>
      </w:r>
      <w:r w:rsidR="001065C1" w:rsidRPr="001065C1">
        <w:rPr>
          <w:rFonts w:ascii="Times New Roman" w:eastAsia="Times New Roman" w:hAnsi="Times New Roman" w:cs="Times New Roman"/>
          <w:color w:val="000000"/>
          <w:sz w:val="24"/>
          <w:szCs w:val="24"/>
          <w:shd w:val="clear" w:color="auto" w:fill="FFFFFF"/>
          <w:lang w:eastAsia="ru-RU"/>
        </w:rPr>
        <w:t>național</w:t>
      </w:r>
      <w:r w:rsidRPr="001065C1">
        <w:rPr>
          <w:rFonts w:ascii="Times New Roman" w:eastAsia="Times New Roman" w:hAnsi="Times New Roman" w:cs="Times New Roman"/>
          <w:color w:val="000000"/>
          <w:sz w:val="24"/>
          <w:szCs w:val="24"/>
          <w:shd w:val="clear" w:color="auto" w:fill="FFFFFF"/>
          <w:lang w:eastAsia="ru-RU"/>
        </w:rPr>
        <w:t xml:space="preserve"> a surselor de emisii </w:t>
      </w:r>
      <w:r w:rsidR="001065C1" w:rsidRPr="001065C1">
        <w:rPr>
          <w:rFonts w:ascii="Times New Roman" w:eastAsia="Times New Roman" w:hAnsi="Times New Roman" w:cs="Times New Roman"/>
          <w:color w:val="000000"/>
          <w:sz w:val="24"/>
          <w:szCs w:val="24"/>
          <w:shd w:val="clear" w:color="auto" w:fill="FFFFFF"/>
          <w:lang w:eastAsia="ru-RU"/>
        </w:rPr>
        <w:t>și</w:t>
      </w:r>
      <w:r w:rsidRPr="001065C1">
        <w:rPr>
          <w:rFonts w:ascii="Times New Roman" w:eastAsia="Times New Roman" w:hAnsi="Times New Roman" w:cs="Times New Roman"/>
          <w:color w:val="000000"/>
          <w:sz w:val="24"/>
          <w:szCs w:val="24"/>
          <w:shd w:val="clear" w:color="auto" w:fill="FFFFFF"/>
          <w:lang w:eastAsia="ru-RU"/>
        </w:rPr>
        <w:t xml:space="preserve"> sechestrare. În anii 2000, 2009, 2013</w:t>
      </w:r>
      <w:r w:rsidR="00023774" w:rsidRPr="001065C1">
        <w:rPr>
          <w:rFonts w:ascii="Times New Roman" w:eastAsia="Times New Roman" w:hAnsi="Times New Roman" w:cs="Times New Roman"/>
          <w:color w:val="000000"/>
          <w:sz w:val="24"/>
          <w:szCs w:val="24"/>
          <w:shd w:val="clear" w:color="auto" w:fill="FFFFFF"/>
          <w:lang w:eastAsia="ru-RU"/>
        </w:rPr>
        <w:t>,</w:t>
      </w:r>
      <w:r w:rsidR="00E70219" w:rsidRPr="001065C1">
        <w:rPr>
          <w:rFonts w:ascii="Times New Roman" w:eastAsia="Times New Roman" w:hAnsi="Times New Roman" w:cs="Times New Roman"/>
          <w:color w:val="000000"/>
          <w:sz w:val="24"/>
          <w:szCs w:val="24"/>
          <w:shd w:val="clear" w:color="auto" w:fill="FFFFFF"/>
          <w:lang w:eastAsia="ru-RU"/>
        </w:rPr>
        <w:t xml:space="preserve"> </w:t>
      </w:r>
      <w:r w:rsidRPr="001065C1">
        <w:rPr>
          <w:rFonts w:ascii="Times New Roman" w:eastAsia="Times New Roman" w:hAnsi="Times New Roman" w:cs="Times New Roman"/>
          <w:color w:val="000000"/>
          <w:sz w:val="24"/>
          <w:szCs w:val="24"/>
          <w:shd w:val="clear" w:color="auto" w:fill="FFFFFF"/>
          <w:lang w:eastAsia="ru-RU"/>
        </w:rPr>
        <w:t>2015</w:t>
      </w:r>
      <w:r w:rsidR="00F20F5F" w:rsidRPr="001065C1">
        <w:rPr>
          <w:rFonts w:ascii="Times New Roman" w:eastAsia="Times New Roman" w:hAnsi="Times New Roman" w:cs="Times New Roman"/>
          <w:color w:val="000000"/>
          <w:sz w:val="24"/>
          <w:szCs w:val="24"/>
          <w:shd w:val="clear" w:color="auto" w:fill="FFFFFF"/>
          <w:lang w:eastAsia="ru-RU"/>
        </w:rPr>
        <w:t>,</w:t>
      </w:r>
      <w:r w:rsidR="00023774" w:rsidRPr="001065C1">
        <w:rPr>
          <w:rFonts w:ascii="Times New Roman" w:eastAsia="Times New Roman" w:hAnsi="Times New Roman" w:cs="Times New Roman"/>
          <w:color w:val="000000"/>
          <w:sz w:val="24"/>
          <w:szCs w:val="24"/>
          <w:shd w:val="clear" w:color="auto" w:fill="FFFFFF"/>
          <w:lang w:eastAsia="ru-RU"/>
        </w:rPr>
        <w:t xml:space="preserve"> 20</w:t>
      </w:r>
      <w:r w:rsidR="00F20F5F" w:rsidRPr="001065C1">
        <w:rPr>
          <w:rFonts w:ascii="Times New Roman" w:eastAsia="Times New Roman" w:hAnsi="Times New Roman" w:cs="Times New Roman"/>
          <w:color w:val="000000"/>
          <w:sz w:val="24"/>
          <w:szCs w:val="24"/>
          <w:shd w:val="clear" w:color="auto" w:fill="FFFFFF"/>
          <w:lang w:eastAsia="ru-RU"/>
        </w:rPr>
        <w:t>18</w:t>
      </w:r>
      <w:r w:rsidR="00023774" w:rsidRPr="001065C1">
        <w:rPr>
          <w:rFonts w:ascii="Times New Roman" w:eastAsia="Times New Roman" w:hAnsi="Times New Roman" w:cs="Times New Roman"/>
          <w:color w:val="000000"/>
          <w:sz w:val="24"/>
          <w:szCs w:val="24"/>
          <w:shd w:val="clear" w:color="auto" w:fill="FFFFFF"/>
          <w:lang w:eastAsia="ru-RU"/>
        </w:rPr>
        <w:t xml:space="preserve"> </w:t>
      </w:r>
      <w:r w:rsidR="001065C1" w:rsidRPr="001065C1">
        <w:rPr>
          <w:rFonts w:ascii="Times New Roman" w:eastAsia="Times New Roman" w:hAnsi="Times New Roman" w:cs="Times New Roman"/>
          <w:color w:val="000000"/>
          <w:sz w:val="24"/>
          <w:szCs w:val="24"/>
          <w:shd w:val="clear" w:color="auto" w:fill="FFFFFF"/>
          <w:lang w:eastAsia="ru-RU"/>
        </w:rPr>
        <w:t>și</w:t>
      </w:r>
      <w:r w:rsidR="00F20F5F" w:rsidRPr="001065C1">
        <w:rPr>
          <w:rFonts w:ascii="Times New Roman" w:eastAsia="Times New Roman" w:hAnsi="Times New Roman" w:cs="Times New Roman"/>
          <w:color w:val="000000"/>
          <w:sz w:val="24"/>
          <w:szCs w:val="24"/>
          <w:shd w:val="clear" w:color="auto" w:fill="FFFFFF"/>
          <w:lang w:eastAsia="ru-RU"/>
        </w:rPr>
        <w:t xml:space="preserve"> 2020</w:t>
      </w:r>
      <w:r w:rsidR="00B276D2" w:rsidRPr="001065C1">
        <w:rPr>
          <w:rFonts w:ascii="Times New Roman" w:eastAsia="Times New Roman" w:hAnsi="Times New Roman" w:cs="Times New Roman"/>
          <w:color w:val="000000"/>
          <w:sz w:val="24"/>
          <w:szCs w:val="24"/>
          <w:shd w:val="clear" w:color="auto" w:fill="FFFFFF"/>
          <w:lang w:eastAsia="ru-RU"/>
        </w:rPr>
        <w:t>-2021</w:t>
      </w:r>
      <w:r w:rsidR="00F20F5F" w:rsidRPr="001065C1">
        <w:rPr>
          <w:rFonts w:ascii="Times New Roman" w:eastAsia="Times New Roman" w:hAnsi="Times New Roman" w:cs="Times New Roman"/>
          <w:color w:val="000000"/>
          <w:sz w:val="24"/>
          <w:szCs w:val="24"/>
          <w:shd w:val="clear" w:color="auto" w:fill="FFFFFF"/>
          <w:lang w:eastAsia="ru-RU"/>
        </w:rPr>
        <w:t xml:space="preserve"> </w:t>
      </w:r>
      <w:r w:rsidRPr="001065C1">
        <w:rPr>
          <w:rFonts w:ascii="Times New Roman" w:eastAsia="Times New Roman" w:hAnsi="Times New Roman" w:cs="Times New Roman"/>
          <w:color w:val="000000"/>
          <w:sz w:val="24"/>
          <w:szCs w:val="24"/>
          <w:shd w:val="clear" w:color="auto" w:fill="FFFFFF"/>
          <w:lang w:eastAsia="ru-RU"/>
        </w:rPr>
        <w:t>au fost efectuate evaluări, ca parte a Primei (2000), celei de-a Doua (2009), celei de-a Treia</w:t>
      </w:r>
      <w:r w:rsidR="00023774" w:rsidRPr="001065C1">
        <w:rPr>
          <w:rFonts w:ascii="Times New Roman" w:eastAsia="Times New Roman" w:hAnsi="Times New Roman" w:cs="Times New Roman"/>
          <w:color w:val="000000"/>
          <w:sz w:val="24"/>
          <w:szCs w:val="24"/>
          <w:shd w:val="clear" w:color="auto" w:fill="FFFFFF"/>
          <w:lang w:eastAsia="ru-RU"/>
        </w:rPr>
        <w:t xml:space="preserve"> (2013), celei de-a Patra</w:t>
      </w:r>
      <w:r w:rsidRPr="001065C1">
        <w:rPr>
          <w:rFonts w:ascii="Times New Roman" w:eastAsia="Times New Roman" w:hAnsi="Times New Roman" w:cs="Times New Roman"/>
          <w:color w:val="000000"/>
          <w:sz w:val="24"/>
          <w:szCs w:val="24"/>
          <w:shd w:val="clear" w:color="auto" w:fill="FFFFFF"/>
          <w:lang w:eastAsia="ru-RU"/>
        </w:rPr>
        <w:t xml:space="preserve"> Comunicări </w:t>
      </w:r>
      <w:r w:rsidR="00C12325" w:rsidRPr="001065C1">
        <w:rPr>
          <w:rFonts w:ascii="Times New Roman" w:eastAsia="Times New Roman" w:hAnsi="Times New Roman" w:cs="Times New Roman"/>
          <w:color w:val="000000"/>
          <w:sz w:val="24"/>
          <w:szCs w:val="24"/>
          <w:shd w:val="clear" w:color="auto" w:fill="FFFFFF"/>
          <w:lang w:eastAsia="ru-RU"/>
        </w:rPr>
        <w:t>Naționale</w:t>
      </w:r>
      <w:r w:rsidRPr="001065C1">
        <w:rPr>
          <w:rFonts w:ascii="Times New Roman" w:eastAsia="Times New Roman" w:hAnsi="Times New Roman" w:cs="Times New Roman"/>
          <w:color w:val="000000"/>
          <w:sz w:val="24"/>
          <w:szCs w:val="24"/>
          <w:shd w:val="clear" w:color="auto" w:fill="FFFFFF"/>
          <w:lang w:eastAsia="ru-RU"/>
        </w:rPr>
        <w:t xml:space="preserve"> (</w:t>
      </w:r>
      <w:r w:rsidR="00023774" w:rsidRPr="001065C1">
        <w:rPr>
          <w:rFonts w:ascii="Times New Roman" w:eastAsia="Times New Roman" w:hAnsi="Times New Roman" w:cs="Times New Roman"/>
          <w:color w:val="000000"/>
          <w:sz w:val="24"/>
          <w:szCs w:val="24"/>
          <w:shd w:val="clear" w:color="auto" w:fill="FFFFFF"/>
          <w:lang w:eastAsia="ru-RU"/>
        </w:rPr>
        <w:t>2018</w:t>
      </w:r>
      <w:r w:rsidRPr="001065C1">
        <w:rPr>
          <w:rFonts w:ascii="Times New Roman" w:eastAsia="Times New Roman" w:hAnsi="Times New Roman" w:cs="Times New Roman"/>
          <w:color w:val="000000"/>
          <w:sz w:val="24"/>
          <w:szCs w:val="24"/>
          <w:shd w:val="clear" w:color="auto" w:fill="FFFFFF"/>
          <w:lang w:eastAsia="ru-RU"/>
        </w:rPr>
        <w:t>)</w:t>
      </w:r>
      <w:r w:rsidR="00023774" w:rsidRPr="001065C1">
        <w:rPr>
          <w:rFonts w:ascii="Times New Roman" w:eastAsia="Times New Roman" w:hAnsi="Times New Roman" w:cs="Times New Roman"/>
          <w:color w:val="000000"/>
          <w:sz w:val="24"/>
          <w:szCs w:val="24"/>
          <w:shd w:val="clear" w:color="auto" w:fill="FFFFFF"/>
          <w:lang w:eastAsia="ru-RU"/>
        </w:rPr>
        <w:t>, precum</w:t>
      </w:r>
      <w:r w:rsidRPr="001065C1">
        <w:rPr>
          <w:rFonts w:ascii="Times New Roman" w:eastAsia="Times New Roman" w:hAnsi="Times New Roman" w:cs="Times New Roman"/>
          <w:color w:val="000000"/>
          <w:sz w:val="24"/>
          <w:szCs w:val="24"/>
          <w:shd w:val="clear" w:color="auto" w:fill="FFFFFF"/>
          <w:lang w:eastAsia="ru-RU"/>
        </w:rPr>
        <w:t xml:space="preserve"> </w:t>
      </w:r>
      <w:r w:rsidR="00C12325" w:rsidRPr="001065C1">
        <w:rPr>
          <w:rFonts w:ascii="Times New Roman" w:eastAsia="Times New Roman" w:hAnsi="Times New Roman" w:cs="Times New Roman"/>
          <w:color w:val="000000"/>
          <w:sz w:val="24"/>
          <w:szCs w:val="24"/>
          <w:shd w:val="clear" w:color="auto" w:fill="FFFFFF"/>
          <w:lang w:eastAsia="ru-RU"/>
        </w:rPr>
        <w:t>și</w:t>
      </w:r>
      <w:r w:rsidRPr="001065C1">
        <w:rPr>
          <w:rFonts w:ascii="Times New Roman" w:eastAsia="Times New Roman" w:hAnsi="Times New Roman" w:cs="Times New Roman"/>
          <w:color w:val="000000"/>
          <w:sz w:val="24"/>
          <w:szCs w:val="24"/>
          <w:shd w:val="clear" w:color="auto" w:fill="FFFFFF"/>
          <w:lang w:eastAsia="ru-RU"/>
        </w:rPr>
        <w:t xml:space="preserve"> a Primului</w:t>
      </w:r>
      <w:r w:rsidR="00023774" w:rsidRPr="001065C1">
        <w:rPr>
          <w:rFonts w:ascii="Times New Roman" w:eastAsia="Times New Roman" w:hAnsi="Times New Roman" w:cs="Times New Roman"/>
          <w:color w:val="000000"/>
          <w:sz w:val="24"/>
          <w:szCs w:val="24"/>
          <w:shd w:val="clear" w:color="auto" w:fill="FFFFFF"/>
          <w:lang w:eastAsia="ru-RU"/>
        </w:rPr>
        <w:t xml:space="preserve"> (2016) al Doilea</w:t>
      </w:r>
      <w:r w:rsidR="00792CCF" w:rsidRPr="001065C1">
        <w:rPr>
          <w:rFonts w:ascii="Times New Roman" w:eastAsia="Times New Roman" w:hAnsi="Times New Roman" w:cs="Times New Roman"/>
          <w:color w:val="000000"/>
          <w:sz w:val="24"/>
          <w:szCs w:val="24"/>
          <w:shd w:val="clear" w:color="auto" w:fill="FFFFFF"/>
          <w:lang w:eastAsia="ru-RU"/>
        </w:rPr>
        <w:t xml:space="preserve"> (2018) </w:t>
      </w:r>
      <w:r w:rsidR="00C12325" w:rsidRPr="001065C1">
        <w:rPr>
          <w:rFonts w:ascii="Times New Roman" w:eastAsia="Times New Roman" w:hAnsi="Times New Roman" w:cs="Times New Roman"/>
          <w:color w:val="000000"/>
          <w:sz w:val="24"/>
          <w:szCs w:val="24"/>
          <w:shd w:val="clear" w:color="auto" w:fill="FFFFFF"/>
          <w:lang w:eastAsia="ru-RU"/>
        </w:rPr>
        <w:t>și</w:t>
      </w:r>
      <w:r w:rsidR="00F20F5F" w:rsidRPr="001065C1">
        <w:rPr>
          <w:rFonts w:ascii="Times New Roman" w:eastAsia="Times New Roman" w:hAnsi="Times New Roman" w:cs="Times New Roman"/>
          <w:color w:val="000000"/>
          <w:sz w:val="24"/>
          <w:szCs w:val="24"/>
          <w:shd w:val="clear" w:color="auto" w:fill="FFFFFF"/>
          <w:lang w:eastAsia="ru-RU"/>
        </w:rPr>
        <w:t xml:space="preserve"> al Treilea (2020-2021) </w:t>
      </w:r>
      <w:r w:rsidRPr="001065C1">
        <w:rPr>
          <w:rFonts w:ascii="Times New Roman" w:eastAsia="Times New Roman" w:hAnsi="Times New Roman" w:cs="Times New Roman"/>
          <w:color w:val="000000"/>
          <w:sz w:val="24"/>
          <w:szCs w:val="24"/>
          <w:shd w:val="clear" w:color="auto" w:fill="FFFFFF"/>
          <w:lang w:eastAsia="ru-RU"/>
        </w:rPr>
        <w:t>Raport Bi</w:t>
      </w:r>
      <w:r w:rsidR="00F20F5F" w:rsidRPr="001065C1">
        <w:rPr>
          <w:rFonts w:ascii="Times New Roman" w:eastAsia="Times New Roman" w:hAnsi="Times New Roman" w:cs="Times New Roman"/>
          <w:color w:val="000000"/>
          <w:sz w:val="24"/>
          <w:szCs w:val="24"/>
          <w:shd w:val="clear" w:color="auto" w:fill="FFFFFF"/>
          <w:lang w:eastAsia="ru-RU"/>
        </w:rPr>
        <w:t>enal</w:t>
      </w:r>
      <w:r w:rsidRPr="001065C1">
        <w:rPr>
          <w:rFonts w:ascii="Times New Roman" w:eastAsia="Times New Roman" w:hAnsi="Times New Roman" w:cs="Times New Roman"/>
          <w:color w:val="000000"/>
          <w:sz w:val="24"/>
          <w:szCs w:val="24"/>
          <w:shd w:val="clear" w:color="auto" w:fill="FFFFFF"/>
          <w:lang w:eastAsia="ru-RU"/>
        </w:rPr>
        <w:t xml:space="preserve"> </w:t>
      </w:r>
      <w:r w:rsidR="00F20F5F" w:rsidRPr="001065C1">
        <w:rPr>
          <w:rFonts w:ascii="Times New Roman" w:eastAsia="Times New Roman" w:hAnsi="Times New Roman" w:cs="Times New Roman"/>
          <w:color w:val="000000"/>
          <w:sz w:val="24"/>
          <w:szCs w:val="24"/>
          <w:shd w:val="clear" w:color="auto" w:fill="FFFFFF"/>
          <w:lang w:eastAsia="ru-RU"/>
        </w:rPr>
        <w:t xml:space="preserve">Actualizat </w:t>
      </w:r>
      <w:r w:rsidRPr="001065C1">
        <w:rPr>
          <w:rFonts w:ascii="Times New Roman" w:eastAsia="Times New Roman" w:hAnsi="Times New Roman" w:cs="Times New Roman"/>
          <w:color w:val="000000"/>
          <w:sz w:val="24"/>
          <w:szCs w:val="24"/>
          <w:shd w:val="clear" w:color="auto" w:fill="FFFFFF"/>
          <w:lang w:eastAsia="ru-RU"/>
        </w:rPr>
        <w:t xml:space="preserve">al Republicii Moldova în cadrul </w:t>
      </w:r>
      <w:r w:rsidR="00C12325" w:rsidRPr="001065C1">
        <w:rPr>
          <w:rFonts w:ascii="Times New Roman" w:eastAsia="Times New Roman" w:hAnsi="Times New Roman" w:cs="Times New Roman"/>
          <w:color w:val="000000"/>
          <w:sz w:val="24"/>
          <w:szCs w:val="24"/>
          <w:shd w:val="clear" w:color="auto" w:fill="FFFFFF"/>
          <w:lang w:eastAsia="ru-RU"/>
        </w:rPr>
        <w:t>C</w:t>
      </w:r>
      <w:r w:rsidR="00A50F82">
        <w:rPr>
          <w:rFonts w:ascii="Times New Roman" w:eastAsia="Times New Roman" w:hAnsi="Times New Roman" w:cs="Times New Roman"/>
          <w:color w:val="000000"/>
          <w:sz w:val="24"/>
          <w:szCs w:val="24"/>
          <w:shd w:val="clear" w:color="auto" w:fill="FFFFFF"/>
          <w:lang w:eastAsia="ru-RU"/>
        </w:rPr>
        <w:t>ONUSC</w:t>
      </w:r>
      <w:r w:rsidRPr="001065C1">
        <w:rPr>
          <w:rFonts w:ascii="Times New Roman" w:eastAsia="Times New Roman" w:hAnsi="Times New Roman" w:cs="Times New Roman"/>
          <w:color w:val="000000"/>
          <w:sz w:val="24"/>
          <w:szCs w:val="24"/>
          <w:shd w:val="clear" w:color="auto" w:fill="FFFFFF"/>
          <w:lang w:eastAsia="ru-RU"/>
        </w:rPr>
        <w:t xml:space="preserve">, precum </w:t>
      </w:r>
      <w:r w:rsidR="00C12325" w:rsidRPr="001065C1">
        <w:rPr>
          <w:rFonts w:ascii="Times New Roman" w:eastAsia="Times New Roman" w:hAnsi="Times New Roman" w:cs="Times New Roman"/>
          <w:color w:val="000000"/>
          <w:sz w:val="24"/>
          <w:szCs w:val="24"/>
          <w:shd w:val="clear" w:color="auto" w:fill="FFFFFF"/>
          <w:lang w:eastAsia="ru-RU"/>
        </w:rPr>
        <w:t>și</w:t>
      </w:r>
      <w:r w:rsidRPr="001065C1">
        <w:rPr>
          <w:rFonts w:ascii="Times New Roman" w:eastAsia="Times New Roman" w:hAnsi="Times New Roman" w:cs="Times New Roman"/>
          <w:color w:val="000000"/>
          <w:sz w:val="24"/>
          <w:szCs w:val="24"/>
          <w:shd w:val="clear" w:color="auto" w:fill="FFFFFF"/>
          <w:lang w:eastAsia="ru-RU"/>
        </w:rPr>
        <w:t xml:space="preserve"> în perioada 2003-2006 în cadrul Programului regional de consolidare a </w:t>
      </w:r>
      <w:r w:rsidR="00C12325" w:rsidRPr="001065C1">
        <w:rPr>
          <w:rFonts w:ascii="Times New Roman" w:eastAsia="Times New Roman" w:hAnsi="Times New Roman" w:cs="Times New Roman"/>
          <w:color w:val="000000"/>
          <w:sz w:val="24"/>
          <w:szCs w:val="24"/>
          <w:shd w:val="clear" w:color="auto" w:fill="FFFFFF"/>
          <w:lang w:eastAsia="ru-RU"/>
        </w:rPr>
        <w:t>capacităților</w:t>
      </w:r>
      <w:r w:rsidRPr="001065C1">
        <w:rPr>
          <w:rFonts w:ascii="Times New Roman" w:eastAsia="Times New Roman" w:hAnsi="Times New Roman" w:cs="Times New Roman"/>
          <w:color w:val="000000"/>
          <w:sz w:val="24"/>
          <w:szCs w:val="24"/>
          <w:shd w:val="clear" w:color="auto" w:fill="FFFFFF"/>
          <w:lang w:eastAsia="ru-RU"/>
        </w:rPr>
        <w:t xml:space="preserve"> în domeniul inventarierii emisiilor de gaze cu efect de seră (2005), implementat de Programul </w:t>
      </w:r>
      <w:r w:rsidR="00C12325" w:rsidRPr="001065C1">
        <w:rPr>
          <w:rFonts w:ascii="Times New Roman" w:eastAsia="Times New Roman" w:hAnsi="Times New Roman" w:cs="Times New Roman"/>
          <w:color w:val="000000"/>
          <w:sz w:val="24"/>
          <w:szCs w:val="24"/>
          <w:shd w:val="clear" w:color="auto" w:fill="FFFFFF"/>
          <w:lang w:eastAsia="ru-RU"/>
        </w:rPr>
        <w:t>Națiunilor</w:t>
      </w:r>
      <w:r w:rsidRPr="001065C1">
        <w:rPr>
          <w:rFonts w:ascii="Times New Roman" w:eastAsia="Times New Roman" w:hAnsi="Times New Roman" w:cs="Times New Roman"/>
          <w:color w:val="000000"/>
          <w:sz w:val="24"/>
          <w:szCs w:val="24"/>
          <w:shd w:val="clear" w:color="auto" w:fill="FFFFFF"/>
          <w:lang w:eastAsia="ru-RU"/>
        </w:rPr>
        <w:t xml:space="preserve"> Unite pentru Dezvoltare.</w:t>
      </w:r>
    </w:p>
    <w:p w14:paraId="60D79CE7" w14:textId="1471DBB7" w:rsidR="006364B2" w:rsidRPr="001065C1" w:rsidRDefault="006364B2" w:rsidP="006364B2">
      <w:pPr>
        <w:spacing w:before="120" w:after="120" w:line="240" w:lineRule="auto"/>
        <w:ind w:firstLine="720"/>
        <w:jc w:val="both"/>
        <w:rPr>
          <w:rFonts w:ascii="Times New Roman" w:eastAsia="Times New Roman" w:hAnsi="Times New Roman" w:cs="Times New Roman"/>
          <w:sz w:val="24"/>
          <w:szCs w:val="24"/>
          <w:lang w:eastAsia="ru-RU"/>
        </w:rPr>
      </w:pPr>
      <w:r w:rsidRPr="001065C1">
        <w:rPr>
          <w:rFonts w:ascii="Times New Roman" w:eastAsia="Times New Roman" w:hAnsi="Times New Roman" w:cs="Times New Roman"/>
          <w:color w:val="000000"/>
          <w:sz w:val="24"/>
          <w:szCs w:val="24"/>
          <w:shd w:val="clear" w:color="auto" w:fill="FFFFFF"/>
          <w:lang w:eastAsia="ru-RU"/>
        </w:rPr>
        <w:t xml:space="preserve">Raportul </w:t>
      </w:r>
      <w:r w:rsidR="00C12325" w:rsidRPr="001065C1">
        <w:rPr>
          <w:rFonts w:ascii="Times New Roman" w:eastAsia="Times New Roman" w:hAnsi="Times New Roman" w:cs="Times New Roman"/>
          <w:color w:val="000000"/>
          <w:sz w:val="24"/>
          <w:szCs w:val="24"/>
          <w:shd w:val="clear" w:color="auto" w:fill="FFFFFF"/>
          <w:lang w:eastAsia="ru-RU"/>
        </w:rPr>
        <w:t>național</w:t>
      </w:r>
      <w:r w:rsidRPr="001065C1">
        <w:rPr>
          <w:rFonts w:ascii="Times New Roman" w:eastAsia="Times New Roman" w:hAnsi="Times New Roman" w:cs="Times New Roman"/>
          <w:color w:val="000000"/>
          <w:sz w:val="24"/>
          <w:szCs w:val="24"/>
          <w:shd w:val="clear" w:color="auto" w:fill="FFFFFF"/>
          <w:lang w:eastAsia="ru-RU"/>
        </w:rPr>
        <w:t xml:space="preserve"> de inventariere: 1990-</w:t>
      </w:r>
      <w:r w:rsidR="000A64D2" w:rsidRPr="001065C1">
        <w:rPr>
          <w:rFonts w:ascii="Times New Roman" w:eastAsia="Times New Roman" w:hAnsi="Times New Roman" w:cs="Times New Roman"/>
          <w:color w:val="000000"/>
          <w:sz w:val="24"/>
          <w:szCs w:val="24"/>
          <w:shd w:val="clear" w:color="auto" w:fill="FFFFFF"/>
          <w:lang w:eastAsia="ru-RU"/>
        </w:rPr>
        <w:t>201</w:t>
      </w:r>
      <w:r w:rsidR="000A64D2">
        <w:rPr>
          <w:rFonts w:ascii="Times New Roman" w:eastAsia="Times New Roman" w:hAnsi="Times New Roman" w:cs="Times New Roman"/>
          <w:color w:val="000000"/>
          <w:sz w:val="24"/>
          <w:szCs w:val="24"/>
          <w:shd w:val="clear" w:color="auto" w:fill="FFFFFF"/>
          <w:lang w:eastAsia="ru-RU"/>
        </w:rPr>
        <w:t>9</w:t>
      </w:r>
      <w:r w:rsidRPr="001065C1">
        <w:rPr>
          <w:rFonts w:ascii="Times New Roman" w:eastAsia="Times New Roman" w:hAnsi="Times New Roman" w:cs="Times New Roman"/>
          <w:color w:val="000000"/>
          <w:sz w:val="24"/>
          <w:szCs w:val="24"/>
          <w:shd w:val="clear" w:color="auto" w:fill="FFFFFF"/>
          <w:lang w:eastAsia="ru-RU"/>
        </w:rPr>
        <w:t xml:space="preserve">, surse de emisii </w:t>
      </w:r>
      <w:r w:rsidR="00C12325" w:rsidRPr="001065C1">
        <w:rPr>
          <w:rFonts w:ascii="Times New Roman" w:eastAsia="Times New Roman" w:hAnsi="Times New Roman" w:cs="Times New Roman"/>
          <w:color w:val="000000"/>
          <w:sz w:val="24"/>
          <w:szCs w:val="24"/>
          <w:shd w:val="clear" w:color="auto" w:fill="FFFFFF"/>
          <w:lang w:eastAsia="ru-RU"/>
        </w:rPr>
        <w:t>și</w:t>
      </w:r>
      <w:r w:rsidRPr="001065C1">
        <w:rPr>
          <w:rFonts w:ascii="Times New Roman" w:eastAsia="Times New Roman" w:hAnsi="Times New Roman" w:cs="Times New Roman"/>
          <w:color w:val="000000"/>
          <w:sz w:val="24"/>
          <w:szCs w:val="24"/>
          <w:shd w:val="clear" w:color="auto" w:fill="FFFFFF"/>
          <w:lang w:eastAsia="ru-RU"/>
        </w:rPr>
        <w:t xml:space="preserve"> sechestrare în Republica Moldova (</w:t>
      </w:r>
      <w:r w:rsidR="000A64D2" w:rsidRPr="001065C1">
        <w:rPr>
          <w:rFonts w:ascii="Times New Roman" w:eastAsia="Times New Roman" w:hAnsi="Times New Roman" w:cs="Times New Roman"/>
          <w:color w:val="000000"/>
          <w:sz w:val="24"/>
          <w:szCs w:val="24"/>
          <w:shd w:val="clear" w:color="auto" w:fill="FFFFFF"/>
          <w:lang w:eastAsia="ru-RU"/>
        </w:rPr>
        <w:t>20</w:t>
      </w:r>
      <w:r w:rsidR="000A64D2">
        <w:rPr>
          <w:rFonts w:ascii="Times New Roman" w:eastAsia="Times New Roman" w:hAnsi="Times New Roman" w:cs="Times New Roman"/>
          <w:color w:val="000000"/>
          <w:sz w:val="24"/>
          <w:szCs w:val="24"/>
          <w:shd w:val="clear" w:color="auto" w:fill="FFFFFF"/>
          <w:lang w:eastAsia="ru-RU"/>
        </w:rPr>
        <w:t>21</w:t>
      </w:r>
      <w:r w:rsidRPr="001065C1">
        <w:rPr>
          <w:rFonts w:ascii="Times New Roman" w:eastAsia="Times New Roman" w:hAnsi="Times New Roman" w:cs="Times New Roman"/>
          <w:color w:val="000000"/>
          <w:sz w:val="24"/>
          <w:szCs w:val="24"/>
          <w:shd w:val="clear" w:color="auto" w:fill="FFFFFF"/>
          <w:lang w:eastAsia="ru-RU"/>
        </w:rPr>
        <w:t xml:space="preserve">) relevă o </w:t>
      </w:r>
      <w:r w:rsidR="00C12325" w:rsidRPr="001065C1">
        <w:rPr>
          <w:rFonts w:ascii="Times New Roman" w:eastAsia="Times New Roman" w:hAnsi="Times New Roman" w:cs="Times New Roman"/>
          <w:color w:val="000000"/>
          <w:sz w:val="24"/>
          <w:szCs w:val="24"/>
          <w:shd w:val="clear" w:color="auto" w:fill="FFFFFF"/>
          <w:lang w:eastAsia="ru-RU"/>
        </w:rPr>
        <w:t>tendință</w:t>
      </w:r>
      <w:r w:rsidRPr="001065C1">
        <w:rPr>
          <w:rFonts w:ascii="Times New Roman" w:eastAsia="Times New Roman" w:hAnsi="Times New Roman" w:cs="Times New Roman"/>
          <w:color w:val="000000"/>
          <w:sz w:val="24"/>
          <w:szCs w:val="24"/>
          <w:shd w:val="clear" w:color="auto" w:fill="FFFFFF"/>
          <w:lang w:eastAsia="ru-RU"/>
        </w:rPr>
        <w:t xml:space="preserve"> de diminuare a emisiilor directe de gaze cu efect de seră. Între anii 1990 </w:t>
      </w:r>
      <w:r w:rsidR="00C12325" w:rsidRPr="001065C1">
        <w:rPr>
          <w:rFonts w:ascii="Times New Roman" w:eastAsia="Times New Roman" w:hAnsi="Times New Roman" w:cs="Times New Roman"/>
          <w:color w:val="000000"/>
          <w:sz w:val="24"/>
          <w:szCs w:val="24"/>
          <w:shd w:val="clear" w:color="auto" w:fill="FFFFFF"/>
          <w:lang w:eastAsia="ru-RU"/>
        </w:rPr>
        <w:t>și</w:t>
      </w:r>
      <w:r w:rsidRPr="001065C1">
        <w:rPr>
          <w:rFonts w:ascii="Times New Roman" w:eastAsia="Times New Roman" w:hAnsi="Times New Roman" w:cs="Times New Roman"/>
          <w:color w:val="000000"/>
          <w:sz w:val="24"/>
          <w:szCs w:val="24"/>
          <w:shd w:val="clear" w:color="auto" w:fill="FFFFFF"/>
          <w:lang w:eastAsia="ru-RU"/>
        </w:rPr>
        <w:t xml:space="preserve"> 201</w:t>
      </w:r>
      <w:r w:rsidR="000A64D2">
        <w:rPr>
          <w:rFonts w:ascii="Times New Roman" w:eastAsia="Times New Roman" w:hAnsi="Times New Roman" w:cs="Times New Roman"/>
          <w:color w:val="000000"/>
          <w:sz w:val="24"/>
          <w:szCs w:val="24"/>
          <w:shd w:val="clear" w:color="auto" w:fill="FFFFFF"/>
          <w:lang w:eastAsia="ru-RU"/>
        </w:rPr>
        <w:t>9</w:t>
      </w:r>
      <w:r w:rsidRPr="001065C1">
        <w:rPr>
          <w:rFonts w:ascii="Times New Roman" w:eastAsia="Times New Roman" w:hAnsi="Times New Roman" w:cs="Times New Roman"/>
          <w:color w:val="000000"/>
          <w:sz w:val="24"/>
          <w:szCs w:val="24"/>
          <w:shd w:val="clear" w:color="auto" w:fill="FFFFFF"/>
          <w:lang w:eastAsia="ru-RU"/>
        </w:rPr>
        <w:t xml:space="preserve">, emisiile respective s-au redus la nivel </w:t>
      </w:r>
      <w:r w:rsidR="00C12325" w:rsidRPr="001065C1">
        <w:rPr>
          <w:rFonts w:ascii="Times New Roman" w:eastAsia="Times New Roman" w:hAnsi="Times New Roman" w:cs="Times New Roman"/>
          <w:color w:val="000000"/>
          <w:sz w:val="24"/>
          <w:szCs w:val="24"/>
          <w:shd w:val="clear" w:color="auto" w:fill="FFFFFF"/>
          <w:lang w:eastAsia="ru-RU"/>
        </w:rPr>
        <w:t>național</w:t>
      </w:r>
      <w:r w:rsidRPr="001065C1">
        <w:rPr>
          <w:rFonts w:ascii="Times New Roman" w:eastAsia="Times New Roman" w:hAnsi="Times New Roman" w:cs="Times New Roman"/>
          <w:color w:val="000000"/>
          <w:sz w:val="24"/>
          <w:szCs w:val="24"/>
          <w:shd w:val="clear" w:color="auto" w:fill="FFFFFF"/>
          <w:lang w:eastAsia="ru-RU"/>
        </w:rPr>
        <w:t xml:space="preserve"> cu circa </w:t>
      </w:r>
      <w:r w:rsidR="001179EC" w:rsidRPr="001065C1">
        <w:rPr>
          <w:rFonts w:ascii="Times New Roman" w:eastAsia="Times New Roman" w:hAnsi="Times New Roman" w:cs="Times New Roman"/>
          <w:color w:val="000000"/>
          <w:sz w:val="24"/>
          <w:szCs w:val="24"/>
          <w:shd w:val="clear" w:color="auto" w:fill="FFFFFF"/>
          <w:lang w:eastAsia="ru-RU"/>
        </w:rPr>
        <w:t>67.</w:t>
      </w:r>
      <w:r w:rsidR="00F164E2">
        <w:rPr>
          <w:rFonts w:ascii="Times New Roman" w:eastAsia="Times New Roman" w:hAnsi="Times New Roman" w:cs="Times New Roman"/>
          <w:color w:val="000000"/>
          <w:sz w:val="24"/>
          <w:szCs w:val="24"/>
          <w:shd w:val="clear" w:color="auto" w:fill="FFFFFF"/>
          <w:lang w:eastAsia="ru-RU"/>
        </w:rPr>
        <w:t>9</w:t>
      </w:r>
      <w:r w:rsidR="00F164E2" w:rsidRPr="001065C1">
        <w:rPr>
          <w:rFonts w:ascii="Times New Roman" w:eastAsia="Times New Roman" w:hAnsi="Times New Roman" w:cs="Times New Roman"/>
          <w:color w:val="000000"/>
          <w:sz w:val="24"/>
          <w:szCs w:val="24"/>
          <w:shd w:val="clear" w:color="auto" w:fill="FFFFFF"/>
          <w:lang w:eastAsia="ru-RU"/>
        </w:rPr>
        <w:t xml:space="preserve"> </w:t>
      </w:r>
      <w:r w:rsidRPr="001065C1">
        <w:rPr>
          <w:rFonts w:ascii="Times New Roman" w:eastAsia="Times New Roman" w:hAnsi="Times New Roman" w:cs="Times New Roman"/>
          <w:color w:val="000000"/>
          <w:sz w:val="24"/>
          <w:szCs w:val="24"/>
          <w:shd w:val="clear" w:color="auto" w:fill="FFFFFF"/>
          <w:lang w:eastAsia="ru-RU"/>
        </w:rPr>
        <w:t>la sută: de la 4</w:t>
      </w:r>
      <w:r w:rsidR="00F84D18" w:rsidRPr="001065C1">
        <w:rPr>
          <w:rFonts w:ascii="Times New Roman" w:eastAsia="Times New Roman" w:hAnsi="Times New Roman" w:cs="Times New Roman"/>
          <w:color w:val="000000"/>
          <w:sz w:val="24"/>
          <w:szCs w:val="24"/>
          <w:shd w:val="clear" w:color="auto" w:fill="FFFFFF"/>
          <w:lang w:eastAsia="ru-RU"/>
        </w:rPr>
        <w:t>4,</w:t>
      </w:r>
      <w:r w:rsidR="00F164E2">
        <w:rPr>
          <w:rFonts w:ascii="Times New Roman" w:eastAsia="Times New Roman" w:hAnsi="Times New Roman" w:cs="Times New Roman"/>
          <w:color w:val="000000"/>
          <w:sz w:val="24"/>
          <w:szCs w:val="24"/>
          <w:shd w:val="clear" w:color="auto" w:fill="FFFFFF"/>
          <w:lang w:eastAsia="ru-RU"/>
        </w:rPr>
        <w:t>0</w:t>
      </w:r>
      <w:r w:rsidR="00F164E2" w:rsidRPr="001065C1">
        <w:rPr>
          <w:rFonts w:ascii="Times New Roman" w:eastAsia="Times New Roman" w:hAnsi="Times New Roman" w:cs="Times New Roman"/>
          <w:color w:val="000000"/>
          <w:sz w:val="24"/>
          <w:szCs w:val="24"/>
          <w:shd w:val="clear" w:color="auto" w:fill="FFFFFF"/>
          <w:lang w:eastAsia="ru-RU"/>
        </w:rPr>
        <w:t xml:space="preserve"> </w:t>
      </w:r>
      <w:proofErr w:type="spellStart"/>
      <w:r w:rsidRPr="001065C1">
        <w:rPr>
          <w:rFonts w:ascii="Times New Roman" w:eastAsia="Times New Roman" w:hAnsi="Times New Roman" w:cs="Times New Roman"/>
          <w:color w:val="000000"/>
          <w:sz w:val="24"/>
          <w:szCs w:val="24"/>
          <w:shd w:val="clear" w:color="auto" w:fill="FFFFFF"/>
          <w:lang w:eastAsia="ru-RU"/>
        </w:rPr>
        <w:t>Mt</w:t>
      </w:r>
      <w:proofErr w:type="spellEnd"/>
      <w:r w:rsidRPr="001065C1">
        <w:rPr>
          <w:rFonts w:ascii="Times New Roman" w:eastAsia="Times New Roman" w:hAnsi="Times New Roman" w:cs="Times New Roman"/>
          <w:color w:val="000000"/>
          <w:sz w:val="24"/>
          <w:szCs w:val="24"/>
          <w:shd w:val="clear" w:color="auto" w:fill="FFFFFF"/>
          <w:lang w:eastAsia="ru-RU"/>
        </w:rPr>
        <w:t xml:space="preserve"> </w:t>
      </w:r>
      <w:r w:rsidRPr="001065C1">
        <w:rPr>
          <w:rFonts w:ascii="Times New Roman" w:eastAsia="Times New Roman" w:hAnsi="Times New Roman" w:cs="Times New Roman"/>
          <w:color w:val="000000"/>
          <w:sz w:val="24"/>
          <w:szCs w:val="24"/>
          <w:lang w:eastAsia="ru-RU"/>
        </w:rPr>
        <w:t>CO</w:t>
      </w:r>
      <w:r w:rsidRPr="001065C1">
        <w:rPr>
          <w:rFonts w:ascii="Times New Roman" w:eastAsia="Times New Roman" w:hAnsi="Times New Roman" w:cs="Times New Roman"/>
          <w:color w:val="000000"/>
          <w:sz w:val="24"/>
          <w:szCs w:val="24"/>
          <w:vertAlign w:val="subscript"/>
          <w:lang w:eastAsia="ru-RU"/>
        </w:rPr>
        <w:t xml:space="preserve">2 </w:t>
      </w:r>
      <w:r w:rsidRPr="001065C1">
        <w:rPr>
          <w:rFonts w:ascii="Times New Roman" w:eastAsia="Times New Roman" w:hAnsi="Times New Roman" w:cs="Times New Roman"/>
          <w:color w:val="000000"/>
          <w:sz w:val="24"/>
          <w:szCs w:val="24"/>
          <w:shd w:val="clear" w:color="auto" w:fill="FFFFFF"/>
          <w:lang w:eastAsia="ru-RU"/>
        </w:rPr>
        <w:t xml:space="preserve">echivalent în 1990 </w:t>
      </w:r>
      <w:proofErr w:type="spellStart"/>
      <w:r w:rsidRPr="001065C1">
        <w:rPr>
          <w:rFonts w:ascii="Times New Roman" w:eastAsia="Times New Roman" w:hAnsi="Times New Roman" w:cs="Times New Roman"/>
          <w:color w:val="000000"/>
          <w:sz w:val="24"/>
          <w:szCs w:val="24"/>
          <w:shd w:val="clear" w:color="auto" w:fill="FFFFFF"/>
          <w:lang w:eastAsia="ru-RU"/>
        </w:rPr>
        <w:t>pînă</w:t>
      </w:r>
      <w:proofErr w:type="spellEnd"/>
      <w:r w:rsidRPr="001065C1">
        <w:rPr>
          <w:rFonts w:ascii="Times New Roman" w:eastAsia="Times New Roman" w:hAnsi="Times New Roman" w:cs="Times New Roman"/>
          <w:color w:val="000000"/>
          <w:sz w:val="24"/>
          <w:szCs w:val="24"/>
          <w:shd w:val="clear" w:color="auto" w:fill="FFFFFF"/>
          <w:lang w:eastAsia="ru-RU"/>
        </w:rPr>
        <w:t xml:space="preserve"> la </w:t>
      </w:r>
      <w:r w:rsidR="00F84D18" w:rsidRPr="001065C1">
        <w:rPr>
          <w:rFonts w:ascii="Times New Roman" w:eastAsia="Times New Roman" w:hAnsi="Times New Roman" w:cs="Times New Roman"/>
          <w:color w:val="000000"/>
          <w:sz w:val="24"/>
          <w:szCs w:val="24"/>
          <w:shd w:val="clear" w:color="auto" w:fill="FFFFFF"/>
          <w:lang w:eastAsia="ru-RU"/>
        </w:rPr>
        <w:t>14,</w:t>
      </w:r>
      <w:r w:rsidR="00F164E2">
        <w:rPr>
          <w:rFonts w:ascii="Times New Roman" w:eastAsia="Times New Roman" w:hAnsi="Times New Roman" w:cs="Times New Roman"/>
          <w:color w:val="000000"/>
          <w:sz w:val="24"/>
          <w:szCs w:val="24"/>
          <w:shd w:val="clear" w:color="auto" w:fill="FFFFFF"/>
          <w:lang w:eastAsia="ru-RU"/>
        </w:rPr>
        <w:t>1</w:t>
      </w:r>
      <w:r w:rsidR="00F164E2" w:rsidRPr="001065C1">
        <w:rPr>
          <w:rFonts w:ascii="Times New Roman" w:eastAsia="Times New Roman" w:hAnsi="Times New Roman" w:cs="Times New Roman"/>
          <w:color w:val="000000"/>
          <w:sz w:val="24"/>
          <w:szCs w:val="24"/>
          <w:shd w:val="clear" w:color="auto" w:fill="FFFFFF"/>
          <w:lang w:eastAsia="ru-RU"/>
        </w:rPr>
        <w:t xml:space="preserve"> </w:t>
      </w:r>
      <w:proofErr w:type="spellStart"/>
      <w:r w:rsidRPr="001065C1">
        <w:rPr>
          <w:rFonts w:ascii="Times New Roman" w:eastAsia="Times New Roman" w:hAnsi="Times New Roman" w:cs="Times New Roman"/>
          <w:color w:val="000000"/>
          <w:sz w:val="24"/>
          <w:szCs w:val="24"/>
          <w:shd w:val="clear" w:color="auto" w:fill="FFFFFF"/>
          <w:lang w:eastAsia="ru-RU"/>
        </w:rPr>
        <w:t>Mt</w:t>
      </w:r>
      <w:proofErr w:type="spellEnd"/>
      <w:r w:rsidRPr="001065C1">
        <w:rPr>
          <w:rFonts w:ascii="Times New Roman" w:eastAsia="Times New Roman" w:hAnsi="Times New Roman" w:cs="Times New Roman"/>
          <w:color w:val="000000"/>
          <w:sz w:val="24"/>
          <w:szCs w:val="24"/>
          <w:shd w:val="clear" w:color="auto" w:fill="FFFFFF"/>
          <w:lang w:eastAsia="ru-RU"/>
        </w:rPr>
        <w:t xml:space="preserve"> </w:t>
      </w:r>
      <w:r w:rsidRPr="001065C1">
        <w:rPr>
          <w:rFonts w:ascii="Times New Roman" w:eastAsia="Times New Roman" w:hAnsi="Times New Roman" w:cs="Times New Roman"/>
          <w:color w:val="000000"/>
          <w:sz w:val="24"/>
          <w:szCs w:val="24"/>
          <w:lang w:eastAsia="ru-RU"/>
        </w:rPr>
        <w:t>CO</w:t>
      </w:r>
      <w:r w:rsidRPr="001065C1">
        <w:rPr>
          <w:rFonts w:ascii="Times New Roman" w:eastAsia="Times New Roman" w:hAnsi="Times New Roman" w:cs="Times New Roman"/>
          <w:color w:val="000000"/>
          <w:sz w:val="24"/>
          <w:szCs w:val="24"/>
          <w:vertAlign w:val="subscript"/>
          <w:lang w:eastAsia="ru-RU"/>
        </w:rPr>
        <w:t xml:space="preserve">2 </w:t>
      </w:r>
      <w:r w:rsidRPr="001065C1">
        <w:rPr>
          <w:rFonts w:ascii="Times New Roman" w:eastAsia="Times New Roman" w:hAnsi="Times New Roman" w:cs="Times New Roman"/>
          <w:color w:val="000000"/>
          <w:sz w:val="24"/>
          <w:szCs w:val="24"/>
          <w:shd w:val="clear" w:color="auto" w:fill="FFFFFF"/>
          <w:lang w:eastAsia="ru-RU"/>
        </w:rPr>
        <w:t xml:space="preserve">echivalent în </w:t>
      </w:r>
      <w:r w:rsidR="00F164E2" w:rsidRPr="001065C1">
        <w:rPr>
          <w:rFonts w:ascii="Times New Roman" w:eastAsia="Times New Roman" w:hAnsi="Times New Roman" w:cs="Times New Roman"/>
          <w:color w:val="000000"/>
          <w:sz w:val="24"/>
          <w:szCs w:val="24"/>
          <w:shd w:val="clear" w:color="auto" w:fill="FFFFFF"/>
          <w:lang w:eastAsia="ru-RU"/>
        </w:rPr>
        <w:t>201</w:t>
      </w:r>
      <w:r w:rsidR="00F164E2">
        <w:rPr>
          <w:rFonts w:ascii="Times New Roman" w:eastAsia="Times New Roman" w:hAnsi="Times New Roman" w:cs="Times New Roman"/>
          <w:color w:val="000000"/>
          <w:sz w:val="24"/>
          <w:szCs w:val="24"/>
          <w:shd w:val="clear" w:color="auto" w:fill="FFFFFF"/>
          <w:lang w:eastAsia="ru-RU"/>
        </w:rPr>
        <w:t>9</w:t>
      </w:r>
      <w:r w:rsidR="00F164E2" w:rsidRPr="001065C1">
        <w:rPr>
          <w:rFonts w:ascii="Times New Roman" w:eastAsia="Times New Roman" w:hAnsi="Times New Roman" w:cs="Times New Roman"/>
          <w:color w:val="000000"/>
          <w:sz w:val="24"/>
          <w:szCs w:val="24"/>
          <w:shd w:val="clear" w:color="auto" w:fill="FFFFFF"/>
          <w:lang w:eastAsia="ru-RU"/>
        </w:rPr>
        <w:t xml:space="preserve"> </w:t>
      </w:r>
      <w:r w:rsidRPr="001065C1">
        <w:rPr>
          <w:rFonts w:ascii="Times New Roman" w:eastAsia="Times New Roman" w:hAnsi="Times New Roman" w:cs="Times New Roman"/>
          <w:color w:val="000000"/>
          <w:sz w:val="24"/>
          <w:szCs w:val="24"/>
          <w:shd w:val="clear" w:color="auto" w:fill="FFFFFF"/>
          <w:lang w:eastAsia="ru-RU"/>
        </w:rPr>
        <w:t>(</w:t>
      </w:r>
      <w:r w:rsidR="00F20F5F" w:rsidRPr="001065C1">
        <w:rPr>
          <w:rFonts w:ascii="Times New Roman" w:eastAsia="Times New Roman" w:hAnsi="Times New Roman" w:cs="Times New Roman"/>
          <w:color w:val="000000"/>
          <w:sz w:val="24"/>
          <w:szCs w:val="24"/>
          <w:shd w:val="clear" w:color="auto" w:fill="FFFFFF"/>
          <w:lang w:eastAsia="ru-RU"/>
        </w:rPr>
        <w:t>F</w:t>
      </w:r>
      <w:r w:rsidRPr="001065C1">
        <w:rPr>
          <w:rFonts w:ascii="Times New Roman" w:eastAsia="Times New Roman" w:hAnsi="Times New Roman" w:cs="Times New Roman"/>
          <w:color w:val="000000"/>
          <w:sz w:val="24"/>
          <w:szCs w:val="24"/>
          <w:shd w:val="clear" w:color="auto" w:fill="FFFFFF"/>
          <w:lang w:eastAsia="ru-RU"/>
        </w:rPr>
        <w:t>ig</w:t>
      </w:r>
      <w:r w:rsidR="00F20F5F" w:rsidRPr="001065C1">
        <w:rPr>
          <w:rFonts w:ascii="Times New Roman" w:eastAsia="Times New Roman" w:hAnsi="Times New Roman" w:cs="Times New Roman"/>
          <w:color w:val="000000"/>
          <w:sz w:val="24"/>
          <w:szCs w:val="24"/>
          <w:shd w:val="clear" w:color="auto" w:fill="FFFFFF"/>
          <w:lang w:eastAsia="ru-RU"/>
        </w:rPr>
        <w:t>.</w:t>
      </w:r>
      <w:r w:rsidRPr="001065C1">
        <w:rPr>
          <w:rFonts w:ascii="Times New Roman" w:eastAsia="Times New Roman" w:hAnsi="Times New Roman" w:cs="Times New Roman"/>
          <w:color w:val="000000"/>
          <w:sz w:val="24"/>
          <w:szCs w:val="24"/>
          <w:shd w:val="clear" w:color="auto" w:fill="FFFFFF"/>
          <w:lang w:eastAsia="ru-RU"/>
        </w:rPr>
        <w:t xml:space="preserve"> 2.1, </w:t>
      </w:r>
      <w:r w:rsidR="00F20F5F" w:rsidRPr="001065C1">
        <w:rPr>
          <w:rFonts w:ascii="Times New Roman" w:eastAsia="Times New Roman" w:hAnsi="Times New Roman" w:cs="Times New Roman"/>
          <w:color w:val="000000"/>
          <w:sz w:val="24"/>
          <w:szCs w:val="24"/>
          <w:shd w:val="clear" w:color="auto" w:fill="FFFFFF"/>
          <w:lang w:eastAsia="ru-RU"/>
        </w:rPr>
        <w:t>T</w:t>
      </w:r>
      <w:r w:rsidRPr="001065C1">
        <w:rPr>
          <w:rFonts w:ascii="Times New Roman" w:eastAsia="Times New Roman" w:hAnsi="Times New Roman" w:cs="Times New Roman"/>
          <w:color w:val="000000"/>
          <w:sz w:val="24"/>
          <w:szCs w:val="24"/>
          <w:shd w:val="clear" w:color="auto" w:fill="FFFFFF"/>
          <w:lang w:eastAsia="ru-RU"/>
        </w:rPr>
        <w:t>ab</w:t>
      </w:r>
      <w:r w:rsidR="00F20F5F" w:rsidRPr="001065C1">
        <w:rPr>
          <w:rFonts w:ascii="Times New Roman" w:eastAsia="Times New Roman" w:hAnsi="Times New Roman" w:cs="Times New Roman"/>
          <w:color w:val="000000"/>
          <w:sz w:val="24"/>
          <w:szCs w:val="24"/>
          <w:shd w:val="clear" w:color="auto" w:fill="FFFFFF"/>
          <w:lang w:eastAsia="ru-RU"/>
        </w:rPr>
        <w:t>.</w:t>
      </w:r>
      <w:r w:rsidRPr="001065C1">
        <w:rPr>
          <w:rFonts w:ascii="Times New Roman" w:eastAsia="Times New Roman" w:hAnsi="Times New Roman" w:cs="Times New Roman"/>
          <w:color w:val="000000"/>
          <w:sz w:val="24"/>
          <w:szCs w:val="24"/>
          <w:shd w:val="clear" w:color="auto" w:fill="FFFFFF"/>
          <w:lang w:eastAsia="ru-RU"/>
        </w:rPr>
        <w:t xml:space="preserve"> 2.</w:t>
      </w:r>
      <w:r w:rsidR="008A3367" w:rsidRPr="001065C1">
        <w:rPr>
          <w:rFonts w:ascii="Times New Roman" w:eastAsia="Times New Roman" w:hAnsi="Times New Roman" w:cs="Times New Roman"/>
          <w:color w:val="000000"/>
          <w:sz w:val="24"/>
          <w:szCs w:val="24"/>
          <w:shd w:val="clear" w:color="auto" w:fill="FFFFFF"/>
          <w:lang w:eastAsia="ru-RU"/>
        </w:rPr>
        <w:t>1</w:t>
      </w:r>
      <w:r w:rsidRPr="001065C1">
        <w:rPr>
          <w:rFonts w:ascii="Times New Roman" w:eastAsia="Times New Roman" w:hAnsi="Times New Roman" w:cs="Times New Roman"/>
          <w:color w:val="000000"/>
          <w:sz w:val="24"/>
          <w:szCs w:val="24"/>
          <w:shd w:val="clear" w:color="auto" w:fill="FFFFFF"/>
          <w:lang w:eastAsia="ru-RU"/>
        </w:rPr>
        <w:t>).</w:t>
      </w:r>
    </w:p>
    <w:p w14:paraId="4AAB3F68" w14:textId="3F768BF9" w:rsidR="006364B2" w:rsidRPr="001065C1" w:rsidRDefault="00A17791" w:rsidP="006364B2">
      <w:pPr>
        <w:spacing w:before="120" w:after="120" w:line="240" w:lineRule="auto"/>
        <w:jc w:val="center"/>
        <w:rPr>
          <w:rFonts w:ascii="Times New Roman" w:eastAsia="Times New Roman" w:hAnsi="Times New Roman" w:cs="Times New Roman"/>
          <w:sz w:val="24"/>
          <w:szCs w:val="24"/>
          <w:lang w:eastAsia="ru-RU"/>
        </w:rPr>
      </w:pPr>
      <w:r>
        <w:rPr>
          <w:noProof/>
          <w:lang w:val="en-US"/>
        </w:rPr>
        <w:drawing>
          <wp:inline distT="0" distB="0" distL="0" distR="0" wp14:anchorId="41E4B00A" wp14:editId="69D7C9F1">
            <wp:extent cx="5584825" cy="2743200"/>
            <wp:effectExtent l="0" t="0" r="0" b="0"/>
            <wp:docPr id="6" name="Chart 6">
              <a:extLst xmlns:a="http://schemas.openxmlformats.org/drawingml/2006/main">
                <a:ext uri="{FF2B5EF4-FFF2-40B4-BE49-F238E27FC236}">
                  <a16:creationId xmlns:a16="http://schemas.microsoft.com/office/drawing/2014/main" id="{581A3BDB-3E4E-416F-94C7-B8227329A0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6AC4B6E" w14:textId="62265758" w:rsidR="009C72FF" w:rsidRPr="001065C1" w:rsidRDefault="009C72FF" w:rsidP="006364B2">
      <w:pPr>
        <w:spacing w:before="120" w:after="120" w:line="240" w:lineRule="auto"/>
        <w:jc w:val="center"/>
        <w:rPr>
          <w:rFonts w:ascii="Times New Roman" w:eastAsia="Times New Roman" w:hAnsi="Times New Roman" w:cs="Times New Roman"/>
          <w:sz w:val="24"/>
          <w:szCs w:val="24"/>
          <w:lang w:eastAsia="ru-RU"/>
        </w:rPr>
      </w:pPr>
    </w:p>
    <w:p w14:paraId="3AD67BD9" w14:textId="4255F1DC" w:rsidR="006364B2" w:rsidRPr="001065C1" w:rsidRDefault="006364B2" w:rsidP="006364B2">
      <w:pPr>
        <w:spacing w:after="0" w:line="240" w:lineRule="auto"/>
        <w:jc w:val="center"/>
        <w:rPr>
          <w:rFonts w:ascii="Times New Roman" w:eastAsia="Times New Roman" w:hAnsi="Times New Roman" w:cs="Times New Roman"/>
          <w:iCs/>
          <w:color w:val="000000"/>
          <w:sz w:val="24"/>
          <w:szCs w:val="24"/>
          <w:lang w:eastAsia="ru-RU"/>
        </w:rPr>
      </w:pPr>
      <w:r w:rsidRPr="001065C1">
        <w:rPr>
          <w:rFonts w:ascii="Times New Roman" w:eastAsia="Times New Roman" w:hAnsi="Times New Roman" w:cs="Times New Roman"/>
          <w:b/>
          <w:bCs/>
          <w:color w:val="000000"/>
          <w:sz w:val="24"/>
          <w:szCs w:val="24"/>
          <w:lang w:eastAsia="ru-RU"/>
        </w:rPr>
        <w:t>Figura 2.1</w:t>
      </w:r>
      <w:r w:rsidR="00FB699F" w:rsidRPr="001065C1">
        <w:rPr>
          <w:rFonts w:ascii="Times New Roman" w:eastAsia="Times New Roman" w:hAnsi="Times New Roman" w:cs="Times New Roman"/>
          <w:b/>
          <w:bCs/>
          <w:color w:val="000000"/>
          <w:sz w:val="24"/>
          <w:szCs w:val="24"/>
          <w:lang w:eastAsia="ru-RU"/>
        </w:rPr>
        <w:t>:</w:t>
      </w:r>
      <w:r w:rsidRPr="001065C1">
        <w:rPr>
          <w:rFonts w:ascii="Times New Roman" w:eastAsia="Times New Roman" w:hAnsi="Times New Roman" w:cs="Times New Roman"/>
          <w:b/>
          <w:bCs/>
          <w:i/>
          <w:color w:val="000000"/>
          <w:sz w:val="24"/>
          <w:szCs w:val="24"/>
          <w:lang w:eastAsia="ru-RU"/>
        </w:rPr>
        <w:t xml:space="preserve"> </w:t>
      </w:r>
      <w:r w:rsidRPr="001065C1">
        <w:rPr>
          <w:rFonts w:ascii="Times New Roman" w:eastAsia="Times New Roman" w:hAnsi="Times New Roman" w:cs="Times New Roman"/>
          <w:iCs/>
          <w:color w:val="000000"/>
          <w:sz w:val="24"/>
          <w:szCs w:val="24"/>
          <w:lang w:eastAsia="ru-RU"/>
        </w:rPr>
        <w:t xml:space="preserve">Dinamica emisiilor </w:t>
      </w:r>
      <w:r w:rsidR="00C12325" w:rsidRPr="001065C1">
        <w:rPr>
          <w:rFonts w:ascii="Times New Roman" w:eastAsia="Times New Roman" w:hAnsi="Times New Roman" w:cs="Times New Roman"/>
          <w:iCs/>
          <w:color w:val="000000"/>
          <w:sz w:val="24"/>
          <w:szCs w:val="24"/>
          <w:lang w:eastAsia="ru-RU"/>
        </w:rPr>
        <w:t>și</w:t>
      </w:r>
      <w:r w:rsidRPr="001065C1">
        <w:rPr>
          <w:rFonts w:ascii="Times New Roman" w:eastAsia="Times New Roman" w:hAnsi="Times New Roman" w:cs="Times New Roman"/>
          <w:iCs/>
          <w:color w:val="000000"/>
          <w:sz w:val="24"/>
          <w:szCs w:val="24"/>
          <w:lang w:eastAsia="ru-RU"/>
        </w:rPr>
        <w:t xml:space="preserve"> sechestrărilor de gaze cu efect de seră</w:t>
      </w:r>
    </w:p>
    <w:p w14:paraId="515A1936" w14:textId="48E1F342" w:rsidR="006364B2" w:rsidRPr="001065C1" w:rsidRDefault="006364B2" w:rsidP="006364B2">
      <w:pPr>
        <w:spacing w:after="0" w:line="240" w:lineRule="auto"/>
        <w:jc w:val="center"/>
        <w:rPr>
          <w:rFonts w:ascii="Times New Roman" w:eastAsia="Times New Roman" w:hAnsi="Times New Roman" w:cs="Times New Roman"/>
          <w:iCs/>
          <w:sz w:val="24"/>
          <w:szCs w:val="24"/>
          <w:lang w:eastAsia="ru-RU"/>
        </w:rPr>
      </w:pPr>
      <w:r w:rsidRPr="001065C1">
        <w:rPr>
          <w:rFonts w:ascii="Times New Roman" w:eastAsia="Times New Roman" w:hAnsi="Times New Roman" w:cs="Times New Roman"/>
          <w:iCs/>
          <w:color w:val="000000"/>
          <w:sz w:val="24"/>
          <w:szCs w:val="24"/>
          <w:lang w:eastAsia="ru-RU"/>
        </w:rPr>
        <w:t xml:space="preserve"> în Republica Moldova, 1990-201</w:t>
      </w:r>
      <w:r w:rsidR="001179EC" w:rsidRPr="001065C1">
        <w:rPr>
          <w:rFonts w:ascii="Times New Roman" w:eastAsia="Times New Roman" w:hAnsi="Times New Roman" w:cs="Times New Roman"/>
          <w:iCs/>
          <w:color w:val="000000"/>
          <w:sz w:val="24"/>
          <w:szCs w:val="24"/>
          <w:lang w:eastAsia="ru-RU"/>
        </w:rPr>
        <w:t>6</w:t>
      </w:r>
      <w:r w:rsidR="00F20F5F" w:rsidRPr="001065C1">
        <w:rPr>
          <w:rFonts w:ascii="Times New Roman" w:eastAsia="Times New Roman" w:hAnsi="Times New Roman" w:cs="Times New Roman"/>
          <w:iCs/>
          <w:color w:val="000000"/>
          <w:sz w:val="24"/>
          <w:szCs w:val="24"/>
          <w:lang w:eastAsia="ru-RU"/>
        </w:rPr>
        <w:t>.</w:t>
      </w:r>
    </w:p>
    <w:p w14:paraId="706E3696" w14:textId="19A6C7B6" w:rsidR="008A3367" w:rsidRPr="001065C1" w:rsidRDefault="008A3367" w:rsidP="008A3367">
      <w:pPr>
        <w:spacing w:before="120" w:after="120" w:line="240" w:lineRule="auto"/>
        <w:ind w:firstLine="720"/>
        <w:jc w:val="right"/>
        <w:rPr>
          <w:rFonts w:ascii="Times New Roman" w:eastAsia="Times New Roman" w:hAnsi="Times New Roman" w:cs="Times New Roman"/>
          <w:bCs/>
          <w:color w:val="000000"/>
          <w:sz w:val="24"/>
          <w:szCs w:val="24"/>
          <w:lang w:eastAsia="ru-RU"/>
        </w:rPr>
      </w:pPr>
      <w:r w:rsidRPr="001065C1">
        <w:rPr>
          <w:rFonts w:ascii="Times New Roman" w:eastAsia="Times New Roman" w:hAnsi="Times New Roman" w:cs="Times New Roman"/>
          <w:bCs/>
          <w:color w:val="000000"/>
          <w:sz w:val="24"/>
          <w:szCs w:val="24"/>
          <w:lang w:eastAsia="ru-RU"/>
        </w:rPr>
        <w:t>Tabelul 2.1</w:t>
      </w:r>
    </w:p>
    <w:p w14:paraId="4F3112A0" w14:textId="1FE5D459" w:rsidR="008A3367" w:rsidRPr="001065C1" w:rsidRDefault="008A3367" w:rsidP="008A3367">
      <w:pPr>
        <w:spacing w:after="0" w:line="240" w:lineRule="auto"/>
        <w:ind w:firstLine="720"/>
        <w:jc w:val="center"/>
        <w:rPr>
          <w:rFonts w:ascii="Times New Roman" w:eastAsia="Times New Roman" w:hAnsi="Times New Roman" w:cs="Times New Roman"/>
          <w:b/>
          <w:color w:val="000000"/>
          <w:sz w:val="24"/>
          <w:szCs w:val="24"/>
          <w:lang w:eastAsia="ru-RU"/>
        </w:rPr>
      </w:pPr>
      <w:r w:rsidRPr="001065C1">
        <w:rPr>
          <w:rFonts w:ascii="Times New Roman" w:eastAsia="Times New Roman" w:hAnsi="Times New Roman" w:cs="Times New Roman"/>
          <w:b/>
          <w:color w:val="000000"/>
          <w:sz w:val="24"/>
          <w:szCs w:val="24"/>
          <w:lang w:eastAsia="ru-RU"/>
        </w:rPr>
        <w:t xml:space="preserve">Dinamica emisiilor </w:t>
      </w:r>
      <w:r w:rsidR="00C12325" w:rsidRPr="001065C1">
        <w:rPr>
          <w:rFonts w:ascii="Times New Roman" w:eastAsia="Times New Roman" w:hAnsi="Times New Roman" w:cs="Times New Roman"/>
          <w:b/>
          <w:color w:val="000000"/>
          <w:sz w:val="24"/>
          <w:szCs w:val="24"/>
          <w:lang w:eastAsia="ru-RU"/>
        </w:rPr>
        <w:t>și</w:t>
      </w:r>
      <w:r w:rsidRPr="001065C1">
        <w:rPr>
          <w:rFonts w:ascii="Times New Roman" w:eastAsia="Times New Roman" w:hAnsi="Times New Roman" w:cs="Times New Roman"/>
          <w:b/>
          <w:color w:val="000000"/>
          <w:sz w:val="24"/>
          <w:szCs w:val="24"/>
          <w:lang w:eastAsia="ru-RU"/>
        </w:rPr>
        <w:t xml:space="preserve"> sechestrărilor de gaze cu efect de seră</w:t>
      </w:r>
    </w:p>
    <w:p w14:paraId="28A460F7" w14:textId="60980D35" w:rsidR="008A3367" w:rsidRDefault="008A3367" w:rsidP="008A3367">
      <w:pPr>
        <w:spacing w:after="0" w:line="240" w:lineRule="auto"/>
        <w:ind w:firstLine="720"/>
        <w:jc w:val="center"/>
        <w:rPr>
          <w:rFonts w:ascii="Times New Roman" w:eastAsia="Times New Roman" w:hAnsi="Times New Roman" w:cs="Times New Roman"/>
          <w:b/>
          <w:color w:val="000000"/>
          <w:sz w:val="24"/>
          <w:szCs w:val="24"/>
          <w:lang w:eastAsia="ru-RU"/>
        </w:rPr>
      </w:pPr>
      <w:r w:rsidRPr="001065C1">
        <w:rPr>
          <w:rFonts w:ascii="Times New Roman" w:eastAsia="Times New Roman" w:hAnsi="Times New Roman" w:cs="Times New Roman"/>
          <w:b/>
          <w:color w:val="000000"/>
          <w:sz w:val="24"/>
          <w:szCs w:val="24"/>
          <w:lang w:eastAsia="ru-RU"/>
        </w:rPr>
        <w:t xml:space="preserve">pe sectoare în </w:t>
      </w:r>
      <w:proofErr w:type="spellStart"/>
      <w:r w:rsidRPr="001065C1">
        <w:rPr>
          <w:rFonts w:ascii="Times New Roman" w:eastAsia="Times New Roman" w:hAnsi="Times New Roman" w:cs="Times New Roman"/>
          <w:b/>
          <w:color w:val="000000"/>
          <w:sz w:val="24"/>
          <w:szCs w:val="24"/>
          <w:lang w:eastAsia="ru-RU"/>
        </w:rPr>
        <w:t>Mt</w:t>
      </w:r>
      <w:proofErr w:type="spellEnd"/>
      <w:r w:rsidRPr="001065C1">
        <w:rPr>
          <w:rFonts w:ascii="Times New Roman" w:eastAsia="Times New Roman" w:hAnsi="Times New Roman" w:cs="Times New Roman"/>
          <w:b/>
          <w:color w:val="000000"/>
          <w:sz w:val="24"/>
          <w:szCs w:val="24"/>
          <w:lang w:eastAsia="ru-RU"/>
        </w:rPr>
        <w:t xml:space="preserve"> CO</w:t>
      </w:r>
      <w:r w:rsidRPr="001065C1">
        <w:rPr>
          <w:rFonts w:ascii="Times New Roman" w:eastAsia="Times New Roman" w:hAnsi="Times New Roman" w:cs="Times New Roman"/>
          <w:b/>
          <w:color w:val="000000"/>
          <w:sz w:val="24"/>
          <w:szCs w:val="24"/>
          <w:vertAlign w:val="subscript"/>
          <w:lang w:eastAsia="ru-RU"/>
        </w:rPr>
        <w:t>2</w:t>
      </w:r>
      <w:r w:rsidRPr="001065C1">
        <w:rPr>
          <w:rFonts w:ascii="Times New Roman" w:eastAsia="Times New Roman" w:hAnsi="Times New Roman" w:cs="Times New Roman"/>
          <w:b/>
          <w:color w:val="000000"/>
          <w:sz w:val="24"/>
          <w:szCs w:val="24"/>
          <w:lang w:eastAsia="ru-RU"/>
        </w:rPr>
        <w:t xml:space="preserve"> echivalent, 1990-201</w:t>
      </w:r>
      <w:r w:rsidR="00930231">
        <w:rPr>
          <w:rFonts w:ascii="Times New Roman" w:eastAsia="Times New Roman" w:hAnsi="Times New Roman" w:cs="Times New Roman"/>
          <w:b/>
          <w:color w:val="000000"/>
          <w:sz w:val="24"/>
          <w:szCs w:val="24"/>
          <w:lang w:eastAsia="ru-RU"/>
        </w:rPr>
        <w:t>9</w:t>
      </w:r>
    </w:p>
    <w:tbl>
      <w:tblPr>
        <w:tblW w:w="5000" w:type="pct"/>
        <w:tblLook w:val="04A0" w:firstRow="1" w:lastRow="0" w:firstColumn="1" w:lastColumn="0" w:noHBand="0" w:noVBand="1"/>
      </w:tblPr>
      <w:tblGrid>
        <w:gridCol w:w="2169"/>
        <w:gridCol w:w="695"/>
        <w:gridCol w:w="695"/>
        <w:gridCol w:w="695"/>
        <w:gridCol w:w="695"/>
        <w:gridCol w:w="695"/>
        <w:gridCol w:w="695"/>
        <w:gridCol w:w="695"/>
        <w:gridCol w:w="695"/>
        <w:gridCol w:w="695"/>
        <w:gridCol w:w="695"/>
      </w:tblGrid>
      <w:tr w:rsidR="00495A2C" w:rsidRPr="00495A2C" w14:paraId="4A5A43F9" w14:textId="77777777" w:rsidTr="00495A2C">
        <w:trPr>
          <w:trHeight w:val="290"/>
        </w:trPr>
        <w:tc>
          <w:tcPr>
            <w:tcW w:w="1190" w:type="pct"/>
            <w:tcBorders>
              <w:top w:val="single" w:sz="4" w:space="0" w:color="auto"/>
              <w:left w:val="single" w:sz="4" w:space="0" w:color="auto"/>
              <w:bottom w:val="single" w:sz="4" w:space="0" w:color="auto"/>
              <w:right w:val="single" w:sz="4" w:space="0" w:color="auto"/>
            </w:tcBorders>
            <w:shd w:val="clear" w:color="000000" w:fill="4F81BD"/>
            <w:vAlign w:val="center"/>
            <w:hideMark/>
          </w:tcPr>
          <w:p w14:paraId="468E0EEB" w14:textId="77777777" w:rsidR="00495A2C" w:rsidRPr="00495A2C" w:rsidRDefault="00495A2C" w:rsidP="00495A2C">
            <w:pPr>
              <w:spacing w:after="0" w:line="240" w:lineRule="auto"/>
              <w:jc w:val="center"/>
              <w:rPr>
                <w:rFonts w:ascii="Times New Roman" w:eastAsia="Times New Roman" w:hAnsi="Times New Roman" w:cs="Times New Roman"/>
                <w:color w:val="FFFFFF"/>
                <w:sz w:val="14"/>
                <w:szCs w:val="14"/>
                <w:lang w:val="en-US"/>
              </w:rPr>
            </w:pPr>
            <w:r w:rsidRPr="00495A2C">
              <w:rPr>
                <w:rFonts w:ascii="Times New Roman" w:eastAsia="Times New Roman" w:hAnsi="Times New Roman" w:cs="Times New Roman"/>
                <w:color w:val="FFFFFF"/>
                <w:sz w:val="14"/>
                <w:szCs w:val="14"/>
                <w:lang w:val="en-US"/>
              </w:rPr>
              <w:t> </w:t>
            </w:r>
          </w:p>
        </w:tc>
        <w:tc>
          <w:tcPr>
            <w:tcW w:w="381" w:type="pct"/>
            <w:tcBorders>
              <w:top w:val="single" w:sz="4" w:space="0" w:color="auto"/>
              <w:left w:val="nil"/>
              <w:bottom w:val="single" w:sz="4" w:space="0" w:color="auto"/>
              <w:right w:val="single" w:sz="4" w:space="0" w:color="auto"/>
            </w:tcBorders>
            <w:shd w:val="clear" w:color="000000" w:fill="4F81BD"/>
            <w:noWrap/>
            <w:vAlign w:val="center"/>
            <w:hideMark/>
          </w:tcPr>
          <w:p w14:paraId="52DF1AD9" w14:textId="77777777" w:rsidR="00495A2C" w:rsidRPr="00495A2C" w:rsidRDefault="00495A2C" w:rsidP="00495A2C">
            <w:pPr>
              <w:spacing w:after="0" w:line="240" w:lineRule="auto"/>
              <w:jc w:val="center"/>
              <w:rPr>
                <w:rFonts w:ascii="Times New Roman" w:eastAsia="Times New Roman" w:hAnsi="Times New Roman" w:cs="Times New Roman"/>
                <w:b/>
                <w:bCs/>
                <w:color w:val="FFFFFF"/>
                <w:sz w:val="14"/>
                <w:szCs w:val="14"/>
                <w:lang w:val="en-US"/>
              </w:rPr>
            </w:pPr>
            <w:r w:rsidRPr="00495A2C">
              <w:rPr>
                <w:rFonts w:ascii="Times New Roman" w:eastAsia="Times New Roman" w:hAnsi="Times New Roman" w:cs="Times New Roman"/>
                <w:b/>
                <w:bCs/>
                <w:color w:val="FFFFFF"/>
                <w:sz w:val="14"/>
                <w:szCs w:val="14"/>
                <w:lang w:val="en-US"/>
              </w:rPr>
              <w:t>1990</w:t>
            </w:r>
          </w:p>
        </w:tc>
        <w:tc>
          <w:tcPr>
            <w:tcW w:w="381" w:type="pct"/>
            <w:tcBorders>
              <w:top w:val="single" w:sz="4" w:space="0" w:color="auto"/>
              <w:left w:val="nil"/>
              <w:bottom w:val="single" w:sz="4" w:space="0" w:color="auto"/>
              <w:right w:val="single" w:sz="4" w:space="0" w:color="auto"/>
            </w:tcBorders>
            <w:shd w:val="clear" w:color="000000" w:fill="4F81BD"/>
            <w:noWrap/>
            <w:vAlign w:val="center"/>
            <w:hideMark/>
          </w:tcPr>
          <w:p w14:paraId="5415C9A0" w14:textId="77777777" w:rsidR="00495A2C" w:rsidRPr="00495A2C" w:rsidRDefault="00495A2C" w:rsidP="00495A2C">
            <w:pPr>
              <w:spacing w:after="0" w:line="240" w:lineRule="auto"/>
              <w:jc w:val="center"/>
              <w:rPr>
                <w:rFonts w:ascii="Times New Roman" w:eastAsia="Times New Roman" w:hAnsi="Times New Roman" w:cs="Times New Roman"/>
                <w:b/>
                <w:bCs/>
                <w:color w:val="FFFFFF"/>
                <w:sz w:val="14"/>
                <w:szCs w:val="14"/>
                <w:lang w:val="en-US"/>
              </w:rPr>
            </w:pPr>
            <w:r w:rsidRPr="00495A2C">
              <w:rPr>
                <w:rFonts w:ascii="Times New Roman" w:eastAsia="Times New Roman" w:hAnsi="Times New Roman" w:cs="Times New Roman"/>
                <w:b/>
                <w:bCs/>
                <w:color w:val="FFFFFF"/>
                <w:sz w:val="14"/>
                <w:szCs w:val="14"/>
                <w:lang w:val="en-US"/>
              </w:rPr>
              <w:t>1991</w:t>
            </w:r>
          </w:p>
        </w:tc>
        <w:tc>
          <w:tcPr>
            <w:tcW w:w="381" w:type="pct"/>
            <w:tcBorders>
              <w:top w:val="single" w:sz="4" w:space="0" w:color="auto"/>
              <w:left w:val="nil"/>
              <w:bottom w:val="single" w:sz="4" w:space="0" w:color="auto"/>
              <w:right w:val="single" w:sz="4" w:space="0" w:color="auto"/>
            </w:tcBorders>
            <w:shd w:val="clear" w:color="000000" w:fill="4F81BD"/>
            <w:noWrap/>
            <w:vAlign w:val="center"/>
            <w:hideMark/>
          </w:tcPr>
          <w:p w14:paraId="62E4F450" w14:textId="77777777" w:rsidR="00495A2C" w:rsidRPr="00495A2C" w:rsidRDefault="00495A2C" w:rsidP="00495A2C">
            <w:pPr>
              <w:spacing w:after="0" w:line="240" w:lineRule="auto"/>
              <w:jc w:val="center"/>
              <w:rPr>
                <w:rFonts w:ascii="Times New Roman" w:eastAsia="Times New Roman" w:hAnsi="Times New Roman" w:cs="Times New Roman"/>
                <w:b/>
                <w:bCs/>
                <w:color w:val="FFFFFF"/>
                <w:sz w:val="14"/>
                <w:szCs w:val="14"/>
                <w:lang w:val="en-US"/>
              </w:rPr>
            </w:pPr>
            <w:r w:rsidRPr="00495A2C">
              <w:rPr>
                <w:rFonts w:ascii="Times New Roman" w:eastAsia="Times New Roman" w:hAnsi="Times New Roman" w:cs="Times New Roman"/>
                <w:b/>
                <w:bCs/>
                <w:color w:val="FFFFFF"/>
                <w:sz w:val="14"/>
                <w:szCs w:val="14"/>
                <w:lang w:val="en-US"/>
              </w:rPr>
              <w:t>1992</w:t>
            </w:r>
          </w:p>
        </w:tc>
        <w:tc>
          <w:tcPr>
            <w:tcW w:w="381" w:type="pct"/>
            <w:tcBorders>
              <w:top w:val="single" w:sz="4" w:space="0" w:color="auto"/>
              <w:left w:val="nil"/>
              <w:bottom w:val="single" w:sz="4" w:space="0" w:color="auto"/>
              <w:right w:val="single" w:sz="4" w:space="0" w:color="auto"/>
            </w:tcBorders>
            <w:shd w:val="clear" w:color="000000" w:fill="4F81BD"/>
            <w:noWrap/>
            <w:vAlign w:val="center"/>
            <w:hideMark/>
          </w:tcPr>
          <w:p w14:paraId="047D7E34" w14:textId="77777777" w:rsidR="00495A2C" w:rsidRPr="00495A2C" w:rsidRDefault="00495A2C" w:rsidP="00495A2C">
            <w:pPr>
              <w:spacing w:after="0" w:line="240" w:lineRule="auto"/>
              <w:jc w:val="center"/>
              <w:rPr>
                <w:rFonts w:ascii="Times New Roman" w:eastAsia="Times New Roman" w:hAnsi="Times New Roman" w:cs="Times New Roman"/>
                <w:b/>
                <w:bCs/>
                <w:color w:val="FFFFFF"/>
                <w:sz w:val="14"/>
                <w:szCs w:val="14"/>
                <w:lang w:val="en-US"/>
              </w:rPr>
            </w:pPr>
            <w:r w:rsidRPr="00495A2C">
              <w:rPr>
                <w:rFonts w:ascii="Times New Roman" w:eastAsia="Times New Roman" w:hAnsi="Times New Roman" w:cs="Times New Roman"/>
                <w:b/>
                <w:bCs/>
                <w:color w:val="FFFFFF"/>
                <w:sz w:val="14"/>
                <w:szCs w:val="14"/>
                <w:lang w:val="en-US"/>
              </w:rPr>
              <w:t>1993</w:t>
            </w:r>
          </w:p>
        </w:tc>
        <w:tc>
          <w:tcPr>
            <w:tcW w:w="381" w:type="pct"/>
            <w:tcBorders>
              <w:top w:val="single" w:sz="4" w:space="0" w:color="auto"/>
              <w:left w:val="nil"/>
              <w:bottom w:val="single" w:sz="4" w:space="0" w:color="auto"/>
              <w:right w:val="single" w:sz="4" w:space="0" w:color="auto"/>
            </w:tcBorders>
            <w:shd w:val="clear" w:color="000000" w:fill="4F81BD"/>
            <w:noWrap/>
            <w:vAlign w:val="center"/>
            <w:hideMark/>
          </w:tcPr>
          <w:p w14:paraId="5D5F3BE6" w14:textId="77777777" w:rsidR="00495A2C" w:rsidRPr="00495A2C" w:rsidRDefault="00495A2C" w:rsidP="00495A2C">
            <w:pPr>
              <w:spacing w:after="0" w:line="240" w:lineRule="auto"/>
              <w:jc w:val="center"/>
              <w:rPr>
                <w:rFonts w:ascii="Times New Roman" w:eastAsia="Times New Roman" w:hAnsi="Times New Roman" w:cs="Times New Roman"/>
                <w:b/>
                <w:bCs/>
                <w:color w:val="FFFFFF"/>
                <w:sz w:val="14"/>
                <w:szCs w:val="14"/>
                <w:lang w:val="en-US"/>
              </w:rPr>
            </w:pPr>
            <w:r w:rsidRPr="00495A2C">
              <w:rPr>
                <w:rFonts w:ascii="Times New Roman" w:eastAsia="Times New Roman" w:hAnsi="Times New Roman" w:cs="Times New Roman"/>
                <w:b/>
                <w:bCs/>
                <w:color w:val="FFFFFF"/>
                <w:sz w:val="14"/>
                <w:szCs w:val="14"/>
                <w:lang w:val="en-US"/>
              </w:rPr>
              <w:t>1994</w:t>
            </w:r>
          </w:p>
        </w:tc>
        <w:tc>
          <w:tcPr>
            <w:tcW w:w="381" w:type="pct"/>
            <w:tcBorders>
              <w:top w:val="single" w:sz="4" w:space="0" w:color="auto"/>
              <w:left w:val="nil"/>
              <w:bottom w:val="single" w:sz="4" w:space="0" w:color="auto"/>
              <w:right w:val="single" w:sz="4" w:space="0" w:color="auto"/>
            </w:tcBorders>
            <w:shd w:val="clear" w:color="000000" w:fill="4F81BD"/>
            <w:noWrap/>
            <w:vAlign w:val="center"/>
            <w:hideMark/>
          </w:tcPr>
          <w:p w14:paraId="2989CA70" w14:textId="77777777" w:rsidR="00495A2C" w:rsidRPr="00495A2C" w:rsidRDefault="00495A2C" w:rsidP="00495A2C">
            <w:pPr>
              <w:spacing w:after="0" w:line="240" w:lineRule="auto"/>
              <w:jc w:val="center"/>
              <w:rPr>
                <w:rFonts w:ascii="Times New Roman" w:eastAsia="Times New Roman" w:hAnsi="Times New Roman" w:cs="Times New Roman"/>
                <w:b/>
                <w:bCs/>
                <w:color w:val="FFFFFF"/>
                <w:sz w:val="14"/>
                <w:szCs w:val="14"/>
                <w:lang w:val="en-US"/>
              </w:rPr>
            </w:pPr>
            <w:r w:rsidRPr="00495A2C">
              <w:rPr>
                <w:rFonts w:ascii="Times New Roman" w:eastAsia="Times New Roman" w:hAnsi="Times New Roman" w:cs="Times New Roman"/>
                <w:b/>
                <w:bCs/>
                <w:color w:val="FFFFFF"/>
                <w:sz w:val="14"/>
                <w:szCs w:val="14"/>
                <w:lang w:val="en-US"/>
              </w:rPr>
              <w:t>1995</w:t>
            </w:r>
          </w:p>
        </w:tc>
        <w:tc>
          <w:tcPr>
            <w:tcW w:w="381" w:type="pct"/>
            <w:tcBorders>
              <w:top w:val="single" w:sz="4" w:space="0" w:color="auto"/>
              <w:left w:val="nil"/>
              <w:bottom w:val="single" w:sz="4" w:space="0" w:color="auto"/>
              <w:right w:val="single" w:sz="4" w:space="0" w:color="auto"/>
            </w:tcBorders>
            <w:shd w:val="clear" w:color="000000" w:fill="4F81BD"/>
            <w:noWrap/>
            <w:vAlign w:val="center"/>
            <w:hideMark/>
          </w:tcPr>
          <w:p w14:paraId="2627E309" w14:textId="77777777" w:rsidR="00495A2C" w:rsidRPr="00495A2C" w:rsidRDefault="00495A2C" w:rsidP="00495A2C">
            <w:pPr>
              <w:spacing w:after="0" w:line="240" w:lineRule="auto"/>
              <w:jc w:val="center"/>
              <w:rPr>
                <w:rFonts w:ascii="Times New Roman" w:eastAsia="Times New Roman" w:hAnsi="Times New Roman" w:cs="Times New Roman"/>
                <w:b/>
                <w:bCs/>
                <w:color w:val="FFFFFF"/>
                <w:sz w:val="14"/>
                <w:szCs w:val="14"/>
                <w:lang w:val="en-US"/>
              </w:rPr>
            </w:pPr>
            <w:r w:rsidRPr="00495A2C">
              <w:rPr>
                <w:rFonts w:ascii="Times New Roman" w:eastAsia="Times New Roman" w:hAnsi="Times New Roman" w:cs="Times New Roman"/>
                <w:b/>
                <w:bCs/>
                <w:color w:val="FFFFFF"/>
                <w:sz w:val="14"/>
                <w:szCs w:val="14"/>
                <w:lang w:val="en-US"/>
              </w:rPr>
              <w:t>1996</w:t>
            </w:r>
          </w:p>
        </w:tc>
        <w:tc>
          <w:tcPr>
            <w:tcW w:w="381" w:type="pct"/>
            <w:tcBorders>
              <w:top w:val="single" w:sz="4" w:space="0" w:color="auto"/>
              <w:left w:val="nil"/>
              <w:bottom w:val="single" w:sz="4" w:space="0" w:color="auto"/>
              <w:right w:val="single" w:sz="4" w:space="0" w:color="auto"/>
            </w:tcBorders>
            <w:shd w:val="clear" w:color="000000" w:fill="4F81BD"/>
            <w:vAlign w:val="center"/>
            <w:hideMark/>
          </w:tcPr>
          <w:p w14:paraId="633D9A86" w14:textId="77777777" w:rsidR="00495A2C" w:rsidRPr="00495A2C" w:rsidRDefault="00495A2C" w:rsidP="00495A2C">
            <w:pPr>
              <w:spacing w:after="0" w:line="240" w:lineRule="auto"/>
              <w:jc w:val="center"/>
              <w:rPr>
                <w:rFonts w:ascii="Times New Roman" w:eastAsia="Times New Roman" w:hAnsi="Times New Roman" w:cs="Times New Roman"/>
                <w:b/>
                <w:bCs/>
                <w:color w:val="FFFFFF"/>
                <w:sz w:val="14"/>
                <w:szCs w:val="14"/>
                <w:lang w:val="en-US"/>
              </w:rPr>
            </w:pPr>
            <w:r w:rsidRPr="00495A2C">
              <w:rPr>
                <w:rFonts w:ascii="Times New Roman" w:eastAsia="Times New Roman" w:hAnsi="Times New Roman" w:cs="Times New Roman"/>
                <w:b/>
                <w:bCs/>
                <w:color w:val="FFFFFF"/>
                <w:sz w:val="14"/>
                <w:szCs w:val="14"/>
                <w:lang w:val="en-US"/>
              </w:rPr>
              <w:t>1997</w:t>
            </w:r>
          </w:p>
        </w:tc>
        <w:tc>
          <w:tcPr>
            <w:tcW w:w="381" w:type="pct"/>
            <w:tcBorders>
              <w:top w:val="single" w:sz="4" w:space="0" w:color="auto"/>
              <w:left w:val="nil"/>
              <w:bottom w:val="single" w:sz="4" w:space="0" w:color="auto"/>
              <w:right w:val="single" w:sz="4" w:space="0" w:color="auto"/>
            </w:tcBorders>
            <w:shd w:val="clear" w:color="000000" w:fill="4F81BD"/>
            <w:vAlign w:val="center"/>
            <w:hideMark/>
          </w:tcPr>
          <w:p w14:paraId="4D5DE0BE" w14:textId="77777777" w:rsidR="00495A2C" w:rsidRPr="00495A2C" w:rsidRDefault="00495A2C" w:rsidP="00495A2C">
            <w:pPr>
              <w:spacing w:after="0" w:line="240" w:lineRule="auto"/>
              <w:jc w:val="center"/>
              <w:rPr>
                <w:rFonts w:ascii="Times New Roman" w:eastAsia="Times New Roman" w:hAnsi="Times New Roman" w:cs="Times New Roman"/>
                <w:b/>
                <w:bCs/>
                <w:color w:val="FFFFFF"/>
                <w:sz w:val="14"/>
                <w:szCs w:val="14"/>
                <w:lang w:val="en-US"/>
              </w:rPr>
            </w:pPr>
            <w:r w:rsidRPr="00495A2C">
              <w:rPr>
                <w:rFonts w:ascii="Times New Roman" w:eastAsia="Times New Roman" w:hAnsi="Times New Roman" w:cs="Times New Roman"/>
                <w:b/>
                <w:bCs/>
                <w:color w:val="FFFFFF"/>
                <w:sz w:val="14"/>
                <w:szCs w:val="14"/>
                <w:lang w:val="en-US"/>
              </w:rPr>
              <w:t>1998</w:t>
            </w:r>
          </w:p>
        </w:tc>
        <w:tc>
          <w:tcPr>
            <w:tcW w:w="381" w:type="pct"/>
            <w:tcBorders>
              <w:top w:val="nil"/>
              <w:left w:val="nil"/>
              <w:bottom w:val="nil"/>
              <w:right w:val="single" w:sz="4" w:space="0" w:color="auto"/>
            </w:tcBorders>
            <w:shd w:val="clear" w:color="000000" w:fill="4F81BD"/>
            <w:noWrap/>
            <w:vAlign w:val="center"/>
            <w:hideMark/>
          </w:tcPr>
          <w:p w14:paraId="2583BF9A" w14:textId="77777777" w:rsidR="00495A2C" w:rsidRPr="00495A2C" w:rsidRDefault="00495A2C" w:rsidP="00495A2C">
            <w:pPr>
              <w:spacing w:after="0" w:line="240" w:lineRule="auto"/>
              <w:jc w:val="center"/>
              <w:rPr>
                <w:rFonts w:ascii="Times New Roman" w:eastAsia="Times New Roman" w:hAnsi="Times New Roman" w:cs="Times New Roman"/>
                <w:b/>
                <w:bCs/>
                <w:color w:val="FFFFFF"/>
                <w:sz w:val="14"/>
                <w:szCs w:val="14"/>
                <w:lang w:val="en-US"/>
              </w:rPr>
            </w:pPr>
            <w:r w:rsidRPr="00495A2C">
              <w:rPr>
                <w:rFonts w:ascii="Times New Roman" w:eastAsia="Times New Roman" w:hAnsi="Times New Roman" w:cs="Times New Roman"/>
                <w:b/>
                <w:bCs/>
                <w:color w:val="FFFFFF"/>
                <w:sz w:val="14"/>
                <w:szCs w:val="14"/>
                <w:lang w:val="en-US"/>
              </w:rPr>
              <w:t>1999</w:t>
            </w:r>
          </w:p>
        </w:tc>
      </w:tr>
      <w:tr w:rsidR="00495A2C" w:rsidRPr="00495A2C" w14:paraId="5A80D4B7" w14:textId="77777777" w:rsidTr="00AC461F">
        <w:trPr>
          <w:trHeight w:val="290"/>
        </w:trPr>
        <w:tc>
          <w:tcPr>
            <w:tcW w:w="1190" w:type="pct"/>
            <w:tcBorders>
              <w:top w:val="nil"/>
              <w:left w:val="single" w:sz="4" w:space="0" w:color="auto"/>
              <w:bottom w:val="single" w:sz="4" w:space="0" w:color="auto"/>
              <w:right w:val="single" w:sz="4" w:space="0" w:color="auto"/>
            </w:tcBorders>
            <w:shd w:val="clear" w:color="auto" w:fill="auto"/>
            <w:vAlign w:val="center"/>
            <w:hideMark/>
          </w:tcPr>
          <w:p w14:paraId="03EE76CF" w14:textId="77777777" w:rsidR="00495A2C" w:rsidRPr="00495A2C" w:rsidRDefault="00495A2C" w:rsidP="00495A2C">
            <w:pPr>
              <w:spacing w:after="0" w:line="240" w:lineRule="auto"/>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 xml:space="preserve">1. </w:t>
            </w:r>
            <w:proofErr w:type="spellStart"/>
            <w:r w:rsidRPr="00495A2C">
              <w:rPr>
                <w:rFonts w:ascii="Times New Roman" w:eastAsia="Times New Roman" w:hAnsi="Times New Roman" w:cs="Times New Roman"/>
                <w:color w:val="000000"/>
                <w:sz w:val="14"/>
                <w:szCs w:val="14"/>
                <w:lang w:val="en-US"/>
              </w:rPr>
              <w:t>Energie</w:t>
            </w:r>
            <w:proofErr w:type="spellEnd"/>
          </w:p>
        </w:tc>
        <w:tc>
          <w:tcPr>
            <w:tcW w:w="381" w:type="pct"/>
            <w:tcBorders>
              <w:top w:val="nil"/>
              <w:left w:val="nil"/>
              <w:bottom w:val="single" w:sz="4" w:space="0" w:color="auto"/>
              <w:right w:val="single" w:sz="4" w:space="0" w:color="auto"/>
            </w:tcBorders>
            <w:shd w:val="clear" w:color="auto" w:fill="auto"/>
            <w:noWrap/>
            <w:vAlign w:val="center"/>
            <w:hideMark/>
          </w:tcPr>
          <w:p w14:paraId="6E50A462"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36.90</w:t>
            </w:r>
          </w:p>
        </w:tc>
        <w:tc>
          <w:tcPr>
            <w:tcW w:w="381" w:type="pct"/>
            <w:tcBorders>
              <w:top w:val="nil"/>
              <w:left w:val="nil"/>
              <w:bottom w:val="single" w:sz="4" w:space="0" w:color="auto"/>
              <w:right w:val="single" w:sz="4" w:space="0" w:color="auto"/>
            </w:tcBorders>
            <w:shd w:val="clear" w:color="auto" w:fill="auto"/>
            <w:noWrap/>
            <w:vAlign w:val="center"/>
            <w:hideMark/>
          </w:tcPr>
          <w:p w14:paraId="26BF44DB"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31.20</w:t>
            </w:r>
          </w:p>
        </w:tc>
        <w:tc>
          <w:tcPr>
            <w:tcW w:w="381" w:type="pct"/>
            <w:tcBorders>
              <w:top w:val="nil"/>
              <w:left w:val="nil"/>
              <w:bottom w:val="single" w:sz="4" w:space="0" w:color="auto"/>
              <w:right w:val="single" w:sz="4" w:space="0" w:color="auto"/>
            </w:tcBorders>
            <w:shd w:val="clear" w:color="auto" w:fill="auto"/>
            <w:noWrap/>
            <w:vAlign w:val="center"/>
            <w:hideMark/>
          </w:tcPr>
          <w:p w14:paraId="12C145C6"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24.35</w:t>
            </w:r>
          </w:p>
        </w:tc>
        <w:tc>
          <w:tcPr>
            <w:tcW w:w="381" w:type="pct"/>
            <w:tcBorders>
              <w:top w:val="nil"/>
              <w:left w:val="nil"/>
              <w:bottom w:val="single" w:sz="4" w:space="0" w:color="auto"/>
              <w:right w:val="single" w:sz="4" w:space="0" w:color="auto"/>
            </w:tcBorders>
            <w:shd w:val="clear" w:color="auto" w:fill="auto"/>
            <w:noWrap/>
            <w:vAlign w:val="center"/>
            <w:hideMark/>
          </w:tcPr>
          <w:p w14:paraId="1B9E89F5"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18.17</w:t>
            </w:r>
          </w:p>
        </w:tc>
        <w:tc>
          <w:tcPr>
            <w:tcW w:w="381" w:type="pct"/>
            <w:tcBorders>
              <w:top w:val="nil"/>
              <w:left w:val="nil"/>
              <w:bottom w:val="single" w:sz="4" w:space="0" w:color="auto"/>
              <w:right w:val="single" w:sz="4" w:space="0" w:color="auto"/>
            </w:tcBorders>
            <w:shd w:val="clear" w:color="auto" w:fill="auto"/>
            <w:noWrap/>
            <w:vAlign w:val="center"/>
            <w:hideMark/>
          </w:tcPr>
          <w:p w14:paraId="2C1F4B5B"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15.29</w:t>
            </w:r>
          </w:p>
        </w:tc>
        <w:tc>
          <w:tcPr>
            <w:tcW w:w="381" w:type="pct"/>
            <w:tcBorders>
              <w:top w:val="nil"/>
              <w:left w:val="nil"/>
              <w:bottom w:val="single" w:sz="4" w:space="0" w:color="auto"/>
              <w:right w:val="single" w:sz="4" w:space="0" w:color="auto"/>
            </w:tcBorders>
            <w:shd w:val="clear" w:color="auto" w:fill="auto"/>
            <w:noWrap/>
            <w:vAlign w:val="center"/>
            <w:hideMark/>
          </w:tcPr>
          <w:p w14:paraId="479AA33F"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12.31</w:t>
            </w:r>
          </w:p>
        </w:tc>
        <w:tc>
          <w:tcPr>
            <w:tcW w:w="381" w:type="pct"/>
            <w:tcBorders>
              <w:top w:val="nil"/>
              <w:left w:val="nil"/>
              <w:bottom w:val="single" w:sz="4" w:space="0" w:color="auto"/>
              <w:right w:val="single" w:sz="4" w:space="0" w:color="auto"/>
            </w:tcBorders>
            <w:shd w:val="clear" w:color="auto" w:fill="auto"/>
            <w:noWrap/>
            <w:vAlign w:val="center"/>
            <w:hideMark/>
          </w:tcPr>
          <w:p w14:paraId="127582C7"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12.28</w:t>
            </w:r>
          </w:p>
        </w:tc>
        <w:tc>
          <w:tcPr>
            <w:tcW w:w="381" w:type="pct"/>
            <w:tcBorders>
              <w:top w:val="nil"/>
              <w:left w:val="nil"/>
              <w:bottom w:val="single" w:sz="4" w:space="0" w:color="auto"/>
              <w:right w:val="single" w:sz="4" w:space="0" w:color="auto"/>
            </w:tcBorders>
            <w:shd w:val="clear" w:color="auto" w:fill="auto"/>
            <w:noWrap/>
            <w:vAlign w:val="center"/>
            <w:hideMark/>
          </w:tcPr>
          <w:p w14:paraId="4126CC6F"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11.01</w:t>
            </w:r>
          </w:p>
        </w:tc>
        <w:tc>
          <w:tcPr>
            <w:tcW w:w="381" w:type="pct"/>
            <w:tcBorders>
              <w:top w:val="nil"/>
              <w:left w:val="nil"/>
              <w:bottom w:val="single" w:sz="4" w:space="0" w:color="auto"/>
              <w:right w:val="single" w:sz="4" w:space="0" w:color="auto"/>
            </w:tcBorders>
            <w:shd w:val="clear" w:color="auto" w:fill="auto"/>
            <w:noWrap/>
            <w:vAlign w:val="center"/>
            <w:hideMark/>
          </w:tcPr>
          <w:p w14:paraId="087D8463"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9.57</w:t>
            </w: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14:paraId="524C7712"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7.56</w:t>
            </w:r>
          </w:p>
        </w:tc>
      </w:tr>
      <w:tr w:rsidR="00495A2C" w:rsidRPr="00495A2C" w14:paraId="3CFC23D8" w14:textId="77777777" w:rsidTr="00AC461F">
        <w:trPr>
          <w:trHeight w:val="270"/>
        </w:trPr>
        <w:tc>
          <w:tcPr>
            <w:tcW w:w="1190" w:type="pct"/>
            <w:tcBorders>
              <w:top w:val="nil"/>
              <w:left w:val="single" w:sz="4" w:space="0" w:color="auto"/>
              <w:bottom w:val="single" w:sz="4" w:space="0" w:color="auto"/>
              <w:right w:val="single" w:sz="4" w:space="0" w:color="auto"/>
            </w:tcBorders>
            <w:shd w:val="clear" w:color="auto" w:fill="auto"/>
            <w:vAlign w:val="center"/>
            <w:hideMark/>
          </w:tcPr>
          <w:p w14:paraId="1B6D4EE5" w14:textId="77777777" w:rsidR="00495A2C" w:rsidRPr="00AC461F" w:rsidRDefault="00495A2C" w:rsidP="00495A2C">
            <w:pPr>
              <w:spacing w:after="0" w:line="240" w:lineRule="auto"/>
              <w:rPr>
                <w:rFonts w:ascii="Times New Roman" w:eastAsia="Times New Roman" w:hAnsi="Times New Roman" w:cs="Times New Roman"/>
                <w:color w:val="000000"/>
                <w:sz w:val="14"/>
                <w:szCs w:val="14"/>
                <w:lang w:val="es-ES"/>
              </w:rPr>
            </w:pPr>
            <w:r w:rsidRPr="00AC461F">
              <w:rPr>
                <w:rFonts w:ascii="Times New Roman" w:eastAsia="Times New Roman" w:hAnsi="Times New Roman" w:cs="Times New Roman"/>
                <w:color w:val="000000"/>
                <w:sz w:val="14"/>
                <w:szCs w:val="14"/>
                <w:lang w:val="es-ES"/>
              </w:rPr>
              <w:t>2. Procesele industriale și utilizarea produselor</w:t>
            </w:r>
          </w:p>
        </w:tc>
        <w:tc>
          <w:tcPr>
            <w:tcW w:w="381" w:type="pct"/>
            <w:tcBorders>
              <w:top w:val="nil"/>
              <w:left w:val="nil"/>
              <w:bottom w:val="single" w:sz="4" w:space="0" w:color="auto"/>
              <w:right w:val="single" w:sz="4" w:space="0" w:color="auto"/>
            </w:tcBorders>
            <w:shd w:val="clear" w:color="auto" w:fill="auto"/>
            <w:noWrap/>
            <w:vAlign w:val="center"/>
            <w:hideMark/>
          </w:tcPr>
          <w:p w14:paraId="4B785592"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1.60</w:t>
            </w:r>
          </w:p>
        </w:tc>
        <w:tc>
          <w:tcPr>
            <w:tcW w:w="381" w:type="pct"/>
            <w:tcBorders>
              <w:top w:val="nil"/>
              <w:left w:val="nil"/>
              <w:bottom w:val="single" w:sz="4" w:space="0" w:color="auto"/>
              <w:right w:val="single" w:sz="4" w:space="0" w:color="auto"/>
            </w:tcBorders>
            <w:shd w:val="clear" w:color="auto" w:fill="auto"/>
            <w:noWrap/>
            <w:vAlign w:val="center"/>
            <w:hideMark/>
          </w:tcPr>
          <w:p w14:paraId="6277AC96"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1.41</w:t>
            </w:r>
          </w:p>
        </w:tc>
        <w:tc>
          <w:tcPr>
            <w:tcW w:w="381" w:type="pct"/>
            <w:tcBorders>
              <w:top w:val="nil"/>
              <w:left w:val="nil"/>
              <w:bottom w:val="single" w:sz="4" w:space="0" w:color="auto"/>
              <w:right w:val="single" w:sz="4" w:space="0" w:color="auto"/>
            </w:tcBorders>
            <w:shd w:val="clear" w:color="auto" w:fill="auto"/>
            <w:noWrap/>
            <w:vAlign w:val="center"/>
            <w:hideMark/>
          </w:tcPr>
          <w:p w14:paraId="2424DB93"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0.82</w:t>
            </w:r>
          </w:p>
        </w:tc>
        <w:tc>
          <w:tcPr>
            <w:tcW w:w="381" w:type="pct"/>
            <w:tcBorders>
              <w:top w:val="nil"/>
              <w:left w:val="nil"/>
              <w:bottom w:val="single" w:sz="4" w:space="0" w:color="auto"/>
              <w:right w:val="single" w:sz="4" w:space="0" w:color="auto"/>
            </w:tcBorders>
            <w:shd w:val="clear" w:color="auto" w:fill="auto"/>
            <w:noWrap/>
            <w:vAlign w:val="center"/>
            <w:hideMark/>
          </w:tcPr>
          <w:p w14:paraId="35084B27"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0.74</w:t>
            </w:r>
          </w:p>
        </w:tc>
        <w:tc>
          <w:tcPr>
            <w:tcW w:w="381" w:type="pct"/>
            <w:tcBorders>
              <w:top w:val="nil"/>
              <w:left w:val="nil"/>
              <w:bottom w:val="single" w:sz="4" w:space="0" w:color="auto"/>
              <w:right w:val="single" w:sz="4" w:space="0" w:color="auto"/>
            </w:tcBorders>
            <w:shd w:val="clear" w:color="auto" w:fill="auto"/>
            <w:noWrap/>
            <w:vAlign w:val="center"/>
            <w:hideMark/>
          </w:tcPr>
          <w:p w14:paraId="1A37EC37"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0.56</w:t>
            </w:r>
          </w:p>
        </w:tc>
        <w:tc>
          <w:tcPr>
            <w:tcW w:w="381" w:type="pct"/>
            <w:tcBorders>
              <w:top w:val="nil"/>
              <w:left w:val="nil"/>
              <w:bottom w:val="single" w:sz="4" w:space="0" w:color="auto"/>
              <w:right w:val="single" w:sz="4" w:space="0" w:color="auto"/>
            </w:tcBorders>
            <w:shd w:val="clear" w:color="auto" w:fill="auto"/>
            <w:noWrap/>
            <w:vAlign w:val="center"/>
            <w:hideMark/>
          </w:tcPr>
          <w:p w14:paraId="6E6DB3AC"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0.46</w:t>
            </w:r>
          </w:p>
        </w:tc>
        <w:tc>
          <w:tcPr>
            <w:tcW w:w="381" w:type="pct"/>
            <w:tcBorders>
              <w:top w:val="nil"/>
              <w:left w:val="nil"/>
              <w:bottom w:val="single" w:sz="4" w:space="0" w:color="auto"/>
              <w:right w:val="single" w:sz="4" w:space="0" w:color="auto"/>
            </w:tcBorders>
            <w:shd w:val="clear" w:color="auto" w:fill="auto"/>
            <w:noWrap/>
            <w:vAlign w:val="center"/>
            <w:hideMark/>
          </w:tcPr>
          <w:p w14:paraId="0192C872"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0.42</w:t>
            </w:r>
          </w:p>
        </w:tc>
        <w:tc>
          <w:tcPr>
            <w:tcW w:w="381" w:type="pct"/>
            <w:tcBorders>
              <w:top w:val="nil"/>
              <w:left w:val="nil"/>
              <w:bottom w:val="single" w:sz="4" w:space="0" w:color="auto"/>
              <w:right w:val="single" w:sz="4" w:space="0" w:color="auto"/>
            </w:tcBorders>
            <w:shd w:val="clear" w:color="auto" w:fill="auto"/>
            <w:noWrap/>
            <w:vAlign w:val="center"/>
            <w:hideMark/>
          </w:tcPr>
          <w:p w14:paraId="772073BC"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0.45</w:t>
            </w:r>
          </w:p>
        </w:tc>
        <w:tc>
          <w:tcPr>
            <w:tcW w:w="381" w:type="pct"/>
            <w:tcBorders>
              <w:top w:val="nil"/>
              <w:left w:val="nil"/>
              <w:bottom w:val="single" w:sz="4" w:space="0" w:color="auto"/>
              <w:right w:val="single" w:sz="4" w:space="0" w:color="auto"/>
            </w:tcBorders>
            <w:shd w:val="clear" w:color="auto" w:fill="auto"/>
            <w:noWrap/>
            <w:vAlign w:val="center"/>
            <w:hideMark/>
          </w:tcPr>
          <w:p w14:paraId="3304E796"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0.38</w:t>
            </w:r>
          </w:p>
        </w:tc>
        <w:tc>
          <w:tcPr>
            <w:tcW w:w="381" w:type="pct"/>
            <w:tcBorders>
              <w:top w:val="nil"/>
              <w:left w:val="nil"/>
              <w:bottom w:val="single" w:sz="4" w:space="0" w:color="auto"/>
              <w:right w:val="single" w:sz="4" w:space="0" w:color="auto"/>
            </w:tcBorders>
            <w:shd w:val="clear" w:color="auto" w:fill="auto"/>
            <w:noWrap/>
            <w:vAlign w:val="center"/>
            <w:hideMark/>
          </w:tcPr>
          <w:p w14:paraId="5E354746"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0.34</w:t>
            </w:r>
          </w:p>
        </w:tc>
      </w:tr>
      <w:tr w:rsidR="00495A2C" w:rsidRPr="00495A2C" w14:paraId="1C91D352" w14:textId="77777777" w:rsidTr="00AC461F">
        <w:trPr>
          <w:trHeight w:val="290"/>
        </w:trPr>
        <w:tc>
          <w:tcPr>
            <w:tcW w:w="1190" w:type="pct"/>
            <w:tcBorders>
              <w:top w:val="nil"/>
              <w:left w:val="single" w:sz="4" w:space="0" w:color="auto"/>
              <w:bottom w:val="single" w:sz="4" w:space="0" w:color="auto"/>
              <w:right w:val="single" w:sz="4" w:space="0" w:color="auto"/>
            </w:tcBorders>
            <w:shd w:val="clear" w:color="auto" w:fill="auto"/>
            <w:vAlign w:val="center"/>
            <w:hideMark/>
          </w:tcPr>
          <w:p w14:paraId="2FF7E006" w14:textId="77777777" w:rsidR="00495A2C" w:rsidRPr="00495A2C" w:rsidRDefault="00495A2C" w:rsidP="00495A2C">
            <w:pPr>
              <w:spacing w:after="0" w:line="240" w:lineRule="auto"/>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lastRenderedPageBreak/>
              <w:t>3. Agricultura</w:t>
            </w:r>
          </w:p>
        </w:tc>
        <w:tc>
          <w:tcPr>
            <w:tcW w:w="381" w:type="pct"/>
            <w:tcBorders>
              <w:top w:val="nil"/>
              <w:left w:val="nil"/>
              <w:bottom w:val="single" w:sz="4" w:space="0" w:color="auto"/>
              <w:right w:val="single" w:sz="4" w:space="0" w:color="auto"/>
            </w:tcBorders>
            <w:shd w:val="clear" w:color="auto" w:fill="auto"/>
            <w:noWrap/>
            <w:vAlign w:val="center"/>
            <w:hideMark/>
          </w:tcPr>
          <w:p w14:paraId="535A15C1"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5.34</w:t>
            </w:r>
          </w:p>
        </w:tc>
        <w:tc>
          <w:tcPr>
            <w:tcW w:w="381" w:type="pct"/>
            <w:tcBorders>
              <w:top w:val="nil"/>
              <w:left w:val="nil"/>
              <w:bottom w:val="single" w:sz="4" w:space="0" w:color="auto"/>
              <w:right w:val="single" w:sz="4" w:space="0" w:color="auto"/>
            </w:tcBorders>
            <w:shd w:val="clear" w:color="auto" w:fill="auto"/>
            <w:noWrap/>
            <w:vAlign w:val="center"/>
            <w:hideMark/>
          </w:tcPr>
          <w:p w14:paraId="42016335"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4.96</w:t>
            </w:r>
          </w:p>
        </w:tc>
        <w:tc>
          <w:tcPr>
            <w:tcW w:w="381" w:type="pct"/>
            <w:tcBorders>
              <w:top w:val="nil"/>
              <w:left w:val="nil"/>
              <w:bottom w:val="single" w:sz="4" w:space="0" w:color="auto"/>
              <w:right w:val="single" w:sz="4" w:space="0" w:color="auto"/>
            </w:tcBorders>
            <w:shd w:val="clear" w:color="auto" w:fill="auto"/>
            <w:noWrap/>
            <w:vAlign w:val="center"/>
            <w:hideMark/>
          </w:tcPr>
          <w:p w14:paraId="4A47B6C7"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4.55</w:t>
            </w:r>
          </w:p>
        </w:tc>
        <w:tc>
          <w:tcPr>
            <w:tcW w:w="381" w:type="pct"/>
            <w:tcBorders>
              <w:top w:val="nil"/>
              <w:left w:val="nil"/>
              <w:bottom w:val="single" w:sz="4" w:space="0" w:color="auto"/>
              <w:right w:val="single" w:sz="4" w:space="0" w:color="auto"/>
            </w:tcBorders>
            <w:shd w:val="clear" w:color="auto" w:fill="auto"/>
            <w:noWrap/>
            <w:vAlign w:val="center"/>
            <w:hideMark/>
          </w:tcPr>
          <w:p w14:paraId="3C3BD7EB"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4.01</w:t>
            </w:r>
          </w:p>
        </w:tc>
        <w:tc>
          <w:tcPr>
            <w:tcW w:w="381" w:type="pct"/>
            <w:tcBorders>
              <w:top w:val="nil"/>
              <w:left w:val="nil"/>
              <w:bottom w:val="single" w:sz="4" w:space="0" w:color="auto"/>
              <w:right w:val="single" w:sz="4" w:space="0" w:color="auto"/>
            </w:tcBorders>
            <w:shd w:val="clear" w:color="auto" w:fill="auto"/>
            <w:noWrap/>
            <w:vAlign w:val="center"/>
            <w:hideMark/>
          </w:tcPr>
          <w:p w14:paraId="5ED7343A"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3.73</w:t>
            </w:r>
          </w:p>
        </w:tc>
        <w:tc>
          <w:tcPr>
            <w:tcW w:w="381" w:type="pct"/>
            <w:tcBorders>
              <w:top w:val="nil"/>
              <w:left w:val="nil"/>
              <w:bottom w:val="single" w:sz="4" w:space="0" w:color="auto"/>
              <w:right w:val="single" w:sz="4" w:space="0" w:color="auto"/>
            </w:tcBorders>
            <w:shd w:val="clear" w:color="auto" w:fill="auto"/>
            <w:noWrap/>
            <w:vAlign w:val="center"/>
            <w:hideMark/>
          </w:tcPr>
          <w:p w14:paraId="00FB7775"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3.41</w:t>
            </w:r>
          </w:p>
        </w:tc>
        <w:tc>
          <w:tcPr>
            <w:tcW w:w="381" w:type="pct"/>
            <w:tcBorders>
              <w:top w:val="nil"/>
              <w:left w:val="nil"/>
              <w:bottom w:val="single" w:sz="4" w:space="0" w:color="auto"/>
              <w:right w:val="single" w:sz="4" w:space="0" w:color="auto"/>
            </w:tcBorders>
            <w:shd w:val="clear" w:color="auto" w:fill="auto"/>
            <w:noWrap/>
            <w:vAlign w:val="center"/>
            <w:hideMark/>
          </w:tcPr>
          <w:p w14:paraId="4A226393"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3.26</w:t>
            </w:r>
          </w:p>
        </w:tc>
        <w:tc>
          <w:tcPr>
            <w:tcW w:w="381" w:type="pct"/>
            <w:tcBorders>
              <w:top w:val="nil"/>
              <w:left w:val="nil"/>
              <w:bottom w:val="single" w:sz="4" w:space="0" w:color="auto"/>
              <w:right w:val="single" w:sz="4" w:space="0" w:color="auto"/>
            </w:tcBorders>
            <w:shd w:val="clear" w:color="auto" w:fill="auto"/>
            <w:noWrap/>
            <w:vAlign w:val="center"/>
            <w:hideMark/>
          </w:tcPr>
          <w:p w14:paraId="2452CE5B"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2.83</w:t>
            </w:r>
          </w:p>
        </w:tc>
        <w:tc>
          <w:tcPr>
            <w:tcW w:w="381" w:type="pct"/>
            <w:tcBorders>
              <w:top w:val="nil"/>
              <w:left w:val="nil"/>
              <w:bottom w:val="single" w:sz="4" w:space="0" w:color="auto"/>
              <w:right w:val="single" w:sz="4" w:space="0" w:color="auto"/>
            </w:tcBorders>
            <w:shd w:val="clear" w:color="auto" w:fill="auto"/>
            <w:noWrap/>
            <w:vAlign w:val="center"/>
            <w:hideMark/>
          </w:tcPr>
          <w:p w14:paraId="17C330BC"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2.72</w:t>
            </w:r>
          </w:p>
        </w:tc>
        <w:tc>
          <w:tcPr>
            <w:tcW w:w="381" w:type="pct"/>
            <w:tcBorders>
              <w:top w:val="nil"/>
              <w:left w:val="nil"/>
              <w:bottom w:val="single" w:sz="4" w:space="0" w:color="auto"/>
              <w:right w:val="single" w:sz="4" w:space="0" w:color="auto"/>
            </w:tcBorders>
            <w:shd w:val="clear" w:color="auto" w:fill="auto"/>
            <w:noWrap/>
            <w:vAlign w:val="center"/>
            <w:hideMark/>
          </w:tcPr>
          <w:p w14:paraId="36314E33"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2.49</w:t>
            </w:r>
          </w:p>
        </w:tc>
      </w:tr>
      <w:tr w:rsidR="00495A2C" w:rsidRPr="00495A2C" w14:paraId="35AD0094" w14:textId="77777777" w:rsidTr="00AC461F">
        <w:trPr>
          <w:trHeight w:val="270"/>
        </w:trPr>
        <w:tc>
          <w:tcPr>
            <w:tcW w:w="1190" w:type="pct"/>
            <w:tcBorders>
              <w:top w:val="nil"/>
              <w:left w:val="single" w:sz="4" w:space="0" w:color="auto"/>
              <w:bottom w:val="single" w:sz="4" w:space="0" w:color="auto"/>
              <w:right w:val="single" w:sz="4" w:space="0" w:color="auto"/>
            </w:tcBorders>
            <w:shd w:val="clear" w:color="auto" w:fill="auto"/>
            <w:vAlign w:val="center"/>
            <w:hideMark/>
          </w:tcPr>
          <w:p w14:paraId="2164ADA2" w14:textId="77777777" w:rsidR="00495A2C" w:rsidRPr="00495A2C" w:rsidRDefault="00495A2C" w:rsidP="00495A2C">
            <w:pPr>
              <w:spacing w:after="0" w:line="240" w:lineRule="auto"/>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4. FTSCFTS</w:t>
            </w:r>
          </w:p>
        </w:tc>
        <w:tc>
          <w:tcPr>
            <w:tcW w:w="381" w:type="pct"/>
            <w:tcBorders>
              <w:top w:val="nil"/>
              <w:left w:val="nil"/>
              <w:bottom w:val="single" w:sz="4" w:space="0" w:color="auto"/>
              <w:right w:val="single" w:sz="4" w:space="0" w:color="auto"/>
            </w:tcBorders>
            <w:shd w:val="clear" w:color="auto" w:fill="auto"/>
            <w:noWrap/>
            <w:vAlign w:val="center"/>
            <w:hideMark/>
          </w:tcPr>
          <w:p w14:paraId="2E65E636"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-1.39</w:t>
            </w:r>
          </w:p>
        </w:tc>
        <w:tc>
          <w:tcPr>
            <w:tcW w:w="381" w:type="pct"/>
            <w:tcBorders>
              <w:top w:val="nil"/>
              <w:left w:val="nil"/>
              <w:bottom w:val="single" w:sz="4" w:space="0" w:color="auto"/>
              <w:right w:val="single" w:sz="4" w:space="0" w:color="auto"/>
            </w:tcBorders>
            <w:shd w:val="clear" w:color="auto" w:fill="auto"/>
            <w:noWrap/>
            <w:vAlign w:val="center"/>
            <w:hideMark/>
          </w:tcPr>
          <w:p w14:paraId="163D6E9A"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-2.45</w:t>
            </w:r>
          </w:p>
        </w:tc>
        <w:tc>
          <w:tcPr>
            <w:tcW w:w="381" w:type="pct"/>
            <w:tcBorders>
              <w:top w:val="nil"/>
              <w:left w:val="nil"/>
              <w:bottom w:val="single" w:sz="4" w:space="0" w:color="auto"/>
              <w:right w:val="single" w:sz="4" w:space="0" w:color="auto"/>
            </w:tcBorders>
            <w:shd w:val="clear" w:color="auto" w:fill="auto"/>
            <w:noWrap/>
            <w:vAlign w:val="center"/>
            <w:hideMark/>
          </w:tcPr>
          <w:p w14:paraId="4DC8BA46"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-1.85</w:t>
            </w:r>
          </w:p>
        </w:tc>
        <w:tc>
          <w:tcPr>
            <w:tcW w:w="381" w:type="pct"/>
            <w:tcBorders>
              <w:top w:val="nil"/>
              <w:left w:val="nil"/>
              <w:bottom w:val="single" w:sz="4" w:space="0" w:color="auto"/>
              <w:right w:val="single" w:sz="4" w:space="0" w:color="auto"/>
            </w:tcBorders>
            <w:shd w:val="clear" w:color="auto" w:fill="auto"/>
            <w:noWrap/>
            <w:vAlign w:val="center"/>
            <w:hideMark/>
          </w:tcPr>
          <w:p w14:paraId="289EEF57"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-1.87</w:t>
            </w:r>
          </w:p>
        </w:tc>
        <w:tc>
          <w:tcPr>
            <w:tcW w:w="381" w:type="pct"/>
            <w:tcBorders>
              <w:top w:val="nil"/>
              <w:left w:val="nil"/>
              <w:bottom w:val="single" w:sz="4" w:space="0" w:color="auto"/>
              <w:right w:val="single" w:sz="4" w:space="0" w:color="auto"/>
            </w:tcBorders>
            <w:shd w:val="clear" w:color="auto" w:fill="auto"/>
            <w:noWrap/>
            <w:vAlign w:val="center"/>
            <w:hideMark/>
          </w:tcPr>
          <w:p w14:paraId="7450A343"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-1.80</w:t>
            </w:r>
          </w:p>
        </w:tc>
        <w:tc>
          <w:tcPr>
            <w:tcW w:w="381" w:type="pct"/>
            <w:tcBorders>
              <w:top w:val="nil"/>
              <w:left w:val="nil"/>
              <w:bottom w:val="single" w:sz="4" w:space="0" w:color="auto"/>
              <w:right w:val="single" w:sz="4" w:space="0" w:color="auto"/>
            </w:tcBorders>
            <w:shd w:val="clear" w:color="auto" w:fill="auto"/>
            <w:noWrap/>
            <w:vAlign w:val="center"/>
            <w:hideMark/>
          </w:tcPr>
          <w:p w14:paraId="54942631"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-1.76</w:t>
            </w:r>
          </w:p>
        </w:tc>
        <w:tc>
          <w:tcPr>
            <w:tcW w:w="381" w:type="pct"/>
            <w:tcBorders>
              <w:top w:val="nil"/>
              <w:left w:val="nil"/>
              <w:bottom w:val="single" w:sz="4" w:space="0" w:color="auto"/>
              <w:right w:val="single" w:sz="4" w:space="0" w:color="auto"/>
            </w:tcBorders>
            <w:shd w:val="clear" w:color="auto" w:fill="auto"/>
            <w:noWrap/>
            <w:vAlign w:val="center"/>
            <w:hideMark/>
          </w:tcPr>
          <w:p w14:paraId="528A1285"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-2.21</w:t>
            </w:r>
          </w:p>
        </w:tc>
        <w:tc>
          <w:tcPr>
            <w:tcW w:w="381" w:type="pct"/>
            <w:tcBorders>
              <w:top w:val="nil"/>
              <w:left w:val="nil"/>
              <w:bottom w:val="single" w:sz="4" w:space="0" w:color="auto"/>
              <w:right w:val="single" w:sz="4" w:space="0" w:color="auto"/>
            </w:tcBorders>
            <w:shd w:val="clear" w:color="auto" w:fill="auto"/>
            <w:noWrap/>
            <w:vAlign w:val="center"/>
            <w:hideMark/>
          </w:tcPr>
          <w:p w14:paraId="15F567AA"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-1.84</w:t>
            </w:r>
          </w:p>
        </w:tc>
        <w:tc>
          <w:tcPr>
            <w:tcW w:w="381" w:type="pct"/>
            <w:tcBorders>
              <w:top w:val="nil"/>
              <w:left w:val="nil"/>
              <w:bottom w:val="single" w:sz="4" w:space="0" w:color="auto"/>
              <w:right w:val="single" w:sz="4" w:space="0" w:color="auto"/>
            </w:tcBorders>
            <w:shd w:val="clear" w:color="auto" w:fill="auto"/>
            <w:noWrap/>
            <w:vAlign w:val="center"/>
            <w:hideMark/>
          </w:tcPr>
          <w:p w14:paraId="02969517"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-1.86</w:t>
            </w:r>
          </w:p>
        </w:tc>
        <w:tc>
          <w:tcPr>
            <w:tcW w:w="381" w:type="pct"/>
            <w:tcBorders>
              <w:top w:val="nil"/>
              <w:left w:val="nil"/>
              <w:bottom w:val="single" w:sz="4" w:space="0" w:color="auto"/>
              <w:right w:val="single" w:sz="4" w:space="0" w:color="auto"/>
            </w:tcBorders>
            <w:shd w:val="clear" w:color="auto" w:fill="auto"/>
            <w:noWrap/>
            <w:vAlign w:val="center"/>
            <w:hideMark/>
          </w:tcPr>
          <w:p w14:paraId="65E24CE6"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-1.57</w:t>
            </w:r>
          </w:p>
        </w:tc>
      </w:tr>
      <w:tr w:rsidR="00495A2C" w:rsidRPr="00495A2C" w14:paraId="12C8CB4D" w14:textId="77777777" w:rsidTr="00AC461F">
        <w:trPr>
          <w:trHeight w:val="255"/>
        </w:trPr>
        <w:tc>
          <w:tcPr>
            <w:tcW w:w="1190" w:type="pct"/>
            <w:tcBorders>
              <w:top w:val="nil"/>
              <w:left w:val="single" w:sz="4" w:space="0" w:color="auto"/>
              <w:bottom w:val="single" w:sz="4" w:space="0" w:color="auto"/>
              <w:right w:val="single" w:sz="4" w:space="0" w:color="auto"/>
            </w:tcBorders>
            <w:shd w:val="clear" w:color="auto" w:fill="auto"/>
            <w:vAlign w:val="center"/>
            <w:hideMark/>
          </w:tcPr>
          <w:p w14:paraId="48FC0342" w14:textId="77777777" w:rsidR="00495A2C" w:rsidRPr="00495A2C" w:rsidRDefault="00495A2C" w:rsidP="00495A2C">
            <w:pPr>
              <w:spacing w:after="0" w:line="240" w:lineRule="auto"/>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 xml:space="preserve">5. </w:t>
            </w:r>
            <w:proofErr w:type="spellStart"/>
            <w:r w:rsidRPr="00495A2C">
              <w:rPr>
                <w:rFonts w:ascii="Times New Roman" w:eastAsia="Times New Roman" w:hAnsi="Times New Roman" w:cs="Times New Roman"/>
                <w:color w:val="000000"/>
                <w:sz w:val="14"/>
                <w:szCs w:val="14"/>
                <w:lang w:val="en-US"/>
              </w:rPr>
              <w:t>Deșeuri</w:t>
            </w:r>
            <w:proofErr w:type="spellEnd"/>
          </w:p>
        </w:tc>
        <w:tc>
          <w:tcPr>
            <w:tcW w:w="381" w:type="pct"/>
            <w:tcBorders>
              <w:top w:val="nil"/>
              <w:left w:val="nil"/>
              <w:bottom w:val="single" w:sz="4" w:space="0" w:color="auto"/>
              <w:right w:val="single" w:sz="4" w:space="0" w:color="auto"/>
            </w:tcBorders>
            <w:shd w:val="clear" w:color="auto" w:fill="auto"/>
            <w:noWrap/>
            <w:vAlign w:val="center"/>
            <w:hideMark/>
          </w:tcPr>
          <w:p w14:paraId="0715DE7C"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1.51</w:t>
            </w:r>
          </w:p>
        </w:tc>
        <w:tc>
          <w:tcPr>
            <w:tcW w:w="381" w:type="pct"/>
            <w:tcBorders>
              <w:top w:val="nil"/>
              <w:left w:val="nil"/>
              <w:bottom w:val="single" w:sz="4" w:space="0" w:color="auto"/>
              <w:right w:val="single" w:sz="4" w:space="0" w:color="auto"/>
            </w:tcBorders>
            <w:shd w:val="clear" w:color="auto" w:fill="auto"/>
            <w:noWrap/>
            <w:vAlign w:val="center"/>
            <w:hideMark/>
          </w:tcPr>
          <w:p w14:paraId="6D04F6EA"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1.55</w:t>
            </w:r>
          </w:p>
        </w:tc>
        <w:tc>
          <w:tcPr>
            <w:tcW w:w="381" w:type="pct"/>
            <w:tcBorders>
              <w:top w:val="nil"/>
              <w:left w:val="nil"/>
              <w:bottom w:val="single" w:sz="4" w:space="0" w:color="auto"/>
              <w:right w:val="single" w:sz="4" w:space="0" w:color="auto"/>
            </w:tcBorders>
            <w:shd w:val="clear" w:color="auto" w:fill="auto"/>
            <w:noWrap/>
            <w:vAlign w:val="center"/>
            <w:hideMark/>
          </w:tcPr>
          <w:p w14:paraId="72814DDD"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1.55</w:t>
            </w:r>
          </w:p>
        </w:tc>
        <w:tc>
          <w:tcPr>
            <w:tcW w:w="381" w:type="pct"/>
            <w:tcBorders>
              <w:top w:val="nil"/>
              <w:left w:val="nil"/>
              <w:bottom w:val="single" w:sz="4" w:space="0" w:color="auto"/>
              <w:right w:val="single" w:sz="4" w:space="0" w:color="auto"/>
            </w:tcBorders>
            <w:shd w:val="clear" w:color="auto" w:fill="auto"/>
            <w:noWrap/>
            <w:vAlign w:val="center"/>
            <w:hideMark/>
          </w:tcPr>
          <w:p w14:paraId="659515FD"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1.61</w:t>
            </w:r>
          </w:p>
        </w:tc>
        <w:tc>
          <w:tcPr>
            <w:tcW w:w="381" w:type="pct"/>
            <w:tcBorders>
              <w:top w:val="nil"/>
              <w:left w:val="nil"/>
              <w:bottom w:val="single" w:sz="4" w:space="0" w:color="auto"/>
              <w:right w:val="single" w:sz="4" w:space="0" w:color="auto"/>
            </w:tcBorders>
            <w:shd w:val="clear" w:color="auto" w:fill="auto"/>
            <w:noWrap/>
            <w:vAlign w:val="center"/>
            <w:hideMark/>
          </w:tcPr>
          <w:p w14:paraId="23796ABF"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1.59</w:t>
            </w:r>
          </w:p>
        </w:tc>
        <w:tc>
          <w:tcPr>
            <w:tcW w:w="381" w:type="pct"/>
            <w:tcBorders>
              <w:top w:val="nil"/>
              <w:left w:val="nil"/>
              <w:bottom w:val="single" w:sz="4" w:space="0" w:color="auto"/>
              <w:right w:val="single" w:sz="4" w:space="0" w:color="auto"/>
            </w:tcBorders>
            <w:shd w:val="clear" w:color="auto" w:fill="auto"/>
            <w:noWrap/>
            <w:vAlign w:val="center"/>
            <w:hideMark/>
          </w:tcPr>
          <w:p w14:paraId="0400E114"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1.59</w:t>
            </w:r>
          </w:p>
        </w:tc>
        <w:tc>
          <w:tcPr>
            <w:tcW w:w="381" w:type="pct"/>
            <w:tcBorders>
              <w:top w:val="nil"/>
              <w:left w:val="nil"/>
              <w:bottom w:val="single" w:sz="4" w:space="0" w:color="auto"/>
              <w:right w:val="single" w:sz="4" w:space="0" w:color="auto"/>
            </w:tcBorders>
            <w:shd w:val="clear" w:color="auto" w:fill="auto"/>
            <w:noWrap/>
            <w:vAlign w:val="center"/>
            <w:hideMark/>
          </w:tcPr>
          <w:p w14:paraId="30C77EE1"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1.59</w:t>
            </w:r>
          </w:p>
        </w:tc>
        <w:tc>
          <w:tcPr>
            <w:tcW w:w="381" w:type="pct"/>
            <w:tcBorders>
              <w:top w:val="nil"/>
              <w:left w:val="nil"/>
              <w:bottom w:val="single" w:sz="4" w:space="0" w:color="auto"/>
              <w:right w:val="single" w:sz="4" w:space="0" w:color="auto"/>
            </w:tcBorders>
            <w:shd w:val="clear" w:color="auto" w:fill="auto"/>
            <w:noWrap/>
            <w:vAlign w:val="center"/>
            <w:hideMark/>
          </w:tcPr>
          <w:p w14:paraId="705B4392"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1.59</w:t>
            </w:r>
          </w:p>
        </w:tc>
        <w:tc>
          <w:tcPr>
            <w:tcW w:w="381" w:type="pct"/>
            <w:tcBorders>
              <w:top w:val="nil"/>
              <w:left w:val="nil"/>
              <w:bottom w:val="single" w:sz="4" w:space="0" w:color="auto"/>
              <w:right w:val="single" w:sz="4" w:space="0" w:color="auto"/>
            </w:tcBorders>
            <w:shd w:val="clear" w:color="auto" w:fill="auto"/>
            <w:noWrap/>
            <w:vAlign w:val="center"/>
            <w:hideMark/>
          </w:tcPr>
          <w:p w14:paraId="783C1CF7"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1.56</w:t>
            </w:r>
          </w:p>
        </w:tc>
        <w:tc>
          <w:tcPr>
            <w:tcW w:w="381" w:type="pct"/>
            <w:tcBorders>
              <w:top w:val="nil"/>
              <w:left w:val="nil"/>
              <w:bottom w:val="single" w:sz="4" w:space="0" w:color="auto"/>
              <w:right w:val="single" w:sz="4" w:space="0" w:color="auto"/>
            </w:tcBorders>
            <w:shd w:val="clear" w:color="auto" w:fill="auto"/>
            <w:noWrap/>
            <w:vAlign w:val="center"/>
            <w:hideMark/>
          </w:tcPr>
          <w:p w14:paraId="35302359"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1.56</w:t>
            </w:r>
          </w:p>
        </w:tc>
      </w:tr>
      <w:tr w:rsidR="00495A2C" w:rsidRPr="00495A2C" w14:paraId="1EE3581D" w14:textId="77777777" w:rsidTr="00495A2C">
        <w:trPr>
          <w:trHeight w:val="290"/>
        </w:trPr>
        <w:tc>
          <w:tcPr>
            <w:tcW w:w="1190" w:type="pct"/>
            <w:tcBorders>
              <w:top w:val="nil"/>
              <w:left w:val="single" w:sz="4" w:space="0" w:color="auto"/>
              <w:bottom w:val="single" w:sz="4" w:space="0" w:color="auto"/>
              <w:right w:val="single" w:sz="4" w:space="0" w:color="auto"/>
            </w:tcBorders>
            <w:shd w:val="clear" w:color="000000" w:fill="4F81BD"/>
            <w:vAlign w:val="center"/>
            <w:hideMark/>
          </w:tcPr>
          <w:p w14:paraId="3C2C04C4" w14:textId="77777777" w:rsidR="00495A2C" w:rsidRPr="00495A2C" w:rsidRDefault="00495A2C" w:rsidP="00495A2C">
            <w:pPr>
              <w:spacing w:after="0" w:line="240" w:lineRule="auto"/>
              <w:rPr>
                <w:rFonts w:ascii="Times New Roman" w:eastAsia="Times New Roman" w:hAnsi="Times New Roman" w:cs="Times New Roman"/>
                <w:color w:val="FFFFFF"/>
                <w:sz w:val="14"/>
                <w:szCs w:val="14"/>
                <w:lang w:val="en-US"/>
              </w:rPr>
            </w:pPr>
            <w:r w:rsidRPr="00495A2C">
              <w:rPr>
                <w:rFonts w:ascii="Times New Roman" w:eastAsia="Times New Roman" w:hAnsi="Times New Roman" w:cs="Times New Roman"/>
                <w:color w:val="FFFFFF"/>
                <w:sz w:val="14"/>
                <w:szCs w:val="14"/>
                <w:lang w:val="en-US"/>
              </w:rPr>
              <w:t> </w:t>
            </w:r>
          </w:p>
        </w:tc>
        <w:tc>
          <w:tcPr>
            <w:tcW w:w="381" w:type="pct"/>
            <w:tcBorders>
              <w:top w:val="nil"/>
              <w:left w:val="nil"/>
              <w:bottom w:val="single" w:sz="4" w:space="0" w:color="auto"/>
              <w:right w:val="single" w:sz="4" w:space="0" w:color="auto"/>
            </w:tcBorders>
            <w:shd w:val="clear" w:color="000000" w:fill="4F81BD"/>
            <w:noWrap/>
            <w:vAlign w:val="center"/>
            <w:hideMark/>
          </w:tcPr>
          <w:p w14:paraId="7FBFAB17" w14:textId="77777777" w:rsidR="00495A2C" w:rsidRPr="00495A2C" w:rsidRDefault="00495A2C" w:rsidP="00495A2C">
            <w:pPr>
              <w:spacing w:after="0" w:line="240" w:lineRule="auto"/>
              <w:jc w:val="center"/>
              <w:rPr>
                <w:rFonts w:ascii="Times New Roman" w:eastAsia="Times New Roman" w:hAnsi="Times New Roman" w:cs="Times New Roman"/>
                <w:b/>
                <w:bCs/>
                <w:color w:val="FFFFFF"/>
                <w:sz w:val="14"/>
                <w:szCs w:val="14"/>
                <w:lang w:val="en-US"/>
              </w:rPr>
            </w:pPr>
            <w:r w:rsidRPr="00495A2C">
              <w:rPr>
                <w:rFonts w:ascii="Times New Roman" w:eastAsia="Times New Roman" w:hAnsi="Times New Roman" w:cs="Times New Roman"/>
                <w:b/>
                <w:bCs/>
                <w:color w:val="FFFFFF"/>
                <w:sz w:val="14"/>
                <w:szCs w:val="14"/>
                <w:lang w:val="en-US"/>
              </w:rPr>
              <w:t>2000</w:t>
            </w:r>
          </w:p>
        </w:tc>
        <w:tc>
          <w:tcPr>
            <w:tcW w:w="381" w:type="pct"/>
            <w:tcBorders>
              <w:top w:val="nil"/>
              <w:left w:val="nil"/>
              <w:bottom w:val="single" w:sz="4" w:space="0" w:color="auto"/>
              <w:right w:val="single" w:sz="4" w:space="0" w:color="auto"/>
            </w:tcBorders>
            <w:shd w:val="clear" w:color="000000" w:fill="4F81BD"/>
            <w:noWrap/>
            <w:vAlign w:val="center"/>
            <w:hideMark/>
          </w:tcPr>
          <w:p w14:paraId="77139407" w14:textId="77777777" w:rsidR="00495A2C" w:rsidRPr="00495A2C" w:rsidRDefault="00495A2C" w:rsidP="00495A2C">
            <w:pPr>
              <w:spacing w:after="0" w:line="240" w:lineRule="auto"/>
              <w:jc w:val="center"/>
              <w:rPr>
                <w:rFonts w:ascii="Times New Roman" w:eastAsia="Times New Roman" w:hAnsi="Times New Roman" w:cs="Times New Roman"/>
                <w:b/>
                <w:bCs/>
                <w:color w:val="FFFFFF"/>
                <w:sz w:val="14"/>
                <w:szCs w:val="14"/>
                <w:lang w:val="en-US"/>
              </w:rPr>
            </w:pPr>
            <w:r w:rsidRPr="00495A2C">
              <w:rPr>
                <w:rFonts w:ascii="Times New Roman" w:eastAsia="Times New Roman" w:hAnsi="Times New Roman" w:cs="Times New Roman"/>
                <w:b/>
                <w:bCs/>
                <w:color w:val="FFFFFF"/>
                <w:sz w:val="14"/>
                <w:szCs w:val="14"/>
                <w:lang w:val="en-US"/>
              </w:rPr>
              <w:t>2001</w:t>
            </w:r>
          </w:p>
        </w:tc>
        <w:tc>
          <w:tcPr>
            <w:tcW w:w="381" w:type="pct"/>
            <w:tcBorders>
              <w:top w:val="nil"/>
              <w:left w:val="nil"/>
              <w:bottom w:val="single" w:sz="4" w:space="0" w:color="auto"/>
              <w:right w:val="single" w:sz="4" w:space="0" w:color="auto"/>
            </w:tcBorders>
            <w:shd w:val="clear" w:color="000000" w:fill="4F81BD"/>
            <w:noWrap/>
            <w:vAlign w:val="center"/>
            <w:hideMark/>
          </w:tcPr>
          <w:p w14:paraId="4522C85A" w14:textId="77777777" w:rsidR="00495A2C" w:rsidRPr="00495A2C" w:rsidRDefault="00495A2C" w:rsidP="00495A2C">
            <w:pPr>
              <w:spacing w:after="0" w:line="240" w:lineRule="auto"/>
              <w:jc w:val="center"/>
              <w:rPr>
                <w:rFonts w:ascii="Times New Roman" w:eastAsia="Times New Roman" w:hAnsi="Times New Roman" w:cs="Times New Roman"/>
                <w:b/>
                <w:bCs/>
                <w:color w:val="FFFFFF"/>
                <w:sz w:val="14"/>
                <w:szCs w:val="14"/>
                <w:lang w:val="en-US"/>
              </w:rPr>
            </w:pPr>
            <w:r w:rsidRPr="00495A2C">
              <w:rPr>
                <w:rFonts w:ascii="Times New Roman" w:eastAsia="Times New Roman" w:hAnsi="Times New Roman" w:cs="Times New Roman"/>
                <w:b/>
                <w:bCs/>
                <w:color w:val="FFFFFF"/>
                <w:sz w:val="14"/>
                <w:szCs w:val="14"/>
                <w:lang w:val="en-US"/>
              </w:rPr>
              <w:t>2002</w:t>
            </w:r>
          </w:p>
        </w:tc>
        <w:tc>
          <w:tcPr>
            <w:tcW w:w="381" w:type="pct"/>
            <w:tcBorders>
              <w:top w:val="nil"/>
              <w:left w:val="nil"/>
              <w:bottom w:val="single" w:sz="4" w:space="0" w:color="auto"/>
              <w:right w:val="single" w:sz="4" w:space="0" w:color="auto"/>
            </w:tcBorders>
            <w:shd w:val="clear" w:color="000000" w:fill="4F81BD"/>
            <w:noWrap/>
            <w:vAlign w:val="center"/>
            <w:hideMark/>
          </w:tcPr>
          <w:p w14:paraId="626D0F9E" w14:textId="77777777" w:rsidR="00495A2C" w:rsidRPr="00495A2C" w:rsidRDefault="00495A2C" w:rsidP="00495A2C">
            <w:pPr>
              <w:spacing w:after="0" w:line="240" w:lineRule="auto"/>
              <w:jc w:val="center"/>
              <w:rPr>
                <w:rFonts w:ascii="Times New Roman" w:eastAsia="Times New Roman" w:hAnsi="Times New Roman" w:cs="Times New Roman"/>
                <w:b/>
                <w:bCs/>
                <w:color w:val="FFFFFF"/>
                <w:sz w:val="14"/>
                <w:szCs w:val="14"/>
                <w:lang w:val="en-US"/>
              </w:rPr>
            </w:pPr>
            <w:r w:rsidRPr="00495A2C">
              <w:rPr>
                <w:rFonts w:ascii="Times New Roman" w:eastAsia="Times New Roman" w:hAnsi="Times New Roman" w:cs="Times New Roman"/>
                <w:b/>
                <w:bCs/>
                <w:color w:val="FFFFFF"/>
                <w:sz w:val="14"/>
                <w:szCs w:val="14"/>
                <w:lang w:val="en-US"/>
              </w:rPr>
              <w:t>2003</w:t>
            </w:r>
          </w:p>
        </w:tc>
        <w:tc>
          <w:tcPr>
            <w:tcW w:w="381" w:type="pct"/>
            <w:tcBorders>
              <w:top w:val="nil"/>
              <w:left w:val="nil"/>
              <w:bottom w:val="single" w:sz="4" w:space="0" w:color="auto"/>
              <w:right w:val="single" w:sz="4" w:space="0" w:color="auto"/>
            </w:tcBorders>
            <w:shd w:val="clear" w:color="000000" w:fill="4F81BD"/>
            <w:noWrap/>
            <w:vAlign w:val="center"/>
            <w:hideMark/>
          </w:tcPr>
          <w:p w14:paraId="0CFD01F5" w14:textId="77777777" w:rsidR="00495A2C" w:rsidRPr="00495A2C" w:rsidRDefault="00495A2C" w:rsidP="00495A2C">
            <w:pPr>
              <w:spacing w:after="0" w:line="240" w:lineRule="auto"/>
              <w:jc w:val="center"/>
              <w:rPr>
                <w:rFonts w:ascii="Times New Roman" w:eastAsia="Times New Roman" w:hAnsi="Times New Roman" w:cs="Times New Roman"/>
                <w:b/>
                <w:bCs/>
                <w:color w:val="FFFFFF"/>
                <w:sz w:val="14"/>
                <w:szCs w:val="14"/>
                <w:lang w:val="en-US"/>
              </w:rPr>
            </w:pPr>
            <w:r w:rsidRPr="00495A2C">
              <w:rPr>
                <w:rFonts w:ascii="Times New Roman" w:eastAsia="Times New Roman" w:hAnsi="Times New Roman" w:cs="Times New Roman"/>
                <w:b/>
                <w:bCs/>
                <w:color w:val="FFFFFF"/>
                <w:sz w:val="14"/>
                <w:szCs w:val="14"/>
                <w:lang w:val="en-US"/>
              </w:rPr>
              <w:t>2004</w:t>
            </w:r>
          </w:p>
        </w:tc>
        <w:tc>
          <w:tcPr>
            <w:tcW w:w="381" w:type="pct"/>
            <w:tcBorders>
              <w:top w:val="nil"/>
              <w:left w:val="nil"/>
              <w:bottom w:val="single" w:sz="4" w:space="0" w:color="auto"/>
              <w:right w:val="single" w:sz="4" w:space="0" w:color="auto"/>
            </w:tcBorders>
            <w:shd w:val="clear" w:color="000000" w:fill="4F81BD"/>
            <w:noWrap/>
            <w:vAlign w:val="center"/>
            <w:hideMark/>
          </w:tcPr>
          <w:p w14:paraId="6140DA82" w14:textId="77777777" w:rsidR="00495A2C" w:rsidRPr="00495A2C" w:rsidRDefault="00495A2C" w:rsidP="00495A2C">
            <w:pPr>
              <w:spacing w:after="0" w:line="240" w:lineRule="auto"/>
              <w:jc w:val="center"/>
              <w:rPr>
                <w:rFonts w:ascii="Times New Roman" w:eastAsia="Times New Roman" w:hAnsi="Times New Roman" w:cs="Times New Roman"/>
                <w:b/>
                <w:bCs/>
                <w:color w:val="FFFFFF"/>
                <w:sz w:val="14"/>
                <w:szCs w:val="14"/>
                <w:lang w:val="en-US"/>
              </w:rPr>
            </w:pPr>
            <w:r w:rsidRPr="00495A2C">
              <w:rPr>
                <w:rFonts w:ascii="Times New Roman" w:eastAsia="Times New Roman" w:hAnsi="Times New Roman" w:cs="Times New Roman"/>
                <w:b/>
                <w:bCs/>
                <w:color w:val="FFFFFF"/>
                <w:sz w:val="14"/>
                <w:szCs w:val="14"/>
                <w:lang w:val="en-US"/>
              </w:rPr>
              <w:t>2005</w:t>
            </w:r>
          </w:p>
        </w:tc>
        <w:tc>
          <w:tcPr>
            <w:tcW w:w="381" w:type="pct"/>
            <w:tcBorders>
              <w:top w:val="nil"/>
              <w:left w:val="nil"/>
              <w:bottom w:val="single" w:sz="4" w:space="0" w:color="auto"/>
              <w:right w:val="single" w:sz="4" w:space="0" w:color="auto"/>
            </w:tcBorders>
            <w:shd w:val="clear" w:color="000000" w:fill="4F81BD"/>
            <w:vAlign w:val="center"/>
            <w:hideMark/>
          </w:tcPr>
          <w:p w14:paraId="100BAA83" w14:textId="77777777" w:rsidR="00495A2C" w:rsidRPr="00495A2C" w:rsidRDefault="00495A2C" w:rsidP="00495A2C">
            <w:pPr>
              <w:spacing w:after="0" w:line="240" w:lineRule="auto"/>
              <w:jc w:val="center"/>
              <w:rPr>
                <w:rFonts w:ascii="Times New Roman" w:eastAsia="Times New Roman" w:hAnsi="Times New Roman" w:cs="Times New Roman"/>
                <w:b/>
                <w:bCs/>
                <w:color w:val="FFFFFF"/>
                <w:sz w:val="14"/>
                <w:szCs w:val="14"/>
                <w:lang w:val="en-US"/>
              </w:rPr>
            </w:pPr>
            <w:r w:rsidRPr="00495A2C">
              <w:rPr>
                <w:rFonts w:ascii="Times New Roman" w:eastAsia="Times New Roman" w:hAnsi="Times New Roman" w:cs="Times New Roman"/>
                <w:b/>
                <w:bCs/>
                <w:color w:val="FFFFFF"/>
                <w:sz w:val="14"/>
                <w:szCs w:val="14"/>
                <w:lang w:val="en-US"/>
              </w:rPr>
              <w:t>2006</w:t>
            </w:r>
          </w:p>
        </w:tc>
        <w:tc>
          <w:tcPr>
            <w:tcW w:w="381" w:type="pct"/>
            <w:tcBorders>
              <w:top w:val="nil"/>
              <w:left w:val="nil"/>
              <w:bottom w:val="single" w:sz="4" w:space="0" w:color="auto"/>
              <w:right w:val="single" w:sz="4" w:space="0" w:color="auto"/>
            </w:tcBorders>
            <w:shd w:val="clear" w:color="000000" w:fill="4F81BD"/>
            <w:vAlign w:val="center"/>
            <w:hideMark/>
          </w:tcPr>
          <w:p w14:paraId="2A990BAE" w14:textId="77777777" w:rsidR="00495A2C" w:rsidRPr="00495A2C" w:rsidRDefault="00495A2C" w:rsidP="00495A2C">
            <w:pPr>
              <w:spacing w:after="0" w:line="240" w:lineRule="auto"/>
              <w:jc w:val="center"/>
              <w:rPr>
                <w:rFonts w:ascii="Times New Roman" w:eastAsia="Times New Roman" w:hAnsi="Times New Roman" w:cs="Times New Roman"/>
                <w:b/>
                <w:bCs/>
                <w:color w:val="FFFFFF"/>
                <w:sz w:val="14"/>
                <w:szCs w:val="14"/>
                <w:lang w:val="en-US"/>
              </w:rPr>
            </w:pPr>
            <w:r w:rsidRPr="00495A2C">
              <w:rPr>
                <w:rFonts w:ascii="Times New Roman" w:eastAsia="Times New Roman" w:hAnsi="Times New Roman" w:cs="Times New Roman"/>
                <w:b/>
                <w:bCs/>
                <w:color w:val="FFFFFF"/>
                <w:sz w:val="14"/>
                <w:szCs w:val="14"/>
                <w:lang w:val="en-US"/>
              </w:rPr>
              <w:t>2007</w:t>
            </w:r>
          </w:p>
        </w:tc>
        <w:tc>
          <w:tcPr>
            <w:tcW w:w="381" w:type="pct"/>
            <w:tcBorders>
              <w:top w:val="nil"/>
              <w:left w:val="nil"/>
              <w:bottom w:val="single" w:sz="4" w:space="0" w:color="auto"/>
              <w:right w:val="single" w:sz="4" w:space="0" w:color="auto"/>
            </w:tcBorders>
            <w:shd w:val="clear" w:color="000000" w:fill="4F81BD"/>
            <w:vAlign w:val="center"/>
            <w:hideMark/>
          </w:tcPr>
          <w:p w14:paraId="4C61CC81" w14:textId="77777777" w:rsidR="00495A2C" w:rsidRPr="00495A2C" w:rsidRDefault="00495A2C" w:rsidP="00495A2C">
            <w:pPr>
              <w:spacing w:after="0" w:line="240" w:lineRule="auto"/>
              <w:jc w:val="center"/>
              <w:rPr>
                <w:rFonts w:ascii="Times New Roman" w:eastAsia="Times New Roman" w:hAnsi="Times New Roman" w:cs="Times New Roman"/>
                <w:b/>
                <w:bCs/>
                <w:color w:val="FFFFFF"/>
                <w:sz w:val="14"/>
                <w:szCs w:val="14"/>
                <w:lang w:val="en-US"/>
              </w:rPr>
            </w:pPr>
            <w:r w:rsidRPr="00495A2C">
              <w:rPr>
                <w:rFonts w:ascii="Times New Roman" w:eastAsia="Times New Roman" w:hAnsi="Times New Roman" w:cs="Times New Roman"/>
                <w:b/>
                <w:bCs/>
                <w:color w:val="FFFFFF"/>
                <w:sz w:val="14"/>
                <w:szCs w:val="14"/>
                <w:lang w:val="en-US"/>
              </w:rPr>
              <w:t>2008</w:t>
            </w:r>
          </w:p>
        </w:tc>
        <w:tc>
          <w:tcPr>
            <w:tcW w:w="381" w:type="pct"/>
            <w:tcBorders>
              <w:top w:val="nil"/>
              <w:left w:val="nil"/>
              <w:bottom w:val="nil"/>
              <w:right w:val="single" w:sz="4" w:space="0" w:color="auto"/>
            </w:tcBorders>
            <w:shd w:val="clear" w:color="000000" w:fill="4F81BD"/>
            <w:vAlign w:val="center"/>
            <w:hideMark/>
          </w:tcPr>
          <w:p w14:paraId="5EEF56D7" w14:textId="77777777" w:rsidR="00495A2C" w:rsidRPr="00495A2C" w:rsidRDefault="00495A2C" w:rsidP="00495A2C">
            <w:pPr>
              <w:spacing w:after="0" w:line="240" w:lineRule="auto"/>
              <w:jc w:val="center"/>
              <w:rPr>
                <w:rFonts w:ascii="Times New Roman" w:eastAsia="Times New Roman" w:hAnsi="Times New Roman" w:cs="Times New Roman"/>
                <w:b/>
                <w:bCs/>
                <w:color w:val="FFFFFF"/>
                <w:sz w:val="14"/>
                <w:szCs w:val="14"/>
                <w:lang w:val="en-US"/>
              </w:rPr>
            </w:pPr>
            <w:r w:rsidRPr="00495A2C">
              <w:rPr>
                <w:rFonts w:ascii="Times New Roman" w:eastAsia="Times New Roman" w:hAnsi="Times New Roman" w:cs="Times New Roman"/>
                <w:b/>
                <w:bCs/>
                <w:color w:val="FFFFFF"/>
                <w:sz w:val="14"/>
                <w:szCs w:val="14"/>
                <w:lang w:val="en-US"/>
              </w:rPr>
              <w:t>2009</w:t>
            </w:r>
          </w:p>
        </w:tc>
      </w:tr>
      <w:tr w:rsidR="00495A2C" w:rsidRPr="00495A2C" w14:paraId="63A6B701" w14:textId="77777777" w:rsidTr="00AC461F">
        <w:trPr>
          <w:trHeight w:val="290"/>
        </w:trPr>
        <w:tc>
          <w:tcPr>
            <w:tcW w:w="1190" w:type="pct"/>
            <w:tcBorders>
              <w:top w:val="nil"/>
              <w:left w:val="single" w:sz="4" w:space="0" w:color="auto"/>
              <w:bottom w:val="single" w:sz="4" w:space="0" w:color="auto"/>
              <w:right w:val="single" w:sz="4" w:space="0" w:color="auto"/>
            </w:tcBorders>
            <w:shd w:val="clear" w:color="auto" w:fill="auto"/>
            <w:vAlign w:val="center"/>
            <w:hideMark/>
          </w:tcPr>
          <w:p w14:paraId="12B81A7E" w14:textId="77777777" w:rsidR="00495A2C" w:rsidRPr="00495A2C" w:rsidRDefault="00495A2C" w:rsidP="00495A2C">
            <w:pPr>
              <w:spacing w:after="0" w:line="240" w:lineRule="auto"/>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 xml:space="preserve">1. </w:t>
            </w:r>
            <w:proofErr w:type="spellStart"/>
            <w:r w:rsidRPr="00495A2C">
              <w:rPr>
                <w:rFonts w:ascii="Times New Roman" w:eastAsia="Times New Roman" w:hAnsi="Times New Roman" w:cs="Times New Roman"/>
                <w:color w:val="000000"/>
                <w:sz w:val="14"/>
                <w:szCs w:val="14"/>
                <w:lang w:val="en-US"/>
              </w:rPr>
              <w:t>Energie</w:t>
            </w:r>
            <w:proofErr w:type="spellEnd"/>
          </w:p>
        </w:tc>
        <w:tc>
          <w:tcPr>
            <w:tcW w:w="381" w:type="pct"/>
            <w:tcBorders>
              <w:top w:val="nil"/>
              <w:left w:val="nil"/>
              <w:bottom w:val="single" w:sz="4" w:space="0" w:color="auto"/>
              <w:right w:val="single" w:sz="4" w:space="0" w:color="auto"/>
            </w:tcBorders>
            <w:shd w:val="clear" w:color="auto" w:fill="auto"/>
            <w:noWrap/>
            <w:vAlign w:val="center"/>
            <w:hideMark/>
          </w:tcPr>
          <w:p w14:paraId="3BDD11F7"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6.88</w:t>
            </w:r>
          </w:p>
        </w:tc>
        <w:tc>
          <w:tcPr>
            <w:tcW w:w="381" w:type="pct"/>
            <w:tcBorders>
              <w:top w:val="nil"/>
              <w:left w:val="nil"/>
              <w:bottom w:val="single" w:sz="4" w:space="0" w:color="auto"/>
              <w:right w:val="single" w:sz="4" w:space="0" w:color="auto"/>
            </w:tcBorders>
            <w:shd w:val="clear" w:color="auto" w:fill="auto"/>
            <w:noWrap/>
            <w:vAlign w:val="center"/>
            <w:hideMark/>
          </w:tcPr>
          <w:p w14:paraId="2B07016E"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7.50</w:t>
            </w:r>
          </w:p>
        </w:tc>
        <w:tc>
          <w:tcPr>
            <w:tcW w:w="381" w:type="pct"/>
            <w:tcBorders>
              <w:top w:val="nil"/>
              <w:left w:val="nil"/>
              <w:bottom w:val="single" w:sz="4" w:space="0" w:color="auto"/>
              <w:right w:val="single" w:sz="4" w:space="0" w:color="auto"/>
            </w:tcBorders>
            <w:shd w:val="clear" w:color="auto" w:fill="auto"/>
            <w:noWrap/>
            <w:vAlign w:val="center"/>
            <w:hideMark/>
          </w:tcPr>
          <w:p w14:paraId="46CEA47D"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7.29</w:t>
            </w:r>
          </w:p>
        </w:tc>
        <w:tc>
          <w:tcPr>
            <w:tcW w:w="381" w:type="pct"/>
            <w:tcBorders>
              <w:top w:val="nil"/>
              <w:left w:val="nil"/>
              <w:bottom w:val="single" w:sz="4" w:space="0" w:color="auto"/>
              <w:right w:val="single" w:sz="4" w:space="0" w:color="auto"/>
            </w:tcBorders>
            <w:shd w:val="clear" w:color="auto" w:fill="auto"/>
            <w:noWrap/>
            <w:vAlign w:val="center"/>
            <w:hideMark/>
          </w:tcPr>
          <w:p w14:paraId="00892CDA"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7.97</w:t>
            </w:r>
          </w:p>
        </w:tc>
        <w:tc>
          <w:tcPr>
            <w:tcW w:w="381" w:type="pct"/>
            <w:tcBorders>
              <w:top w:val="nil"/>
              <w:left w:val="nil"/>
              <w:bottom w:val="single" w:sz="4" w:space="0" w:color="auto"/>
              <w:right w:val="single" w:sz="4" w:space="0" w:color="auto"/>
            </w:tcBorders>
            <w:shd w:val="clear" w:color="auto" w:fill="auto"/>
            <w:noWrap/>
            <w:vAlign w:val="center"/>
            <w:hideMark/>
          </w:tcPr>
          <w:p w14:paraId="298A47B7"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8.48</w:t>
            </w:r>
          </w:p>
        </w:tc>
        <w:tc>
          <w:tcPr>
            <w:tcW w:w="381" w:type="pct"/>
            <w:tcBorders>
              <w:top w:val="nil"/>
              <w:left w:val="nil"/>
              <w:bottom w:val="single" w:sz="4" w:space="0" w:color="auto"/>
              <w:right w:val="single" w:sz="4" w:space="0" w:color="auto"/>
            </w:tcBorders>
            <w:shd w:val="clear" w:color="auto" w:fill="auto"/>
            <w:noWrap/>
            <w:vAlign w:val="center"/>
            <w:hideMark/>
          </w:tcPr>
          <w:p w14:paraId="38EE0AE1"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8.76</w:t>
            </w:r>
          </w:p>
        </w:tc>
        <w:tc>
          <w:tcPr>
            <w:tcW w:w="381" w:type="pct"/>
            <w:tcBorders>
              <w:top w:val="nil"/>
              <w:left w:val="nil"/>
              <w:bottom w:val="single" w:sz="4" w:space="0" w:color="auto"/>
              <w:right w:val="single" w:sz="4" w:space="0" w:color="auto"/>
            </w:tcBorders>
            <w:shd w:val="clear" w:color="auto" w:fill="auto"/>
            <w:noWrap/>
            <w:vAlign w:val="center"/>
            <w:hideMark/>
          </w:tcPr>
          <w:p w14:paraId="1F241F16"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7.92</w:t>
            </w:r>
          </w:p>
        </w:tc>
        <w:tc>
          <w:tcPr>
            <w:tcW w:w="381" w:type="pct"/>
            <w:tcBorders>
              <w:top w:val="nil"/>
              <w:left w:val="nil"/>
              <w:bottom w:val="single" w:sz="4" w:space="0" w:color="auto"/>
              <w:right w:val="single" w:sz="4" w:space="0" w:color="auto"/>
            </w:tcBorders>
            <w:shd w:val="clear" w:color="auto" w:fill="auto"/>
            <w:noWrap/>
            <w:vAlign w:val="center"/>
            <w:hideMark/>
          </w:tcPr>
          <w:p w14:paraId="47C959C5"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8.09</w:t>
            </w:r>
          </w:p>
        </w:tc>
        <w:tc>
          <w:tcPr>
            <w:tcW w:w="381" w:type="pct"/>
            <w:tcBorders>
              <w:top w:val="nil"/>
              <w:left w:val="nil"/>
              <w:bottom w:val="single" w:sz="4" w:space="0" w:color="auto"/>
              <w:right w:val="single" w:sz="4" w:space="0" w:color="auto"/>
            </w:tcBorders>
            <w:shd w:val="clear" w:color="auto" w:fill="auto"/>
            <w:noWrap/>
            <w:vAlign w:val="center"/>
            <w:hideMark/>
          </w:tcPr>
          <w:p w14:paraId="1285BF0C"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8.39</w:t>
            </w: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14:paraId="2FFEF917"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8.80</w:t>
            </w:r>
          </w:p>
        </w:tc>
      </w:tr>
      <w:tr w:rsidR="00495A2C" w:rsidRPr="00495A2C" w14:paraId="454A26D1" w14:textId="77777777" w:rsidTr="00AC461F">
        <w:trPr>
          <w:trHeight w:val="300"/>
        </w:trPr>
        <w:tc>
          <w:tcPr>
            <w:tcW w:w="1190" w:type="pct"/>
            <w:tcBorders>
              <w:top w:val="nil"/>
              <w:left w:val="single" w:sz="4" w:space="0" w:color="auto"/>
              <w:bottom w:val="single" w:sz="4" w:space="0" w:color="auto"/>
              <w:right w:val="single" w:sz="4" w:space="0" w:color="auto"/>
            </w:tcBorders>
            <w:shd w:val="clear" w:color="auto" w:fill="auto"/>
            <w:vAlign w:val="center"/>
            <w:hideMark/>
          </w:tcPr>
          <w:p w14:paraId="0DC77E6D" w14:textId="77777777" w:rsidR="00495A2C" w:rsidRPr="00AC461F" w:rsidRDefault="00495A2C" w:rsidP="00495A2C">
            <w:pPr>
              <w:spacing w:after="0" w:line="240" w:lineRule="auto"/>
              <w:rPr>
                <w:rFonts w:ascii="Times New Roman" w:eastAsia="Times New Roman" w:hAnsi="Times New Roman" w:cs="Times New Roman"/>
                <w:color w:val="000000"/>
                <w:sz w:val="14"/>
                <w:szCs w:val="14"/>
                <w:lang w:val="es-ES"/>
              </w:rPr>
            </w:pPr>
            <w:r w:rsidRPr="00AC461F">
              <w:rPr>
                <w:rFonts w:ascii="Times New Roman" w:eastAsia="Times New Roman" w:hAnsi="Times New Roman" w:cs="Times New Roman"/>
                <w:color w:val="000000"/>
                <w:sz w:val="14"/>
                <w:szCs w:val="14"/>
                <w:lang w:val="es-ES"/>
              </w:rPr>
              <w:t>2. Procesele industriale și utilizarea produselor</w:t>
            </w:r>
          </w:p>
        </w:tc>
        <w:tc>
          <w:tcPr>
            <w:tcW w:w="381" w:type="pct"/>
            <w:tcBorders>
              <w:top w:val="nil"/>
              <w:left w:val="nil"/>
              <w:bottom w:val="single" w:sz="4" w:space="0" w:color="auto"/>
              <w:right w:val="single" w:sz="4" w:space="0" w:color="auto"/>
            </w:tcBorders>
            <w:shd w:val="clear" w:color="auto" w:fill="auto"/>
            <w:noWrap/>
            <w:vAlign w:val="center"/>
            <w:hideMark/>
          </w:tcPr>
          <w:p w14:paraId="3949E601"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0.31</w:t>
            </w:r>
          </w:p>
        </w:tc>
        <w:tc>
          <w:tcPr>
            <w:tcW w:w="381" w:type="pct"/>
            <w:tcBorders>
              <w:top w:val="nil"/>
              <w:left w:val="nil"/>
              <w:bottom w:val="single" w:sz="4" w:space="0" w:color="auto"/>
              <w:right w:val="single" w:sz="4" w:space="0" w:color="auto"/>
            </w:tcBorders>
            <w:shd w:val="clear" w:color="auto" w:fill="auto"/>
            <w:noWrap/>
            <w:vAlign w:val="center"/>
            <w:hideMark/>
          </w:tcPr>
          <w:p w14:paraId="63097600"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0.32</w:t>
            </w:r>
          </w:p>
        </w:tc>
        <w:tc>
          <w:tcPr>
            <w:tcW w:w="381" w:type="pct"/>
            <w:tcBorders>
              <w:top w:val="nil"/>
              <w:left w:val="nil"/>
              <w:bottom w:val="single" w:sz="4" w:space="0" w:color="auto"/>
              <w:right w:val="single" w:sz="4" w:space="0" w:color="auto"/>
            </w:tcBorders>
            <w:shd w:val="clear" w:color="auto" w:fill="auto"/>
            <w:noWrap/>
            <w:vAlign w:val="center"/>
            <w:hideMark/>
          </w:tcPr>
          <w:p w14:paraId="7D00BC55"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0.37</w:t>
            </w:r>
          </w:p>
        </w:tc>
        <w:tc>
          <w:tcPr>
            <w:tcW w:w="381" w:type="pct"/>
            <w:tcBorders>
              <w:top w:val="nil"/>
              <w:left w:val="nil"/>
              <w:bottom w:val="single" w:sz="4" w:space="0" w:color="auto"/>
              <w:right w:val="single" w:sz="4" w:space="0" w:color="auto"/>
            </w:tcBorders>
            <w:shd w:val="clear" w:color="auto" w:fill="auto"/>
            <w:noWrap/>
            <w:vAlign w:val="center"/>
            <w:hideMark/>
          </w:tcPr>
          <w:p w14:paraId="2045FD05"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0.40</w:t>
            </w:r>
          </w:p>
        </w:tc>
        <w:tc>
          <w:tcPr>
            <w:tcW w:w="381" w:type="pct"/>
            <w:tcBorders>
              <w:top w:val="nil"/>
              <w:left w:val="nil"/>
              <w:bottom w:val="single" w:sz="4" w:space="0" w:color="auto"/>
              <w:right w:val="single" w:sz="4" w:space="0" w:color="auto"/>
            </w:tcBorders>
            <w:shd w:val="clear" w:color="auto" w:fill="auto"/>
            <w:noWrap/>
            <w:vAlign w:val="center"/>
            <w:hideMark/>
          </w:tcPr>
          <w:p w14:paraId="38087146"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0.47</w:t>
            </w:r>
          </w:p>
        </w:tc>
        <w:tc>
          <w:tcPr>
            <w:tcW w:w="381" w:type="pct"/>
            <w:tcBorders>
              <w:top w:val="nil"/>
              <w:left w:val="nil"/>
              <w:bottom w:val="single" w:sz="4" w:space="0" w:color="auto"/>
              <w:right w:val="single" w:sz="4" w:space="0" w:color="auto"/>
            </w:tcBorders>
            <w:shd w:val="clear" w:color="auto" w:fill="auto"/>
            <w:noWrap/>
            <w:vAlign w:val="center"/>
            <w:hideMark/>
          </w:tcPr>
          <w:p w14:paraId="36EE56B5"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0.57</w:t>
            </w:r>
          </w:p>
        </w:tc>
        <w:tc>
          <w:tcPr>
            <w:tcW w:w="381" w:type="pct"/>
            <w:tcBorders>
              <w:top w:val="nil"/>
              <w:left w:val="nil"/>
              <w:bottom w:val="single" w:sz="4" w:space="0" w:color="auto"/>
              <w:right w:val="single" w:sz="4" w:space="0" w:color="auto"/>
            </w:tcBorders>
            <w:shd w:val="clear" w:color="auto" w:fill="auto"/>
            <w:noWrap/>
            <w:vAlign w:val="center"/>
            <w:hideMark/>
          </w:tcPr>
          <w:p w14:paraId="70813425"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0.68</w:t>
            </w:r>
          </w:p>
        </w:tc>
        <w:tc>
          <w:tcPr>
            <w:tcW w:w="381" w:type="pct"/>
            <w:tcBorders>
              <w:top w:val="nil"/>
              <w:left w:val="nil"/>
              <w:bottom w:val="single" w:sz="4" w:space="0" w:color="auto"/>
              <w:right w:val="single" w:sz="4" w:space="0" w:color="auto"/>
            </w:tcBorders>
            <w:shd w:val="clear" w:color="auto" w:fill="auto"/>
            <w:noWrap/>
            <w:vAlign w:val="center"/>
            <w:hideMark/>
          </w:tcPr>
          <w:p w14:paraId="27BA59D7"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0.94</w:t>
            </w:r>
          </w:p>
        </w:tc>
        <w:tc>
          <w:tcPr>
            <w:tcW w:w="381" w:type="pct"/>
            <w:tcBorders>
              <w:top w:val="nil"/>
              <w:left w:val="nil"/>
              <w:bottom w:val="single" w:sz="4" w:space="0" w:color="auto"/>
              <w:right w:val="single" w:sz="4" w:space="0" w:color="auto"/>
            </w:tcBorders>
            <w:shd w:val="clear" w:color="auto" w:fill="auto"/>
            <w:noWrap/>
            <w:vAlign w:val="center"/>
            <w:hideMark/>
          </w:tcPr>
          <w:p w14:paraId="33156440"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1.02</w:t>
            </w:r>
          </w:p>
        </w:tc>
        <w:tc>
          <w:tcPr>
            <w:tcW w:w="381" w:type="pct"/>
            <w:tcBorders>
              <w:top w:val="nil"/>
              <w:left w:val="nil"/>
              <w:bottom w:val="single" w:sz="4" w:space="0" w:color="auto"/>
              <w:right w:val="single" w:sz="4" w:space="0" w:color="auto"/>
            </w:tcBorders>
            <w:shd w:val="clear" w:color="auto" w:fill="auto"/>
            <w:noWrap/>
            <w:vAlign w:val="center"/>
            <w:hideMark/>
          </w:tcPr>
          <w:p w14:paraId="56B3A83E"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0.53</w:t>
            </w:r>
          </w:p>
        </w:tc>
      </w:tr>
      <w:tr w:rsidR="00495A2C" w:rsidRPr="00495A2C" w14:paraId="3AA0B1D6" w14:textId="77777777" w:rsidTr="00AC461F">
        <w:trPr>
          <w:trHeight w:val="290"/>
        </w:trPr>
        <w:tc>
          <w:tcPr>
            <w:tcW w:w="1190" w:type="pct"/>
            <w:tcBorders>
              <w:top w:val="nil"/>
              <w:left w:val="single" w:sz="4" w:space="0" w:color="auto"/>
              <w:bottom w:val="single" w:sz="4" w:space="0" w:color="auto"/>
              <w:right w:val="single" w:sz="4" w:space="0" w:color="auto"/>
            </w:tcBorders>
            <w:shd w:val="clear" w:color="auto" w:fill="auto"/>
            <w:vAlign w:val="center"/>
            <w:hideMark/>
          </w:tcPr>
          <w:p w14:paraId="48C00707" w14:textId="77777777" w:rsidR="00495A2C" w:rsidRPr="00495A2C" w:rsidRDefault="00495A2C" w:rsidP="00495A2C">
            <w:pPr>
              <w:spacing w:after="0" w:line="240" w:lineRule="auto"/>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3. Agricultura</w:t>
            </w:r>
          </w:p>
        </w:tc>
        <w:tc>
          <w:tcPr>
            <w:tcW w:w="381" w:type="pct"/>
            <w:tcBorders>
              <w:top w:val="nil"/>
              <w:left w:val="nil"/>
              <w:bottom w:val="single" w:sz="4" w:space="0" w:color="auto"/>
              <w:right w:val="single" w:sz="4" w:space="0" w:color="auto"/>
            </w:tcBorders>
            <w:shd w:val="clear" w:color="auto" w:fill="auto"/>
            <w:noWrap/>
            <w:vAlign w:val="center"/>
            <w:hideMark/>
          </w:tcPr>
          <w:p w14:paraId="09DA6EFD"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2.31</w:t>
            </w:r>
          </w:p>
        </w:tc>
        <w:tc>
          <w:tcPr>
            <w:tcW w:w="381" w:type="pct"/>
            <w:tcBorders>
              <w:top w:val="nil"/>
              <w:left w:val="nil"/>
              <w:bottom w:val="single" w:sz="4" w:space="0" w:color="auto"/>
              <w:right w:val="single" w:sz="4" w:space="0" w:color="auto"/>
            </w:tcBorders>
            <w:shd w:val="clear" w:color="auto" w:fill="auto"/>
            <w:noWrap/>
            <w:vAlign w:val="center"/>
            <w:hideMark/>
          </w:tcPr>
          <w:p w14:paraId="1BE0926A"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2.41</w:t>
            </w:r>
          </w:p>
        </w:tc>
        <w:tc>
          <w:tcPr>
            <w:tcW w:w="381" w:type="pct"/>
            <w:tcBorders>
              <w:top w:val="nil"/>
              <w:left w:val="nil"/>
              <w:bottom w:val="single" w:sz="4" w:space="0" w:color="auto"/>
              <w:right w:val="single" w:sz="4" w:space="0" w:color="auto"/>
            </w:tcBorders>
            <w:shd w:val="clear" w:color="auto" w:fill="auto"/>
            <w:noWrap/>
            <w:vAlign w:val="center"/>
            <w:hideMark/>
          </w:tcPr>
          <w:p w14:paraId="115DB052"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2.48</w:t>
            </w:r>
          </w:p>
        </w:tc>
        <w:tc>
          <w:tcPr>
            <w:tcW w:w="381" w:type="pct"/>
            <w:tcBorders>
              <w:top w:val="nil"/>
              <w:left w:val="nil"/>
              <w:bottom w:val="single" w:sz="4" w:space="0" w:color="auto"/>
              <w:right w:val="single" w:sz="4" w:space="0" w:color="auto"/>
            </w:tcBorders>
            <w:shd w:val="clear" w:color="auto" w:fill="auto"/>
            <w:noWrap/>
            <w:vAlign w:val="center"/>
            <w:hideMark/>
          </w:tcPr>
          <w:p w14:paraId="5241FC06"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2.23</w:t>
            </w:r>
          </w:p>
        </w:tc>
        <w:tc>
          <w:tcPr>
            <w:tcW w:w="381" w:type="pct"/>
            <w:tcBorders>
              <w:top w:val="nil"/>
              <w:left w:val="nil"/>
              <w:bottom w:val="single" w:sz="4" w:space="0" w:color="auto"/>
              <w:right w:val="single" w:sz="4" w:space="0" w:color="auto"/>
            </w:tcBorders>
            <w:shd w:val="clear" w:color="auto" w:fill="auto"/>
            <w:noWrap/>
            <w:vAlign w:val="center"/>
            <w:hideMark/>
          </w:tcPr>
          <w:p w14:paraId="486E61E6"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2.23</w:t>
            </w:r>
          </w:p>
        </w:tc>
        <w:tc>
          <w:tcPr>
            <w:tcW w:w="381" w:type="pct"/>
            <w:tcBorders>
              <w:top w:val="nil"/>
              <w:left w:val="nil"/>
              <w:bottom w:val="single" w:sz="4" w:space="0" w:color="auto"/>
              <w:right w:val="single" w:sz="4" w:space="0" w:color="auto"/>
            </w:tcBorders>
            <w:shd w:val="clear" w:color="auto" w:fill="auto"/>
            <w:noWrap/>
            <w:vAlign w:val="center"/>
            <w:hideMark/>
          </w:tcPr>
          <w:p w14:paraId="4DAE87B9"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2.24</w:t>
            </w:r>
          </w:p>
        </w:tc>
        <w:tc>
          <w:tcPr>
            <w:tcW w:w="381" w:type="pct"/>
            <w:tcBorders>
              <w:top w:val="nil"/>
              <w:left w:val="nil"/>
              <w:bottom w:val="single" w:sz="4" w:space="0" w:color="auto"/>
              <w:right w:val="single" w:sz="4" w:space="0" w:color="auto"/>
            </w:tcBorders>
            <w:shd w:val="clear" w:color="auto" w:fill="auto"/>
            <w:noWrap/>
            <w:vAlign w:val="center"/>
            <w:hideMark/>
          </w:tcPr>
          <w:p w14:paraId="3B99B5E0"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2.18</w:t>
            </w:r>
          </w:p>
        </w:tc>
        <w:tc>
          <w:tcPr>
            <w:tcW w:w="381" w:type="pct"/>
            <w:tcBorders>
              <w:top w:val="nil"/>
              <w:left w:val="nil"/>
              <w:bottom w:val="single" w:sz="4" w:space="0" w:color="auto"/>
              <w:right w:val="single" w:sz="4" w:space="0" w:color="auto"/>
            </w:tcBorders>
            <w:shd w:val="clear" w:color="auto" w:fill="auto"/>
            <w:noWrap/>
            <w:vAlign w:val="center"/>
            <w:hideMark/>
          </w:tcPr>
          <w:p w14:paraId="12E31AE9"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1.77</w:t>
            </w:r>
          </w:p>
        </w:tc>
        <w:tc>
          <w:tcPr>
            <w:tcW w:w="381" w:type="pct"/>
            <w:tcBorders>
              <w:top w:val="nil"/>
              <w:left w:val="nil"/>
              <w:bottom w:val="single" w:sz="4" w:space="0" w:color="auto"/>
              <w:right w:val="single" w:sz="4" w:space="0" w:color="auto"/>
            </w:tcBorders>
            <w:shd w:val="clear" w:color="auto" w:fill="auto"/>
            <w:noWrap/>
            <w:vAlign w:val="center"/>
            <w:hideMark/>
          </w:tcPr>
          <w:p w14:paraId="2D8C0987"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1.84</w:t>
            </w:r>
          </w:p>
        </w:tc>
        <w:tc>
          <w:tcPr>
            <w:tcW w:w="381" w:type="pct"/>
            <w:tcBorders>
              <w:top w:val="nil"/>
              <w:left w:val="nil"/>
              <w:bottom w:val="single" w:sz="4" w:space="0" w:color="auto"/>
              <w:right w:val="single" w:sz="4" w:space="0" w:color="auto"/>
            </w:tcBorders>
            <w:shd w:val="clear" w:color="auto" w:fill="auto"/>
            <w:noWrap/>
            <w:vAlign w:val="center"/>
            <w:hideMark/>
          </w:tcPr>
          <w:p w14:paraId="70565250"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1.88</w:t>
            </w:r>
          </w:p>
        </w:tc>
      </w:tr>
      <w:tr w:rsidR="00495A2C" w:rsidRPr="00495A2C" w14:paraId="79EB9403" w14:textId="77777777" w:rsidTr="00AC461F">
        <w:trPr>
          <w:trHeight w:val="290"/>
        </w:trPr>
        <w:tc>
          <w:tcPr>
            <w:tcW w:w="1190" w:type="pct"/>
            <w:tcBorders>
              <w:top w:val="nil"/>
              <w:left w:val="single" w:sz="4" w:space="0" w:color="auto"/>
              <w:bottom w:val="single" w:sz="4" w:space="0" w:color="auto"/>
              <w:right w:val="single" w:sz="4" w:space="0" w:color="auto"/>
            </w:tcBorders>
            <w:shd w:val="clear" w:color="auto" w:fill="auto"/>
            <w:vAlign w:val="center"/>
            <w:hideMark/>
          </w:tcPr>
          <w:p w14:paraId="41D33270" w14:textId="77777777" w:rsidR="00495A2C" w:rsidRPr="00495A2C" w:rsidRDefault="00495A2C" w:rsidP="00495A2C">
            <w:pPr>
              <w:spacing w:after="0" w:line="240" w:lineRule="auto"/>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4. FTSCFTS</w:t>
            </w:r>
          </w:p>
        </w:tc>
        <w:tc>
          <w:tcPr>
            <w:tcW w:w="381" w:type="pct"/>
            <w:tcBorders>
              <w:top w:val="nil"/>
              <w:left w:val="nil"/>
              <w:bottom w:val="single" w:sz="4" w:space="0" w:color="auto"/>
              <w:right w:val="single" w:sz="4" w:space="0" w:color="auto"/>
            </w:tcBorders>
            <w:shd w:val="clear" w:color="auto" w:fill="auto"/>
            <w:noWrap/>
            <w:vAlign w:val="center"/>
            <w:hideMark/>
          </w:tcPr>
          <w:p w14:paraId="5E42C867"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-1.85</w:t>
            </w:r>
          </w:p>
        </w:tc>
        <w:tc>
          <w:tcPr>
            <w:tcW w:w="381" w:type="pct"/>
            <w:tcBorders>
              <w:top w:val="nil"/>
              <w:left w:val="nil"/>
              <w:bottom w:val="single" w:sz="4" w:space="0" w:color="auto"/>
              <w:right w:val="single" w:sz="4" w:space="0" w:color="auto"/>
            </w:tcBorders>
            <w:shd w:val="clear" w:color="auto" w:fill="auto"/>
            <w:noWrap/>
            <w:vAlign w:val="center"/>
            <w:hideMark/>
          </w:tcPr>
          <w:p w14:paraId="430F0FD4"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-1.50</w:t>
            </w:r>
          </w:p>
        </w:tc>
        <w:tc>
          <w:tcPr>
            <w:tcW w:w="381" w:type="pct"/>
            <w:tcBorders>
              <w:top w:val="nil"/>
              <w:left w:val="nil"/>
              <w:bottom w:val="single" w:sz="4" w:space="0" w:color="auto"/>
              <w:right w:val="single" w:sz="4" w:space="0" w:color="auto"/>
            </w:tcBorders>
            <w:shd w:val="clear" w:color="auto" w:fill="auto"/>
            <w:noWrap/>
            <w:vAlign w:val="center"/>
            <w:hideMark/>
          </w:tcPr>
          <w:p w14:paraId="33DF0DE2"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-1.59</w:t>
            </w:r>
          </w:p>
        </w:tc>
        <w:tc>
          <w:tcPr>
            <w:tcW w:w="381" w:type="pct"/>
            <w:tcBorders>
              <w:top w:val="nil"/>
              <w:left w:val="nil"/>
              <w:bottom w:val="single" w:sz="4" w:space="0" w:color="auto"/>
              <w:right w:val="single" w:sz="4" w:space="0" w:color="auto"/>
            </w:tcBorders>
            <w:shd w:val="clear" w:color="auto" w:fill="auto"/>
            <w:noWrap/>
            <w:vAlign w:val="center"/>
            <w:hideMark/>
          </w:tcPr>
          <w:p w14:paraId="0F247717"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-1.52</w:t>
            </w:r>
          </w:p>
        </w:tc>
        <w:tc>
          <w:tcPr>
            <w:tcW w:w="381" w:type="pct"/>
            <w:tcBorders>
              <w:top w:val="nil"/>
              <w:left w:val="nil"/>
              <w:bottom w:val="single" w:sz="4" w:space="0" w:color="auto"/>
              <w:right w:val="single" w:sz="4" w:space="0" w:color="auto"/>
            </w:tcBorders>
            <w:shd w:val="clear" w:color="auto" w:fill="auto"/>
            <w:noWrap/>
            <w:vAlign w:val="center"/>
            <w:hideMark/>
          </w:tcPr>
          <w:p w14:paraId="04F9549F"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-1.69</w:t>
            </w:r>
          </w:p>
        </w:tc>
        <w:tc>
          <w:tcPr>
            <w:tcW w:w="381" w:type="pct"/>
            <w:tcBorders>
              <w:top w:val="nil"/>
              <w:left w:val="nil"/>
              <w:bottom w:val="single" w:sz="4" w:space="0" w:color="auto"/>
              <w:right w:val="single" w:sz="4" w:space="0" w:color="auto"/>
            </w:tcBorders>
            <w:shd w:val="clear" w:color="auto" w:fill="auto"/>
            <w:noWrap/>
            <w:vAlign w:val="center"/>
            <w:hideMark/>
          </w:tcPr>
          <w:p w14:paraId="6C301221"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-1.40</w:t>
            </w:r>
          </w:p>
        </w:tc>
        <w:tc>
          <w:tcPr>
            <w:tcW w:w="381" w:type="pct"/>
            <w:tcBorders>
              <w:top w:val="nil"/>
              <w:left w:val="nil"/>
              <w:bottom w:val="single" w:sz="4" w:space="0" w:color="auto"/>
              <w:right w:val="single" w:sz="4" w:space="0" w:color="auto"/>
            </w:tcBorders>
            <w:shd w:val="clear" w:color="auto" w:fill="auto"/>
            <w:noWrap/>
            <w:vAlign w:val="center"/>
            <w:hideMark/>
          </w:tcPr>
          <w:p w14:paraId="0B3468F0"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-1.52</w:t>
            </w:r>
          </w:p>
        </w:tc>
        <w:tc>
          <w:tcPr>
            <w:tcW w:w="381" w:type="pct"/>
            <w:tcBorders>
              <w:top w:val="nil"/>
              <w:left w:val="nil"/>
              <w:bottom w:val="single" w:sz="4" w:space="0" w:color="auto"/>
              <w:right w:val="single" w:sz="4" w:space="0" w:color="auto"/>
            </w:tcBorders>
            <w:shd w:val="clear" w:color="auto" w:fill="auto"/>
            <w:noWrap/>
            <w:vAlign w:val="center"/>
            <w:hideMark/>
          </w:tcPr>
          <w:p w14:paraId="74AA76DB"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-1.71</w:t>
            </w:r>
          </w:p>
        </w:tc>
        <w:tc>
          <w:tcPr>
            <w:tcW w:w="381" w:type="pct"/>
            <w:tcBorders>
              <w:top w:val="nil"/>
              <w:left w:val="nil"/>
              <w:bottom w:val="single" w:sz="4" w:space="0" w:color="auto"/>
              <w:right w:val="single" w:sz="4" w:space="0" w:color="auto"/>
            </w:tcBorders>
            <w:shd w:val="clear" w:color="auto" w:fill="auto"/>
            <w:noWrap/>
            <w:vAlign w:val="center"/>
            <w:hideMark/>
          </w:tcPr>
          <w:p w14:paraId="4A9EAE30"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-1.41</w:t>
            </w:r>
          </w:p>
        </w:tc>
        <w:tc>
          <w:tcPr>
            <w:tcW w:w="381" w:type="pct"/>
            <w:tcBorders>
              <w:top w:val="nil"/>
              <w:left w:val="nil"/>
              <w:bottom w:val="single" w:sz="4" w:space="0" w:color="auto"/>
              <w:right w:val="single" w:sz="4" w:space="0" w:color="auto"/>
            </w:tcBorders>
            <w:shd w:val="clear" w:color="auto" w:fill="auto"/>
            <w:noWrap/>
            <w:vAlign w:val="center"/>
            <w:hideMark/>
          </w:tcPr>
          <w:p w14:paraId="448D4061"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-1.02</w:t>
            </w:r>
          </w:p>
        </w:tc>
      </w:tr>
      <w:tr w:rsidR="00495A2C" w:rsidRPr="00495A2C" w14:paraId="528EA5AA" w14:textId="77777777" w:rsidTr="00AC461F">
        <w:trPr>
          <w:trHeight w:val="290"/>
        </w:trPr>
        <w:tc>
          <w:tcPr>
            <w:tcW w:w="1190" w:type="pct"/>
            <w:tcBorders>
              <w:top w:val="nil"/>
              <w:left w:val="single" w:sz="4" w:space="0" w:color="auto"/>
              <w:bottom w:val="single" w:sz="4" w:space="0" w:color="auto"/>
              <w:right w:val="single" w:sz="4" w:space="0" w:color="auto"/>
            </w:tcBorders>
            <w:shd w:val="clear" w:color="auto" w:fill="auto"/>
            <w:vAlign w:val="center"/>
            <w:hideMark/>
          </w:tcPr>
          <w:p w14:paraId="5D9A41EE" w14:textId="77777777" w:rsidR="00495A2C" w:rsidRPr="00495A2C" w:rsidRDefault="00495A2C" w:rsidP="00495A2C">
            <w:pPr>
              <w:spacing w:after="0" w:line="240" w:lineRule="auto"/>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 xml:space="preserve">5. </w:t>
            </w:r>
            <w:proofErr w:type="spellStart"/>
            <w:r w:rsidRPr="00495A2C">
              <w:rPr>
                <w:rFonts w:ascii="Times New Roman" w:eastAsia="Times New Roman" w:hAnsi="Times New Roman" w:cs="Times New Roman"/>
                <w:color w:val="000000"/>
                <w:sz w:val="14"/>
                <w:szCs w:val="14"/>
                <w:lang w:val="en-US"/>
              </w:rPr>
              <w:t>Deșeuri</w:t>
            </w:r>
            <w:proofErr w:type="spellEnd"/>
          </w:p>
        </w:tc>
        <w:tc>
          <w:tcPr>
            <w:tcW w:w="381" w:type="pct"/>
            <w:tcBorders>
              <w:top w:val="nil"/>
              <w:left w:val="nil"/>
              <w:bottom w:val="single" w:sz="4" w:space="0" w:color="auto"/>
              <w:right w:val="single" w:sz="4" w:space="0" w:color="auto"/>
            </w:tcBorders>
            <w:shd w:val="clear" w:color="auto" w:fill="auto"/>
            <w:noWrap/>
            <w:vAlign w:val="center"/>
            <w:hideMark/>
          </w:tcPr>
          <w:p w14:paraId="01E037A2"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1.54</w:t>
            </w:r>
          </w:p>
        </w:tc>
        <w:tc>
          <w:tcPr>
            <w:tcW w:w="381" w:type="pct"/>
            <w:tcBorders>
              <w:top w:val="nil"/>
              <w:left w:val="nil"/>
              <w:bottom w:val="single" w:sz="4" w:space="0" w:color="auto"/>
              <w:right w:val="single" w:sz="4" w:space="0" w:color="auto"/>
            </w:tcBorders>
            <w:shd w:val="clear" w:color="auto" w:fill="auto"/>
            <w:noWrap/>
            <w:vAlign w:val="center"/>
            <w:hideMark/>
          </w:tcPr>
          <w:p w14:paraId="11C2F21C"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1.51</w:t>
            </w:r>
          </w:p>
        </w:tc>
        <w:tc>
          <w:tcPr>
            <w:tcW w:w="381" w:type="pct"/>
            <w:tcBorders>
              <w:top w:val="nil"/>
              <w:left w:val="nil"/>
              <w:bottom w:val="single" w:sz="4" w:space="0" w:color="auto"/>
              <w:right w:val="single" w:sz="4" w:space="0" w:color="auto"/>
            </w:tcBorders>
            <w:shd w:val="clear" w:color="auto" w:fill="auto"/>
            <w:noWrap/>
            <w:vAlign w:val="center"/>
            <w:hideMark/>
          </w:tcPr>
          <w:p w14:paraId="7ECECEBF"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1.50</w:t>
            </w:r>
          </w:p>
        </w:tc>
        <w:tc>
          <w:tcPr>
            <w:tcW w:w="381" w:type="pct"/>
            <w:tcBorders>
              <w:top w:val="nil"/>
              <w:left w:val="nil"/>
              <w:bottom w:val="single" w:sz="4" w:space="0" w:color="auto"/>
              <w:right w:val="single" w:sz="4" w:space="0" w:color="auto"/>
            </w:tcBorders>
            <w:shd w:val="clear" w:color="auto" w:fill="auto"/>
            <w:noWrap/>
            <w:vAlign w:val="center"/>
            <w:hideMark/>
          </w:tcPr>
          <w:p w14:paraId="5EDE7D88"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1.47</w:t>
            </w:r>
          </w:p>
        </w:tc>
        <w:tc>
          <w:tcPr>
            <w:tcW w:w="381" w:type="pct"/>
            <w:tcBorders>
              <w:top w:val="nil"/>
              <w:left w:val="nil"/>
              <w:bottom w:val="single" w:sz="4" w:space="0" w:color="auto"/>
              <w:right w:val="single" w:sz="4" w:space="0" w:color="auto"/>
            </w:tcBorders>
            <w:shd w:val="clear" w:color="auto" w:fill="auto"/>
            <w:noWrap/>
            <w:vAlign w:val="center"/>
            <w:hideMark/>
          </w:tcPr>
          <w:p w14:paraId="1882A5E5"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1.45</w:t>
            </w:r>
          </w:p>
        </w:tc>
        <w:tc>
          <w:tcPr>
            <w:tcW w:w="381" w:type="pct"/>
            <w:tcBorders>
              <w:top w:val="nil"/>
              <w:left w:val="nil"/>
              <w:bottom w:val="single" w:sz="4" w:space="0" w:color="auto"/>
              <w:right w:val="single" w:sz="4" w:space="0" w:color="auto"/>
            </w:tcBorders>
            <w:shd w:val="clear" w:color="auto" w:fill="auto"/>
            <w:noWrap/>
            <w:vAlign w:val="center"/>
            <w:hideMark/>
          </w:tcPr>
          <w:p w14:paraId="672313B6"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1.45</w:t>
            </w:r>
          </w:p>
        </w:tc>
        <w:tc>
          <w:tcPr>
            <w:tcW w:w="381" w:type="pct"/>
            <w:tcBorders>
              <w:top w:val="nil"/>
              <w:left w:val="nil"/>
              <w:bottom w:val="single" w:sz="4" w:space="0" w:color="auto"/>
              <w:right w:val="single" w:sz="4" w:space="0" w:color="auto"/>
            </w:tcBorders>
            <w:shd w:val="clear" w:color="auto" w:fill="auto"/>
            <w:noWrap/>
            <w:vAlign w:val="center"/>
            <w:hideMark/>
          </w:tcPr>
          <w:p w14:paraId="47B81EEF"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1.44</w:t>
            </w:r>
          </w:p>
        </w:tc>
        <w:tc>
          <w:tcPr>
            <w:tcW w:w="381" w:type="pct"/>
            <w:tcBorders>
              <w:top w:val="nil"/>
              <w:left w:val="nil"/>
              <w:bottom w:val="single" w:sz="4" w:space="0" w:color="auto"/>
              <w:right w:val="single" w:sz="4" w:space="0" w:color="auto"/>
            </w:tcBorders>
            <w:shd w:val="clear" w:color="auto" w:fill="auto"/>
            <w:noWrap/>
            <w:vAlign w:val="center"/>
            <w:hideMark/>
          </w:tcPr>
          <w:p w14:paraId="7D878D4A"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1.43</w:t>
            </w:r>
          </w:p>
        </w:tc>
        <w:tc>
          <w:tcPr>
            <w:tcW w:w="381" w:type="pct"/>
            <w:tcBorders>
              <w:top w:val="nil"/>
              <w:left w:val="nil"/>
              <w:bottom w:val="single" w:sz="4" w:space="0" w:color="auto"/>
              <w:right w:val="single" w:sz="4" w:space="0" w:color="auto"/>
            </w:tcBorders>
            <w:shd w:val="clear" w:color="auto" w:fill="auto"/>
            <w:noWrap/>
            <w:vAlign w:val="center"/>
            <w:hideMark/>
          </w:tcPr>
          <w:p w14:paraId="54444140"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1.44</w:t>
            </w:r>
          </w:p>
        </w:tc>
        <w:tc>
          <w:tcPr>
            <w:tcW w:w="381" w:type="pct"/>
            <w:tcBorders>
              <w:top w:val="nil"/>
              <w:left w:val="nil"/>
              <w:bottom w:val="single" w:sz="4" w:space="0" w:color="auto"/>
              <w:right w:val="single" w:sz="4" w:space="0" w:color="auto"/>
            </w:tcBorders>
            <w:shd w:val="clear" w:color="auto" w:fill="auto"/>
            <w:noWrap/>
            <w:vAlign w:val="center"/>
            <w:hideMark/>
          </w:tcPr>
          <w:p w14:paraId="59880758"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1.45</w:t>
            </w:r>
          </w:p>
        </w:tc>
      </w:tr>
      <w:tr w:rsidR="00495A2C" w:rsidRPr="00495A2C" w14:paraId="77914310" w14:textId="77777777" w:rsidTr="00495A2C">
        <w:trPr>
          <w:trHeight w:val="290"/>
        </w:trPr>
        <w:tc>
          <w:tcPr>
            <w:tcW w:w="1190" w:type="pct"/>
            <w:tcBorders>
              <w:top w:val="nil"/>
              <w:left w:val="single" w:sz="4" w:space="0" w:color="auto"/>
              <w:bottom w:val="single" w:sz="4" w:space="0" w:color="auto"/>
              <w:right w:val="single" w:sz="4" w:space="0" w:color="auto"/>
            </w:tcBorders>
            <w:shd w:val="clear" w:color="000000" w:fill="4F81BD"/>
            <w:vAlign w:val="center"/>
            <w:hideMark/>
          </w:tcPr>
          <w:p w14:paraId="45765DC6" w14:textId="77777777" w:rsidR="00495A2C" w:rsidRPr="00495A2C" w:rsidRDefault="00495A2C" w:rsidP="00495A2C">
            <w:pPr>
              <w:spacing w:after="0" w:line="240" w:lineRule="auto"/>
              <w:rPr>
                <w:rFonts w:ascii="Times New Roman" w:eastAsia="Times New Roman" w:hAnsi="Times New Roman" w:cs="Times New Roman"/>
                <w:color w:val="FFFFFF"/>
                <w:sz w:val="14"/>
                <w:szCs w:val="14"/>
                <w:lang w:val="en-US"/>
              </w:rPr>
            </w:pPr>
            <w:r w:rsidRPr="00495A2C">
              <w:rPr>
                <w:rFonts w:ascii="Times New Roman" w:eastAsia="Times New Roman" w:hAnsi="Times New Roman" w:cs="Times New Roman"/>
                <w:color w:val="FFFFFF"/>
                <w:sz w:val="14"/>
                <w:szCs w:val="14"/>
                <w:lang w:val="en-US"/>
              </w:rPr>
              <w:t> </w:t>
            </w:r>
          </w:p>
        </w:tc>
        <w:tc>
          <w:tcPr>
            <w:tcW w:w="381" w:type="pct"/>
            <w:tcBorders>
              <w:top w:val="nil"/>
              <w:left w:val="nil"/>
              <w:bottom w:val="single" w:sz="4" w:space="0" w:color="auto"/>
              <w:right w:val="single" w:sz="4" w:space="0" w:color="auto"/>
            </w:tcBorders>
            <w:shd w:val="clear" w:color="000000" w:fill="4F81BD"/>
            <w:noWrap/>
            <w:vAlign w:val="center"/>
            <w:hideMark/>
          </w:tcPr>
          <w:p w14:paraId="68F847CC" w14:textId="77777777" w:rsidR="00495A2C" w:rsidRPr="00495A2C" w:rsidRDefault="00495A2C" w:rsidP="00495A2C">
            <w:pPr>
              <w:spacing w:after="0" w:line="240" w:lineRule="auto"/>
              <w:jc w:val="center"/>
              <w:rPr>
                <w:rFonts w:ascii="Times New Roman" w:eastAsia="Times New Roman" w:hAnsi="Times New Roman" w:cs="Times New Roman"/>
                <w:b/>
                <w:bCs/>
                <w:color w:val="FFFFFF"/>
                <w:sz w:val="14"/>
                <w:szCs w:val="14"/>
                <w:lang w:val="en-US"/>
              </w:rPr>
            </w:pPr>
            <w:r w:rsidRPr="00495A2C">
              <w:rPr>
                <w:rFonts w:ascii="Times New Roman" w:eastAsia="Times New Roman" w:hAnsi="Times New Roman" w:cs="Times New Roman"/>
                <w:b/>
                <w:bCs/>
                <w:color w:val="FFFFFF"/>
                <w:sz w:val="14"/>
                <w:szCs w:val="14"/>
                <w:lang w:val="en-US"/>
              </w:rPr>
              <w:t>2010</w:t>
            </w:r>
          </w:p>
        </w:tc>
        <w:tc>
          <w:tcPr>
            <w:tcW w:w="381" w:type="pct"/>
            <w:tcBorders>
              <w:top w:val="nil"/>
              <w:left w:val="nil"/>
              <w:bottom w:val="single" w:sz="4" w:space="0" w:color="auto"/>
              <w:right w:val="single" w:sz="4" w:space="0" w:color="auto"/>
            </w:tcBorders>
            <w:shd w:val="clear" w:color="000000" w:fill="4F81BD"/>
            <w:noWrap/>
            <w:vAlign w:val="center"/>
            <w:hideMark/>
          </w:tcPr>
          <w:p w14:paraId="17E75945" w14:textId="77777777" w:rsidR="00495A2C" w:rsidRPr="00495A2C" w:rsidRDefault="00495A2C" w:rsidP="00495A2C">
            <w:pPr>
              <w:spacing w:after="0" w:line="240" w:lineRule="auto"/>
              <w:jc w:val="center"/>
              <w:rPr>
                <w:rFonts w:ascii="Times New Roman" w:eastAsia="Times New Roman" w:hAnsi="Times New Roman" w:cs="Times New Roman"/>
                <w:b/>
                <w:bCs/>
                <w:color w:val="FFFFFF"/>
                <w:sz w:val="14"/>
                <w:szCs w:val="14"/>
                <w:lang w:val="en-US"/>
              </w:rPr>
            </w:pPr>
            <w:r w:rsidRPr="00495A2C">
              <w:rPr>
                <w:rFonts w:ascii="Times New Roman" w:eastAsia="Times New Roman" w:hAnsi="Times New Roman" w:cs="Times New Roman"/>
                <w:b/>
                <w:bCs/>
                <w:color w:val="FFFFFF"/>
                <w:sz w:val="14"/>
                <w:szCs w:val="14"/>
                <w:lang w:val="en-US"/>
              </w:rPr>
              <w:t>2011</w:t>
            </w:r>
          </w:p>
        </w:tc>
        <w:tc>
          <w:tcPr>
            <w:tcW w:w="381" w:type="pct"/>
            <w:tcBorders>
              <w:top w:val="nil"/>
              <w:left w:val="nil"/>
              <w:bottom w:val="single" w:sz="4" w:space="0" w:color="auto"/>
              <w:right w:val="single" w:sz="4" w:space="0" w:color="auto"/>
            </w:tcBorders>
            <w:shd w:val="clear" w:color="000000" w:fill="4F81BD"/>
            <w:noWrap/>
            <w:vAlign w:val="center"/>
            <w:hideMark/>
          </w:tcPr>
          <w:p w14:paraId="21585EB8" w14:textId="77777777" w:rsidR="00495A2C" w:rsidRPr="00495A2C" w:rsidRDefault="00495A2C" w:rsidP="00495A2C">
            <w:pPr>
              <w:spacing w:after="0" w:line="240" w:lineRule="auto"/>
              <w:jc w:val="center"/>
              <w:rPr>
                <w:rFonts w:ascii="Times New Roman" w:eastAsia="Times New Roman" w:hAnsi="Times New Roman" w:cs="Times New Roman"/>
                <w:b/>
                <w:bCs/>
                <w:color w:val="FFFFFF"/>
                <w:sz w:val="14"/>
                <w:szCs w:val="14"/>
                <w:lang w:val="en-US"/>
              </w:rPr>
            </w:pPr>
            <w:r w:rsidRPr="00495A2C">
              <w:rPr>
                <w:rFonts w:ascii="Times New Roman" w:eastAsia="Times New Roman" w:hAnsi="Times New Roman" w:cs="Times New Roman"/>
                <w:b/>
                <w:bCs/>
                <w:color w:val="FFFFFF"/>
                <w:sz w:val="14"/>
                <w:szCs w:val="14"/>
                <w:lang w:val="en-US"/>
              </w:rPr>
              <w:t>2012</w:t>
            </w:r>
          </w:p>
        </w:tc>
        <w:tc>
          <w:tcPr>
            <w:tcW w:w="381" w:type="pct"/>
            <w:tcBorders>
              <w:top w:val="nil"/>
              <w:left w:val="nil"/>
              <w:bottom w:val="single" w:sz="4" w:space="0" w:color="auto"/>
              <w:right w:val="single" w:sz="4" w:space="0" w:color="auto"/>
            </w:tcBorders>
            <w:shd w:val="clear" w:color="000000" w:fill="4F81BD"/>
            <w:noWrap/>
            <w:vAlign w:val="center"/>
            <w:hideMark/>
          </w:tcPr>
          <w:p w14:paraId="56368A97" w14:textId="77777777" w:rsidR="00495A2C" w:rsidRPr="00495A2C" w:rsidRDefault="00495A2C" w:rsidP="00495A2C">
            <w:pPr>
              <w:spacing w:after="0" w:line="240" w:lineRule="auto"/>
              <w:jc w:val="center"/>
              <w:rPr>
                <w:rFonts w:ascii="Times New Roman" w:eastAsia="Times New Roman" w:hAnsi="Times New Roman" w:cs="Times New Roman"/>
                <w:b/>
                <w:bCs/>
                <w:color w:val="FFFFFF"/>
                <w:sz w:val="14"/>
                <w:szCs w:val="14"/>
                <w:lang w:val="en-US"/>
              </w:rPr>
            </w:pPr>
            <w:r w:rsidRPr="00495A2C">
              <w:rPr>
                <w:rFonts w:ascii="Times New Roman" w:eastAsia="Times New Roman" w:hAnsi="Times New Roman" w:cs="Times New Roman"/>
                <w:b/>
                <w:bCs/>
                <w:color w:val="FFFFFF"/>
                <w:sz w:val="14"/>
                <w:szCs w:val="14"/>
                <w:lang w:val="en-US"/>
              </w:rPr>
              <w:t>2013</w:t>
            </w:r>
          </w:p>
        </w:tc>
        <w:tc>
          <w:tcPr>
            <w:tcW w:w="381" w:type="pct"/>
            <w:tcBorders>
              <w:top w:val="nil"/>
              <w:left w:val="nil"/>
              <w:bottom w:val="single" w:sz="4" w:space="0" w:color="auto"/>
              <w:right w:val="single" w:sz="4" w:space="0" w:color="auto"/>
            </w:tcBorders>
            <w:shd w:val="clear" w:color="000000" w:fill="4F81BD"/>
            <w:noWrap/>
            <w:vAlign w:val="center"/>
            <w:hideMark/>
          </w:tcPr>
          <w:p w14:paraId="056FA338" w14:textId="77777777" w:rsidR="00495A2C" w:rsidRPr="00495A2C" w:rsidRDefault="00495A2C" w:rsidP="00495A2C">
            <w:pPr>
              <w:spacing w:after="0" w:line="240" w:lineRule="auto"/>
              <w:jc w:val="center"/>
              <w:rPr>
                <w:rFonts w:ascii="Times New Roman" w:eastAsia="Times New Roman" w:hAnsi="Times New Roman" w:cs="Times New Roman"/>
                <w:b/>
                <w:bCs/>
                <w:color w:val="FFFFFF"/>
                <w:sz w:val="14"/>
                <w:szCs w:val="14"/>
                <w:lang w:val="en-US"/>
              </w:rPr>
            </w:pPr>
            <w:r w:rsidRPr="00495A2C">
              <w:rPr>
                <w:rFonts w:ascii="Times New Roman" w:eastAsia="Times New Roman" w:hAnsi="Times New Roman" w:cs="Times New Roman"/>
                <w:b/>
                <w:bCs/>
                <w:color w:val="FFFFFF"/>
                <w:sz w:val="14"/>
                <w:szCs w:val="14"/>
                <w:lang w:val="en-US"/>
              </w:rPr>
              <w:t>2014</w:t>
            </w:r>
          </w:p>
        </w:tc>
        <w:tc>
          <w:tcPr>
            <w:tcW w:w="381" w:type="pct"/>
            <w:tcBorders>
              <w:top w:val="nil"/>
              <w:left w:val="nil"/>
              <w:bottom w:val="single" w:sz="4" w:space="0" w:color="auto"/>
              <w:right w:val="single" w:sz="4" w:space="0" w:color="auto"/>
            </w:tcBorders>
            <w:shd w:val="clear" w:color="000000" w:fill="4F81BD"/>
            <w:noWrap/>
            <w:vAlign w:val="center"/>
            <w:hideMark/>
          </w:tcPr>
          <w:p w14:paraId="26D53F16" w14:textId="77777777" w:rsidR="00495A2C" w:rsidRPr="00495A2C" w:rsidRDefault="00495A2C" w:rsidP="00495A2C">
            <w:pPr>
              <w:spacing w:after="0" w:line="240" w:lineRule="auto"/>
              <w:jc w:val="center"/>
              <w:rPr>
                <w:rFonts w:ascii="Times New Roman" w:eastAsia="Times New Roman" w:hAnsi="Times New Roman" w:cs="Times New Roman"/>
                <w:b/>
                <w:bCs/>
                <w:color w:val="FFFFFF"/>
                <w:sz w:val="14"/>
                <w:szCs w:val="14"/>
                <w:lang w:val="en-US"/>
              </w:rPr>
            </w:pPr>
            <w:r w:rsidRPr="00495A2C">
              <w:rPr>
                <w:rFonts w:ascii="Times New Roman" w:eastAsia="Times New Roman" w:hAnsi="Times New Roman" w:cs="Times New Roman"/>
                <w:b/>
                <w:bCs/>
                <w:color w:val="FFFFFF"/>
                <w:sz w:val="14"/>
                <w:szCs w:val="14"/>
                <w:lang w:val="en-US"/>
              </w:rPr>
              <w:t>2015</w:t>
            </w:r>
          </w:p>
        </w:tc>
        <w:tc>
          <w:tcPr>
            <w:tcW w:w="381" w:type="pct"/>
            <w:tcBorders>
              <w:top w:val="nil"/>
              <w:left w:val="nil"/>
              <w:bottom w:val="single" w:sz="4" w:space="0" w:color="auto"/>
              <w:right w:val="single" w:sz="4" w:space="0" w:color="auto"/>
            </w:tcBorders>
            <w:shd w:val="clear" w:color="000000" w:fill="4F81BD"/>
            <w:noWrap/>
            <w:vAlign w:val="center"/>
            <w:hideMark/>
          </w:tcPr>
          <w:p w14:paraId="5DE1FB1E" w14:textId="77777777" w:rsidR="00495A2C" w:rsidRPr="00495A2C" w:rsidRDefault="00495A2C" w:rsidP="00495A2C">
            <w:pPr>
              <w:spacing w:after="0" w:line="240" w:lineRule="auto"/>
              <w:jc w:val="center"/>
              <w:rPr>
                <w:rFonts w:ascii="Times New Roman" w:eastAsia="Times New Roman" w:hAnsi="Times New Roman" w:cs="Times New Roman"/>
                <w:b/>
                <w:bCs/>
                <w:color w:val="FFFFFF"/>
                <w:sz w:val="14"/>
                <w:szCs w:val="14"/>
                <w:lang w:val="en-US"/>
              </w:rPr>
            </w:pPr>
            <w:r w:rsidRPr="00495A2C">
              <w:rPr>
                <w:rFonts w:ascii="Times New Roman" w:eastAsia="Times New Roman" w:hAnsi="Times New Roman" w:cs="Times New Roman"/>
                <w:b/>
                <w:bCs/>
                <w:color w:val="FFFFFF"/>
                <w:sz w:val="14"/>
                <w:szCs w:val="14"/>
                <w:lang w:val="en-US"/>
              </w:rPr>
              <w:t>2016</w:t>
            </w:r>
          </w:p>
        </w:tc>
        <w:tc>
          <w:tcPr>
            <w:tcW w:w="381" w:type="pct"/>
            <w:tcBorders>
              <w:top w:val="nil"/>
              <w:left w:val="nil"/>
              <w:bottom w:val="single" w:sz="4" w:space="0" w:color="auto"/>
              <w:right w:val="single" w:sz="4" w:space="0" w:color="auto"/>
            </w:tcBorders>
            <w:shd w:val="clear" w:color="000000" w:fill="4F81BD"/>
            <w:noWrap/>
            <w:vAlign w:val="center"/>
            <w:hideMark/>
          </w:tcPr>
          <w:p w14:paraId="416B9CB8" w14:textId="77777777" w:rsidR="00495A2C" w:rsidRPr="00495A2C" w:rsidRDefault="00495A2C" w:rsidP="00495A2C">
            <w:pPr>
              <w:spacing w:after="0" w:line="240" w:lineRule="auto"/>
              <w:jc w:val="center"/>
              <w:rPr>
                <w:rFonts w:ascii="Times New Roman" w:eastAsia="Times New Roman" w:hAnsi="Times New Roman" w:cs="Times New Roman"/>
                <w:b/>
                <w:bCs/>
                <w:color w:val="FFFFFF"/>
                <w:sz w:val="14"/>
                <w:szCs w:val="14"/>
                <w:lang w:val="en-US"/>
              </w:rPr>
            </w:pPr>
            <w:r w:rsidRPr="00495A2C">
              <w:rPr>
                <w:rFonts w:ascii="Times New Roman" w:eastAsia="Times New Roman" w:hAnsi="Times New Roman" w:cs="Times New Roman"/>
                <w:b/>
                <w:bCs/>
                <w:color w:val="FFFFFF"/>
                <w:sz w:val="14"/>
                <w:szCs w:val="14"/>
                <w:lang w:val="en-US"/>
              </w:rPr>
              <w:t>2017</w:t>
            </w:r>
          </w:p>
        </w:tc>
        <w:tc>
          <w:tcPr>
            <w:tcW w:w="381" w:type="pct"/>
            <w:tcBorders>
              <w:top w:val="nil"/>
              <w:left w:val="nil"/>
              <w:bottom w:val="single" w:sz="4" w:space="0" w:color="auto"/>
              <w:right w:val="single" w:sz="4" w:space="0" w:color="auto"/>
            </w:tcBorders>
            <w:shd w:val="clear" w:color="000000" w:fill="4F81BD"/>
            <w:noWrap/>
            <w:vAlign w:val="center"/>
            <w:hideMark/>
          </w:tcPr>
          <w:p w14:paraId="58680B1F" w14:textId="77777777" w:rsidR="00495A2C" w:rsidRPr="00495A2C" w:rsidRDefault="00495A2C" w:rsidP="00495A2C">
            <w:pPr>
              <w:spacing w:after="0" w:line="240" w:lineRule="auto"/>
              <w:jc w:val="center"/>
              <w:rPr>
                <w:rFonts w:ascii="Times New Roman" w:eastAsia="Times New Roman" w:hAnsi="Times New Roman" w:cs="Times New Roman"/>
                <w:b/>
                <w:bCs/>
                <w:color w:val="FFFFFF"/>
                <w:sz w:val="14"/>
                <w:szCs w:val="14"/>
                <w:lang w:val="en-US"/>
              </w:rPr>
            </w:pPr>
            <w:r w:rsidRPr="00495A2C">
              <w:rPr>
                <w:rFonts w:ascii="Times New Roman" w:eastAsia="Times New Roman" w:hAnsi="Times New Roman" w:cs="Times New Roman"/>
                <w:b/>
                <w:bCs/>
                <w:color w:val="FFFFFF"/>
                <w:sz w:val="14"/>
                <w:szCs w:val="14"/>
                <w:lang w:val="en-US"/>
              </w:rPr>
              <w:t>2018</w:t>
            </w:r>
          </w:p>
        </w:tc>
        <w:tc>
          <w:tcPr>
            <w:tcW w:w="381" w:type="pct"/>
            <w:tcBorders>
              <w:top w:val="nil"/>
              <w:left w:val="nil"/>
              <w:bottom w:val="single" w:sz="4" w:space="0" w:color="auto"/>
              <w:right w:val="single" w:sz="4" w:space="0" w:color="auto"/>
            </w:tcBorders>
            <w:shd w:val="clear" w:color="000000" w:fill="4F81BD"/>
            <w:noWrap/>
            <w:vAlign w:val="center"/>
            <w:hideMark/>
          </w:tcPr>
          <w:p w14:paraId="2A7F7AA8" w14:textId="77777777" w:rsidR="00495A2C" w:rsidRPr="00495A2C" w:rsidRDefault="00495A2C" w:rsidP="00495A2C">
            <w:pPr>
              <w:spacing w:after="0" w:line="240" w:lineRule="auto"/>
              <w:jc w:val="center"/>
              <w:rPr>
                <w:rFonts w:ascii="Times New Roman" w:eastAsia="Times New Roman" w:hAnsi="Times New Roman" w:cs="Times New Roman"/>
                <w:b/>
                <w:bCs/>
                <w:color w:val="FFFFFF"/>
                <w:sz w:val="14"/>
                <w:szCs w:val="14"/>
                <w:lang w:val="en-US"/>
              </w:rPr>
            </w:pPr>
            <w:r w:rsidRPr="00495A2C">
              <w:rPr>
                <w:rFonts w:ascii="Times New Roman" w:eastAsia="Times New Roman" w:hAnsi="Times New Roman" w:cs="Times New Roman"/>
                <w:b/>
                <w:bCs/>
                <w:color w:val="FFFFFF"/>
                <w:sz w:val="14"/>
                <w:szCs w:val="14"/>
                <w:lang w:val="en-US"/>
              </w:rPr>
              <w:t>2019</w:t>
            </w:r>
          </w:p>
        </w:tc>
      </w:tr>
      <w:tr w:rsidR="00495A2C" w:rsidRPr="00495A2C" w14:paraId="390C9D2F" w14:textId="77777777" w:rsidTr="00AC461F">
        <w:trPr>
          <w:trHeight w:val="290"/>
        </w:trPr>
        <w:tc>
          <w:tcPr>
            <w:tcW w:w="1190" w:type="pct"/>
            <w:tcBorders>
              <w:top w:val="nil"/>
              <w:left w:val="single" w:sz="4" w:space="0" w:color="auto"/>
              <w:bottom w:val="single" w:sz="4" w:space="0" w:color="auto"/>
              <w:right w:val="single" w:sz="4" w:space="0" w:color="auto"/>
            </w:tcBorders>
            <w:shd w:val="clear" w:color="auto" w:fill="auto"/>
            <w:vAlign w:val="center"/>
            <w:hideMark/>
          </w:tcPr>
          <w:p w14:paraId="1AC6BA52" w14:textId="77777777" w:rsidR="00495A2C" w:rsidRPr="00495A2C" w:rsidRDefault="00495A2C" w:rsidP="00495A2C">
            <w:pPr>
              <w:spacing w:after="0" w:line="240" w:lineRule="auto"/>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 xml:space="preserve">1. </w:t>
            </w:r>
            <w:proofErr w:type="spellStart"/>
            <w:r w:rsidRPr="00495A2C">
              <w:rPr>
                <w:rFonts w:ascii="Times New Roman" w:eastAsia="Times New Roman" w:hAnsi="Times New Roman" w:cs="Times New Roman"/>
                <w:color w:val="000000"/>
                <w:sz w:val="14"/>
                <w:szCs w:val="14"/>
                <w:lang w:val="en-US"/>
              </w:rPr>
              <w:t>Energie</w:t>
            </w:r>
            <w:proofErr w:type="spellEnd"/>
          </w:p>
        </w:tc>
        <w:tc>
          <w:tcPr>
            <w:tcW w:w="381" w:type="pct"/>
            <w:tcBorders>
              <w:top w:val="nil"/>
              <w:left w:val="nil"/>
              <w:bottom w:val="single" w:sz="4" w:space="0" w:color="auto"/>
              <w:right w:val="single" w:sz="4" w:space="0" w:color="auto"/>
            </w:tcBorders>
            <w:shd w:val="clear" w:color="auto" w:fill="auto"/>
            <w:noWrap/>
            <w:vAlign w:val="center"/>
            <w:hideMark/>
          </w:tcPr>
          <w:p w14:paraId="54E698DB"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9.33</w:t>
            </w:r>
          </w:p>
        </w:tc>
        <w:tc>
          <w:tcPr>
            <w:tcW w:w="381" w:type="pct"/>
            <w:tcBorders>
              <w:top w:val="nil"/>
              <w:left w:val="nil"/>
              <w:bottom w:val="single" w:sz="4" w:space="0" w:color="auto"/>
              <w:right w:val="single" w:sz="4" w:space="0" w:color="auto"/>
            </w:tcBorders>
            <w:shd w:val="clear" w:color="auto" w:fill="auto"/>
            <w:noWrap/>
            <w:vAlign w:val="center"/>
            <w:hideMark/>
          </w:tcPr>
          <w:p w14:paraId="2D82E4D3"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9.71</w:t>
            </w:r>
          </w:p>
        </w:tc>
        <w:tc>
          <w:tcPr>
            <w:tcW w:w="381" w:type="pct"/>
            <w:tcBorders>
              <w:top w:val="nil"/>
              <w:left w:val="nil"/>
              <w:bottom w:val="single" w:sz="4" w:space="0" w:color="auto"/>
              <w:right w:val="single" w:sz="4" w:space="0" w:color="auto"/>
            </w:tcBorders>
            <w:shd w:val="clear" w:color="auto" w:fill="auto"/>
            <w:noWrap/>
            <w:vAlign w:val="center"/>
            <w:hideMark/>
          </w:tcPr>
          <w:p w14:paraId="11912F46"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9.29</w:t>
            </w:r>
          </w:p>
        </w:tc>
        <w:tc>
          <w:tcPr>
            <w:tcW w:w="381" w:type="pct"/>
            <w:tcBorders>
              <w:top w:val="nil"/>
              <w:left w:val="nil"/>
              <w:bottom w:val="single" w:sz="4" w:space="0" w:color="auto"/>
              <w:right w:val="single" w:sz="4" w:space="0" w:color="auto"/>
            </w:tcBorders>
            <w:shd w:val="clear" w:color="auto" w:fill="auto"/>
            <w:noWrap/>
            <w:vAlign w:val="center"/>
            <w:hideMark/>
          </w:tcPr>
          <w:p w14:paraId="09CF41E3"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8.98</w:t>
            </w:r>
          </w:p>
        </w:tc>
        <w:tc>
          <w:tcPr>
            <w:tcW w:w="381" w:type="pct"/>
            <w:tcBorders>
              <w:top w:val="nil"/>
              <w:left w:val="nil"/>
              <w:bottom w:val="single" w:sz="4" w:space="0" w:color="auto"/>
              <w:right w:val="single" w:sz="4" w:space="0" w:color="auto"/>
            </w:tcBorders>
            <w:shd w:val="clear" w:color="auto" w:fill="auto"/>
            <w:noWrap/>
            <w:vAlign w:val="center"/>
            <w:hideMark/>
          </w:tcPr>
          <w:p w14:paraId="6F1F5071"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8.88</w:t>
            </w:r>
          </w:p>
        </w:tc>
        <w:tc>
          <w:tcPr>
            <w:tcW w:w="381" w:type="pct"/>
            <w:tcBorders>
              <w:top w:val="nil"/>
              <w:left w:val="nil"/>
              <w:bottom w:val="single" w:sz="4" w:space="0" w:color="auto"/>
              <w:right w:val="single" w:sz="4" w:space="0" w:color="auto"/>
            </w:tcBorders>
            <w:shd w:val="clear" w:color="auto" w:fill="auto"/>
            <w:noWrap/>
            <w:vAlign w:val="center"/>
            <w:hideMark/>
          </w:tcPr>
          <w:p w14:paraId="1F5DFAFC"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9.18</w:t>
            </w:r>
          </w:p>
        </w:tc>
        <w:tc>
          <w:tcPr>
            <w:tcW w:w="381" w:type="pct"/>
            <w:tcBorders>
              <w:top w:val="nil"/>
              <w:left w:val="nil"/>
              <w:bottom w:val="single" w:sz="4" w:space="0" w:color="auto"/>
              <w:right w:val="single" w:sz="4" w:space="0" w:color="auto"/>
            </w:tcBorders>
            <w:shd w:val="clear" w:color="auto" w:fill="auto"/>
            <w:noWrap/>
            <w:vAlign w:val="center"/>
            <w:hideMark/>
          </w:tcPr>
          <w:p w14:paraId="737259CE"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9.33</w:t>
            </w:r>
          </w:p>
        </w:tc>
        <w:tc>
          <w:tcPr>
            <w:tcW w:w="381" w:type="pct"/>
            <w:tcBorders>
              <w:top w:val="nil"/>
              <w:left w:val="nil"/>
              <w:bottom w:val="single" w:sz="4" w:space="0" w:color="auto"/>
              <w:right w:val="single" w:sz="4" w:space="0" w:color="auto"/>
            </w:tcBorders>
            <w:shd w:val="clear" w:color="auto" w:fill="auto"/>
            <w:noWrap/>
            <w:vAlign w:val="center"/>
            <w:hideMark/>
          </w:tcPr>
          <w:p w14:paraId="04EC1FE3"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8.90</w:t>
            </w:r>
          </w:p>
        </w:tc>
        <w:tc>
          <w:tcPr>
            <w:tcW w:w="381" w:type="pct"/>
            <w:tcBorders>
              <w:top w:val="nil"/>
              <w:left w:val="nil"/>
              <w:bottom w:val="single" w:sz="4" w:space="0" w:color="auto"/>
              <w:right w:val="single" w:sz="4" w:space="0" w:color="auto"/>
            </w:tcBorders>
            <w:shd w:val="clear" w:color="auto" w:fill="auto"/>
            <w:noWrap/>
            <w:vAlign w:val="center"/>
            <w:hideMark/>
          </w:tcPr>
          <w:p w14:paraId="718FF83E"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9.41</w:t>
            </w:r>
          </w:p>
        </w:tc>
        <w:tc>
          <w:tcPr>
            <w:tcW w:w="381" w:type="pct"/>
            <w:tcBorders>
              <w:top w:val="nil"/>
              <w:left w:val="nil"/>
              <w:bottom w:val="single" w:sz="4" w:space="0" w:color="auto"/>
              <w:right w:val="single" w:sz="4" w:space="0" w:color="auto"/>
            </w:tcBorders>
            <w:shd w:val="clear" w:color="auto" w:fill="auto"/>
            <w:noWrap/>
            <w:vAlign w:val="center"/>
            <w:hideMark/>
          </w:tcPr>
          <w:p w14:paraId="3B3345E1"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9.32</w:t>
            </w:r>
          </w:p>
        </w:tc>
      </w:tr>
      <w:tr w:rsidR="00495A2C" w:rsidRPr="00495A2C" w14:paraId="02B35FE7" w14:textId="77777777" w:rsidTr="00AC461F">
        <w:trPr>
          <w:trHeight w:val="285"/>
        </w:trPr>
        <w:tc>
          <w:tcPr>
            <w:tcW w:w="1190" w:type="pct"/>
            <w:tcBorders>
              <w:top w:val="nil"/>
              <w:left w:val="single" w:sz="4" w:space="0" w:color="auto"/>
              <w:bottom w:val="single" w:sz="4" w:space="0" w:color="auto"/>
              <w:right w:val="single" w:sz="4" w:space="0" w:color="auto"/>
            </w:tcBorders>
            <w:shd w:val="clear" w:color="auto" w:fill="auto"/>
            <w:vAlign w:val="center"/>
            <w:hideMark/>
          </w:tcPr>
          <w:p w14:paraId="33F6E2C0" w14:textId="77777777" w:rsidR="00495A2C" w:rsidRPr="00AC461F" w:rsidRDefault="00495A2C" w:rsidP="00495A2C">
            <w:pPr>
              <w:spacing w:after="0" w:line="240" w:lineRule="auto"/>
              <w:rPr>
                <w:rFonts w:ascii="Times New Roman" w:eastAsia="Times New Roman" w:hAnsi="Times New Roman" w:cs="Times New Roman"/>
                <w:color w:val="000000"/>
                <w:sz w:val="14"/>
                <w:szCs w:val="14"/>
                <w:lang w:val="es-ES"/>
              </w:rPr>
            </w:pPr>
            <w:r w:rsidRPr="00AC461F">
              <w:rPr>
                <w:rFonts w:ascii="Times New Roman" w:eastAsia="Times New Roman" w:hAnsi="Times New Roman" w:cs="Times New Roman"/>
                <w:color w:val="000000"/>
                <w:sz w:val="14"/>
                <w:szCs w:val="14"/>
                <w:lang w:val="es-ES"/>
              </w:rPr>
              <w:t>2. Procesele industriale și utilizarea produselor</w:t>
            </w:r>
          </w:p>
        </w:tc>
        <w:tc>
          <w:tcPr>
            <w:tcW w:w="381" w:type="pct"/>
            <w:tcBorders>
              <w:top w:val="nil"/>
              <w:left w:val="nil"/>
              <w:bottom w:val="single" w:sz="4" w:space="0" w:color="auto"/>
              <w:right w:val="single" w:sz="4" w:space="0" w:color="auto"/>
            </w:tcBorders>
            <w:shd w:val="clear" w:color="auto" w:fill="auto"/>
            <w:noWrap/>
            <w:vAlign w:val="center"/>
            <w:hideMark/>
          </w:tcPr>
          <w:p w14:paraId="2165AEF4"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0.56</w:t>
            </w:r>
          </w:p>
        </w:tc>
        <w:tc>
          <w:tcPr>
            <w:tcW w:w="381" w:type="pct"/>
            <w:tcBorders>
              <w:top w:val="nil"/>
              <w:left w:val="nil"/>
              <w:bottom w:val="single" w:sz="4" w:space="0" w:color="auto"/>
              <w:right w:val="single" w:sz="4" w:space="0" w:color="auto"/>
            </w:tcBorders>
            <w:shd w:val="clear" w:color="auto" w:fill="auto"/>
            <w:noWrap/>
            <w:vAlign w:val="center"/>
            <w:hideMark/>
          </w:tcPr>
          <w:p w14:paraId="54F579E4"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0.66</w:t>
            </w:r>
          </w:p>
        </w:tc>
        <w:tc>
          <w:tcPr>
            <w:tcW w:w="381" w:type="pct"/>
            <w:tcBorders>
              <w:top w:val="nil"/>
              <w:left w:val="nil"/>
              <w:bottom w:val="single" w:sz="4" w:space="0" w:color="auto"/>
              <w:right w:val="single" w:sz="4" w:space="0" w:color="auto"/>
            </w:tcBorders>
            <w:shd w:val="clear" w:color="auto" w:fill="auto"/>
            <w:noWrap/>
            <w:vAlign w:val="center"/>
            <w:hideMark/>
          </w:tcPr>
          <w:p w14:paraId="685202F5"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0.68</w:t>
            </w:r>
          </w:p>
        </w:tc>
        <w:tc>
          <w:tcPr>
            <w:tcW w:w="381" w:type="pct"/>
            <w:tcBorders>
              <w:top w:val="nil"/>
              <w:left w:val="nil"/>
              <w:bottom w:val="single" w:sz="4" w:space="0" w:color="auto"/>
              <w:right w:val="single" w:sz="4" w:space="0" w:color="auto"/>
            </w:tcBorders>
            <w:shd w:val="clear" w:color="auto" w:fill="auto"/>
            <w:noWrap/>
            <w:vAlign w:val="center"/>
            <w:hideMark/>
          </w:tcPr>
          <w:p w14:paraId="2D4856C2"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0.73</w:t>
            </w:r>
          </w:p>
        </w:tc>
        <w:tc>
          <w:tcPr>
            <w:tcW w:w="381" w:type="pct"/>
            <w:tcBorders>
              <w:top w:val="nil"/>
              <w:left w:val="nil"/>
              <w:bottom w:val="single" w:sz="4" w:space="0" w:color="auto"/>
              <w:right w:val="single" w:sz="4" w:space="0" w:color="auto"/>
            </w:tcBorders>
            <w:shd w:val="clear" w:color="auto" w:fill="auto"/>
            <w:noWrap/>
            <w:vAlign w:val="center"/>
            <w:hideMark/>
          </w:tcPr>
          <w:p w14:paraId="4B351D94"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0.76</w:t>
            </w:r>
          </w:p>
        </w:tc>
        <w:tc>
          <w:tcPr>
            <w:tcW w:w="381" w:type="pct"/>
            <w:tcBorders>
              <w:top w:val="nil"/>
              <w:left w:val="nil"/>
              <w:bottom w:val="single" w:sz="4" w:space="0" w:color="auto"/>
              <w:right w:val="single" w:sz="4" w:space="0" w:color="auto"/>
            </w:tcBorders>
            <w:shd w:val="clear" w:color="auto" w:fill="auto"/>
            <w:noWrap/>
            <w:vAlign w:val="center"/>
            <w:hideMark/>
          </w:tcPr>
          <w:p w14:paraId="4FBC8D15"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0.76</w:t>
            </w:r>
          </w:p>
        </w:tc>
        <w:tc>
          <w:tcPr>
            <w:tcW w:w="381" w:type="pct"/>
            <w:tcBorders>
              <w:top w:val="nil"/>
              <w:left w:val="nil"/>
              <w:bottom w:val="single" w:sz="4" w:space="0" w:color="auto"/>
              <w:right w:val="single" w:sz="4" w:space="0" w:color="auto"/>
            </w:tcBorders>
            <w:shd w:val="clear" w:color="auto" w:fill="auto"/>
            <w:noWrap/>
            <w:vAlign w:val="center"/>
            <w:hideMark/>
          </w:tcPr>
          <w:p w14:paraId="0F7D4210"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0.75</w:t>
            </w:r>
          </w:p>
        </w:tc>
        <w:tc>
          <w:tcPr>
            <w:tcW w:w="381" w:type="pct"/>
            <w:tcBorders>
              <w:top w:val="nil"/>
              <w:left w:val="nil"/>
              <w:bottom w:val="single" w:sz="4" w:space="0" w:color="auto"/>
              <w:right w:val="single" w:sz="4" w:space="0" w:color="auto"/>
            </w:tcBorders>
            <w:shd w:val="clear" w:color="auto" w:fill="auto"/>
            <w:noWrap/>
            <w:vAlign w:val="center"/>
            <w:hideMark/>
          </w:tcPr>
          <w:p w14:paraId="535C14B6"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0.78</w:t>
            </w:r>
          </w:p>
        </w:tc>
        <w:tc>
          <w:tcPr>
            <w:tcW w:w="381" w:type="pct"/>
            <w:tcBorders>
              <w:top w:val="nil"/>
              <w:left w:val="nil"/>
              <w:bottom w:val="single" w:sz="4" w:space="0" w:color="auto"/>
              <w:right w:val="single" w:sz="4" w:space="0" w:color="auto"/>
            </w:tcBorders>
            <w:shd w:val="clear" w:color="auto" w:fill="auto"/>
            <w:noWrap/>
            <w:vAlign w:val="center"/>
            <w:hideMark/>
          </w:tcPr>
          <w:p w14:paraId="0E936D1A"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0.96</w:t>
            </w:r>
          </w:p>
        </w:tc>
        <w:tc>
          <w:tcPr>
            <w:tcW w:w="381" w:type="pct"/>
            <w:tcBorders>
              <w:top w:val="nil"/>
              <w:left w:val="nil"/>
              <w:bottom w:val="single" w:sz="4" w:space="0" w:color="auto"/>
              <w:right w:val="single" w:sz="4" w:space="0" w:color="auto"/>
            </w:tcBorders>
            <w:shd w:val="clear" w:color="auto" w:fill="auto"/>
            <w:noWrap/>
            <w:vAlign w:val="center"/>
            <w:hideMark/>
          </w:tcPr>
          <w:p w14:paraId="48CD2FE6"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0.99</w:t>
            </w:r>
          </w:p>
        </w:tc>
      </w:tr>
      <w:tr w:rsidR="00495A2C" w:rsidRPr="00495A2C" w14:paraId="0E68759E" w14:textId="77777777" w:rsidTr="00AC461F">
        <w:trPr>
          <w:trHeight w:val="290"/>
        </w:trPr>
        <w:tc>
          <w:tcPr>
            <w:tcW w:w="1190" w:type="pct"/>
            <w:tcBorders>
              <w:top w:val="nil"/>
              <w:left w:val="single" w:sz="4" w:space="0" w:color="auto"/>
              <w:bottom w:val="single" w:sz="4" w:space="0" w:color="auto"/>
              <w:right w:val="single" w:sz="4" w:space="0" w:color="auto"/>
            </w:tcBorders>
            <w:shd w:val="clear" w:color="auto" w:fill="auto"/>
            <w:vAlign w:val="center"/>
            <w:hideMark/>
          </w:tcPr>
          <w:p w14:paraId="3672D020" w14:textId="77777777" w:rsidR="00495A2C" w:rsidRPr="00495A2C" w:rsidRDefault="00495A2C" w:rsidP="00495A2C">
            <w:pPr>
              <w:spacing w:after="0" w:line="240" w:lineRule="auto"/>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3. Agricultura</w:t>
            </w:r>
          </w:p>
        </w:tc>
        <w:tc>
          <w:tcPr>
            <w:tcW w:w="381" w:type="pct"/>
            <w:tcBorders>
              <w:top w:val="nil"/>
              <w:left w:val="nil"/>
              <w:bottom w:val="single" w:sz="4" w:space="0" w:color="auto"/>
              <w:right w:val="single" w:sz="4" w:space="0" w:color="auto"/>
            </w:tcBorders>
            <w:shd w:val="clear" w:color="auto" w:fill="auto"/>
            <w:noWrap/>
            <w:vAlign w:val="center"/>
            <w:hideMark/>
          </w:tcPr>
          <w:p w14:paraId="6DA71FBC"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1.97</w:t>
            </w:r>
          </w:p>
        </w:tc>
        <w:tc>
          <w:tcPr>
            <w:tcW w:w="381" w:type="pct"/>
            <w:tcBorders>
              <w:top w:val="nil"/>
              <w:left w:val="nil"/>
              <w:bottom w:val="single" w:sz="4" w:space="0" w:color="auto"/>
              <w:right w:val="single" w:sz="4" w:space="0" w:color="auto"/>
            </w:tcBorders>
            <w:shd w:val="clear" w:color="auto" w:fill="auto"/>
            <w:noWrap/>
            <w:vAlign w:val="center"/>
            <w:hideMark/>
          </w:tcPr>
          <w:p w14:paraId="3F796469"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1.89</w:t>
            </w:r>
          </w:p>
        </w:tc>
        <w:tc>
          <w:tcPr>
            <w:tcW w:w="381" w:type="pct"/>
            <w:tcBorders>
              <w:top w:val="nil"/>
              <w:left w:val="nil"/>
              <w:bottom w:val="single" w:sz="4" w:space="0" w:color="auto"/>
              <w:right w:val="single" w:sz="4" w:space="0" w:color="auto"/>
            </w:tcBorders>
            <w:shd w:val="clear" w:color="auto" w:fill="auto"/>
            <w:noWrap/>
            <w:vAlign w:val="center"/>
            <w:hideMark/>
          </w:tcPr>
          <w:p w14:paraId="2F0DE663"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1.79</w:t>
            </w:r>
          </w:p>
        </w:tc>
        <w:tc>
          <w:tcPr>
            <w:tcW w:w="381" w:type="pct"/>
            <w:tcBorders>
              <w:top w:val="nil"/>
              <w:left w:val="nil"/>
              <w:bottom w:val="single" w:sz="4" w:space="0" w:color="auto"/>
              <w:right w:val="single" w:sz="4" w:space="0" w:color="auto"/>
            </w:tcBorders>
            <w:shd w:val="clear" w:color="auto" w:fill="auto"/>
            <w:noWrap/>
            <w:vAlign w:val="center"/>
            <w:hideMark/>
          </w:tcPr>
          <w:p w14:paraId="434C406D"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1.91</w:t>
            </w:r>
          </w:p>
        </w:tc>
        <w:tc>
          <w:tcPr>
            <w:tcW w:w="381" w:type="pct"/>
            <w:tcBorders>
              <w:top w:val="nil"/>
              <w:left w:val="nil"/>
              <w:bottom w:val="single" w:sz="4" w:space="0" w:color="auto"/>
              <w:right w:val="single" w:sz="4" w:space="0" w:color="auto"/>
            </w:tcBorders>
            <w:shd w:val="clear" w:color="auto" w:fill="auto"/>
            <w:noWrap/>
            <w:vAlign w:val="center"/>
            <w:hideMark/>
          </w:tcPr>
          <w:p w14:paraId="5F5074FB"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2.12</w:t>
            </w:r>
          </w:p>
        </w:tc>
        <w:tc>
          <w:tcPr>
            <w:tcW w:w="381" w:type="pct"/>
            <w:tcBorders>
              <w:top w:val="nil"/>
              <w:left w:val="nil"/>
              <w:bottom w:val="single" w:sz="4" w:space="0" w:color="auto"/>
              <w:right w:val="single" w:sz="4" w:space="0" w:color="auto"/>
            </w:tcBorders>
            <w:shd w:val="clear" w:color="auto" w:fill="auto"/>
            <w:noWrap/>
            <w:vAlign w:val="center"/>
            <w:hideMark/>
          </w:tcPr>
          <w:p w14:paraId="2CA4A3CA"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1.85</w:t>
            </w:r>
          </w:p>
        </w:tc>
        <w:tc>
          <w:tcPr>
            <w:tcW w:w="381" w:type="pct"/>
            <w:tcBorders>
              <w:top w:val="nil"/>
              <w:left w:val="nil"/>
              <w:bottom w:val="single" w:sz="4" w:space="0" w:color="auto"/>
              <w:right w:val="single" w:sz="4" w:space="0" w:color="auto"/>
            </w:tcBorders>
            <w:shd w:val="clear" w:color="auto" w:fill="auto"/>
            <w:noWrap/>
            <w:vAlign w:val="center"/>
            <w:hideMark/>
          </w:tcPr>
          <w:p w14:paraId="432C57B8"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1.99</w:t>
            </w:r>
          </w:p>
        </w:tc>
        <w:tc>
          <w:tcPr>
            <w:tcW w:w="381" w:type="pct"/>
            <w:tcBorders>
              <w:top w:val="nil"/>
              <w:left w:val="nil"/>
              <w:bottom w:val="single" w:sz="4" w:space="0" w:color="auto"/>
              <w:right w:val="single" w:sz="4" w:space="0" w:color="auto"/>
            </w:tcBorders>
            <w:shd w:val="clear" w:color="auto" w:fill="auto"/>
            <w:noWrap/>
            <w:vAlign w:val="center"/>
            <w:hideMark/>
          </w:tcPr>
          <w:p w14:paraId="172E17CC"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2.04</w:t>
            </w:r>
          </w:p>
        </w:tc>
        <w:tc>
          <w:tcPr>
            <w:tcW w:w="381" w:type="pct"/>
            <w:tcBorders>
              <w:top w:val="nil"/>
              <w:left w:val="nil"/>
              <w:bottom w:val="single" w:sz="4" w:space="0" w:color="auto"/>
              <w:right w:val="single" w:sz="4" w:space="0" w:color="auto"/>
            </w:tcBorders>
            <w:shd w:val="clear" w:color="auto" w:fill="auto"/>
            <w:noWrap/>
            <w:vAlign w:val="center"/>
            <w:hideMark/>
          </w:tcPr>
          <w:p w14:paraId="5E539A71"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1.99</w:t>
            </w:r>
          </w:p>
        </w:tc>
        <w:tc>
          <w:tcPr>
            <w:tcW w:w="381" w:type="pct"/>
            <w:tcBorders>
              <w:top w:val="nil"/>
              <w:left w:val="nil"/>
              <w:bottom w:val="single" w:sz="4" w:space="0" w:color="auto"/>
              <w:right w:val="single" w:sz="4" w:space="0" w:color="auto"/>
            </w:tcBorders>
            <w:shd w:val="clear" w:color="auto" w:fill="auto"/>
            <w:noWrap/>
            <w:vAlign w:val="center"/>
            <w:hideMark/>
          </w:tcPr>
          <w:p w14:paraId="4858B6C5"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1.94</w:t>
            </w:r>
          </w:p>
        </w:tc>
      </w:tr>
      <w:tr w:rsidR="00495A2C" w:rsidRPr="00495A2C" w14:paraId="2C4B4EFB" w14:textId="77777777" w:rsidTr="00AC461F">
        <w:trPr>
          <w:trHeight w:val="290"/>
        </w:trPr>
        <w:tc>
          <w:tcPr>
            <w:tcW w:w="1190" w:type="pct"/>
            <w:tcBorders>
              <w:top w:val="nil"/>
              <w:left w:val="single" w:sz="4" w:space="0" w:color="auto"/>
              <w:bottom w:val="single" w:sz="4" w:space="0" w:color="auto"/>
              <w:right w:val="single" w:sz="4" w:space="0" w:color="auto"/>
            </w:tcBorders>
            <w:shd w:val="clear" w:color="auto" w:fill="auto"/>
            <w:vAlign w:val="center"/>
            <w:hideMark/>
          </w:tcPr>
          <w:p w14:paraId="5874DDE7" w14:textId="77777777" w:rsidR="00495A2C" w:rsidRPr="00495A2C" w:rsidRDefault="00495A2C" w:rsidP="00495A2C">
            <w:pPr>
              <w:spacing w:after="0" w:line="240" w:lineRule="auto"/>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4. FTSCFTS</w:t>
            </w:r>
          </w:p>
        </w:tc>
        <w:tc>
          <w:tcPr>
            <w:tcW w:w="381" w:type="pct"/>
            <w:tcBorders>
              <w:top w:val="nil"/>
              <w:left w:val="nil"/>
              <w:bottom w:val="single" w:sz="4" w:space="0" w:color="auto"/>
              <w:right w:val="single" w:sz="4" w:space="0" w:color="auto"/>
            </w:tcBorders>
            <w:shd w:val="clear" w:color="auto" w:fill="auto"/>
            <w:noWrap/>
            <w:vAlign w:val="center"/>
            <w:hideMark/>
          </w:tcPr>
          <w:p w14:paraId="1671C6E7"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-0.95</w:t>
            </w:r>
          </w:p>
        </w:tc>
        <w:tc>
          <w:tcPr>
            <w:tcW w:w="381" w:type="pct"/>
            <w:tcBorders>
              <w:top w:val="nil"/>
              <w:left w:val="nil"/>
              <w:bottom w:val="single" w:sz="4" w:space="0" w:color="auto"/>
              <w:right w:val="single" w:sz="4" w:space="0" w:color="auto"/>
            </w:tcBorders>
            <w:shd w:val="clear" w:color="auto" w:fill="auto"/>
            <w:noWrap/>
            <w:vAlign w:val="center"/>
            <w:hideMark/>
          </w:tcPr>
          <w:p w14:paraId="25E8598C"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-0.90</w:t>
            </w:r>
          </w:p>
        </w:tc>
        <w:tc>
          <w:tcPr>
            <w:tcW w:w="381" w:type="pct"/>
            <w:tcBorders>
              <w:top w:val="nil"/>
              <w:left w:val="nil"/>
              <w:bottom w:val="single" w:sz="4" w:space="0" w:color="auto"/>
              <w:right w:val="single" w:sz="4" w:space="0" w:color="auto"/>
            </w:tcBorders>
            <w:shd w:val="clear" w:color="auto" w:fill="auto"/>
            <w:noWrap/>
            <w:vAlign w:val="center"/>
            <w:hideMark/>
          </w:tcPr>
          <w:p w14:paraId="5DC00A3A"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-0.93</w:t>
            </w:r>
          </w:p>
        </w:tc>
        <w:tc>
          <w:tcPr>
            <w:tcW w:w="381" w:type="pct"/>
            <w:tcBorders>
              <w:top w:val="nil"/>
              <w:left w:val="nil"/>
              <w:bottom w:val="single" w:sz="4" w:space="0" w:color="auto"/>
              <w:right w:val="single" w:sz="4" w:space="0" w:color="auto"/>
            </w:tcBorders>
            <w:shd w:val="clear" w:color="auto" w:fill="auto"/>
            <w:noWrap/>
            <w:vAlign w:val="center"/>
            <w:hideMark/>
          </w:tcPr>
          <w:p w14:paraId="2B554005"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-0.80</w:t>
            </w:r>
          </w:p>
        </w:tc>
        <w:tc>
          <w:tcPr>
            <w:tcW w:w="381" w:type="pct"/>
            <w:tcBorders>
              <w:top w:val="nil"/>
              <w:left w:val="nil"/>
              <w:bottom w:val="single" w:sz="4" w:space="0" w:color="auto"/>
              <w:right w:val="single" w:sz="4" w:space="0" w:color="auto"/>
            </w:tcBorders>
            <w:shd w:val="clear" w:color="auto" w:fill="auto"/>
            <w:noWrap/>
            <w:vAlign w:val="center"/>
            <w:hideMark/>
          </w:tcPr>
          <w:p w14:paraId="0085B758"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-0.45</w:t>
            </w:r>
          </w:p>
        </w:tc>
        <w:tc>
          <w:tcPr>
            <w:tcW w:w="381" w:type="pct"/>
            <w:tcBorders>
              <w:top w:val="nil"/>
              <w:left w:val="nil"/>
              <w:bottom w:val="single" w:sz="4" w:space="0" w:color="auto"/>
              <w:right w:val="single" w:sz="4" w:space="0" w:color="auto"/>
            </w:tcBorders>
            <w:shd w:val="clear" w:color="auto" w:fill="auto"/>
            <w:noWrap/>
            <w:vAlign w:val="center"/>
            <w:hideMark/>
          </w:tcPr>
          <w:p w14:paraId="24D74EF0"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-0.90</w:t>
            </w:r>
          </w:p>
        </w:tc>
        <w:tc>
          <w:tcPr>
            <w:tcW w:w="381" w:type="pct"/>
            <w:tcBorders>
              <w:top w:val="nil"/>
              <w:left w:val="nil"/>
              <w:bottom w:val="single" w:sz="4" w:space="0" w:color="auto"/>
              <w:right w:val="single" w:sz="4" w:space="0" w:color="auto"/>
            </w:tcBorders>
            <w:shd w:val="clear" w:color="auto" w:fill="auto"/>
            <w:noWrap/>
            <w:vAlign w:val="center"/>
            <w:hideMark/>
          </w:tcPr>
          <w:p w14:paraId="72FC07DB"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-0.66</w:t>
            </w:r>
          </w:p>
        </w:tc>
        <w:tc>
          <w:tcPr>
            <w:tcW w:w="381" w:type="pct"/>
            <w:tcBorders>
              <w:top w:val="nil"/>
              <w:left w:val="nil"/>
              <w:bottom w:val="single" w:sz="4" w:space="0" w:color="auto"/>
              <w:right w:val="single" w:sz="4" w:space="0" w:color="auto"/>
            </w:tcBorders>
            <w:shd w:val="clear" w:color="auto" w:fill="auto"/>
            <w:noWrap/>
            <w:vAlign w:val="center"/>
            <w:hideMark/>
          </w:tcPr>
          <w:p w14:paraId="49C64A84"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-0.71</w:t>
            </w:r>
          </w:p>
        </w:tc>
        <w:tc>
          <w:tcPr>
            <w:tcW w:w="381" w:type="pct"/>
            <w:tcBorders>
              <w:top w:val="nil"/>
              <w:left w:val="nil"/>
              <w:bottom w:val="single" w:sz="4" w:space="0" w:color="auto"/>
              <w:right w:val="single" w:sz="4" w:space="0" w:color="auto"/>
            </w:tcBorders>
            <w:shd w:val="clear" w:color="auto" w:fill="auto"/>
            <w:noWrap/>
            <w:vAlign w:val="center"/>
            <w:hideMark/>
          </w:tcPr>
          <w:p w14:paraId="5725860A"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-0.56</w:t>
            </w:r>
          </w:p>
        </w:tc>
        <w:tc>
          <w:tcPr>
            <w:tcW w:w="381" w:type="pct"/>
            <w:tcBorders>
              <w:top w:val="nil"/>
              <w:left w:val="nil"/>
              <w:bottom w:val="single" w:sz="4" w:space="0" w:color="auto"/>
              <w:right w:val="single" w:sz="4" w:space="0" w:color="auto"/>
            </w:tcBorders>
            <w:shd w:val="clear" w:color="auto" w:fill="auto"/>
            <w:noWrap/>
            <w:vAlign w:val="center"/>
            <w:hideMark/>
          </w:tcPr>
          <w:p w14:paraId="5594108A"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0.30</w:t>
            </w:r>
          </w:p>
        </w:tc>
      </w:tr>
      <w:tr w:rsidR="00495A2C" w:rsidRPr="00495A2C" w14:paraId="6B9F9080" w14:textId="77777777" w:rsidTr="00AC461F">
        <w:trPr>
          <w:trHeight w:val="290"/>
        </w:trPr>
        <w:tc>
          <w:tcPr>
            <w:tcW w:w="1190" w:type="pct"/>
            <w:tcBorders>
              <w:top w:val="nil"/>
              <w:left w:val="single" w:sz="4" w:space="0" w:color="auto"/>
              <w:bottom w:val="single" w:sz="4" w:space="0" w:color="auto"/>
              <w:right w:val="single" w:sz="4" w:space="0" w:color="auto"/>
            </w:tcBorders>
            <w:shd w:val="clear" w:color="auto" w:fill="auto"/>
            <w:vAlign w:val="center"/>
            <w:hideMark/>
          </w:tcPr>
          <w:p w14:paraId="6021CCA5" w14:textId="77777777" w:rsidR="00495A2C" w:rsidRPr="00495A2C" w:rsidRDefault="00495A2C" w:rsidP="00495A2C">
            <w:pPr>
              <w:spacing w:after="0" w:line="240" w:lineRule="auto"/>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 xml:space="preserve">5. </w:t>
            </w:r>
            <w:proofErr w:type="spellStart"/>
            <w:r w:rsidRPr="00495A2C">
              <w:rPr>
                <w:rFonts w:ascii="Times New Roman" w:eastAsia="Times New Roman" w:hAnsi="Times New Roman" w:cs="Times New Roman"/>
                <w:color w:val="000000"/>
                <w:sz w:val="14"/>
                <w:szCs w:val="14"/>
                <w:lang w:val="en-US"/>
              </w:rPr>
              <w:t>Deșeuri</w:t>
            </w:r>
            <w:proofErr w:type="spellEnd"/>
          </w:p>
        </w:tc>
        <w:tc>
          <w:tcPr>
            <w:tcW w:w="381" w:type="pct"/>
            <w:tcBorders>
              <w:top w:val="nil"/>
              <w:left w:val="nil"/>
              <w:bottom w:val="single" w:sz="4" w:space="0" w:color="auto"/>
              <w:right w:val="single" w:sz="4" w:space="0" w:color="auto"/>
            </w:tcBorders>
            <w:shd w:val="clear" w:color="auto" w:fill="auto"/>
            <w:noWrap/>
            <w:vAlign w:val="center"/>
            <w:hideMark/>
          </w:tcPr>
          <w:p w14:paraId="0BB4D180"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1.48</w:t>
            </w:r>
          </w:p>
        </w:tc>
        <w:tc>
          <w:tcPr>
            <w:tcW w:w="381" w:type="pct"/>
            <w:tcBorders>
              <w:top w:val="nil"/>
              <w:left w:val="nil"/>
              <w:bottom w:val="single" w:sz="4" w:space="0" w:color="auto"/>
              <w:right w:val="single" w:sz="4" w:space="0" w:color="auto"/>
            </w:tcBorders>
            <w:shd w:val="clear" w:color="auto" w:fill="auto"/>
            <w:noWrap/>
            <w:vAlign w:val="center"/>
            <w:hideMark/>
          </w:tcPr>
          <w:p w14:paraId="32D5E322"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1.49</w:t>
            </w:r>
          </w:p>
        </w:tc>
        <w:tc>
          <w:tcPr>
            <w:tcW w:w="381" w:type="pct"/>
            <w:tcBorders>
              <w:top w:val="nil"/>
              <w:left w:val="nil"/>
              <w:bottom w:val="single" w:sz="4" w:space="0" w:color="auto"/>
              <w:right w:val="single" w:sz="4" w:space="0" w:color="auto"/>
            </w:tcBorders>
            <w:shd w:val="clear" w:color="auto" w:fill="auto"/>
            <w:noWrap/>
            <w:vAlign w:val="center"/>
            <w:hideMark/>
          </w:tcPr>
          <w:p w14:paraId="52775BB4"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1.47</w:t>
            </w:r>
          </w:p>
        </w:tc>
        <w:tc>
          <w:tcPr>
            <w:tcW w:w="381" w:type="pct"/>
            <w:tcBorders>
              <w:top w:val="nil"/>
              <w:left w:val="nil"/>
              <w:bottom w:val="single" w:sz="4" w:space="0" w:color="auto"/>
              <w:right w:val="single" w:sz="4" w:space="0" w:color="auto"/>
            </w:tcBorders>
            <w:shd w:val="clear" w:color="auto" w:fill="auto"/>
            <w:noWrap/>
            <w:vAlign w:val="center"/>
            <w:hideMark/>
          </w:tcPr>
          <w:p w14:paraId="4805E5C0"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1.42</w:t>
            </w:r>
          </w:p>
        </w:tc>
        <w:tc>
          <w:tcPr>
            <w:tcW w:w="381" w:type="pct"/>
            <w:tcBorders>
              <w:top w:val="nil"/>
              <w:left w:val="nil"/>
              <w:bottom w:val="single" w:sz="4" w:space="0" w:color="auto"/>
              <w:right w:val="single" w:sz="4" w:space="0" w:color="auto"/>
            </w:tcBorders>
            <w:shd w:val="clear" w:color="auto" w:fill="auto"/>
            <w:noWrap/>
            <w:vAlign w:val="center"/>
            <w:hideMark/>
          </w:tcPr>
          <w:p w14:paraId="254BDD07"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1.41</w:t>
            </w:r>
          </w:p>
        </w:tc>
        <w:tc>
          <w:tcPr>
            <w:tcW w:w="381" w:type="pct"/>
            <w:tcBorders>
              <w:top w:val="nil"/>
              <w:left w:val="nil"/>
              <w:bottom w:val="single" w:sz="4" w:space="0" w:color="auto"/>
              <w:right w:val="single" w:sz="4" w:space="0" w:color="auto"/>
            </w:tcBorders>
            <w:shd w:val="clear" w:color="auto" w:fill="auto"/>
            <w:noWrap/>
            <w:vAlign w:val="center"/>
            <w:hideMark/>
          </w:tcPr>
          <w:p w14:paraId="6A6B2D0F"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1.41</w:t>
            </w:r>
          </w:p>
        </w:tc>
        <w:tc>
          <w:tcPr>
            <w:tcW w:w="381" w:type="pct"/>
            <w:tcBorders>
              <w:top w:val="nil"/>
              <w:left w:val="nil"/>
              <w:bottom w:val="single" w:sz="4" w:space="0" w:color="auto"/>
              <w:right w:val="single" w:sz="4" w:space="0" w:color="auto"/>
            </w:tcBorders>
            <w:shd w:val="clear" w:color="auto" w:fill="auto"/>
            <w:noWrap/>
            <w:vAlign w:val="center"/>
            <w:hideMark/>
          </w:tcPr>
          <w:p w14:paraId="2CAC7849"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1.43</w:t>
            </w:r>
          </w:p>
        </w:tc>
        <w:tc>
          <w:tcPr>
            <w:tcW w:w="381" w:type="pct"/>
            <w:tcBorders>
              <w:top w:val="nil"/>
              <w:left w:val="nil"/>
              <w:bottom w:val="single" w:sz="4" w:space="0" w:color="auto"/>
              <w:right w:val="single" w:sz="4" w:space="0" w:color="auto"/>
            </w:tcBorders>
            <w:shd w:val="clear" w:color="auto" w:fill="auto"/>
            <w:noWrap/>
            <w:vAlign w:val="center"/>
            <w:hideMark/>
          </w:tcPr>
          <w:p w14:paraId="6F8F4835"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1.53</w:t>
            </w:r>
          </w:p>
        </w:tc>
        <w:tc>
          <w:tcPr>
            <w:tcW w:w="381" w:type="pct"/>
            <w:tcBorders>
              <w:top w:val="nil"/>
              <w:left w:val="nil"/>
              <w:bottom w:val="single" w:sz="4" w:space="0" w:color="auto"/>
              <w:right w:val="single" w:sz="4" w:space="0" w:color="auto"/>
            </w:tcBorders>
            <w:shd w:val="clear" w:color="auto" w:fill="auto"/>
            <w:noWrap/>
            <w:vAlign w:val="center"/>
            <w:hideMark/>
          </w:tcPr>
          <w:p w14:paraId="66D2023A"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1.55</w:t>
            </w:r>
          </w:p>
        </w:tc>
        <w:tc>
          <w:tcPr>
            <w:tcW w:w="381" w:type="pct"/>
            <w:tcBorders>
              <w:top w:val="nil"/>
              <w:left w:val="nil"/>
              <w:bottom w:val="single" w:sz="4" w:space="0" w:color="auto"/>
              <w:right w:val="single" w:sz="4" w:space="0" w:color="auto"/>
            </w:tcBorders>
            <w:shd w:val="clear" w:color="auto" w:fill="auto"/>
            <w:noWrap/>
            <w:vAlign w:val="center"/>
            <w:hideMark/>
          </w:tcPr>
          <w:p w14:paraId="21AC5758" w14:textId="77777777" w:rsidR="00495A2C" w:rsidRPr="00495A2C" w:rsidRDefault="00495A2C" w:rsidP="00495A2C">
            <w:pPr>
              <w:spacing w:after="0" w:line="240" w:lineRule="auto"/>
              <w:jc w:val="center"/>
              <w:rPr>
                <w:rFonts w:ascii="Times New Roman" w:eastAsia="Times New Roman" w:hAnsi="Times New Roman" w:cs="Times New Roman"/>
                <w:color w:val="000000"/>
                <w:sz w:val="14"/>
                <w:szCs w:val="14"/>
                <w:lang w:val="en-US"/>
              </w:rPr>
            </w:pPr>
            <w:r w:rsidRPr="00495A2C">
              <w:rPr>
                <w:rFonts w:ascii="Times New Roman" w:eastAsia="Times New Roman" w:hAnsi="Times New Roman" w:cs="Times New Roman"/>
                <w:color w:val="000000"/>
                <w:sz w:val="14"/>
                <w:szCs w:val="14"/>
                <w:lang w:val="en-US"/>
              </w:rPr>
              <w:t>1.55</w:t>
            </w:r>
          </w:p>
        </w:tc>
      </w:tr>
    </w:tbl>
    <w:p w14:paraId="3CE65996" w14:textId="77777777" w:rsidR="00495A2C" w:rsidRPr="00495A2C" w:rsidRDefault="00495A2C" w:rsidP="00AC461F">
      <w:pPr>
        <w:spacing w:after="0" w:line="240" w:lineRule="auto"/>
        <w:ind w:firstLine="720"/>
        <w:rPr>
          <w:rFonts w:ascii="Times New Roman" w:eastAsia="Times New Roman" w:hAnsi="Times New Roman" w:cs="Times New Roman"/>
          <w:bCs/>
          <w:sz w:val="28"/>
          <w:szCs w:val="28"/>
          <w:lang w:eastAsia="ru-RU"/>
        </w:rPr>
      </w:pPr>
    </w:p>
    <w:p w14:paraId="1750F816" w14:textId="08D53FAF" w:rsidR="006364B2" w:rsidRPr="001065C1" w:rsidRDefault="006364B2" w:rsidP="006364B2">
      <w:pPr>
        <w:spacing w:after="0" w:line="240" w:lineRule="auto"/>
        <w:ind w:firstLine="720"/>
        <w:jc w:val="both"/>
        <w:rPr>
          <w:rFonts w:ascii="Times New Roman" w:eastAsia="Times New Roman" w:hAnsi="Times New Roman" w:cs="Times New Roman"/>
          <w:sz w:val="24"/>
          <w:szCs w:val="24"/>
          <w:lang w:eastAsia="ru-RU"/>
        </w:rPr>
      </w:pPr>
      <w:r w:rsidRPr="001065C1">
        <w:rPr>
          <w:rFonts w:ascii="Times New Roman" w:eastAsia="Times New Roman" w:hAnsi="Times New Roman" w:cs="Times New Roman"/>
          <w:color w:val="000000"/>
          <w:sz w:val="24"/>
          <w:szCs w:val="24"/>
          <w:shd w:val="clear" w:color="auto" w:fill="FFFFFF"/>
          <w:lang w:eastAsia="ru-RU"/>
        </w:rPr>
        <w:t xml:space="preserve">2. După ce în anul 2000 s-au redus la maxim emisiile de gaze cu efect de seră, </w:t>
      </w:r>
      <w:r w:rsidR="00287BF4" w:rsidRPr="001065C1">
        <w:rPr>
          <w:rFonts w:ascii="Times New Roman" w:eastAsia="Times New Roman" w:hAnsi="Times New Roman" w:cs="Times New Roman"/>
          <w:color w:val="000000"/>
          <w:sz w:val="24"/>
          <w:szCs w:val="24"/>
          <w:shd w:val="clear" w:color="auto" w:fill="FFFFFF"/>
          <w:lang w:eastAsia="ru-RU"/>
        </w:rPr>
        <w:t>ulterior,</w:t>
      </w:r>
      <w:r w:rsidRPr="001065C1">
        <w:rPr>
          <w:rFonts w:ascii="Times New Roman" w:eastAsia="Times New Roman" w:hAnsi="Times New Roman" w:cs="Times New Roman"/>
          <w:color w:val="000000"/>
          <w:sz w:val="24"/>
          <w:szCs w:val="24"/>
          <w:shd w:val="clear" w:color="auto" w:fill="FFFFFF"/>
          <w:lang w:eastAsia="ru-RU"/>
        </w:rPr>
        <w:t xml:space="preserve"> </w:t>
      </w:r>
      <w:r w:rsidR="00287BF4" w:rsidRPr="001065C1">
        <w:rPr>
          <w:rFonts w:ascii="Times New Roman" w:eastAsia="Times New Roman" w:hAnsi="Times New Roman" w:cs="Times New Roman"/>
          <w:color w:val="000000"/>
          <w:sz w:val="24"/>
          <w:szCs w:val="24"/>
          <w:shd w:val="clear" w:color="auto" w:fill="FFFFFF"/>
          <w:lang w:eastAsia="ru-RU"/>
        </w:rPr>
        <w:t>în perioada anilor 2001-</w:t>
      </w:r>
      <w:r w:rsidR="00F164E2" w:rsidRPr="001065C1">
        <w:rPr>
          <w:rFonts w:ascii="Times New Roman" w:eastAsia="Times New Roman" w:hAnsi="Times New Roman" w:cs="Times New Roman"/>
          <w:color w:val="000000"/>
          <w:sz w:val="24"/>
          <w:szCs w:val="24"/>
          <w:shd w:val="clear" w:color="auto" w:fill="FFFFFF"/>
          <w:lang w:eastAsia="ru-RU"/>
        </w:rPr>
        <w:t>201</w:t>
      </w:r>
      <w:r w:rsidR="00F164E2">
        <w:rPr>
          <w:rFonts w:ascii="Times New Roman" w:eastAsia="Times New Roman" w:hAnsi="Times New Roman" w:cs="Times New Roman"/>
          <w:color w:val="000000"/>
          <w:sz w:val="24"/>
          <w:szCs w:val="24"/>
          <w:shd w:val="clear" w:color="auto" w:fill="FFFFFF"/>
          <w:lang w:eastAsia="ru-RU"/>
        </w:rPr>
        <w:t>9</w:t>
      </w:r>
      <w:r w:rsidR="00287BF4" w:rsidRPr="001065C1">
        <w:rPr>
          <w:rFonts w:ascii="Times New Roman" w:eastAsia="Times New Roman" w:hAnsi="Times New Roman" w:cs="Times New Roman"/>
          <w:color w:val="000000"/>
          <w:sz w:val="24"/>
          <w:szCs w:val="24"/>
          <w:shd w:val="clear" w:color="auto" w:fill="FFFFFF"/>
          <w:lang w:eastAsia="ru-RU"/>
        </w:rPr>
        <w:t xml:space="preserve">, </w:t>
      </w:r>
      <w:r w:rsidRPr="001065C1">
        <w:rPr>
          <w:rFonts w:ascii="Times New Roman" w:eastAsia="Times New Roman" w:hAnsi="Times New Roman" w:cs="Times New Roman"/>
          <w:color w:val="000000"/>
          <w:sz w:val="24"/>
          <w:szCs w:val="24"/>
          <w:shd w:val="clear" w:color="auto" w:fill="FFFFFF"/>
          <w:lang w:eastAsia="ru-RU"/>
        </w:rPr>
        <w:t xml:space="preserve">s-a înregistrat o </w:t>
      </w:r>
      <w:r w:rsidR="00C12325" w:rsidRPr="001065C1">
        <w:rPr>
          <w:rFonts w:ascii="Times New Roman" w:eastAsia="Times New Roman" w:hAnsi="Times New Roman" w:cs="Times New Roman"/>
          <w:color w:val="000000"/>
          <w:sz w:val="24"/>
          <w:szCs w:val="24"/>
          <w:shd w:val="clear" w:color="auto" w:fill="FFFFFF"/>
          <w:lang w:eastAsia="ru-RU"/>
        </w:rPr>
        <w:t>tendință</w:t>
      </w:r>
      <w:r w:rsidRPr="001065C1">
        <w:rPr>
          <w:rFonts w:ascii="Times New Roman" w:eastAsia="Times New Roman" w:hAnsi="Times New Roman" w:cs="Times New Roman"/>
          <w:color w:val="000000"/>
          <w:sz w:val="24"/>
          <w:szCs w:val="24"/>
          <w:shd w:val="clear" w:color="auto" w:fill="FFFFFF"/>
          <w:lang w:eastAsia="ru-RU"/>
        </w:rPr>
        <w:t xml:space="preserve"> de majorare</w:t>
      </w:r>
      <w:r w:rsidR="00287BF4" w:rsidRPr="001065C1">
        <w:rPr>
          <w:rFonts w:ascii="Times New Roman" w:eastAsia="Times New Roman" w:hAnsi="Times New Roman" w:cs="Times New Roman"/>
          <w:color w:val="000000"/>
          <w:sz w:val="24"/>
          <w:szCs w:val="24"/>
          <w:shd w:val="clear" w:color="auto" w:fill="FFFFFF"/>
          <w:lang w:eastAsia="ru-RU"/>
        </w:rPr>
        <w:t>,</w:t>
      </w:r>
      <w:r w:rsidRPr="001065C1">
        <w:rPr>
          <w:rFonts w:ascii="Times New Roman" w:eastAsia="Times New Roman" w:hAnsi="Times New Roman" w:cs="Times New Roman"/>
          <w:color w:val="000000"/>
          <w:sz w:val="24"/>
          <w:szCs w:val="24"/>
          <w:shd w:val="clear" w:color="auto" w:fill="FFFFFF"/>
          <w:lang w:eastAsia="ru-RU"/>
        </w:rPr>
        <w:t xml:space="preserve"> cu circa</w:t>
      </w:r>
      <w:r w:rsidR="00287BF4" w:rsidRPr="001065C1">
        <w:rPr>
          <w:rFonts w:ascii="Times New Roman" w:eastAsia="Times New Roman" w:hAnsi="Times New Roman" w:cs="Times New Roman"/>
          <w:color w:val="000000"/>
          <w:sz w:val="24"/>
          <w:szCs w:val="24"/>
          <w:shd w:val="clear" w:color="auto" w:fill="FFFFFF"/>
          <w:lang w:eastAsia="ru-RU"/>
        </w:rPr>
        <w:t xml:space="preserve"> </w:t>
      </w:r>
      <w:r w:rsidR="00F164E2">
        <w:rPr>
          <w:rFonts w:ascii="Times New Roman" w:eastAsia="Times New Roman" w:hAnsi="Times New Roman" w:cs="Times New Roman"/>
          <w:color w:val="000000"/>
          <w:sz w:val="24"/>
          <w:szCs w:val="24"/>
          <w:shd w:val="clear" w:color="auto" w:fill="FFFFFF"/>
          <w:lang w:eastAsia="ru-RU"/>
        </w:rPr>
        <w:t>5</w:t>
      </w:r>
      <w:r w:rsidR="00F164E2" w:rsidRPr="001065C1">
        <w:rPr>
          <w:rFonts w:ascii="Times New Roman" w:eastAsia="Times New Roman" w:hAnsi="Times New Roman" w:cs="Times New Roman"/>
          <w:color w:val="000000"/>
          <w:sz w:val="24"/>
          <w:szCs w:val="24"/>
          <w:shd w:val="clear" w:color="auto" w:fill="FFFFFF"/>
          <w:lang w:eastAsia="ru-RU"/>
        </w:rPr>
        <w:t>3</w:t>
      </w:r>
      <w:r w:rsidRPr="001065C1">
        <w:rPr>
          <w:rFonts w:ascii="Times New Roman" w:eastAsia="Times New Roman" w:hAnsi="Times New Roman" w:cs="Times New Roman"/>
          <w:color w:val="000000"/>
          <w:sz w:val="24"/>
          <w:szCs w:val="24"/>
          <w:shd w:val="clear" w:color="auto" w:fill="FFFFFF"/>
          <w:lang w:eastAsia="ru-RU"/>
        </w:rPr>
        <w:t>,6%</w:t>
      </w:r>
      <w:r w:rsidR="00287BF4" w:rsidRPr="001065C1">
        <w:rPr>
          <w:rFonts w:ascii="Times New Roman" w:eastAsia="Times New Roman" w:hAnsi="Times New Roman" w:cs="Times New Roman"/>
          <w:color w:val="000000"/>
          <w:sz w:val="24"/>
          <w:szCs w:val="24"/>
          <w:shd w:val="clear" w:color="auto" w:fill="FFFFFF"/>
          <w:lang w:eastAsia="ru-RU"/>
        </w:rPr>
        <w:t>, a emisiilor de GES</w:t>
      </w:r>
      <w:r w:rsidRPr="001065C1">
        <w:rPr>
          <w:rFonts w:ascii="Times New Roman" w:eastAsia="Times New Roman" w:hAnsi="Times New Roman" w:cs="Times New Roman"/>
          <w:color w:val="000000"/>
          <w:sz w:val="24"/>
          <w:szCs w:val="24"/>
          <w:shd w:val="clear" w:color="auto" w:fill="FFFFFF"/>
          <w:lang w:eastAsia="ru-RU"/>
        </w:rPr>
        <w:t xml:space="preserve">, </w:t>
      </w:r>
      <w:r w:rsidR="00287BF4" w:rsidRPr="001065C1">
        <w:rPr>
          <w:rFonts w:ascii="Times New Roman" w:eastAsia="Times New Roman" w:hAnsi="Times New Roman" w:cs="Times New Roman"/>
          <w:color w:val="000000"/>
          <w:sz w:val="24"/>
          <w:szCs w:val="24"/>
          <w:shd w:val="clear" w:color="auto" w:fill="FFFFFF"/>
          <w:lang w:eastAsia="ru-RU"/>
        </w:rPr>
        <w:t xml:space="preserve">ca rezultat al </w:t>
      </w:r>
      <w:r w:rsidR="00C12325" w:rsidRPr="001065C1">
        <w:rPr>
          <w:rFonts w:ascii="Times New Roman" w:eastAsia="Times New Roman" w:hAnsi="Times New Roman" w:cs="Times New Roman"/>
          <w:color w:val="000000"/>
          <w:sz w:val="24"/>
          <w:szCs w:val="24"/>
          <w:shd w:val="clear" w:color="auto" w:fill="FFFFFF"/>
          <w:lang w:eastAsia="ru-RU"/>
        </w:rPr>
        <w:t>creșterii</w:t>
      </w:r>
      <w:r w:rsidR="00287BF4" w:rsidRPr="001065C1">
        <w:rPr>
          <w:rFonts w:ascii="Times New Roman" w:eastAsia="Times New Roman" w:hAnsi="Times New Roman" w:cs="Times New Roman"/>
          <w:color w:val="000000"/>
          <w:sz w:val="24"/>
          <w:szCs w:val="24"/>
          <w:shd w:val="clear" w:color="auto" w:fill="FFFFFF"/>
          <w:lang w:eastAsia="ru-RU"/>
        </w:rPr>
        <w:t xml:space="preserve">, în special, </w:t>
      </w:r>
      <w:r w:rsidRPr="001065C1">
        <w:rPr>
          <w:rFonts w:ascii="Times New Roman" w:eastAsia="Times New Roman" w:hAnsi="Times New Roman" w:cs="Times New Roman"/>
          <w:color w:val="000000"/>
          <w:sz w:val="24"/>
          <w:szCs w:val="24"/>
          <w:shd w:val="clear" w:color="auto" w:fill="FFFFFF"/>
          <w:lang w:eastAsia="ru-RU"/>
        </w:rPr>
        <w:t xml:space="preserve">a emisiilor </w:t>
      </w:r>
      <w:r w:rsidR="00F164E2">
        <w:rPr>
          <w:rFonts w:ascii="Times New Roman" w:eastAsia="Times New Roman" w:hAnsi="Times New Roman" w:cs="Times New Roman"/>
          <w:color w:val="000000"/>
          <w:sz w:val="24"/>
          <w:szCs w:val="24"/>
          <w:shd w:val="clear" w:color="auto" w:fill="FFFFFF"/>
          <w:lang w:eastAsia="ru-RU"/>
        </w:rPr>
        <w:t xml:space="preserve">în sectorul energie </w:t>
      </w:r>
      <w:r w:rsidR="00287BF4" w:rsidRPr="001065C1">
        <w:rPr>
          <w:rFonts w:ascii="Times New Roman" w:eastAsia="Times New Roman" w:hAnsi="Times New Roman" w:cs="Times New Roman"/>
          <w:color w:val="000000"/>
          <w:sz w:val="24"/>
          <w:szCs w:val="24"/>
          <w:shd w:val="clear" w:color="auto" w:fill="FFFFFF"/>
          <w:lang w:eastAsia="ru-RU"/>
        </w:rPr>
        <w:t xml:space="preserve">– cu cca </w:t>
      </w:r>
      <w:r w:rsidR="00F164E2">
        <w:rPr>
          <w:rFonts w:ascii="Times New Roman" w:eastAsia="Times New Roman" w:hAnsi="Times New Roman" w:cs="Times New Roman"/>
          <w:color w:val="000000"/>
          <w:sz w:val="24"/>
          <w:szCs w:val="24"/>
          <w:shd w:val="clear" w:color="auto" w:fill="FFFFFF"/>
          <w:lang w:eastAsia="ru-RU"/>
        </w:rPr>
        <w:t>35,6</w:t>
      </w:r>
      <w:r w:rsidR="00287BF4" w:rsidRPr="001065C1">
        <w:rPr>
          <w:rFonts w:ascii="Times New Roman" w:eastAsia="Times New Roman" w:hAnsi="Times New Roman" w:cs="Times New Roman"/>
          <w:color w:val="000000"/>
          <w:sz w:val="24"/>
          <w:szCs w:val="24"/>
          <w:shd w:val="clear" w:color="auto" w:fill="FFFFFF"/>
          <w:lang w:eastAsia="ru-RU"/>
        </w:rPr>
        <w:t>%;</w:t>
      </w:r>
      <w:r w:rsidR="00E70219" w:rsidRPr="001065C1">
        <w:rPr>
          <w:rFonts w:ascii="Times New Roman" w:eastAsia="Times New Roman" w:hAnsi="Times New Roman" w:cs="Times New Roman"/>
          <w:color w:val="000000"/>
          <w:sz w:val="24"/>
          <w:szCs w:val="24"/>
          <w:shd w:val="clear" w:color="auto" w:fill="FFFFFF"/>
          <w:lang w:eastAsia="ru-RU"/>
        </w:rPr>
        <w:t xml:space="preserve"> </w:t>
      </w:r>
      <w:r w:rsidR="00F164E2">
        <w:rPr>
          <w:rFonts w:ascii="Times New Roman" w:eastAsia="Times New Roman" w:hAnsi="Times New Roman" w:cs="Times New Roman"/>
          <w:color w:val="000000"/>
          <w:sz w:val="24"/>
          <w:szCs w:val="24"/>
          <w:shd w:val="clear" w:color="auto" w:fill="FFFFFF"/>
          <w:lang w:eastAsia="ru-RU"/>
        </w:rPr>
        <w:t xml:space="preserve">în sectorul procese industriale </w:t>
      </w:r>
      <w:proofErr w:type="spellStart"/>
      <w:r w:rsidR="00F164E2">
        <w:rPr>
          <w:rFonts w:ascii="Times New Roman" w:eastAsia="Times New Roman" w:hAnsi="Times New Roman" w:cs="Times New Roman"/>
          <w:color w:val="000000"/>
          <w:sz w:val="24"/>
          <w:szCs w:val="24"/>
          <w:shd w:val="clear" w:color="auto" w:fill="FFFFFF"/>
          <w:lang w:eastAsia="ru-RU"/>
        </w:rPr>
        <w:t>şi</w:t>
      </w:r>
      <w:proofErr w:type="spellEnd"/>
      <w:r w:rsidR="00F164E2">
        <w:rPr>
          <w:rFonts w:ascii="Times New Roman" w:eastAsia="Times New Roman" w:hAnsi="Times New Roman" w:cs="Times New Roman"/>
          <w:color w:val="000000"/>
          <w:sz w:val="24"/>
          <w:szCs w:val="24"/>
          <w:shd w:val="clear" w:color="auto" w:fill="FFFFFF"/>
          <w:lang w:eastAsia="ru-RU"/>
        </w:rPr>
        <w:t xml:space="preserve"> utilizarea produselor – cu cca 215,5%</w:t>
      </w:r>
      <w:r w:rsidR="008F110B">
        <w:rPr>
          <w:rFonts w:ascii="Times New Roman" w:eastAsia="Times New Roman" w:hAnsi="Times New Roman" w:cs="Times New Roman"/>
          <w:color w:val="000000"/>
          <w:sz w:val="24"/>
          <w:szCs w:val="24"/>
          <w:shd w:val="clear" w:color="auto" w:fill="FFFFFF"/>
          <w:lang w:eastAsia="ru-RU"/>
        </w:rPr>
        <w:t xml:space="preserve">; în sectorul LULUCF – al </w:t>
      </w:r>
      <w:proofErr w:type="spellStart"/>
      <w:r w:rsidR="008F110B">
        <w:rPr>
          <w:rFonts w:ascii="Times New Roman" w:eastAsia="Times New Roman" w:hAnsi="Times New Roman" w:cs="Times New Roman"/>
          <w:color w:val="000000"/>
          <w:sz w:val="24"/>
          <w:szCs w:val="24"/>
          <w:shd w:val="clear" w:color="auto" w:fill="FFFFFF"/>
          <w:lang w:eastAsia="ru-RU"/>
        </w:rPr>
        <w:t>micşorării</w:t>
      </w:r>
      <w:proofErr w:type="spellEnd"/>
      <w:r w:rsidR="008F110B">
        <w:rPr>
          <w:rFonts w:ascii="Times New Roman" w:eastAsia="Times New Roman" w:hAnsi="Times New Roman" w:cs="Times New Roman"/>
          <w:color w:val="000000"/>
          <w:sz w:val="24"/>
          <w:szCs w:val="24"/>
          <w:shd w:val="clear" w:color="auto" w:fill="FFFFFF"/>
          <w:lang w:eastAsia="ru-RU"/>
        </w:rPr>
        <w:t xml:space="preserve"> sechestrării emisiilor de CO</w:t>
      </w:r>
      <w:r w:rsidR="008F110B" w:rsidRPr="00AC461F">
        <w:rPr>
          <w:rFonts w:ascii="Times New Roman" w:eastAsia="Times New Roman" w:hAnsi="Times New Roman" w:cs="Times New Roman"/>
          <w:color w:val="000000"/>
          <w:sz w:val="24"/>
          <w:szCs w:val="24"/>
          <w:shd w:val="clear" w:color="auto" w:fill="FFFFFF"/>
          <w:vertAlign w:val="subscript"/>
          <w:lang w:eastAsia="ru-RU"/>
        </w:rPr>
        <w:t>2</w:t>
      </w:r>
      <w:r w:rsidR="008F110B">
        <w:rPr>
          <w:rFonts w:ascii="Times New Roman" w:eastAsia="Times New Roman" w:hAnsi="Times New Roman" w:cs="Times New Roman"/>
          <w:color w:val="000000"/>
          <w:sz w:val="24"/>
          <w:szCs w:val="24"/>
          <w:shd w:val="clear" w:color="auto" w:fill="FFFFFF"/>
          <w:lang w:eastAsia="ru-RU"/>
        </w:rPr>
        <w:t xml:space="preserve"> de cca 7,3 ori. </w:t>
      </w:r>
    </w:p>
    <w:p w14:paraId="184A1F30" w14:textId="15347363" w:rsidR="006364B2" w:rsidRPr="001065C1" w:rsidRDefault="006364B2" w:rsidP="002B0DCF">
      <w:pPr>
        <w:spacing w:after="120"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A50F82">
        <w:rPr>
          <w:rFonts w:ascii="Times New Roman" w:eastAsia="Times New Roman" w:hAnsi="Times New Roman" w:cs="Times New Roman"/>
          <w:color w:val="000000"/>
          <w:sz w:val="24"/>
          <w:szCs w:val="24"/>
          <w:shd w:val="clear" w:color="auto" w:fill="FFFFFF"/>
          <w:lang w:eastAsia="ru-RU"/>
        </w:rPr>
        <w:t xml:space="preserve">Reducerea semnificativă a emisiilor </w:t>
      </w:r>
      <w:r w:rsidR="00C12325" w:rsidRPr="00A50F82">
        <w:rPr>
          <w:rFonts w:ascii="Times New Roman" w:eastAsia="Times New Roman" w:hAnsi="Times New Roman" w:cs="Times New Roman"/>
          <w:color w:val="000000"/>
          <w:sz w:val="24"/>
          <w:szCs w:val="24"/>
          <w:shd w:val="clear" w:color="auto" w:fill="FFFFFF"/>
          <w:lang w:eastAsia="ru-RU"/>
        </w:rPr>
        <w:t>naționale</w:t>
      </w:r>
      <w:r w:rsidRPr="00A50F82">
        <w:rPr>
          <w:rFonts w:ascii="Times New Roman" w:eastAsia="Times New Roman" w:hAnsi="Times New Roman" w:cs="Times New Roman"/>
          <w:color w:val="000000"/>
          <w:sz w:val="24"/>
          <w:szCs w:val="24"/>
          <w:shd w:val="clear" w:color="auto" w:fill="FFFFFF"/>
          <w:lang w:eastAsia="ru-RU"/>
        </w:rPr>
        <w:t xml:space="preserve"> de gaze cu efect de seră </w:t>
      </w:r>
      <w:r w:rsidR="00C12325" w:rsidRPr="00A50F82">
        <w:rPr>
          <w:rFonts w:ascii="Times New Roman" w:eastAsia="Times New Roman" w:hAnsi="Times New Roman" w:cs="Times New Roman"/>
          <w:color w:val="000000"/>
          <w:sz w:val="24"/>
          <w:szCs w:val="24"/>
          <w:shd w:val="clear" w:color="auto" w:fill="FFFFFF"/>
          <w:lang w:eastAsia="ru-RU"/>
        </w:rPr>
        <w:t>față</w:t>
      </w:r>
      <w:r w:rsidR="00D607F6" w:rsidRPr="00A50F82">
        <w:rPr>
          <w:rFonts w:ascii="Times New Roman" w:eastAsia="Times New Roman" w:hAnsi="Times New Roman" w:cs="Times New Roman"/>
          <w:color w:val="000000"/>
          <w:sz w:val="24"/>
          <w:szCs w:val="24"/>
          <w:shd w:val="clear" w:color="auto" w:fill="FFFFFF"/>
          <w:lang w:eastAsia="ru-RU"/>
        </w:rPr>
        <w:t xml:space="preserve"> de anul 1990 </w:t>
      </w:r>
      <w:r w:rsidRPr="00A50F82">
        <w:rPr>
          <w:rFonts w:ascii="Times New Roman" w:eastAsia="Times New Roman" w:hAnsi="Times New Roman" w:cs="Times New Roman"/>
          <w:color w:val="000000"/>
          <w:sz w:val="24"/>
          <w:szCs w:val="24"/>
          <w:shd w:val="clear" w:color="auto" w:fill="FFFFFF"/>
          <w:lang w:eastAsia="ru-RU"/>
        </w:rPr>
        <w:t xml:space="preserve">este o </w:t>
      </w:r>
      <w:r w:rsidR="00C12325" w:rsidRPr="00A50F82">
        <w:rPr>
          <w:rFonts w:ascii="Times New Roman" w:eastAsia="Times New Roman" w:hAnsi="Times New Roman" w:cs="Times New Roman"/>
          <w:color w:val="000000"/>
          <w:sz w:val="24"/>
          <w:szCs w:val="24"/>
          <w:shd w:val="clear" w:color="auto" w:fill="FFFFFF"/>
          <w:lang w:eastAsia="ru-RU"/>
        </w:rPr>
        <w:t>consecință</w:t>
      </w:r>
      <w:r w:rsidRPr="00A50F82">
        <w:rPr>
          <w:rFonts w:ascii="Times New Roman" w:eastAsia="Times New Roman" w:hAnsi="Times New Roman" w:cs="Times New Roman"/>
          <w:color w:val="000000"/>
          <w:sz w:val="24"/>
          <w:szCs w:val="24"/>
          <w:shd w:val="clear" w:color="auto" w:fill="FFFFFF"/>
          <w:lang w:eastAsia="ru-RU"/>
        </w:rPr>
        <w:t xml:space="preserve">, în primul </w:t>
      </w:r>
      <w:r w:rsidR="00C12325" w:rsidRPr="00A50F82">
        <w:rPr>
          <w:rFonts w:ascii="Times New Roman" w:eastAsia="Times New Roman" w:hAnsi="Times New Roman" w:cs="Times New Roman"/>
          <w:color w:val="000000"/>
          <w:sz w:val="24"/>
          <w:szCs w:val="24"/>
          <w:shd w:val="clear" w:color="auto" w:fill="FFFFFF"/>
          <w:lang w:eastAsia="ru-RU"/>
        </w:rPr>
        <w:t>rând</w:t>
      </w:r>
      <w:r w:rsidRPr="00A50F82">
        <w:rPr>
          <w:rFonts w:ascii="Times New Roman" w:eastAsia="Times New Roman" w:hAnsi="Times New Roman" w:cs="Times New Roman"/>
          <w:color w:val="000000"/>
          <w:sz w:val="24"/>
          <w:szCs w:val="24"/>
          <w:shd w:val="clear" w:color="auto" w:fill="FFFFFF"/>
          <w:lang w:eastAsia="ru-RU"/>
        </w:rPr>
        <w:t xml:space="preserve">, a crizei economice care a urmat după destrămarea Uniunii Sovietice, fiind caracteristică întregii perioade de </w:t>
      </w:r>
      <w:r w:rsidR="00C12325" w:rsidRPr="00A50F82">
        <w:rPr>
          <w:rFonts w:ascii="Times New Roman" w:eastAsia="Times New Roman" w:hAnsi="Times New Roman" w:cs="Times New Roman"/>
          <w:color w:val="000000"/>
          <w:sz w:val="24"/>
          <w:szCs w:val="24"/>
          <w:shd w:val="clear" w:color="auto" w:fill="FFFFFF"/>
          <w:lang w:eastAsia="ru-RU"/>
        </w:rPr>
        <w:t>tranziție</w:t>
      </w:r>
      <w:r w:rsidRPr="00A50F82">
        <w:rPr>
          <w:rFonts w:ascii="Times New Roman" w:eastAsia="Times New Roman" w:hAnsi="Times New Roman" w:cs="Times New Roman"/>
          <w:color w:val="000000"/>
          <w:sz w:val="24"/>
          <w:szCs w:val="24"/>
          <w:shd w:val="clear" w:color="auto" w:fill="FFFFFF"/>
          <w:lang w:eastAsia="ru-RU"/>
        </w:rPr>
        <w:t xml:space="preserve"> la o economie de </w:t>
      </w:r>
      <w:r w:rsidR="00C12325" w:rsidRPr="00A50F82">
        <w:rPr>
          <w:rFonts w:ascii="Times New Roman" w:eastAsia="Times New Roman" w:hAnsi="Times New Roman" w:cs="Times New Roman"/>
          <w:color w:val="000000"/>
          <w:sz w:val="24"/>
          <w:szCs w:val="24"/>
          <w:shd w:val="clear" w:color="auto" w:fill="FFFFFF"/>
          <w:lang w:eastAsia="ru-RU"/>
        </w:rPr>
        <w:t>piață</w:t>
      </w:r>
      <w:r w:rsidRPr="00A50F82">
        <w:rPr>
          <w:rFonts w:ascii="Times New Roman" w:eastAsia="Times New Roman" w:hAnsi="Times New Roman" w:cs="Times New Roman"/>
          <w:color w:val="000000"/>
          <w:sz w:val="24"/>
          <w:szCs w:val="24"/>
          <w:shd w:val="clear" w:color="auto" w:fill="FFFFFF"/>
          <w:lang w:eastAsia="ru-RU"/>
        </w:rPr>
        <w:t xml:space="preserve"> în Republica Moldova (1991-2000). Anii de </w:t>
      </w:r>
      <w:r w:rsidR="00C12325" w:rsidRPr="00A50F82">
        <w:rPr>
          <w:rFonts w:ascii="Times New Roman" w:eastAsia="Times New Roman" w:hAnsi="Times New Roman" w:cs="Times New Roman"/>
          <w:color w:val="000000"/>
          <w:sz w:val="24"/>
          <w:szCs w:val="24"/>
          <w:shd w:val="clear" w:color="auto" w:fill="FFFFFF"/>
          <w:lang w:eastAsia="ru-RU"/>
        </w:rPr>
        <w:t>tranziție</w:t>
      </w:r>
      <w:r w:rsidRPr="00A50F82">
        <w:rPr>
          <w:rFonts w:ascii="Times New Roman" w:eastAsia="Times New Roman" w:hAnsi="Times New Roman" w:cs="Times New Roman"/>
          <w:color w:val="000000"/>
          <w:sz w:val="24"/>
          <w:szCs w:val="24"/>
          <w:shd w:val="clear" w:color="auto" w:fill="FFFFFF"/>
          <w:lang w:eastAsia="ru-RU"/>
        </w:rPr>
        <w:t xml:space="preserve"> au generat schimbări </w:t>
      </w:r>
      <w:r w:rsidR="00C12325" w:rsidRPr="00A50F82">
        <w:rPr>
          <w:rFonts w:ascii="Times New Roman" w:eastAsia="Times New Roman" w:hAnsi="Times New Roman" w:cs="Times New Roman"/>
          <w:color w:val="000000"/>
          <w:sz w:val="24"/>
          <w:szCs w:val="24"/>
          <w:shd w:val="clear" w:color="auto" w:fill="FFFFFF"/>
          <w:lang w:eastAsia="ru-RU"/>
        </w:rPr>
        <w:t>și</w:t>
      </w:r>
      <w:r w:rsidRPr="00A50F82">
        <w:rPr>
          <w:rFonts w:ascii="Times New Roman" w:eastAsia="Times New Roman" w:hAnsi="Times New Roman" w:cs="Times New Roman"/>
          <w:color w:val="000000"/>
          <w:sz w:val="24"/>
          <w:szCs w:val="24"/>
          <w:shd w:val="clear" w:color="auto" w:fill="FFFFFF"/>
          <w:lang w:eastAsia="ru-RU"/>
        </w:rPr>
        <w:t xml:space="preserve"> în structura de aprovizionare cu combustibili </w:t>
      </w:r>
      <w:r w:rsidR="00C12325" w:rsidRPr="00A50F82">
        <w:rPr>
          <w:rFonts w:ascii="Times New Roman" w:eastAsia="Times New Roman" w:hAnsi="Times New Roman" w:cs="Times New Roman"/>
          <w:color w:val="000000"/>
          <w:sz w:val="24"/>
          <w:szCs w:val="24"/>
          <w:shd w:val="clear" w:color="auto" w:fill="FFFFFF"/>
          <w:lang w:eastAsia="ru-RU"/>
        </w:rPr>
        <w:t>și</w:t>
      </w:r>
      <w:r w:rsidRPr="00A50F82">
        <w:rPr>
          <w:rFonts w:ascii="Times New Roman" w:eastAsia="Times New Roman" w:hAnsi="Times New Roman" w:cs="Times New Roman"/>
          <w:color w:val="000000"/>
          <w:sz w:val="24"/>
          <w:szCs w:val="24"/>
          <w:shd w:val="clear" w:color="auto" w:fill="FFFFFF"/>
          <w:lang w:eastAsia="ru-RU"/>
        </w:rPr>
        <w:t xml:space="preserve"> consumul de resurse energetice. Consumul de combustibili fosili (în special de cărbune </w:t>
      </w:r>
      <w:r w:rsidR="00C12325" w:rsidRPr="00A50F82">
        <w:rPr>
          <w:rFonts w:ascii="Times New Roman" w:eastAsia="Times New Roman" w:hAnsi="Times New Roman" w:cs="Times New Roman"/>
          <w:color w:val="000000"/>
          <w:sz w:val="24"/>
          <w:szCs w:val="24"/>
          <w:shd w:val="clear" w:color="auto" w:fill="FFFFFF"/>
          <w:lang w:eastAsia="ru-RU"/>
        </w:rPr>
        <w:t>și</w:t>
      </w:r>
      <w:r w:rsidRPr="00A50F82">
        <w:rPr>
          <w:rFonts w:ascii="Times New Roman" w:eastAsia="Times New Roman" w:hAnsi="Times New Roman" w:cs="Times New Roman"/>
          <w:color w:val="000000"/>
          <w:sz w:val="24"/>
          <w:szCs w:val="24"/>
          <w:shd w:val="clear" w:color="auto" w:fill="FFFFFF"/>
          <w:lang w:eastAsia="ru-RU"/>
        </w:rPr>
        <w:t xml:space="preserve"> păcură) a scăzut </w:t>
      </w:r>
      <w:r w:rsidR="00C12325" w:rsidRPr="00A50F82">
        <w:rPr>
          <w:rFonts w:ascii="Times New Roman" w:eastAsia="Times New Roman" w:hAnsi="Times New Roman" w:cs="Times New Roman"/>
          <w:color w:val="000000"/>
          <w:sz w:val="24"/>
          <w:szCs w:val="24"/>
          <w:shd w:val="clear" w:color="auto" w:fill="FFFFFF"/>
          <w:lang w:eastAsia="ru-RU"/>
        </w:rPr>
        <w:t>substanțial</w:t>
      </w:r>
      <w:r w:rsidRPr="00A50F82">
        <w:rPr>
          <w:rFonts w:ascii="Times New Roman" w:eastAsia="Times New Roman" w:hAnsi="Times New Roman" w:cs="Times New Roman"/>
          <w:color w:val="000000"/>
          <w:sz w:val="24"/>
          <w:szCs w:val="24"/>
          <w:shd w:val="clear" w:color="auto" w:fill="FFFFFF"/>
          <w:lang w:eastAsia="ru-RU"/>
        </w:rPr>
        <w:t xml:space="preserve">, în timp ce gazul natural, care este mai </w:t>
      </w:r>
      <w:r w:rsidR="00106D12" w:rsidRPr="00A50F82">
        <w:rPr>
          <w:rFonts w:ascii="Times New Roman" w:eastAsia="Times New Roman" w:hAnsi="Times New Roman" w:cs="Times New Roman"/>
          <w:color w:val="000000"/>
          <w:sz w:val="24"/>
          <w:szCs w:val="24"/>
          <w:shd w:val="clear" w:color="auto" w:fill="FFFFFF"/>
          <w:lang w:eastAsia="ru-RU"/>
        </w:rPr>
        <w:t>puțin</w:t>
      </w:r>
      <w:r w:rsidRPr="00A50F82">
        <w:rPr>
          <w:rFonts w:ascii="Times New Roman" w:eastAsia="Times New Roman" w:hAnsi="Times New Roman" w:cs="Times New Roman"/>
          <w:color w:val="000000"/>
          <w:sz w:val="24"/>
          <w:szCs w:val="24"/>
          <w:shd w:val="clear" w:color="auto" w:fill="FFFFFF"/>
          <w:lang w:eastAsia="ru-RU"/>
        </w:rPr>
        <w:t xml:space="preserve"> poluant, a devenit principalul combustibil utilizat la centralele electrice </w:t>
      </w:r>
      <w:r w:rsidR="00106D12" w:rsidRPr="00A50F82">
        <w:rPr>
          <w:rFonts w:ascii="Times New Roman" w:eastAsia="Times New Roman" w:hAnsi="Times New Roman" w:cs="Times New Roman"/>
          <w:color w:val="000000"/>
          <w:sz w:val="24"/>
          <w:szCs w:val="24"/>
          <w:shd w:val="clear" w:color="auto" w:fill="FFFFFF"/>
          <w:lang w:eastAsia="ru-RU"/>
        </w:rPr>
        <w:t>și</w:t>
      </w:r>
      <w:r w:rsidRPr="00A50F82">
        <w:rPr>
          <w:rFonts w:ascii="Times New Roman" w:eastAsia="Times New Roman" w:hAnsi="Times New Roman" w:cs="Times New Roman"/>
          <w:color w:val="000000"/>
          <w:sz w:val="24"/>
          <w:szCs w:val="24"/>
          <w:shd w:val="clear" w:color="auto" w:fill="FFFFFF"/>
          <w:lang w:eastAsia="ru-RU"/>
        </w:rPr>
        <w:t xml:space="preserve"> termice, ating</w:t>
      </w:r>
      <w:r w:rsidR="00D607F6" w:rsidRPr="00A50F82">
        <w:rPr>
          <w:rFonts w:ascii="Times New Roman" w:eastAsia="Times New Roman" w:hAnsi="Times New Roman" w:cs="Times New Roman"/>
          <w:color w:val="000000"/>
          <w:sz w:val="24"/>
          <w:szCs w:val="24"/>
          <w:shd w:val="clear" w:color="auto" w:fill="FFFFFF"/>
          <w:lang w:eastAsia="ru-RU"/>
        </w:rPr>
        <w:t>â</w:t>
      </w:r>
      <w:r w:rsidRPr="00A50F82">
        <w:rPr>
          <w:rFonts w:ascii="Times New Roman" w:eastAsia="Times New Roman" w:hAnsi="Times New Roman" w:cs="Times New Roman"/>
          <w:color w:val="000000"/>
          <w:sz w:val="24"/>
          <w:szCs w:val="24"/>
          <w:shd w:val="clear" w:color="auto" w:fill="FFFFFF"/>
          <w:lang w:eastAsia="ru-RU"/>
        </w:rPr>
        <w:t>nd cot</w:t>
      </w:r>
      <w:r w:rsidR="00D607F6" w:rsidRPr="00A50F82">
        <w:rPr>
          <w:rFonts w:ascii="Times New Roman" w:eastAsia="Times New Roman" w:hAnsi="Times New Roman" w:cs="Times New Roman"/>
          <w:color w:val="000000"/>
          <w:sz w:val="24"/>
          <w:szCs w:val="24"/>
          <w:shd w:val="clear" w:color="auto" w:fill="FFFFFF"/>
          <w:lang w:eastAsia="ru-RU"/>
        </w:rPr>
        <w:t>a</w:t>
      </w:r>
      <w:r w:rsidRPr="00A50F82">
        <w:rPr>
          <w:rFonts w:ascii="Times New Roman" w:eastAsia="Times New Roman" w:hAnsi="Times New Roman" w:cs="Times New Roman"/>
          <w:color w:val="000000"/>
          <w:sz w:val="24"/>
          <w:szCs w:val="24"/>
          <w:shd w:val="clear" w:color="auto" w:fill="FFFFFF"/>
          <w:lang w:eastAsia="ru-RU"/>
        </w:rPr>
        <w:t xml:space="preserve"> de aproximativ </w:t>
      </w:r>
      <w:r w:rsidR="00FD79B9">
        <w:rPr>
          <w:rFonts w:ascii="Times New Roman" w:eastAsia="Times New Roman" w:hAnsi="Times New Roman" w:cs="Times New Roman"/>
          <w:color w:val="000000"/>
          <w:sz w:val="24"/>
          <w:szCs w:val="24"/>
          <w:shd w:val="clear" w:color="auto" w:fill="FFFFFF"/>
          <w:lang w:eastAsia="ru-RU"/>
        </w:rPr>
        <w:t>29</w:t>
      </w:r>
      <w:r w:rsidRPr="00A50F82">
        <w:rPr>
          <w:rFonts w:ascii="Times New Roman" w:eastAsia="Times New Roman" w:hAnsi="Times New Roman" w:cs="Times New Roman"/>
          <w:color w:val="000000"/>
          <w:sz w:val="24"/>
          <w:szCs w:val="24"/>
          <w:shd w:val="clear" w:color="auto" w:fill="FFFFFF"/>
          <w:lang w:eastAsia="ru-RU"/>
        </w:rPr>
        <w:t xml:space="preserve">% </w:t>
      </w:r>
      <w:r w:rsidR="00682B1F" w:rsidRPr="00A50F82">
        <w:rPr>
          <w:rFonts w:ascii="Times New Roman" w:eastAsia="Times New Roman" w:hAnsi="Times New Roman" w:cs="Times New Roman"/>
          <w:color w:val="000000"/>
          <w:sz w:val="24"/>
          <w:szCs w:val="24"/>
          <w:shd w:val="clear" w:color="auto" w:fill="FFFFFF"/>
          <w:lang w:eastAsia="ru-RU"/>
        </w:rPr>
        <w:t xml:space="preserve">în </w:t>
      </w:r>
      <w:r w:rsidR="00106D12" w:rsidRPr="00A50F82">
        <w:rPr>
          <w:rFonts w:ascii="Times New Roman" w:eastAsia="Times New Roman" w:hAnsi="Times New Roman" w:cs="Times New Roman"/>
          <w:color w:val="000000"/>
          <w:sz w:val="24"/>
          <w:szCs w:val="24"/>
          <w:shd w:val="clear" w:color="auto" w:fill="FFFFFF"/>
          <w:lang w:eastAsia="ru-RU"/>
        </w:rPr>
        <w:t>balanța</w:t>
      </w:r>
      <w:r w:rsidR="00682B1F" w:rsidRPr="00A50F82">
        <w:rPr>
          <w:rFonts w:ascii="Times New Roman" w:eastAsia="Times New Roman" w:hAnsi="Times New Roman" w:cs="Times New Roman"/>
          <w:color w:val="000000"/>
          <w:sz w:val="24"/>
          <w:szCs w:val="24"/>
          <w:shd w:val="clear" w:color="auto" w:fill="FFFFFF"/>
          <w:lang w:eastAsia="ru-RU"/>
        </w:rPr>
        <w:t xml:space="preserve"> energetică a </w:t>
      </w:r>
      <w:r w:rsidR="00106D12" w:rsidRPr="00A50F82">
        <w:rPr>
          <w:rFonts w:ascii="Times New Roman" w:eastAsia="Times New Roman" w:hAnsi="Times New Roman" w:cs="Times New Roman"/>
          <w:color w:val="000000"/>
          <w:sz w:val="24"/>
          <w:szCs w:val="24"/>
          <w:shd w:val="clear" w:color="auto" w:fill="FFFFFF"/>
          <w:lang w:eastAsia="ru-RU"/>
        </w:rPr>
        <w:t>țării</w:t>
      </w:r>
      <w:r w:rsidR="00682B1F" w:rsidRPr="00A50F82">
        <w:rPr>
          <w:rFonts w:ascii="Times New Roman" w:eastAsia="Times New Roman" w:hAnsi="Times New Roman" w:cs="Times New Roman"/>
          <w:color w:val="000000"/>
          <w:sz w:val="24"/>
          <w:szCs w:val="24"/>
          <w:shd w:val="clear" w:color="auto" w:fill="FFFFFF"/>
          <w:lang w:eastAsia="ru-RU"/>
        </w:rPr>
        <w:t xml:space="preserve"> (</w:t>
      </w:r>
      <w:r w:rsidR="00FD79B9" w:rsidRPr="00A50F82">
        <w:rPr>
          <w:rFonts w:ascii="Times New Roman" w:eastAsia="Times New Roman" w:hAnsi="Times New Roman" w:cs="Times New Roman"/>
          <w:color w:val="000000"/>
          <w:sz w:val="24"/>
          <w:szCs w:val="24"/>
          <w:shd w:val="clear" w:color="auto" w:fill="FFFFFF"/>
          <w:lang w:eastAsia="ru-RU"/>
        </w:rPr>
        <w:t>201</w:t>
      </w:r>
      <w:r w:rsidR="00FD79B9">
        <w:rPr>
          <w:rFonts w:ascii="Times New Roman" w:eastAsia="Times New Roman" w:hAnsi="Times New Roman" w:cs="Times New Roman"/>
          <w:color w:val="000000"/>
          <w:sz w:val="24"/>
          <w:szCs w:val="24"/>
          <w:shd w:val="clear" w:color="auto" w:fill="FFFFFF"/>
          <w:lang w:eastAsia="ru-RU"/>
        </w:rPr>
        <w:t>9</w:t>
      </w:r>
      <w:r w:rsidR="00682B1F" w:rsidRPr="00A50F82">
        <w:rPr>
          <w:rFonts w:ascii="Times New Roman" w:eastAsia="Times New Roman" w:hAnsi="Times New Roman" w:cs="Times New Roman"/>
          <w:color w:val="000000"/>
          <w:sz w:val="24"/>
          <w:szCs w:val="24"/>
          <w:shd w:val="clear" w:color="auto" w:fill="FFFFFF"/>
          <w:lang w:eastAsia="ru-RU"/>
        </w:rPr>
        <w:t>)</w:t>
      </w:r>
      <w:r w:rsidRPr="00A50F82">
        <w:rPr>
          <w:rFonts w:ascii="Times New Roman" w:eastAsia="Times New Roman" w:hAnsi="Times New Roman" w:cs="Times New Roman"/>
          <w:color w:val="000000"/>
          <w:sz w:val="24"/>
          <w:szCs w:val="24"/>
          <w:shd w:val="clear" w:color="auto" w:fill="FFFFFF"/>
          <w:lang w:eastAsia="ru-RU"/>
        </w:rPr>
        <w:t>.</w:t>
      </w:r>
    </w:p>
    <w:p w14:paraId="2D548C54" w14:textId="5A110281" w:rsidR="002B0DCF" w:rsidRPr="00FD2D5D" w:rsidRDefault="00E13B78" w:rsidP="002B0DCF">
      <w:pPr>
        <w:spacing w:after="120"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FD2D5D">
        <w:rPr>
          <w:rFonts w:ascii="Times New Roman" w:eastAsia="Times New Roman" w:hAnsi="Times New Roman" w:cs="Times New Roman"/>
          <w:color w:val="000000"/>
          <w:sz w:val="24"/>
          <w:szCs w:val="24"/>
          <w:shd w:val="clear" w:color="auto" w:fill="FFFFFF"/>
          <w:lang w:eastAsia="ru-RU"/>
        </w:rPr>
        <w:t xml:space="preserve">3. </w:t>
      </w:r>
      <w:r w:rsidR="002B0DCF" w:rsidRPr="00FD2D5D">
        <w:rPr>
          <w:rFonts w:ascii="Times New Roman" w:eastAsia="Times New Roman" w:hAnsi="Times New Roman" w:cs="Times New Roman"/>
          <w:color w:val="000000"/>
          <w:sz w:val="24"/>
          <w:szCs w:val="24"/>
          <w:shd w:val="clear" w:color="auto" w:fill="FFFFFF"/>
          <w:lang w:eastAsia="ru-RU"/>
        </w:rPr>
        <w:t xml:space="preserve">În anul 2016 Guvernul a elaborat </w:t>
      </w:r>
      <w:r w:rsidR="00FD2D5D" w:rsidRPr="00FD2D5D">
        <w:rPr>
          <w:rFonts w:ascii="Times New Roman" w:eastAsia="Times New Roman" w:hAnsi="Times New Roman" w:cs="Times New Roman"/>
          <w:color w:val="000000"/>
          <w:sz w:val="24"/>
          <w:szCs w:val="24"/>
          <w:shd w:val="clear" w:color="auto" w:fill="FFFFFF"/>
          <w:lang w:eastAsia="ru-RU"/>
        </w:rPr>
        <w:t>și</w:t>
      </w:r>
      <w:r w:rsidR="002B0DCF" w:rsidRPr="00FD2D5D">
        <w:rPr>
          <w:rFonts w:ascii="Times New Roman" w:eastAsia="Times New Roman" w:hAnsi="Times New Roman" w:cs="Times New Roman"/>
          <w:color w:val="000000"/>
          <w:sz w:val="24"/>
          <w:szCs w:val="24"/>
          <w:shd w:val="clear" w:color="auto" w:fill="FFFFFF"/>
          <w:lang w:eastAsia="ru-RU"/>
        </w:rPr>
        <w:t xml:space="preserve"> aprobat Strategia de dezvoltare cu emisii reduse a Republicii Moldova până în anul 2030 </w:t>
      </w:r>
      <w:r w:rsidR="00FD2D5D" w:rsidRPr="00FD2D5D">
        <w:rPr>
          <w:rFonts w:ascii="Times New Roman" w:eastAsia="Times New Roman" w:hAnsi="Times New Roman" w:cs="Times New Roman"/>
          <w:color w:val="000000"/>
          <w:sz w:val="24"/>
          <w:szCs w:val="24"/>
          <w:shd w:val="clear" w:color="auto" w:fill="FFFFFF"/>
          <w:lang w:eastAsia="ru-RU"/>
        </w:rPr>
        <w:t>și</w:t>
      </w:r>
      <w:r w:rsidR="002B0DCF" w:rsidRPr="00FD2D5D">
        <w:rPr>
          <w:rFonts w:ascii="Times New Roman" w:eastAsia="Times New Roman" w:hAnsi="Times New Roman" w:cs="Times New Roman"/>
          <w:color w:val="000000"/>
          <w:sz w:val="24"/>
          <w:szCs w:val="24"/>
          <w:shd w:val="clear" w:color="auto" w:fill="FFFFFF"/>
          <w:lang w:eastAsia="ru-RU"/>
        </w:rPr>
        <w:t xml:space="preserve"> Planul de </w:t>
      </w:r>
      <w:r w:rsidR="00FD2D5D" w:rsidRPr="00FD2D5D">
        <w:rPr>
          <w:rFonts w:ascii="Times New Roman" w:eastAsia="Times New Roman" w:hAnsi="Times New Roman" w:cs="Times New Roman"/>
          <w:color w:val="000000"/>
          <w:sz w:val="24"/>
          <w:szCs w:val="24"/>
          <w:shd w:val="clear" w:color="auto" w:fill="FFFFFF"/>
          <w:lang w:eastAsia="ru-RU"/>
        </w:rPr>
        <w:t>acțiuni</w:t>
      </w:r>
      <w:r w:rsidR="002B0DCF" w:rsidRPr="00FD2D5D">
        <w:rPr>
          <w:rFonts w:ascii="Times New Roman" w:eastAsia="Times New Roman" w:hAnsi="Times New Roman" w:cs="Times New Roman"/>
          <w:color w:val="000000"/>
          <w:sz w:val="24"/>
          <w:szCs w:val="24"/>
          <w:shd w:val="clear" w:color="auto" w:fill="FFFFFF"/>
          <w:lang w:eastAsia="ru-RU"/>
        </w:rPr>
        <w:t xml:space="preserve"> pentru implementarea acesteia (SDER), HG 1470/2016. La momentul actual pot fi trasate deja unele concluzii pe marginea îndeplinirii angajamentelor asumate de </w:t>
      </w:r>
      <w:r w:rsidR="00FD2D5D" w:rsidRPr="00FD2D5D">
        <w:rPr>
          <w:rFonts w:ascii="Times New Roman" w:eastAsia="Times New Roman" w:hAnsi="Times New Roman" w:cs="Times New Roman"/>
          <w:color w:val="000000"/>
          <w:sz w:val="24"/>
          <w:szCs w:val="24"/>
          <w:shd w:val="clear" w:color="auto" w:fill="FFFFFF"/>
          <w:lang w:eastAsia="ru-RU"/>
        </w:rPr>
        <w:t>țară</w:t>
      </w:r>
      <w:r w:rsidR="002B0DCF" w:rsidRPr="00FD2D5D">
        <w:rPr>
          <w:rFonts w:ascii="Times New Roman" w:eastAsia="Times New Roman" w:hAnsi="Times New Roman" w:cs="Times New Roman"/>
          <w:color w:val="000000"/>
          <w:sz w:val="24"/>
          <w:szCs w:val="24"/>
          <w:shd w:val="clear" w:color="auto" w:fill="FFFFFF"/>
          <w:lang w:eastAsia="ru-RU"/>
        </w:rPr>
        <w:t xml:space="preserve">. SDER a stabilit obiective intermediare de reducere a emisiilor de GES, inclusiv pentru anul 2020. Este de </w:t>
      </w:r>
      <w:r w:rsidR="00FD2D5D" w:rsidRPr="00FD2D5D">
        <w:rPr>
          <w:rFonts w:ascii="Times New Roman" w:eastAsia="Times New Roman" w:hAnsi="Times New Roman" w:cs="Times New Roman"/>
          <w:color w:val="000000"/>
          <w:sz w:val="24"/>
          <w:szCs w:val="24"/>
          <w:shd w:val="clear" w:color="auto" w:fill="FFFFFF"/>
          <w:lang w:eastAsia="ru-RU"/>
        </w:rPr>
        <w:t>menționat</w:t>
      </w:r>
      <w:r w:rsidR="002B0DCF" w:rsidRPr="00FD2D5D">
        <w:rPr>
          <w:rFonts w:ascii="Times New Roman" w:eastAsia="Times New Roman" w:hAnsi="Times New Roman" w:cs="Times New Roman"/>
          <w:color w:val="000000"/>
          <w:sz w:val="24"/>
          <w:szCs w:val="24"/>
          <w:shd w:val="clear" w:color="auto" w:fill="FFFFFF"/>
          <w:lang w:eastAsia="ru-RU"/>
        </w:rPr>
        <w:t xml:space="preserve">, că o altă strategie, Strategia de mediu pentru anii 2014-2023, aprobată prin HG nr. 301/2014, </w:t>
      </w:r>
      <w:r w:rsidR="00FD2D5D" w:rsidRPr="00FD2D5D">
        <w:rPr>
          <w:rFonts w:ascii="Times New Roman" w:eastAsia="Times New Roman" w:hAnsi="Times New Roman" w:cs="Times New Roman"/>
          <w:color w:val="000000"/>
          <w:sz w:val="24"/>
          <w:szCs w:val="24"/>
          <w:shd w:val="clear" w:color="auto" w:fill="FFFFFF"/>
          <w:lang w:eastAsia="ru-RU"/>
        </w:rPr>
        <w:t>conține</w:t>
      </w:r>
      <w:r w:rsidR="002B0DCF" w:rsidRPr="00FD2D5D">
        <w:rPr>
          <w:rFonts w:ascii="Times New Roman" w:eastAsia="Times New Roman" w:hAnsi="Times New Roman" w:cs="Times New Roman"/>
          <w:color w:val="000000"/>
          <w:sz w:val="24"/>
          <w:szCs w:val="24"/>
          <w:shd w:val="clear" w:color="auto" w:fill="FFFFFF"/>
          <w:lang w:eastAsia="ru-RU"/>
        </w:rPr>
        <w:t xml:space="preserve"> de asemenea obiective de reducere a emisiilor de GES către anul 2020, care corespund cu celea din SDER.</w:t>
      </w:r>
    </w:p>
    <w:p w14:paraId="1F9842B1" w14:textId="33735E72" w:rsidR="002B0DCF" w:rsidRDefault="002B0DCF" w:rsidP="00E13B78">
      <w:pPr>
        <w:spacing w:after="120" w:line="240" w:lineRule="auto"/>
        <w:ind w:firstLine="810"/>
        <w:jc w:val="both"/>
        <w:rPr>
          <w:rFonts w:ascii="Times New Roman" w:eastAsia="Times New Roman" w:hAnsi="Times New Roman" w:cs="Times New Roman"/>
          <w:color w:val="000000"/>
          <w:sz w:val="24"/>
          <w:szCs w:val="24"/>
          <w:shd w:val="clear" w:color="auto" w:fill="FFFFFF"/>
          <w:lang w:eastAsia="ru-RU"/>
        </w:rPr>
      </w:pPr>
      <w:r w:rsidRPr="00FD2D5D">
        <w:rPr>
          <w:rFonts w:ascii="Times New Roman" w:eastAsia="Times New Roman" w:hAnsi="Times New Roman" w:cs="Times New Roman"/>
          <w:color w:val="000000"/>
          <w:sz w:val="24"/>
          <w:szCs w:val="24"/>
          <w:shd w:val="clear" w:color="auto" w:fill="FFFFFF"/>
          <w:lang w:eastAsia="ru-RU"/>
        </w:rPr>
        <w:t xml:space="preserve">Conform estimărilor prealabile, Republica Moldova, în ansamblu, poate constata anumite </w:t>
      </w:r>
      <w:r w:rsidR="00FD2D5D" w:rsidRPr="00FD2D5D">
        <w:rPr>
          <w:rFonts w:ascii="Times New Roman" w:eastAsia="Times New Roman" w:hAnsi="Times New Roman" w:cs="Times New Roman"/>
          <w:color w:val="000000"/>
          <w:sz w:val="24"/>
          <w:szCs w:val="24"/>
          <w:shd w:val="clear" w:color="auto" w:fill="FFFFFF"/>
          <w:lang w:eastAsia="ru-RU"/>
        </w:rPr>
        <w:t>reușite</w:t>
      </w:r>
      <w:r w:rsidRPr="00FD2D5D">
        <w:rPr>
          <w:rFonts w:ascii="Times New Roman" w:eastAsia="Times New Roman" w:hAnsi="Times New Roman" w:cs="Times New Roman"/>
          <w:color w:val="000000"/>
          <w:sz w:val="24"/>
          <w:szCs w:val="24"/>
          <w:shd w:val="clear" w:color="auto" w:fill="FFFFFF"/>
          <w:lang w:eastAsia="ru-RU"/>
        </w:rPr>
        <w:t xml:space="preserve"> privind îndeplinirea obiectivelor trasate către acest an. Conform Tab. 2</w:t>
      </w:r>
      <w:r w:rsidR="008A3367" w:rsidRPr="00FD2D5D">
        <w:rPr>
          <w:rFonts w:ascii="Times New Roman" w:eastAsia="Times New Roman" w:hAnsi="Times New Roman" w:cs="Times New Roman"/>
          <w:color w:val="000000"/>
          <w:sz w:val="24"/>
          <w:szCs w:val="24"/>
          <w:shd w:val="clear" w:color="auto" w:fill="FFFFFF"/>
          <w:lang w:eastAsia="ru-RU"/>
        </w:rPr>
        <w:t>.2</w:t>
      </w:r>
      <w:r w:rsidRPr="00FD2D5D">
        <w:rPr>
          <w:rFonts w:ascii="Times New Roman" w:eastAsia="Times New Roman" w:hAnsi="Times New Roman" w:cs="Times New Roman"/>
          <w:color w:val="000000"/>
          <w:sz w:val="24"/>
          <w:szCs w:val="24"/>
          <w:shd w:val="clear" w:color="auto" w:fill="FFFFFF"/>
          <w:lang w:eastAsia="ru-RU"/>
        </w:rPr>
        <w:t xml:space="preserve"> de mai jos, în care este prezentat mersul îndeplinirii SDER, Republica Moldova a </w:t>
      </w:r>
      <w:r w:rsidR="00FD2D5D" w:rsidRPr="00FD2D5D">
        <w:rPr>
          <w:rFonts w:ascii="Times New Roman" w:eastAsia="Times New Roman" w:hAnsi="Times New Roman" w:cs="Times New Roman"/>
          <w:color w:val="000000"/>
          <w:sz w:val="24"/>
          <w:szCs w:val="24"/>
          <w:shd w:val="clear" w:color="auto" w:fill="FFFFFF"/>
          <w:lang w:eastAsia="ru-RU"/>
        </w:rPr>
        <w:t>depășit</w:t>
      </w:r>
      <w:r w:rsidRPr="00FD2D5D">
        <w:rPr>
          <w:rFonts w:ascii="Times New Roman" w:eastAsia="Times New Roman" w:hAnsi="Times New Roman" w:cs="Times New Roman"/>
          <w:color w:val="000000"/>
          <w:sz w:val="24"/>
          <w:szCs w:val="24"/>
          <w:shd w:val="clear" w:color="auto" w:fill="FFFFFF"/>
          <w:lang w:eastAsia="ru-RU"/>
        </w:rPr>
        <w:t xml:space="preserve"> nivelul planificat de emisii cu doar cca 4%, înregistrând progrese la reducerea emisiilor de GES în sectoarele „Producerea energiei electrice </w:t>
      </w:r>
      <w:r w:rsidR="00FD2D5D" w:rsidRPr="00FD2D5D">
        <w:rPr>
          <w:rFonts w:ascii="Times New Roman" w:eastAsia="Times New Roman" w:hAnsi="Times New Roman" w:cs="Times New Roman"/>
          <w:color w:val="000000"/>
          <w:sz w:val="24"/>
          <w:szCs w:val="24"/>
          <w:shd w:val="clear" w:color="auto" w:fill="FFFFFF"/>
          <w:lang w:eastAsia="ru-RU"/>
        </w:rPr>
        <w:t>și</w:t>
      </w:r>
      <w:r w:rsidRPr="00FD2D5D">
        <w:rPr>
          <w:rFonts w:ascii="Times New Roman" w:eastAsia="Times New Roman" w:hAnsi="Times New Roman" w:cs="Times New Roman"/>
          <w:color w:val="000000"/>
          <w:sz w:val="24"/>
          <w:szCs w:val="24"/>
          <w:shd w:val="clear" w:color="auto" w:fill="FFFFFF"/>
          <w:lang w:eastAsia="ru-RU"/>
        </w:rPr>
        <w:t xml:space="preserve"> termice” – cu 19% </w:t>
      </w:r>
      <w:r w:rsidR="00FD2D5D" w:rsidRPr="00FD2D5D">
        <w:rPr>
          <w:rFonts w:ascii="Times New Roman" w:eastAsia="Times New Roman" w:hAnsi="Times New Roman" w:cs="Times New Roman"/>
          <w:color w:val="000000"/>
          <w:sz w:val="24"/>
          <w:szCs w:val="24"/>
          <w:shd w:val="clear" w:color="auto" w:fill="FFFFFF"/>
          <w:lang w:eastAsia="ru-RU"/>
        </w:rPr>
        <w:t>și</w:t>
      </w:r>
      <w:r w:rsidRPr="00FD2D5D">
        <w:rPr>
          <w:rFonts w:ascii="Times New Roman" w:eastAsia="Times New Roman" w:hAnsi="Times New Roman" w:cs="Times New Roman"/>
          <w:color w:val="000000"/>
          <w:sz w:val="24"/>
          <w:szCs w:val="24"/>
          <w:shd w:val="clear" w:color="auto" w:fill="FFFFFF"/>
          <w:lang w:eastAsia="ru-RU"/>
        </w:rPr>
        <w:t xml:space="preserve"> Agricultura – cu 26%. Totodată, se înregistrează </w:t>
      </w:r>
      <w:r w:rsidR="00FD2D5D" w:rsidRPr="00FD2D5D">
        <w:rPr>
          <w:rFonts w:ascii="Times New Roman" w:eastAsia="Times New Roman" w:hAnsi="Times New Roman" w:cs="Times New Roman"/>
          <w:color w:val="000000"/>
          <w:sz w:val="24"/>
          <w:szCs w:val="24"/>
          <w:shd w:val="clear" w:color="auto" w:fill="FFFFFF"/>
          <w:lang w:eastAsia="ru-RU"/>
        </w:rPr>
        <w:t>creșteri</w:t>
      </w:r>
      <w:r w:rsidRPr="00FD2D5D">
        <w:rPr>
          <w:rFonts w:ascii="Times New Roman" w:eastAsia="Times New Roman" w:hAnsi="Times New Roman" w:cs="Times New Roman"/>
          <w:color w:val="000000"/>
          <w:sz w:val="24"/>
          <w:szCs w:val="24"/>
          <w:shd w:val="clear" w:color="auto" w:fill="FFFFFF"/>
          <w:lang w:eastAsia="ru-RU"/>
        </w:rPr>
        <w:t xml:space="preserve"> însemnate de GES, </w:t>
      </w:r>
      <w:r w:rsidR="00FD2D5D" w:rsidRPr="00FD2D5D">
        <w:rPr>
          <w:rFonts w:ascii="Times New Roman" w:eastAsia="Times New Roman" w:hAnsi="Times New Roman" w:cs="Times New Roman"/>
          <w:color w:val="000000"/>
          <w:sz w:val="24"/>
          <w:szCs w:val="24"/>
          <w:shd w:val="clear" w:color="auto" w:fill="FFFFFF"/>
          <w:lang w:eastAsia="ru-RU"/>
        </w:rPr>
        <w:t>față</w:t>
      </w:r>
      <w:r w:rsidRPr="00FD2D5D">
        <w:rPr>
          <w:rFonts w:ascii="Times New Roman" w:eastAsia="Times New Roman" w:hAnsi="Times New Roman" w:cs="Times New Roman"/>
          <w:color w:val="000000"/>
          <w:sz w:val="24"/>
          <w:szCs w:val="24"/>
          <w:shd w:val="clear" w:color="auto" w:fill="FFFFFF"/>
          <w:lang w:eastAsia="ru-RU"/>
        </w:rPr>
        <w:t xml:space="preserve"> de </w:t>
      </w:r>
      <w:r w:rsidR="00FD2D5D" w:rsidRPr="00FD2D5D">
        <w:rPr>
          <w:rFonts w:ascii="Times New Roman" w:eastAsia="Times New Roman" w:hAnsi="Times New Roman" w:cs="Times New Roman"/>
          <w:color w:val="000000"/>
          <w:sz w:val="24"/>
          <w:szCs w:val="24"/>
          <w:shd w:val="clear" w:color="auto" w:fill="FFFFFF"/>
          <w:lang w:eastAsia="ru-RU"/>
        </w:rPr>
        <w:t>țintele</w:t>
      </w:r>
      <w:r w:rsidRPr="00FD2D5D">
        <w:rPr>
          <w:rFonts w:ascii="Times New Roman" w:eastAsia="Times New Roman" w:hAnsi="Times New Roman" w:cs="Times New Roman"/>
          <w:color w:val="000000"/>
          <w:sz w:val="24"/>
          <w:szCs w:val="24"/>
          <w:shd w:val="clear" w:color="auto" w:fill="FFFFFF"/>
          <w:lang w:eastAsia="ru-RU"/>
        </w:rPr>
        <w:t xml:space="preserve"> prestabilite pentru anul 2020, în sectoarele „Clădiri” – cu 49%, „Transporturi” – cu 37% </w:t>
      </w:r>
      <w:r w:rsidR="00FD2D5D" w:rsidRPr="00FD2D5D">
        <w:rPr>
          <w:rFonts w:ascii="Times New Roman" w:eastAsia="Times New Roman" w:hAnsi="Times New Roman" w:cs="Times New Roman"/>
          <w:color w:val="000000"/>
          <w:sz w:val="24"/>
          <w:szCs w:val="24"/>
          <w:shd w:val="clear" w:color="auto" w:fill="FFFFFF"/>
          <w:lang w:eastAsia="ru-RU"/>
        </w:rPr>
        <w:t>și</w:t>
      </w:r>
      <w:r w:rsidRPr="00FD2D5D">
        <w:rPr>
          <w:rFonts w:ascii="Times New Roman" w:eastAsia="Times New Roman" w:hAnsi="Times New Roman" w:cs="Times New Roman"/>
          <w:color w:val="000000"/>
          <w:sz w:val="24"/>
          <w:szCs w:val="24"/>
          <w:shd w:val="clear" w:color="auto" w:fill="FFFFFF"/>
          <w:lang w:eastAsia="ru-RU"/>
        </w:rPr>
        <w:t xml:space="preserve"> „Procese industriale” – cu 39%.</w:t>
      </w:r>
      <w:r w:rsidR="00BB3FDA">
        <w:rPr>
          <w:rFonts w:ascii="Times New Roman" w:eastAsia="Times New Roman" w:hAnsi="Times New Roman" w:cs="Times New Roman"/>
          <w:color w:val="000000"/>
          <w:sz w:val="24"/>
          <w:szCs w:val="24"/>
          <w:shd w:val="clear" w:color="auto" w:fill="FFFFFF"/>
          <w:lang w:eastAsia="ru-RU"/>
        </w:rPr>
        <w:t xml:space="preserve"> Este de </w:t>
      </w:r>
      <w:proofErr w:type="spellStart"/>
      <w:r w:rsidR="00BB3FDA">
        <w:rPr>
          <w:rFonts w:ascii="Times New Roman" w:eastAsia="Times New Roman" w:hAnsi="Times New Roman" w:cs="Times New Roman"/>
          <w:color w:val="000000"/>
          <w:sz w:val="24"/>
          <w:szCs w:val="24"/>
          <w:shd w:val="clear" w:color="auto" w:fill="FFFFFF"/>
          <w:lang w:eastAsia="ru-RU"/>
        </w:rPr>
        <w:t>menţionat</w:t>
      </w:r>
      <w:proofErr w:type="spellEnd"/>
      <w:r w:rsidR="00BB3FDA">
        <w:rPr>
          <w:rFonts w:ascii="Times New Roman" w:eastAsia="Times New Roman" w:hAnsi="Times New Roman" w:cs="Times New Roman"/>
          <w:color w:val="000000"/>
          <w:sz w:val="24"/>
          <w:szCs w:val="24"/>
          <w:shd w:val="clear" w:color="auto" w:fill="FFFFFF"/>
          <w:lang w:eastAsia="ru-RU"/>
        </w:rPr>
        <w:t xml:space="preserve"> că datele de pronostic al emisiilor de GES pentru anul 2020 nu au luat în </w:t>
      </w:r>
      <w:proofErr w:type="spellStart"/>
      <w:r w:rsidR="00BB3FDA">
        <w:rPr>
          <w:rFonts w:ascii="Times New Roman" w:eastAsia="Times New Roman" w:hAnsi="Times New Roman" w:cs="Times New Roman"/>
          <w:color w:val="000000"/>
          <w:sz w:val="24"/>
          <w:szCs w:val="24"/>
          <w:shd w:val="clear" w:color="auto" w:fill="FFFFFF"/>
          <w:lang w:eastAsia="ru-RU"/>
        </w:rPr>
        <w:t>consideraţie</w:t>
      </w:r>
      <w:proofErr w:type="spellEnd"/>
      <w:r w:rsidR="00BB3FDA">
        <w:rPr>
          <w:rFonts w:ascii="Times New Roman" w:eastAsia="Times New Roman" w:hAnsi="Times New Roman" w:cs="Times New Roman"/>
          <w:color w:val="000000"/>
          <w:sz w:val="24"/>
          <w:szCs w:val="24"/>
          <w:shd w:val="clear" w:color="auto" w:fill="FFFFFF"/>
          <w:lang w:eastAsia="ru-RU"/>
        </w:rPr>
        <w:t xml:space="preserve"> impactul pandemiei COVID-19.</w:t>
      </w:r>
    </w:p>
    <w:p w14:paraId="6BFB1853" w14:textId="1AE10AFC" w:rsidR="00AC461F" w:rsidRDefault="00AC461F" w:rsidP="00E13B78">
      <w:pPr>
        <w:spacing w:after="120" w:line="240" w:lineRule="auto"/>
        <w:ind w:firstLine="810"/>
        <w:jc w:val="both"/>
        <w:rPr>
          <w:rFonts w:ascii="Times New Roman" w:eastAsia="Times New Roman" w:hAnsi="Times New Roman" w:cs="Times New Roman"/>
          <w:color w:val="000000"/>
          <w:sz w:val="24"/>
          <w:szCs w:val="24"/>
          <w:shd w:val="clear" w:color="auto" w:fill="FFFFFF"/>
          <w:lang w:eastAsia="ru-RU"/>
        </w:rPr>
      </w:pPr>
    </w:p>
    <w:p w14:paraId="466F2F80" w14:textId="327E260E" w:rsidR="00AC461F" w:rsidRDefault="00AC461F" w:rsidP="00E13B78">
      <w:pPr>
        <w:spacing w:after="120" w:line="240" w:lineRule="auto"/>
        <w:ind w:firstLine="810"/>
        <w:jc w:val="both"/>
        <w:rPr>
          <w:rFonts w:ascii="Times New Roman" w:eastAsia="Times New Roman" w:hAnsi="Times New Roman" w:cs="Times New Roman"/>
          <w:color w:val="000000"/>
          <w:sz w:val="24"/>
          <w:szCs w:val="24"/>
          <w:shd w:val="clear" w:color="auto" w:fill="FFFFFF"/>
          <w:lang w:eastAsia="ru-RU"/>
        </w:rPr>
      </w:pPr>
    </w:p>
    <w:p w14:paraId="2C86B7C9" w14:textId="77777777" w:rsidR="00AC461F" w:rsidRPr="00FD2D5D" w:rsidRDefault="00AC461F" w:rsidP="00E13B78">
      <w:pPr>
        <w:spacing w:after="120" w:line="240" w:lineRule="auto"/>
        <w:ind w:firstLine="810"/>
        <w:jc w:val="both"/>
        <w:rPr>
          <w:rFonts w:ascii="Times New Roman" w:eastAsia="Times New Roman" w:hAnsi="Times New Roman" w:cs="Times New Roman"/>
          <w:color w:val="000000"/>
          <w:sz w:val="24"/>
          <w:szCs w:val="24"/>
          <w:shd w:val="clear" w:color="auto" w:fill="FFFFFF"/>
          <w:lang w:eastAsia="ru-RU"/>
        </w:rPr>
      </w:pPr>
    </w:p>
    <w:p w14:paraId="4A91E677" w14:textId="4811EDD0" w:rsidR="008A3367" w:rsidRPr="00FD2D5D" w:rsidRDefault="002B0DCF" w:rsidP="008A3367">
      <w:pPr>
        <w:spacing w:after="120" w:line="240" w:lineRule="auto"/>
        <w:jc w:val="right"/>
        <w:rPr>
          <w:rFonts w:ascii="Times New Roman" w:eastAsia="Times New Roman" w:hAnsi="Times New Roman" w:cs="Times New Roman"/>
          <w:color w:val="000000"/>
          <w:sz w:val="24"/>
          <w:szCs w:val="24"/>
          <w:shd w:val="clear" w:color="auto" w:fill="FFFFFF"/>
          <w:lang w:eastAsia="ru-RU"/>
        </w:rPr>
      </w:pPr>
      <w:r w:rsidRPr="00FD2D5D">
        <w:rPr>
          <w:rFonts w:ascii="Times New Roman" w:eastAsia="Times New Roman" w:hAnsi="Times New Roman" w:cs="Times New Roman"/>
          <w:color w:val="000000"/>
          <w:sz w:val="24"/>
          <w:szCs w:val="24"/>
          <w:shd w:val="clear" w:color="auto" w:fill="FFFFFF"/>
          <w:lang w:eastAsia="ru-RU"/>
        </w:rPr>
        <w:lastRenderedPageBreak/>
        <w:t>Tabelul 2</w:t>
      </w:r>
      <w:r w:rsidR="008A3367" w:rsidRPr="00FD2D5D">
        <w:rPr>
          <w:rFonts w:ascii="Times New Roman" w:eastAsia="Times New Roman" w:hAnsi="Times New Roman" w:cs="Times New Roman"/>
          <w:color w:val="000000"/>
          <w:sz w:val="24"/>
          <w:szCs w:val="24"/>
          <w:shd w:val="clear" w:color="auto" w:fill="FFFFFF"/>
          <w:lang w:eastAsia="ru-RU"/>
        </w:rPr>
        <w:t>.2</w:t>
      </w:r>
    </w:p>
    <w:p w14:paraId="2F43416A" w14:textId="5A433AD2" w:rsidR="002B0DCF" w:rsidRPr="00FD2D5D" w:rsidRDefault="002B0DCF" w:rsidP="008A3367">
      <w:pPr>
        <w:spacing w:after="0" w:line="240" w:lineRule="auto"/>
        <w:jc w:val="center"/>
        <w:rPr>
          <w:rFonts w:ascii="Times New Roman" w:hAnsi="Times New Roman" w:cs="Times New Roman"/>
          <w:b/>
          <w:bCs/>
          <w:sz w:val="24"/>
          <w:szCs w:val="24"/>
        </w:rPr>
      </w:pPr>
      <w:r w:rsidRPr="00FD2D5D">
        <w:rPr>
          <w:rFonts w:ascii="Times New Roman" w:eastAsia="Times New Roman" w:hAnsi="Times New Roman" w:cs="Times New Roman"/>
          <w:b/>
          <w:bCs/>
          <w:color w:val="000000"/>
          <w:sz w:val="24"/>
          <w:szCs w:val="24"/>
          <w:shd w:val="clear" w:color="auto" w:fill="FFFFFF"/>
          <w:lang w:eastAsia="ru-RU"/>
        </w:rPr>
        <w:t>Mersul îndeplinirii SDER aprobată prin HG nr. 1470/2016</w:t>
      </w:r>
    </w:p>
    <w:tbl>
      <w:tblPr>
        <w:tblW w:w="5000" w:type="pct"/>
        <w:tblLook w:val="04A0" w:firstRow="1" w:lastRow="0" w:firstColumn="1" w:lastColumn="0" w:noHBand="0" w:noVBand="1"/>
      </w:tblPr>
      <w:tblGrid>
        <w:gridCol w:w="3205"/>
        <w:gridCol w:w="1417"/>
        <w:gridCol w:w="2294"/>
        <w:gridCol w:w="2203"/>
      </w:tblGrid>
      <w:tr w:rsidR="002B0DCF" w:rsidRPr="00FD2D5D" w14:paraId="3B2536B9" w14:textId="77777777" w:rsidTr="001D478C">
        <w:trPr>
          <w:trHeight w:val="728"/>
        </w:trPr>
        <w:tc>
          <w:tcPr>
            <w:tcW w:w="16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1536D" w14:textId="77777777" w:rsidR="002B0DCF" w:rsidRPr="00FD2D5D" w:rsidRDefault="002B0DCF" w:rsidP="002B0DCF">
            <w:pPr>
              <w:spacing w:after="0" w:line="240" w:lineRule="auto"/>
              <w:jc w:val="both"/>
              <w:rPr>
                <w:rFonts w:ascii="Times New Roman" w:eastAsia="Times New Roman" w:hAnsi="Times New Roman" w:cs="Times New Roman"/>
                <w:b/>
                <w:bCs/>
                <w:color w:val="000000"/>
                <w:sz w:val="18"/>
                <w:szCs w:val="18"/>
              </w:rPr>
            </w:pPr>
            <w:r w:rsidRPr="00FD2D5D">
              <w:rPr>
                <w:rFonts w:ascii="Times New Roman" w:eastAsia="Times New Roman" w:hAnsi="Times New Roman" w:cs="Times New Roman"/>
                <w:b/>
                <w:bCs/>
                <w:color w:val="000000"/>
                <w:sz w:val="18"/>
                <w:szCs w:val="18"/>
              </w:rPr>
              <w:t>Sectoarele</w:t>
            </w:r>
          </w:p>
        </w:tc>
        <w:tc>
          <w:tcPr>
            <w:tcW w:w="826" w:type="pct"/>
            <w:tcBorders>
              <w:top w:val="single" w:sz="4" w:space="0" w:color="auto"/>
              <w:left w:val="nil"/>
              <w:bottom w:val="single" w:sz="4" w:space="0" w:color="auto"/>
              <w:right w:val="single" w:sz="4" w:space="0" w:color="auto"/>
            </w:tcBorders>
            <w:shd w:val="clear" w:color="auto" w:fill="auto"/>
            <w:vAlign w:val="center"/>
            <w:hideMark/>
          </w:tcPr>
          <w:p w14:paraId="795A6738" w14:textId="787098D2" w:rsidR="002B0DCF" w:rsidRPr="00FD2D5D" w:rsidRDefault="00FD2D5D" w:rsidP="002B0DCF">
            <w:pPr>
              <w:spacing w:after="0" w:line="240" w:lineRule="auto"/>
              <w:jc w:val="center"/>
              <w:rPr>
                <w:rFonts w:ascii="Times New Roman" w:eastAsia="Times New Roman" w:hAnsi="Times New Roman" w:cs="Times New Roman"/>
                <w:b/>
                <w:bCs/>
                <w:color w:val="000000"/>
                <w:sz w:val="18"/>
                <w:szCs w:val="18"/>
              </w:rPr>
            </w:pPr>
            <w:r w:rsidRPr="00FD2D5D">
              <w:rPr>
                <w:rFonts w:ascii="Times New Roman" w:eastAsia="Times New Roman" w:hAnsi="Times New Roman" w:cs="Times New Roman"/>
                <w:b/>
                <w:bCs/>
                <w:color w:val="000000"/>
                <w:sz w:val="18"/>
                <w:szCs w:val="18"/>
              </w:rPr>
              <w:t>Ținta</w:t>
            </w:r>
            <w:r w:rsidR="002B0DCF" w:rsidRPr="00FD2D5D">
              <w:rPr>
                <w:rFonts w:ascii="Times New Roman" w:eastAsia="Times New Roman" w:hAnsi="Times New Roman" w:cs="Times New Roman"/>
                <w:b/>
                <w:bCs/>
                <w:color w:val="000000"/>
                <w:sz w:val="18"/>
                <w:szCs w:val="18"/>
              </w:rPr>
              <w:t xml:space="preserve"> SDER pentru anul 2020, emisii GES, ktCO</w:t>
            </w:r>
            <w:r w:rsidR="002B0DCF" w:rsidRPr="00FD2D5D">
              <w:rPr>
                <w:rFonts w:ascii="Times New Roman" w:eastAsia="Times New Roman" w:hAnsi="Times New Roman" w:cs="Times New Roman"/>
                <w:b/>
                <w:bCs/>
                <w:color w:val="000000"/>
                <w:sz w:val="18"/>
                <w:szCs w:val="18"/>
                <w:vertAlign w:val="subscript"/>
              </w:rPr>
              <w:t>2</w:t>
            </w:r>
            <w:r w:rsidR="002B0DCF" w:rsidRPr="00FD2D5D">
              <w:rPr>
                <w:rFonts w:ascii="Times New Roman" w:eastAsia="Times New Roman" w:hAnsi="Times New Roman" w:cs="Times New Roman"/>
                <w:b/>
                <w:bCs/>
                <w:color w:val="000000"/>
                <w:sz w:val="18"/>
                <w:szCs w:val="18"/>
              </w:rPr>
              <w:t>eq</w:t>
            </w:r>
          </w:p>
        </w:tc>
        <w:tc>
          <w:tcPr>
            <w:tcW w:w="1306" w:type="pct"/>
            <w:tcBorders>
              <w:top w:val="single" w:sz="4" w:space="0" w:color="auto"/>
              <w:left w:val="nil"/>
              <w:bottom w:val="single" w:sz="4" w:space="0" w:color="auto"/>
              <w:right w:val="single" w:sz="4" w:space="0" w:color="auto"/>
            </w:tcBorders>
            <w:shd w:val="clear" w:color="auto" w:fill="auto"/>
            <w:vAlign w:val="center"/>
            <w:hideMark/>
          </w:tcPr>
          <w:p w14:paraId="1C36BB65" w14:textId="77777777" w:rsidR="002B0DCF" w:rsidRPr="00FD2D5D" w:rsidRDefault="002B0DCF" w:rsidP="002B0DCF">
            <w:pPr>
              <w:spacing w:after="0" w:line="240" w:lineRule="auto"/>
              <w:jc w:val="center"/>
              <w:rPr>
                <w:rFonts w:ascii="Times New Roman" w:eastAsia="Times New Roman" w:hAnsi="Times New Roman" w:cs="Times New Roman"/>
                <w:b/>
                <w:bCs/>
                <w:color w:val="000000"/>
                <w:sz w:val="18"/>
                <w:szCs w:val="18"/>
              </w:rPr>
            </w:pPr>
            <w:r w:rsidRPr="00FD2D5D">
              <w:rPr>
                <w:rFonts w:ascii="Times New Roman" w:eastAsia="Times New Roman" w:hAnsi="Times New Roman" w:cs="Times New Roman"/>
                <w:b/>
                <w:bCs/>
                <w:color w:val="000000"/>
                <w:sz w:val="18"/>
                <w:szCs w:val="18"/>
              </w:rPr>
              <w:t>Emisiile estimative de GES efectiv generate în anul 2020,</w:t>
            </w:r>
          </w:p>
          <w:p w14:paraId="7ABFC277" w14:textId="77777777" w:rsidR="002B0DCF" w:rsidRPr="00FD2D5D" w:rsidRDefault="002B0DCF" w:rsidP="002B0DCF">
            <w:pPr>
              <w:spacing w:after="0" w:line="240" w:lineRule="auto"/>
              <w:jc w:val="center"/>
              <w:rPr>
                <w:rFonts w:ascii="Times New Roman" w:eastAsia="Times New Roman" w:hAnsi="Times New Roman" w:cs="Times New Roman"/>
                <w:b/>
                <w:bCs/>
                <w:color w:val="000000"/>
                <w:sz w:val="18"/>
                <w:szCs w:val="18"/>
              </w:rPr>
            </w:pPr>
            <w:r w:rsidRPr="00FD2D5D">
              <w:rPr>
                <w:rFonts w:ascii="Times New Roman" w:eastAsia="Times New Roman" w:hAnsi="Times New Roman" w:cs="Times New Roman"/>
                <w:b/>
                <w:bCs/>
                <w:color w:val="000000"/>
                <w:sz w:val="18"/>
                <w:szCs w:val="18"/>
              </w:rPr>
              <w:t>kt CO</w:t>
            </w:r>
            <w:r w:rsidRPr="00FD2D5D">
              <w:rPr>
                <w:rFonts w:ascii="Times New Roman" w:eastAsia="Times New Roman" w:hAnsi="Times New Roman" w:cs="Times New Roman"/>
                <w:b/>
                <w:bCs/>
                <w:color w:val="000000"/>
                <w:sz w:val="18"/>
                <w:szCs w:val="18"/>
                <w:vertAlign w:val="subscript"/>
              </w:rPr>
              <w:t>2</w:t>
            </w:r>
            <w:r w:rsidRPr="00FD2D5D">
              <w:rPr>
                <w:rFonts w:ascii="Times New Roman" w:eastAsia="Times New Roman" w:hAnsi="Times New Roman" w:cs="Times New Roman"/>
                <w:b/>
                <w:bCs/>
                <w:color w:val="000000"/>
                <w:sz w:val="18"/>
                <w:szCs w:val="18"/>
              </w:rPr>
              <w:t>eq</w:t>
            </w:r>
          </w:p>
        </w:tc>
        <w:tc>
          <w:tcPr>
            <w:tcW w:w="1256" w:type="pct"/>
            <w:tcBorders>
              <w:top w:val="single" w:sz="4" w:space="0" w:color="auto"/>
              <w:left w:val="nil"/>
              <w:bottom w:val="single" w:sz="4" w:space="0" w:color="auto"/>
              <w:right w:val="single" w:sz="4" w:space="0" w:color="auto"/>
            </w:tcBorders>
            <w:shd w:val="clear" w:color="auto" w:fill="auto"/>
            <w:vAlign w:val="center"/>
            <w:hideMark/>
          </w:tcPr>
          <w:p w14:paraId="299458F3" w14:textId="5E359006" w:rsidR="002B0DCF" w:rsidRPr="00FD2D5D" w:rsidRDefault="00FD2D5D" w:rsidP="002B0DCF">
            <w:pPr>
              <w:spacing w:after="0" w:line="240" w:lineRule="auto"/>
              <w:jc w:val="center"/>
              <w:rPr>
                <w:rFonts w:ascii="Times New Roman" w:eastAsia="Times New Roman" w:hAnsi="Times New Roman" w:cs="Times New Roman"/>
                <w:b/>
                <w:bCs/>
                <w:color w:val="000000"/>
                <w:sz w:val="18"/>
                <w:szCs w:val="18"/>
              </w:rPr>
            </w:pPr>
            <w:r w:rsidRPr="00FD2D5D">
              <w:rPr>
                <w:rFonts w:ascii="Times New Roman" w:eastAsia="Times New Roman" w:hAnsi="Times New Roman" w:cs="Times New Roman"/>
                <w:b/>
                <w:bCs/>
                <w:color w:val="000000"/>
                <w:sz w:val="18"/>
                <w:szCs w:val="18"/>
              </w:rPr>
              <w:t>Creșterea</w:t>
            </w:r>
            <w:r w:rsidR="002B0DCF" w:rsidRPr="00FD2D5D">
              <w:rPr>
                <w:rFonts w:ascii="Times New Roman" w:eastAsia="Times New Roman" w:hAnsi="Times New Roman" w:cs="Times New Roman"/>
                <w:b/>
                <w:bCs/>
                <w:color w:val="000000"/>
                <w:sz w:val="18"/>
                <w:szCs w:val="18"/>
              </w:rPr>
              <w:t xml:space="preserve"> emisiilor de GES în 2020 </w:t>
            </w:r>
            <w:r w:rsidRPr="00FD2D5D">
              <w:rPr>
                <w:rFonts w:ascii="Times New Roman" w:eastAsia="Times New Roman" w:hAnsi="Times New Roman" w:cs="Times New Roman"/>
                <w:b/>
                <w:bCs/>
                <w:color w:val="000000"/>
                <w:sz w:val="18"/>
                <w:szCs w:val="18"/>
              </w:rPr>
              <w:t>față</w:t>
            </w:r>
            <w:r w:rsidR="002B0DCF" w:rsidRPr="00FD2D5D">
              <w:rPr>
                <w:rFonts w:ascii="Times New Roman" w:eastAsia="Times New Roman" w:hAnsi="Times New Roman" w:cs="Times New Roman"/>
                <w:b/>
                <w:bCs/>
                <w:color w:val="000000"/>
                <w:sz w:val="18"/>
                <w:szCs w:val="18"/>
              </w:rPr>
              <w:t xml:space="preserve"> de obiectivul SDER pentru acest an, %</w:t>
            </w:r>
          </w:p>
        </w:tc>
      </w:tr>
      <w:tr w:rsidR="002B0DCF" w:rsidRPr="00FD2D5D" w14:paraId="149BD384" w14:textId="77777777" w:rsidTr="001D478C">
        <w:trPr>
          <w:trHeight w:val="288"/>
        </w:trPr>
        <w:tc>
          <w:tcPr>
            <w:tcW w:w="1612" w:type="pct"/>
            <w:tcBorders>
              <w:top w:val="nil"/>
              <w:left w:val="single" w:sz="4" w:space="0" w:color="auto"/>
              <w:bottom w:val="single" w:sz="4" w:space="0" w:color="auto"/>
              <w:right w:val="single" w:sz="4" w:space="0" w:color="auto"/>
            </w:tcBorders>
            <w:shd w:val="clear" w:color="auto" w:fill="auto"/>
            <w:noWrap/>
            <w:vAlign w:val="center"/>
            <w:hideMark/>
          </w:tcPr>
          <w:p w14:paraId="1DB125E2" w14:textId="77777777" w:rsidR="002B0DCF" w:rsidRPr="00FD2D5D" w:rsidRDefault="002B0DCF" w:rsidP="002B0DCF">
            <w:pPr>
              <w:spacing w:after="0" w:line="240" w:lineRule="auto"/>
              <w:jc w:val="both"/>
              <w:rPr>
                <w:rFonts w:ascii="Times New Roman" w:eastAsia="Times New Roman" w:hAnsi="Times New Roman" w:cs="Times New Roman"/>
                <w:color w:val="000000"/>
                <w:sz w:val="18"/>
                <w:szCs w:val="18"/>
              </w:rPr>
            </w:pPr>
            <w:r w:rsidRPr="00FD2D5D">
              <w:rPr>
                <w:rFonts w:ascii="Times New Roman" w:eastAsia="Times New Roman" w:hAnsi="Times New Roman" w:cs="Times New Roman"/>
                <w:color w:val="000000"/>
                <w:sz w:val="18"/>
                <w:szCs w:val="18"/>
              </w:rPr>
              <w:t>Sectorul energetic, inclusiv:</w:t>
            </w:r>
          </w:p>
        </w:tc>
        <w:tc>
          <w:tcPr>
            <w:tcW w:w="826" w:type="pct"/>
            <w:tcBorders>
              <w:top w:val="nil"/>
              <w:left w:val="nil"/>
              <w:bottom w:val="single" w:sz="4" w:space="0" w:color="auto"/>
              <w:right w:val="single" w:sz="4" w:space="0" w:color="auto"/>
            </w:tcBorders>
            <w:shd w:val="clear" w:color="auto" w:fill="auto"/>
            <w:noWrap/>
            <w:vAlign w:val="center"/>
            <w:hideMark/>
          </w:tcPr>
          <w:p w14:paraId="30071E4D" w14:textId="77777777" w:rsidR="002B0DCF" w:rsidRPr="00FD2D5D" w:rsidRDefault="002B0DCF" w:rsidP="002B0DCF">
            <w:pPr>
              <w:spacing w:after="0" w:line="240" w:lineRule="auto"/>
              <w:jc w:val="center"/>
              <w:rPr>
                <w:rFonts w:ascii="Times New Roman" w:eastAsia="Times New Roman" w:hAnsi="Times New Roman" w:cs="Times New Roman"/>
                <w:color w:val="000000"/>
                <w:sz w:val="18"/>
                <w:szCs w:val="18"/>
              </w:rPr>
            </w:pPr>
            <w:r w:rsidRPr="00FD2D5D">
              <w:rPr>
                <w:rFonts w:ascii="Times New Roman" w:eastAsia="Times New Roman" w:hAnsi="Times New Roman" w:cs="Times New Roman"/>
                <w:color w:val="000000"/>
                <w:sz w:val="18"/>
                <w:szCs w:val="18"/>
              </w:rPr>
              <w:t>8796</w:t>
            </w:r>
          </w:p>
        </w:tc>
        <w:tc>
          <w:tcPr>
            <w:tcW w:w="1306" w:type="pct"/>
            <w:tcBorders>
              <w:top w:val="nil"/>
              <w:left w:val="nil"/>
              <w:bottom w:val="single" w:sz="4" w:space="0" w:color="auto"/>
              <w:right w:val="single" w:sz="4" w:space="0" w:color="auto"/>
            </w:tcBorders>
            <w:shd w:val="clear" w:color="auto" w:fill="auto"/>
            <w:noWrap/>
            <w:vAlign w:val="center"/>
            <w:hideMark/>
          </w:tcPr>
          <w:p w14:paraId="1C224997" w14:textId="77777777" w:rsidR="002B0DCF" w:rsidRPr="00FD2D5D" w:rsidRDefault="002B0DCF" w:rsidP="002B0DCF">
            <w:pPr>
              <w:spacing w:after="0" w:line="240" w:lineRule="auto"/>
              <w:jc w:val="center"/>
              <w:rPr>
                <w:rFonts w:ascii="Times New Roman" w:eastAsia="Times New Roman" w:hAnsi="Times New Roman" w:cs="Times New Roman"/>
                <w:color w:val="000000"/>
                <w:sz w:val="18"/>
                <w:szCs w:val="18"/>
              </w:rPr>
            </w:pPr>
            <w:r w:rsidRPr="00FD2D5D">
              <w:rPr>
                <w:rFonts w:ascii="Times New Roman" w:eastAsia="Times New Roman" w:hAnsi="Times New Roman" w:cs="Times New Roman"/>
                <w:color w:val="000000"/>
                <w:sz w:val="18"/>
                <w:szCs w:val="18"/>
              </w:rPr>
              <w:t>9370</w:t>
            </w:r>
          </w:p>
        </w:tc>
        <w:tc>
          <w:tcPr>
            <w:tcW w:w="1256" w:type="pct"/>
            <w:tcBorders>
              <w:top w:val="nil"/>
              <w:left w:val="nil"/>
              <w:bottom w:val="single" w:sz="4" w:space="0" w:color="auto"/>
              <w:right w:val="single" w:sz="4" w:space="0" w:color="auto"/>
            </w:tcBorders>
            <w:shd w:val="clear" w:color="auto" w:fill="auto"/>
            <w:noWrap/>
            <w:vAlign w:val="center"/>
            <w:hideMark/>
          </w:tcPr>
          <w:p w14:paraId="6A6DE29F" w14:textId="77777777" w:rsidR="002B0DCF" w:rsidRPr="00FD2D5D" w:rsidRDefault="002B0DCF" w:rsidP="002B0DCF">
            <w:pPr>
              <w:spacing w:after="0" w:line="240" w:lineRule="auto"/>
              <w:jc w:val="center"/>
              <w:rPr>
                <w:rFonts w:ascii="Times New Roman" w:eastAsia="Times New Roman" w:hAnsi="Times New Roman" w:cs="Times New Roman"/>
                <w:color w:val="000000"/>
                <w:sz w:val="18"/>
                <w:szCs w:val="18"/>
              </w:rPr>
            </w:pPr>
            <w:r w:rsidRPr="00FD2D5D">
              <w:rPr>
                <w:rFonts w:ascii="Times New Roman" w:eastAsia="Times New Roman" w:hAnsi="Times New Roman" w:cs="Times New Roman"/>
                <w:color w:val="000000"/>
                <w:sz w:val="18"/>
                <w:szCs w:val="18"/>
              </w:rPr>
              <w:t>7</w:t>
            </w:r>
          </w:p>
        </w:tc>
      </w:tr>
      <w:tr w:rsidR="002B0DCF" w:rsidRPr="00FD2D5D" w14:paraId="145B4493" w14:textId="77777777" w:rsidTr="001D478C">
        <w:trPr>
          <w:trHeight w:val="288"/>
        </w:trPr>
        <w:tc>
          <w:tcPr>
            <w:tcW w:w="1612" w:type="pct"/>
            <w:tcBorders>
              <w:top w:val="nil"/>
              <w:left w:val="single" w:sz="4" w:space="0" w:color="auto"/>
              <w:bottom w:val="single" w:sz="4" w:space="0" w:color="auto"/>
              <w:right w:val="single" w:sz="4" w:space="0" w:color="auto"/>
            </w:tcBorders>
            <w:shd w:val="clear" w:color="auto" w:fill="auto"/>
            <w:noWrap/>
            <w:vAlign w:val="center"/>
            <w:hideMark/>
          </w:tcPr>
          <w:p w14:paraId="390E3C0E" w14:textId="77777777" w:rsidR="002B0DCF" w:rsidRPr="00FD2D5D" w:rsidRDefault="002B0DCF" w:rsidP="002B0DCF">
            <w:pPr>
              <w:spacing w:after="0" w:line="240" w:lineRule="auto"/>
              <w:jc w:val="both"/>
              <w:rPr>
                <w:rFonts w:ascii="Times New Roman" w:eastAsia="Times New Roman" w:hAnsi="Times New Roman" w:cs="Times New Roman"/>
                <w:color w:val="000000"/>
                <w:sz w:val="18"/>
                <w:szCs w:val="18"/>
              </w:rPr>
            </w:pPr>
            <w:r w:rsidRPr="00FD2D5D">
              <w:rPr>
                <w:rFonts w:ascii="Times New Roman" w:eastAsia="Times New Roman" w:hAnsi="Times New Roman" w:cs="Times New Roman"/>
                <w:color w:val="000000"/>
                <w:sz w:val="18"/>
                <w:szCs w:val="18"/>
              </w:rPr>
              <w:t xml:space="preserve"> - Producerea energiei electrice si termice </w:t>
            </w:r>
          </w:p>
        </w:tc>
        <w:tc>
          <w:tcPr>
            <w:tcW w:w="826" w:type="pct"/>
            <w:tcBorders>
              <w:top w:val="nil"/>
              <w:left w:val="nil"/>
              <w:bottom w:val="single" w:sz="4" w:space="0" w:color="auto"/>
              <w:right w:val="single" w:sz="4" w:space="0" w:color="auto"/>
            </w:tcBorders>
            <w:shd w:val="clear" w:color="auto" w:fill="auto"/>
            <w:noWrap/>
            <w:vAlign w:val="center"/>
            <w:hideMark/>
          </w:tcPr>
          <w:p w14:paraId="7222BB67" w14:textId="77777777" w:rsidR="002B0DCF" w:rsidRPr="00FD2D5D" w:rsidRDefault="002B0DCF" w:rsidP="002B0DCF">
            <w:pPr>
              <w:spacing w:after="0" w:line="240" w:lineRule="auto"/>
              <w:jc w:val="center"/>
              <w:rPr>
                <w:rFonts w:ascii="Times New Roman" w:eastAsia="Times New Roman" w:hAnsi="Times New Roman" w:cs="Times New Roman"/>
                <w:color w:val="000000"/>
                <w:sz w:val="18"/>
                <w:szCs w:val="18"/>
              </w:rPr>
            </w:pPr>
            <w:r w:rsidRPr="00FD2D5D">
              <w:rPr>
                <w:rFonts w:ascii="Times New Roman" w:eastAsia="Times New Roman" w:hAnsi="Times New Roman" w:cs="Times New Roman"/>
                <w:color w:val="000000"/>
                <w:sz w:val="18"/>
                <w:szCs w:val="18"/>
              </w:rPr>
              <w:t>5070</w:t>
            </w:r>
          </w:p>
        </w:tc>
        <w:tc>
          <w:tcPr>
            <w:tcW w:w="1306" w:type="pct"/>
            <w:tcBorders>
              <w:top w:val="nil"/>
              <w:left w:val="nil"/>
              <w:bottom w:val="single" w:sz="4" w:space="0" w:color="auto"/>
              <w:right w:val="single" w:sz="4" w:space="0" w:color="auto"/>
            </w:tcBorders>
            <w:shd w:val="clear" w:color="auto" w:fill="auto"/>
            <w:noWrap/>
            <w:vAlign w:val="center"/>
            <w:hideMark/>
          </w:tcPr>
          <w:p w14:paraId="397C41D9" w14:textId="77777777" w:rsidR="002B0DCF" w:rsidRPr="00FD2D5D" w:rsidRDefault="002B0DCF" w:rsidP="002B0DCF">
            <w:pPr>
              <w:spacing w:after="0" w:line="240" w:lineRule="auto"/>
              <w:jc w:val="center"/>
              <w:rPr>
                <w:rFonts w:ascii="Times New Roman" w:eastAsia="Times New Roman" w:hAnsi="Times New Roman" w:cs="Times New Roman"/>
                <w:color w:val="000000"/>
                <w:sz w:val="18"/>
                <w:szCs w:val="18"/>
              </w:rPr>
            </w:pPr>
            <w:r w:rsidRPr="00FD2D5D">
              <w:rPr>
                <w:rFonts w:ascii="Times New Roman" w:eastAsia="Times New Roman" w:hAnsi="Times New Roman" w:cs="Times New Roman"/>
                <w:color w:val="000000"/>
                <w:sz w:val="18"/>
                <w:szCs w:val="18"/>
              </w:rPr>
              <w:t>4105</w:t>
            </w:r>
          </w:p>
        </w:tc>
        <w:tc>
          <w:tcPr>
            <w:tcW w:w="1256" w:type="pct"/>
            <w:tcBorders>
              <w:top w:val="nil"/>
              <w:left w:val="nil"/>
              <w:bottom w:val="single" w:sz="4" w:space="0" w:color="auto"/>
              <w:right w:val="single" w:sz="4" w:space="0" w:color="auto"/>
            </w:tcBorders>
            <w:shd w:val="clear" w:color="auto" w:fill="auto"/>
            <w:noWrap/>
            <w:vAlign w:val="center"/>
            <w:hideMark/>
          </w:tcPr>
          <w:p w14:paraId="6EF6FD2B" w14:textId="77777777" w:rsidR="002B0DCF" w:rsidRPr="00FD2D5D" w:rsidRDefault="002B0DCF" w:rsidP="002B0DCF">
            <w:pPr>
              <w:spacing w:after="0" w:line="240" w:lineRule="auto"/>
              <w:jc w:val="center"/>
              <w:rPr>
                <w:rFonts w:ascii="Times New Roman" w:eastAsia="Times New Roman" w:hAnsi="Times New Roman" w:cs="Times New Roman"/>
                <w:color w:val="000000"/>
                <w:sz w:val="18"/>
                <w:szCs w:val="18"/>
              </w:rPr>
            </w:pPr>
            <w:r w:rsidRPr="00FD2D5D">
              <w:rPr>
                <w:rFonts w:ascii="Times New Roman" w:eastAsia="Times New Roman" w:hAnsi="Times New Roman" w:cs="Times New Roman"/>
                <w:color w:val="000000"/>
                <w:sz w:val="18"/>
                <w:szCs w:val="18"/>
              </w:rPr>
              <w:t>-19</w:t>
            </w:r>
          </w:p>
        </w:tc>
      </w:tr>
      <w:tr w:rsidR="002B0DCF" w:rsidRPr="00FD2D5D" w14:paraId="29AA0DDF" w14:textId="77777777" w:rsidTr="001D478C">
        <w:trPr>
          <w:trHeight w:val="288"/>
        </w:trPr>
        <w:tc>
          <w:tcPr>
            <w:tcW w:w="1612" w:type="pct"/>
            <w:tcBorders>
              <w:top w:val="nil"/>
              <w:left w:val="single" w:sz="4" w:space="0" w:color="auto"/>
              <w:bottom w:val="single" w:sz="4" w:space="0" w:color="auto"/>
              <w:right w:val="single" w:sz="4" w:space="0" w:color="auto"/>
            </w:tcBorders>
            <w:shd w:val="clear" w:color="auto" w:fill="auto"/>
            <w:noWrap/>
            <w:vAlign w:val="center"/>
            <w:hideMark/>
          </w:tcPr>
          <w:p w14:paraId="0C6268E3" w14:textId="6FA4E20F" w:rsidR="002B0DCF" w:rsidRPr="00FD2D5D" w:rsidRDefault="002B0DCF" w:rsidP="002B0DCF">
            <w:pPr>
              <w:spacing w:after="0" w:line="240" w:lineRule="auto"/>
              <w:jc w:val="both"/>
              <w:rPr>
                <w:rFonts w:ascii="Times New Roman" w:eastAsia="Times New Roman" w:hAnsi="Times New Roman" w:cs="Times New Roman"/>
                <w:color w:val="000000"/>
                <w:sz w:val="18"/>
                <w:szCs w:val="18"/>
              </w:rPr>
            </w:pPr>
            <w:r w:rsidRPr="00FD2D5D">
              <w:rPr>
                <w:rFonts w:ascii="Times New Roman" w:eastAsia="Times New Roman" w:hAnsi="Times New Roman" w:cs="Times New Roman"/>
                <w:color w:val="000000"/>
                <w:sz w:val="18"/>
                <w:szCs w:val="18"/>
              </w:rPr>
              <w:t xml:space="preserve"> - </w:t>
            </w:r>
            <w:r w:rsidR="00FD2D5D" w:rsidRPr="00FD2D5D">
              <w:rPr>
                <w:rFonts w:ascii="Times New Roman" w:eastAsia="Times New Roman" w:hAnsi="Times New Roman" w:cs="Times New Roman"/>
                <w:color w:val="000000"/>
                <w:sz w:val="18"/>
                <w:szCs w:val="18"/>
              </w:rPr>
              <w:t>Clădiri</w:t>
            </w:r>
          </w:p>
        </w:tc>
        <w:tc>
          <w:tcPr>
            <w:tcW w:w="826" w:type="pct"/>
            <w:tcBorders>
              <w:top w:val="nil"/>
              <w:left w:val="nil"/>
              <w:bottom w:val="single" w:sz="4" w:space="0" w:color="auto"/>
              <w:right w:val="single" w:sz="4" w:space="0" w:color="auto"/>
            </w:tcBorders>
            <w:shd w:val="clear" w:color="auto" w:fill="auto"/>
            <w:noWrap/>
            <w:vAlign w:val="center"/>
            <w:hideMark/>
          </w:tcPr>
          <w:p w14:paraId="365E89C2" w14:textId="77777777" w:rsidR="002B0DCF" w:rsidRPr="00FD2D5D" w:rsidRDefault="002B0DCF" w:rsidP="002B0DCF">
            <w:pPr>
              <w:spacing w:after="0" w:line="240" w:lineRule="auto"/>
              <w:jc w:val="center"/>
              <w:rPr>
                <w:rFonts w:ascii="Times New Roman" w:eastAsia="Times New Roman" w:hAnsi="Times New Roman" w:cs="Times New Roman"/>
                <w:color w:val="000000"/>
                <w:sz w:val="18"/>
                <w:szCs w:val="18"/>
              </w:rPr>
            </w:pPr>
            <w:r w:rsidRPr="00FD2D5D">
              <w:rPr>
                <w:rFonts w:ascii="Times New Roman" w:eastAsia="Times New Roman" w:hAnsi="Times New Roman" w:cs="Times New Roman"/>
                <w:color w:val="000000"/>
                <w:sz w:val="18"/>
                <w:szCs w:val="18"/>
              </w:rPr>
              <w:t>1727</w:t>
            </w:r>
          </w:p>
        </w:tc>
        <w:tc>
          <w:tcPr>
            <w:tcW w:w="1306" w:type="pct"/>
            <w:tcBorders>
              <w:top w:val="nil"/>
              <w:left w:val="nil"/>
              <w:bottom w:val="single" w:sz="4" w:space="0" w:color="auto"/>
              <w:right w:val="single" w:sz="4" w:space="0" w:color="auto"/>
            </w:tcBorders>
            <w:shd w:val="clear" w:color="auto" w:fill="auto"/>
            <w:noWrap/>
            <w:vAlign w:val="center"/>
            <w:hideMark/>
          </w:tcPr>
          <w:p w14:paraId="63D7A147" w14:textId="77777777" w:rsidR="002B0DCF" w:rsidRPr="00FD2D5D" w:rsidRDefault="002B0DCF" w:rsidP="002B0DCF">
            <w:pPr>
              <w:spacing w:after="0" w:line="240" w:lineRule="auto"/>
              <w:jc w:val="center"/>
              <w:rPr>
                <w:rFonts w:ascii="Times New Roman" w:eastAsia="Times New Roman" w:hAnsi="Times New Roman" w:cs="Times New Roman"/>
                <w:color w:val="000000"/>
                <w:sz w:val="18"/>
                <w:szCs w:val="18"/>
              </w:rPr>
            </w:pPr>
            <w:r w:rsidRPr="00FD2D5D">
              <w:rPr>
                <w:rFonts w:ascii="Times New Roman" w:eastAsia="Times New Roman" w:hAnsi="Times New Roman" w:cs="Times New Roman"/>
                <w:color w:val="000000"/>
                <w:sz w:val="18"/>
                <w:szCs w:val="18"/>
              </w:rPr>
              <w:t>2574</w:t>
            </w:r>
          </w:p>
        </w:tc>
        <w:tc>
          <w:tcPr>
            <w:tcW w:w="1256" w:type="pct"/>
            <w:tcBorders>
              <w:top w:val="nil"/>
              <w:left w:val="nil"/>
              <w:bottom w:val="single" w:sz="4" w:space="0" w:color="auto"/>
              <w:right w:val="single" w:sz="4" w:space="0" w:color="auto"/>
            </w:tcBorders>
            <w:shd w:val="clear" w:color="auto" w:fill="auto"/>
            <w:noWrap/>
            <w:vAlign w:val="center"/>
            <w:hideMark/>
          </w:tcPr>
          <w:p w14:paraId="62531DC6" w14:textId="77777777" w:rsidR="002B0DCF" w:rsidRPr="00FD2D5D" w:rsidRDefault="002B0DCF" w:rsidP="002B0DCF">
            <w:pPr>
              <w:spacing w:after="0" w:line="240" w:lineRule="auto"/>
              <w:jc w:val="center"/>
              <w:rPr>
                <w:rFonts w:ascii="Times New Roman" w:eastAsia="Times New Roman" w:hAnsi="Times New Roman" w:cs="Times New Roman"/>
                <w:color w:val="000000"/>
                <w:sz w:val="18"/>
                <w:szCs w:val="18"/>
              </w:rPr>
            </w:pPr>
            <w:r w:rsidRPr="00FD2D5D">
              <w:rPr>
                <w:rFonts w:ascii="Times New Roman" w:eastAsia="Times New Roman" w:hAnsi="Times New Roman" w:cs="Times New Roman"/>
                <w:color w:val="000000"/>
                <w:sz w:val="18"/>
                <w:szCs w:val="18"/>
              </w:rPr>
              <w:t>49</w:t>
            </w:r>
          </w:p>
        </w:tc>
      </w:tr>
      <w:tr w:rsidR="002B0DCF" w:rsidRPr="00FD2D5D" w14:paraId="6B059465" w14:textId="77777777" w:rsidTr="001D478C">
        <w:trPr>
          <w:trHeight w:val="288"/>
        </w:trPr>
        <w:tc>
          <w:tcPr>
            <w:tcW w:w="1612" w:type="pct"/>
            <w:tcBorders>
              <w:top w:val="nil"/>
              <w:left w:val="single" w:sz="4" w:space="0" w:color="auto"/>
              <w:bottom w:val="single" w:sz="4" w:space="0" w:color="auto"/>
              <w:right w:val="single" w:sz="4" w:space="0" w:color="auto"/>
            </w:tcBorders>
            <w:shd w:val="clear" w:color="auto" w:fill="auto"/>
            <w:noWrap/>
            <w:vAlign w:val="center"/>
            <w:hideMark/>
          </w:tcPr>
          <w:p w14:paraId="7BE2EEC9" w14:textId="77777777" w:rsidR="002B0DCF" w:rsidRPr="00FD2D5D" w:rsidRDefault="002B0DCF" w:rsidP="002B0DCF">
            <w:pPr>
              <w:spacing w:after="0" w:line="240" w:lineRule="auto"/>
              <w:jc w:val="both"/>
              <w:rPr>
                <w:rFonts w:ascii="Times New Roman" w:eastAsia="Times New Roman" w:hAnsi="Times New Roman" w:cs="Times New Roman"/>
                <w:color w:val="000000"/>
                <w:sz w:val="18"/>
                <w:szCs w:val="18"/>
              </w:rPr>
            </w:pPr>
            <w:r w:rsidRPr="00FD2D5D">
              <w:rPr>
                <w:rFonts w:ascii="Times New Roman" w:eastAsia="Times New Roman" w:hAnsi="Times New Roman" w:cs="Times New Roman"/>
                <w:color w:val="000000"/>
                <w:sz w:val="18"/>
                <w:szCs w:val="18"/>
              </w:rPr>
              <w:t xml:space="preserve"> - Transporturi</w:t>
            </w:r>
          </w:p>
        </w:tc>
        <w:tc>
          <w:tcPr>
            <w:tcW w:w="826" w:type="pct"/>
            <w:tcBorders>
              <w:top w:val="nil"/>
              <w:left w:val="nil"/>
              <w:bottom w:val="single" w:sz="4" w:space="0" w:color="auto"/>
              <w:right w:val="single" w:sz="4" w:space="0" w:color="auto"/>
            </w:tcBorders>
            <w:shd w:val="clear" w:color="auto" w:fill="auto"/>
            <w:noWrap/>
            <w:vAlign w:val="center"/>
            <w:hideMark/>
          </w:tcPr>
          <w:p w14:paraId="4BEF9FDC" w14:textId="77777777" w:rsidR="002B0DCF" w:rsidRPr="00FD2D5D" w:rsidRDefault="002B0DCF" w:rsidP="002B0DCF">
            <w:pPr>
              <w:spacing w:after="0" w:line="240" w:lineRule="auto"/>
              <w:jc w:val="center"/>
              <w:rPr>
                <w:rFonts w:ascii="Times New Roman" w:eastAsia="Times New Roman" w:hAnsi="Times New Roman" w:cs="Times New Roman"/>
                <w:color w:val="000000"/>
                <w:sz w:val="18"/>
                <w:szCs w:val="18"/>
              </w:rPr>
            </w:pPr>
            <w:r w:rsidRPr="00FD2D5D">
              <w:rPr>
                <w:rFonts w:ascii="Times New Roman" w:eastAsia="Times New Roman" w:hAnsi="Times New Roman" w:cs="Times New Roman"/>
                <w:color w:val="000000"/>
                <w:sz w:val="18"/>
                <w:szCs w:val="18"/>
              </w:rPr>
              <w:t>1999</w:t>
            </w:r>
          </w:p>
        </w:tc>
        <w:tc>
          <w:tcPr>
            <w:tcW w:w="1306" w:type="pct"/>
            <w:tcBorders>
              <w:top w:val="nil"/>
              <w:left w:val="nil"/>
              <w:bottom w:val="single" w:sz="4" w:space="0" w:color="auto"/>
              <w:right w:val="single" w:sz="4" w:space="0" w:color="auto"/>
            </w:tcBorders>
            <w:shd w:val="clear" w:color="auto" w:fill="auto"/>
            <w:noWrap/>
            <w:vAlign w:val="center"/>
            <w:hideMark/>
          </w:tcPr>
          <w:p w14:paraId="42D4AB17" w14:textId="77777777" w:rsidR="002B0DCF" w:rsidRPr="00FD2D5D" w:rsidRDefault="002B0DCF" w:rsidP="002B0DCF">
            <w:pPr>
              <w:spacing w:after="0" w:line="240" w:lineRule="auto"/>
              <w:jc w:val="center"/>
              <w:rPr>
                <w:rFonts w:ascii="Times New Roman" w:eastAsia="Times New Roman" w:hAnsi="Times New Roman" w:cs="Times New Roman"/>
                <w:color w:val="000000"/>
                <w:sz w:val="18"/>
                <w:szCs w:val="18"/>
              </w:rPr>
            </w:pPr>
            <w:r w:rsidRPr="00FD2D5D">
              <w:rPr>
                <w:rFonts w:ascii="Times New Roman" w:eastAsia="Times New Roman" w:hAnsi="Times New Roman" w:cs="Times New Roman"/>
                <w:color w:val="000000"/>
                <w:sz w:val="18"/>
                <w:szCs w:val="18"/>
              </w:rPr>
              <w:t>2730</w:t>
            </w:r>
          </w:p>
        </w:tc>
        <w:tc>
          <w:tcPr>
            <w:tcW w:w="1256" w:type="pct"/>
            <w:tcBorders>
              <w:top w:val="nil"/>
              <w:left w:val="nil"/>
              <w:bottom w:val="single" w:sz="4" w:space="0" w:color="auto"/>
              <w:right w:val="single" w:sz="4" w:space="0" w:color="auto"/>
            </w:tcBorders>
            <w:shd w:val="clear" w:color="auto" w:fill="auto"/>
            <w:noWrap/>
            <w:vAlign w:val="center"/>
            <w:hideMark/>
          </w:tcPr>
          <w:p w14:paraId="73B467F8" w14:textId="77777777" w:rsidR="002B0DCF" w:rsidRPr="00FD2D5D" w:rsidRDefault="002B0DCF" w:rsidP="002B0DCF">
            <w:pPr>
              <w:spacing w:after="0" w:line="240" w:lineRule="auto"/>
              <w:jc w:val="center"/>
              <w:rPr>
                <w:rFonts w:ascii="Times New Roman" w:eastAsia="Times New Roman" w:hAnsi="Times New Roman" w:cs="Times New Roman"/>
                <w:color w:val="000000"/>
                <w:sz w:val="18"/>
                <w:szCs w:val="18"/>
              </w:rPr>
            </w:pPr>
            <w:r w:rsidRPr="00FD2D5D">
              <w:rPr>
                <w:rFonts w:ascii="Times New Roman" w:eastAsia="Times New Roman" w:hAnsi="Times New Roman" w:cs="Times New Roman"/>
                <w:color w:val="000000"/>
                <w:sz w:val="18"/>
                <w:szCs w:val="18"/>
              </w:rPr>
              <w:t>37</w:t>
            </w:r>
          </w:p>
        </w:tc>
      </w:tr>
      <w:tr w:rsidR="002B0DCF" w:rsidRPr="00FD2D5D" w14:paraId="75F5010E" w14:textId="77777777" w:rsidTr="001D478C">
        <w:trPr>
          <w:trHeight w:val="288"/>
        </w:trPr>
        <w:tc>
          <w:tcPr>
            <w:tcW w:w="1612" w:type="pct"/>
            <w:tcBorders>
              <w:top w:val="nil"/>
              <w:left w:val="single" w:sz="4" w:space="0" w:color="auto"/>
              <w:bottom w:val="single" w:sz="4" w:space="0" w:color="auto"/>
              <w:right w:val="single" w:sz="4" w:space="0" w:color="auto"/>
            </w:tcBorders>
            <w:shd w:val="clear" w:color="auto" w:fill="auto"/>
            <w:noWrap/>
            <w:vAlign w:val="center"/>
            <w:hideMark/>
          </w:tcPr>
          <w:p w14:paraId="501AD7E8" w14:textId="77777777" w:rsidR="002B0DCF" w:rsidRPr="00FD2D5D" w:rsidRDefault="002B0DCF" w:rsidP="002B0DCF">
            <w:pPr>
              <w:spacing w:after="0" w:line="240" w:lineRule="auto"/>
              <w:jc w:val="both"/>
              <w:rPr>
                <w:rFonts w:ascii="Times New Roman" w:eastAsia="Times New Roman" w:hAnsi="Times New Roman" w:cs="Times New Roman"/>
                <w:color w:val="000000"/>
                <w:sz w:val="18"/>
                <w:szCs w:val="18"/>
              </w:rPr>
            </w:pPr>
            <w:r w:rsidRPr="00FD2D5D">
              <w:rPr>
                <w:rFonts w:ascii="Times New Roman" w:eastAsia="Times New Roman" w:hAnsi="Times New Roman" w:cs="Times New Roman"/>
                <w:color w:val="000000"/>
                <w:sz w:val="18"/>
                <w:szCs w:val="18"/>
              </w:rPr>
              <w:t>Procese industriale</w:t>
            </w:r>
          </w:p>
        </w:tc>
        <w:tc>
          <w:tcPr>
            <w:tcW w:w="826" w:type="pct"/>
            <w:tcBorders>
              <w:top w:val="nil"/>
              <w:left w:val="nil"/>
              <w:bottom w:val="single" w:sz="4" w:space="0" w:color="auto"/>
              <w:right w:val="single" w:sz="4" w:space="0" w:color="auto"/>
            </w:tcBorders>
            <w:shd w:val="clear" w:color="auto" w:fill="auto"/>
            <w:noWrap/>
            <w:vAlign w:val="center"/>
            <w:hideMark/>
          </w:tcPr>
          <w:p w14:paraId="30D9CACE" w14:textId="77777777" w:rsidR="002B0DCF" w:rsidRPr="00FD2D5D" w:rsidRDefault="002B0DCF" w:rsidP="002B0DCF">
            <w:pPr>
              <w:spacing w:after="0" w:line="240" w:lineRule="auto"/>
              <w:jc w:val="center"/>
              <w:rPr>
                <w:rFonts w:ascii="Times New Roman" w:eastAsia="Times New Roman" w:hAnsi="Times New Roman" w:cs="Times New Roman"/>
                <w:color w:val="000000"/>
                <w:sz w:val="18"/>
                <w:szCs w:val="18"/>
              </w:rPr>
            </w:pPr>
            <w:r w:rsidRPr="00FD2D5D">
              <w:rPr>
                <w:rFonts w:ascii="Times New Roman" w:eastAsia="Times New Roman" w:hAnsi="Times New Roman" w:cs="Times New Roman"/>
                <w:color w:val="000000"/>
                <w:sz w:val="18"/>
                <w:szCs w:val="18"/>
              </w:rPr>
              <w:t>782</w:t>
            </w:r>
          </w:p>
        </w:tc>
        <w:tc>
          <w:tcPr>
            <w:tcW w:w="1306" w:type="pct"/>
            <w:tcBorders>
              <w:top w:val="nil"/>
              <w:left w:val="nil"/>
              <w:bottom w:val="single" w:sz="4" w:space="0" w:color="auto"/>
              <w:right w:val="single" w:sz="4" w:space="0" w:color="auto"/>
            </w:tcBorders>
            <w:shd w:val="clear" w:color="auto" w:fill="auto"/>
            <w:noWrap/>
            <w:vAlign w:val="center"/>
            <w:hideMark/>
          </w:tcPr>
          <w:p w14:paraId="2E460D6A" w14:textId="77777777" w:rsidR="002B0DCF" w:rsidRPr="00FD2D5D" w:rsidRDefault="002B0DCF" w:rsidP="002B0DCF">
            <w:pPr>
              <w:spacing w:after="0" w:line="240" w:lineRule="auto"/>
              <w:jc w:val="center"/>
              <w:rPr>
                <w:rFonts w:ascii="Times New Roman" w:eastAsia="Times New Roman" w:hAnsi="Times New Roman" w:cs="Times New Roman"/>
                <w:color w:val="000000"/>
                <w:sz w:val="18"/>
                <w:szCs w:val="18"/>
              </w:rPr>
            </w:pPr>
            <w:r w:rsidRPr="00FD2D5D">
              <w:rPr>
                <w:rFonts w:ascii="Times New Roman" w:eastAsia="Times New Roman" w:hAnsi="Times New Roman" w:cs="Times New Roman"/>
                <w:color w:val="000000"/>
                <w:sz w:val="18"/>
                <w:szCs w:val="18"/>
              </w:rPr>
              <w:t>1090</w:t>
            </w:r>
          </w:p>
        </w:tc>
        <w:tc>
          <w:tcPr>
            <w:tcW w:w="1256" w:type="pct"/>
            <w:tcBorders>
              <w:top w:val="nil"/>
              <w:left w:val="nil"/>
              <w:bottom w:val="single" w:sz="4" w:space="0" w:color="auto"/>
              <w:right w:val="single" w:sz="4" w:space="0" w:color="auto"/>
            </w:tcBorders>
            <w:shd w:val="clear" w:color="auto" w:fill="auto"/>
            <w:noWrap/>
            <w:vAlign w:val="center"/>
            <w:hideMark/>
          </w:tcPr>
          <w:p w14:paraId="507D6769" w14:textId="77777777" w:rsidR="002B0DCF" w:rsidRPr="00FD2D5D" w:rsidRDefault="002B0DCF" w:rsidP="002B0DCF">
            <w:pPr>
              <w:spacing w:after="0" w:line="240" w:lineRule="auto"/>
              <w:jc w:val="center"/>
              <w:rPr>
                <w:rFonts w:ascii="Times New Roman" w:eastAsia="Times New Roman" w:hAnsi="Times New Roman" w:cs="Times New Roman"/>
                <w:color w:val="000000"/>
                <w:sz w:val="18"/>
                <w:szCs w:val="18"/>
              </w:rPr>
            </w:pPr>
            <w:r w:rsidRPr="00FD2D5D">
              <w:rPr>
                <w:rFonts w:ascii="Times New Roman" w:eastAsia="Times New Roman" w:hAnsi="Times New Roman" w:cs="Times New Roman"/>
                <w:color w:val="000000"/>
                <w:sz w:val="18"/>
                <w:szCs w:val="18"/>
              </w:rPr>
              <w:t>39</w:t>
            </w:r>
          </w:p>
        </w:tc>
      </w:tr>
      <w:tr w:rsidR="002B0DCF" w:rsidRPr="00FD2D5D" w14:paraId="70E74126" w14:textId="77777777" w:rsidTr="001D478C">
        <w:trPr>
          <w:trHeight w:val="288"/>
        </w:trPr>
        <w:tc>
          <w:tcPr>
            <w:tcW w:w="1612" w:type="pct"/>
            <w:tcBorders>
              <w:top w:val="nil"/>
              <w:left w:val="single" w:sz="4" w:space="0" w:color="auto"/>
              <w:bottom w:val="single" w:sz="4" w:space="0" w:color="auto"/>
              <w:right w:val="single" w:sz="4" w:space="0" w:color="auto"/>
            </w:tcBorders>
            <w:shd w:val="clear" w:color="auto" w:fill="auto"/>
            <w:noWrap/>
            <w:vAlign w:val="center"/>
            <w:hideMark/>
          </w:tcPr>
          <w:p w14:paraId="53367517" w14:textId="77777777" w:rsidR="002B0DCF" w:rsidRPr="00FD2D5D" w:rsidRDefault="002B0DCF" w:rsidP="002B0DCF">
            <w:pPr>
              <w:spacing w:after="0" w:line="240" w:lineRule="auto"/>
              <w:jc w:val="both"/>
              <w:rPr>
                <w:rFonts w:ascii="Times New Roman" w:eastAsia="Times New Roman" w:hAnsi="Times New Roman" w:cs="Times New Roman"/>
                <w:color w:val="000000"/>
                <w:sz w:val="18"/>
                <w:szCs w:val="18"/>
              </w:rPr>
            </w:pPr>
            <w:r w:rsidRPr="00FD2D5D">
              <w:rPr>
                <w:rFonts w:ascii="Times New Roman" w:eastAsia="Times New Roman" w:hAnsi="Times New Roman" w:cs="Times New Roman"/>
                <w:color w:val="000000"/>
                <w:sz w:val="18"/>
                <w:szCs w:val="18"/>
              </w:rPr>
              <w:t>Agricultura</w:t>
            </w:r>
          </w:p>
        </w:tc>
        <w:tc>
          <w:tcPr>
            <w:tcW w:w="826" w:type="pct"/>
            <w:tcBorders>
              <w:top w:val="nil"/>
              <w:left w:val="nil"/>
              <w:bottom w:val="single" w:sz="4" w:space="0" w:color="auto"/>
              <w:right w:val="single" w:sz="4" w:space="0" w:color="auto"/>
            </w:tcBorders>
            <w:shd w:val="clear" w:color="auto" w:fill="auto"/>
            <w:noWrap/>
            <w:vAlign w:val="center"/>
            <w:hideMark/>
          </w:tcPr>
          <w:p w14:paraId="6B36C8B2" w14:textId="77777777" w:rsidR="002B0DCF" w:rsidRPr="00FD2D5D" w:rsidRDefault="002B0DCF" w:rsidP="002B0DCF">
            <w:pPr>
              <w:spacing w:after="0" w:line="240" w:lineRule="auto"/>
              <w:jc w:val="center"/>
              <w:rPr>
                <w:rFonts w:ascii="Times New Roman" w:eastAsia="Times New Roman" w:hAnsi="Times New Roman" w:cs="Times New Roman"/>
                <w:color w:val="000000"/>
                <w:sz w:val="18"/>
                <w:szCs w:val="18"/>
              </w:rPr>
            </w:pPr>
            <w:r w:rsidRPr="00FD2D5D">
              <w:rPr>
                <w:rFonts w:ascii="Times New Roman" w:eastAsia="Times New Roman" w:hAnsi="Times New Roman" w:cs="Times New Roman"/>
                <w:color w:val="000000"/>
                <w:sz w:val="18"/>
                <w:szCs w:val="18"/>
              </w:rPr>
              <w:t>2613</w:t>
            </w:r>
          </w:p>
        </w:tc>
        <w:tc>
          <w:tcPr>
            <w:tcW w:w="1306" w:type="pct"/>
            <w:tcBorders>
              <w:top w:val="nil"/>
              <w:left w:val="nil"/>
              <w:bottom w:val="single" w:sz="4" w:space="0" w:color="auto"/>
              <w:right w:val="single" w:sz="4" w:space="0" w:color="auto"/>
            </w:tcBorders>
            <w:shd w:val="clear" w:color="auto" w:fill="auto"/>
            <w:noWrap/>
            <w:vAlign w:val="center"/>
            <w:hideMark/>
          </w:tcPr>
          <w:p w14:paraId="2FBE5099" w14:textId="77777777" w:rsidR="002B0DCF" w:rsidRPr="00FD2D5D" w:rsidRDefault="002B0DCF" w:rsidP="002B0DCF">
            <w:pPr>
              <w:spacing w:after="0" w:line="240" w:lineRule="auto"/>
              <w:jc w:val="center"/>
              <w:rPr>
                <w:rFonts w:ascii="Times New Roman" w:eastAsia="Times New Roman" w:hAnsi="Times New Roman" w:cs="Times New Roman"/>
                <w:color w:val="000000"/>
                <w:sz w:val="18"/>
                <w:szCs w:val="18"/>
              </w:rPr>
            </w:pPr>
            <w:r w:rsidRPr="00FD2D5D">
              <w:rPr>
                <w:rFonts w:ascii="Times New Roman" w:eastAsia="Times New Roman" w:hAnsi="Times New Roman" w:cs="Times New Roman"/>
                <w:color w:val="000000"/>
                <w:sz w:val="18"/>
                <w:szCs w:val="18"/>
              </w:rPr>
              <w:t>1929</w:t>
            </w:r>
          </w:p>
        </w:tc>
        <w:tc>
          <w:tcPr>
            <w:tcW w:w="1256" w:type="pct"/>
            <w:tcBorders>
              <w:top w:val="nil"/>
              <w:left w:val="nil"/>
              <w:bottom w:val="single" w:sz="4" w:space="0" w:color="auto"/>
              <w:right w:val="single" w:sz="4" w:space="0" w:color="auto"/>
            </w:tcBorders>
            <w:shd w:val="clear" w:color="auto" w:fill="auto"/>
            <w:noWrap/>
            <w:vAlign w:val="center"/>
            <w:hideMark/>
          </w:tcPr>
          <w:p w14:paraId="3326C1D8" w14:textId="77777777" w:rsidR="002B0DCF" w:rsidRPr="00FD2D5D" w:rsidRDefault="002B0DCF" w:rsidP="002B0DCF">
            <w:pPr>
              <w:spacing w:after="0" w:line="240" w:lineRule="auto"/>
              <w:jc w:val="center"/>
              <w:rPr>
                <w:rFonts w:ascii="Times New Roman" w:eastAsia="Times New Roman" w:hAnsi="Times New Roman" w:cs="Times New Roman"/>
                <w:color w:val="000000"/>
                <w:sz w:val="18"/>
                <w:szCs w:val="18"/>
              </w:rPr>
            </w:pPr>
            <w:r w:rsidRPr="00FD2D5D">
              <w:rPr>
                <w:rFonts w:ascii="Times New Roman" w:eastAsia="Times New Roman" w:hAnsi="Times New Roman" w:cs="Times New Roman"/>
                <w:color w:val="000000"/>
                <w:sz w:val="18"/>
                <w:szCs w:val="18"/>
              </w:rPr>
              <w:t>-26</w:t>
            </w:r>
          </w:p>
        </w:tc>
      </w:tr>
      <w:tr w:rsidR="002B0DCF" w:rsidRPr="00FD2D5D" w14:paraId="2EFC5F67" w14:textId="77777777" w:rsidTr="001D478C">
        <w:trPr>
          <w:trHeight w:val="288"/>
        </w:trPr>
        <w:tc>
          <w:tcPr>
            <w:tcW w:w="1612" w:type="pct"/>
            <w:tcBorders>
              <w:top w:val="nil"/>
              <w:left w:val="single" w:sz="4" w:space="0" w:color="auto"/>
              <w:bottom w:val="single" w:sz="4" w:space="0" w:color="auto"/>
              <w:right w:val="single" w:sz="4" w:space="0" w:color="auto"/>
            </w:tcBorders>
            <w:shd w:val="clear" w:color="auto" w:fill="auto"/>
            <w:noWrap/>
            <w:vAlign w:val="center"/>
            <w:hideMark/>
          </w:tcPr>
          <w:p w14:paraId="72BB4C28" w14:textId="183B6B31" w:rsidR="002B0DCF" w:rsidRPr="00FD2D5D" w:rsidRDefault="003242D8" w:rsidP="002B0DCF">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FTSCFTS</w:t>
            </w:r>
          </w:p>
        </w:tc>
        <w:tc>
          <w:tcPr>
            <w:tcW w:w="826" w:type="pct"/>
            <w:tcBorders>
              <w:top w:val="nil"/>
              <w:left w:val="nil"/>
              <w:bottom w:val="single" w:sz="4" w:space="0" w:color="auto"/>
              <w:right w:val="single" w:sz="4" w:space="0" w:color="auto"/>
            </w:tcBorders>
            <w:shd w:val="clear" w:color="auto" w:fill="auto"/>
            <w:noWrap/>
            <w:vAlign w:val="center"/>
            <w:hideMark/>
          </w:tcPr>
          <w:p w14:paraId="16659664" w14:textId="77777777" w:rsidR="002B0DCF" w:rsidRPr="00FD2D5D" w:rsidRDefault="002B0DCF" w:rsidP="002B0DCF">
            <w:pPr>
              <w:spacing w:after="0" w:line="240" w:lineRule="auto"/>
              <w:jc w:val="center"/>
              <w:rPr>
                <w:rFonts w:ascii="Times New Roman" w:eastAsia="Times New Roman" w:hAnsi="Times New Roman" w:cs="Times New Roman"/>
                <w:color w:val="000000"/>
                <w:sz w:val="18"/>
                <w:szCs w:val="18"/>
              </w:rPr>
            </w:pPr>
            <w:r w:rsidRPr="00FD2D5D">
              <w:rPr>
                <w:rFonts w:ascii="Times New Roman" w:eastAsia="Times New Roman" w:hAnsi="Times New Roman" w:cs="Times New Roman"/>
                <w:color w:val="000000"/>
                <w:sz w:val="18"/>
                <w:szCs w:val="18"/>
              </w:rPr>
              <w:t>-712</w:t>
            </w:r>
          </w:p>
        </w:tc>
        <w:tc>
          <w:tcPr>
            <w:tcW w:w="1306" w:type="pct"/>
            <w:tcBorders>
              <w:top w:val="nil"/>
              <w:left w:val="nil"/>
              <w:bottom w:val="single" w:sz="4" w:space="0" w:color="auto"/>
              <w:right w:val="single" w:sz="4" w:space="0" w:color="auto"/>
            </w:tcBorders>
            <w:shd w:val="clear" w:color="auto" w:fill="auto"/>
            <w:noWrap/>
            <w:vAlign w:val="center"/>
            <w:hideMark/>
          </w:tcPr>
          <w:p w14:paraId="5247378B" w14:textId="77777777" w:rsidR="002B0DCF" w:rsidRPr="00FD2D5D" w:rsidRDefault="002B0DCF" w:rsidP="002B0DCF">
            <w:pPr>
              <w:spacing w:after="0" w:line="240" w:lineRule="auto"/>
              <w:jc w:val="center"/>
              <w:rPr>
                <w:rFonts w:ascii="Times New Roman" w:eastAsia="Times New Roman" w:hAnsi="Times New Roman" w:cs="Times New Roman"/>
                <w:color w:val="000000"/>
                <w:sz w:val="18"/>
                <w:szCs w:val="18"/>
              </w:rPr>
            </w:pPr>
            <w:r w:rsidRPr="00FD2D5D">
              <w:rPr>
                <w:rFonts w:ascii="Times New Roman" w:eastAsia="Times New Roman" w:hAnsi="Times New Roman" w:cs="Times New Roman"/>
                <w:color w:val="000000"/>
                <w:sz w:val="18"/>
                <w:szCs w:val="18"/>
              </w:rPr>
              <w:t>-496</w:t>
            </w:r>
          </w:p>
        </w:tc>
        <w:tc>
          <w:tcPr>
            <w:tcW w:w="1256" w:type="pct"/>
            <w:tcBorders>
              <w:top w:val="nil"/>
              <w:left w:val="nil"/>
              <w:bottom w:val="single" w:sz="4" w:space="0" w:color="auto"/>
              <w:right w:val="single" w:sz="4" w:space="0" w:color="auto"/>
            </w:tcBorders>
            <w:shd w:val="clear" w:color="auto" w:fill="auto"/>
            <w:noWrap/>
            <w:vAlign w:val="center"/>
            <w:hideMark/>
          </w:tcPr>
          <w:p w14:paraId="112AB8B3" w14:textId="77777777" w:rsidR="002B0DCF" w:rsidRPr="00FD2D5D" w:rsidRDefault="002B0DCF" w:rsidP="002B0DCF">
            <w:pPr>
              <w:spacing w:after="0" w:line="240" w:lineRule="auto"/>
              <w:jc w:val="center"/>
              <w:rPr>
                <w:rFonts w:ascii="Times New Roman" w:eastAsia="Times New Roman" w:hAnsi="Times New Roman" w:cs="Times New Roman"/>
                <w:color w:val="000000"/>
                <w:sz w:val="18"/>
                <w:szCs w:val="18"/>
              </w:rPr>
            </w:pPr>
            <w:r w:rsidRPr="00FD2D5D">
              <w:rPr>
                <w:rFonts w:ascii="Times New Roman" w:eastAsia="Times New Roman" w:hAnsi="Times New Roman" w:cs="Times New Roman"/>
                <w:color w:val="000000"/>
                <w:sz w:val="18"/>
                <w:szCs w:val="18"/>
              </w:rPr>
              <w:t>-30</w:t>
            </w:r>
          </w:p>
        </w:tc>
      </w:tr>
      <w:tr w:rsidR="002B0DCF" w:rsidRPr="00FD2D5D" w14:paraId="13DF5150" w14:textId="77777777" w:rsidTr="001D478C">
        <w:trPr>
          <w:trHeight w:val="288"/>
        </w:trPr>
        <w:tc>
          <w:tcPr>
            <w:tcW w:w="1612" w:type="pct"/>
            <w:tcBorders>
              <w:top w:val="nil"/>
              <w:left w:val="single" w:sz="4" w:space="0" w:color="auto"/>
              <w:bottom w:val="single" w:sz="4" w:space="0" w:color="auto"/>
              <w:right w:val="single" w:sz="4" w:space="0" w:color="auto"/>
            </w:tcBorders>
            <w:shd w:val="clear" w:color="auto" w:fill="auto"/>
            <w:noWrap/>
            <w:vAlign w:val="center"/>
            <w:hideMark/>
          </w:tcPr>
          <w:p w14:paraId="22E4CAFC" w14:textId="33AF94F9" w:rsidR="002B0DCF" w:rsidRPr="00FD2D5D" w:rsidRDefault="00FD2D5D" w:rsidP="002B0DCF">
            <w:pPr>
              <w:spacing w:after="0" w:line="240" w:lineRule="auto"/>
              <w:jc w:val="both"/>
              <w:rPr>
                <w:rFonts w:ascii="Times New Roman" w:eastAsia="Times New Roman" w:hAnsi="Times New Roman" w:cs="Times New Roman"/>
                <w:color w:val="000000"/>
                <w:sz w:val="18"/>
                <w:szCs w:val="18"/>
              </w:rPr>
            </w:pPr>
            <w:r w:rsidRPr="00FD2D5D">
              <w:rPr>
                <w:rFonts w:ascii="Times New Roman" w:eastAsia="Times New Roman" w:hAnsi="Times New Roman" w:cs="Times New Roman"/>
                <w:color w:val="000000"/>
                <w:sz w:val="18"/>
                <w:szCs w:val="18"/>
              </w:rPr>
              <w:t>Deșeuri</w:t>
            </w:r>
          </w:p>
        </w:tc>
        <w:tc>
          <w:tcPr>
            <w:tcW w:w="826" w:type="pct"/>
            <w:tcBorders>
              <w:top w:val="nil"/>
              <w:left w:val="nil"/>
              <w:bottom w:val="single" w:sz="4" w:space="0" w:color="auto"/>
              <w:right w:val="single" w:sz="4" w:space="0" w:color="auto"/>
            </w:tcBorders>
            <w:shd w:val="clear" w:color="auto" w:fill="auto"/>
            <w:noWrap/>
            <w:vAlign w:val="center"/>
            <w:hideMark/>
          </w:tcPr>
          <w:p w14:paraId="3E4BF3D9" w14:textId="77777777" w:rsidR="002B0DCF" w:rsidRPr="00FD2D5D" w:rsidRDefault="002B0DCF" w:rsidP="002B0DCF">
            <w:pPr>
              <w:spacing w:after="0" w:line="240" w:lineRule="auto"/>
              <w:jc w:val="center"/>
              <w:rPr>
                <w:rFonts w:ascii="Times New Roman" w:eastAsia="Times New Roman" w:hAnsi="Times New Roman" w:cs="Times New Roman"/>
                <w:color w:val="000000"/>
                <w:sz w:val="18"/>
                <w:szCs w:val="18"/>
              </w:rPr>
            </w:pPr>
            <w:r w:rsidRPr="00FD2D5D">
              <w:rPr>
                <w:rFonts w:ascii="Times New Roman" w:eastAsia="Times New Roman" w:hAnsi="Times New Roman" w:cs="Times New Roman"/>
                <w:color w:val="000000"/>
                <w:sz w:val="18"/>
                <w:szCs w:val="18"/>
              </w:rPr>
              <w:t>1437</w:t>
            </w:r>
          </w:p>
        </w:tc>
        <w:tc>
          <w:tcPr>
            <w:tcW w:w="1306" w:type="pct"/>
            <w:tcBorders>
              <w:top w:val="nil"/>
              <w:left w:val="nil"/>
              <w:bottom w:val="single" w:sz="4" w:space="0" w:color="auto"/>
              <w:right w:val="single" w:sz="4" w:space="0" w:color="auto"/>
            </w:tcBorders>
            <w:shd w:val="clear" w:color="auto" w:fill="auto"/>
            <w:noWrap/>
            <w:vAlign w:val="center"/>
            <w:hideMark/>
          </w:tcPr>
          <w:p w14:paraId="02D69E8F" w14:textId="77777777" w:rsidR="002B0DCF" w:rsidRPr="00FD2D5D" w:rsidRDefault="002B0DCF" w:rsidP="002B0DCF">
            <w:pPr>
              <w:spacing w:after="0" w:line="240" w:lineRule="auto"/>
              <w:jc w:val="center"/>
              <w:rPr>
                <w:rFonts w:ascii="Times New Roman" w:eastAsia="Times New Roman" w:hAnsi="Times New Roman" w:cs="Times New Roman"/>
                <w:color w:val="000000"/>
                <w:sz w:val="18"/>
                <w:szCs w:val="18"/>
              </w:rPr>
            </w:pPr>
            <w:r w:rsidRPr="00FD2D5D">
              <w:rPr>
                <w:rFonts w:ascii="Times New Roman" w:eastAsia="Times New Roman" w:hAnsi="Times New Roman" w:cs="Times New Roman"/>
                <w:color w:val="000000"/>
                <w:sz w:val="18"/>
                <w:szCs w:val="18"/>
              </w:rPr>
              <w:t>1590</w:t>
            </w:r>
          </w:p>
        </w:tc>
        <w:tc>
          <w:tcPr>
            <w:tcW w:w="1256" w:type="pct"/>
            <w:tcBorders>
              <w:top w:val="nil"/>
              <w:left w:val="nil"/>
              <w:bottom w:val="single" w:sz="4" w:space="0" w:color="auto"/>
              <w:right w:val="single" w:sz="4" w:space="0" w:color="auto"/>
            </w:tcBorders>
            <w:shd w:val="clear" w:color="auto" w:fill="auto"/>
            <w:noWrap/>
            <w:vAlign w:val="center"/>
            <w:hideMark/>
          </w:tcPr>
          <w:p w14:paraId="7E8D7570" w14:textId="77777777" w:rsidR="002B0DCF" w:rsidRPr="00FD2D5D" w:rsidRDefault="002B0DCF" w:rsidP="002B0DCF">
            <w:pPr>
              <w:spacing w:after="0" w:line="240" w:lineRule="auto"/>
              <w:jc w:val="center"/>
              <w:rPr>
                <w:rFonts w:ascii="Times New Roman" w:eastAsia="Times New Roman" w:hAnsi="Times New Roman" w:cs="Times New Roman"/>
                <w:color w:val="000000"/>
                <w:sz w:val="18"/>
                <w:szCs w:val="18"/>
              </w:rPr>
            </w:pPr>
            <w:r w:rsidRPr="00FD2D5D">
              <w:rPr>
                <w:rFonts w:ascii="Times New Roman" w:eastAsia="Times New Roman" w:hAnsi="Times New Roman" w:cs="Times New Roman"/>
                <w:color w:val="000000"/>
                <w:sz w:val="18"/>
                <w:szCs w:val="18"/>
              </w:rPr>
              <w:t>11</w:t>
            </w:r>
          </w:p>
        </w:tc>
      </w:tr>
      <w:tr w:rsidR="002B0DCF" w:rsidRPr="00FD2D5D" w14:paraId="535DCA78" w14:textId="77777777" w:rsidTr="001D478C">
        <w:trPr>
          <w:trHeight w:val="288"/>
        </w:trPr>
        <w:tc>
          <w:tcPr>
            <w:tcW w:w="1612" w:type="pct"/>
            <w:tcBorders>
              <w:top w:val="nil"/>
              <w:left w:val="single" w:sz="4" w:space="0" w:color="auto"/>
              <w:bottom w:val="single" w:sz="4" w:space="0" w:color="auto"/>
              <w:right w:val="single" w:sz="4" w:space="0" w:color="auto"/>
            </w:tcBorders>
            <w:shd w:val="clear" w:color="auto" w:fill="auto"/>
            <w:noWrap/>
            <w:vAlign w:val="center"/>
            <w:hideMark/>
          </w:tcPr>
          <w:p w14:paraId="793F2BC5" w14:textId="3A8C028E" w:rsidR="002B0DCF" w:rsidRPr="00FD2D5D" w:rsidRDefault="002B0DCF" w:rsidP="002B0DCF">
            <w:pPr>
              <w:spacing w:after="0" w:line="240" w:lineRule="auto"/>
              <w:jc w:val="both"/>
              <w:rPr>
                <w:rFonts w:ascii="Times New Roman" w:eastAsia="Times New Roman" w:hAnsi="Times New Roman" w:cs="Times New Roman"/>
                <w:color w:val="000000"/>
                <w:sz w:val="18"/>
                <w:szCs w:val="18"/>
              </w:rPr>
            </w:pPr>
            <w:r w:rsidRPr="00FD2D5D">
              <w:rPr>
                <w:rFonts w:ascii="Times New Roman" w:eastAsia="Times New Roman" w:hAnsi="Times New Roman" w:cs="Times New Roman"/>
                <w:color w:val="000000"/>
                <w:sz w:val="18"/>
                <w:szCs w:val="18"/>
              </w:rPr>
              <w:t xml:space="preserve">Total </w:t>
            </w:r>
            <w:r w:rsidR="00FD2D5D" w:rsidRPr="00FD2D5D">
              <w:rPr>
                <w:rFonts w:ascii="Times New Roman" w:eastAsia="Times New Roman" w:hAnsi="Times New Roman" w:cs="Times New Roman"/>
                <w:color w:val="000000"/>
                <w:sz w:val="18"/>
                <w:szCs w:val="18"/>
              </w:rPr>
              <w:t>național</w:t>
            </w:r>
            <w:r w:rsidRPr="00FD2D5D">
              <w:rPr>
                <w:rFonts w:ascii="Times New Roman" w:eastAsia="Times New Roman" w:hAnsi="Times New Roman" w:cs="Times New Roman"/>
                <w:color w:val="000000"/>
                <w:sz w:val="18"/>
                <w:szCs w:val="18"/>
              </w:rPr>
              <w:t xml:space="preserve"> GES, cu </w:t>
            </w:r>
            <w:r w:rsidR="003242D8">
              <w:rPr>
                <w:rFonts w:ascii="Times New Roman" w:eastAsia="Times New Roman" w:hAnsi="Times New Roman" w:cs="Times New Roman"/>
                <w:color w:val="000000"/>
                <w:sz w:val="18"/>
                <w:szCs w:val="18"/>
              </w:rPr>
              <w:t>FTSCFTS</w:t>
            </w:r>
          </w:p>
        </w:tc>
        <w:tc>
          <w:tcPr>
            <w:tcW w:w="826" w:type="pct"/>
            <w:tcBorders>
              <w:top w:val="nil"/>
              <w:left w:val="nil"/>
              <w:bottom w:val="single" w:sz="4" w:space="0" w:color="auto"/>
              <w:right w:val="single" w:sz="4" w:space="0" w:color="auto"/>
            </w:tcBorders>
            <w:shd w:val="clear" w:color="auto" w:fill="auto"/>
            <w:noWrap/>
            <w:vAlign w:val="center"/>
            <w:hideMark/>
          </w:tcPr>
          <w:p w14:paraId="077F303D" w14:textId="77777777" w:rsidR="002B0DCF" w:rsidRPr="00FD2D5D" w:rsidRDefault="002B0DCF" w:rsidP="002B0DCF">
            <w:pPr>
              <w:spacing w:after="0" w:line="240" w:lineRule="auto"/>
              <w:jc w:val="center"/>
              <w:rPr>
                <w:rFonts w:ascii="Times New Roman" w:eastAsia="Times New Roman" w:hAnsi="Times New Roman" w:cs="Times New Roman"/>
                <w:color w:val="000000"/>
                <w:sz w:val="18"/>
                <w:szCs w:val="18"/>
              </w:rPr>
            </w:pPr>
            <w:r w:rsidRPr="00FD2D5D">
              <w:rPr>
                <w:rFonts w:ascii="Times New Roman" w:eastAsia="Times New Roman" w:hAnsi="Times New Roman" w:cs="Times New Roman"/>
                <w:color w:val="000000"/>
                <w:sz w:val="18"/>
                <w:szCs w:val="18"/>
              </w:rPr>
              <w:t>12978</w:t>
            </w:r>
          </w:p>
        </w:tc>
        <w:tc>
          <w:tcPr>
            <w:tcW w:w="1306" w:type="pct"/>
            <w:tcBorders>
              <w:top w:val="nil"/>
              <w:left w:val="nil"/>
              <w:bottom w:val="single" w:sz="4" w:space="0" w:color="auto"/>
              <w:right w:val="single" w:sz="4" w:space="0" w:color="auto"/>
            </w:tcBorders>
            <w:shd w:val="clear" w:color="auto" w:fill="auto"/>
            <w:noWrap/>
            <w:vAlign w:val="center"/>
            <w:hideMark/>
          </w:tcPr>
          <w:p w14:paraId="356A3774" w14:textId="77777777" w:rsidR="002B0DCF" w:rsidRPr="00FD2D5D" w:rsidRDefault="002B0DCF" w:rsidP="002B0DCF">
            <w:pPr>
              <w:spacing w:after="0" w:line="240" w:lineRule="auto"/>
              <w:jc w:val="center"/>
              <w:rPr>
                <w:rFonts w:ascii="Times New Roman" w:eastAsia="Times New Roman" w:hAnsi="Times New Roman" w:cs="Times New Roman"/>
                <w:color w:val="000000"/>
                <w:sz w:val="18"/>
                <w:szCs w:val="18"/>
              </w:rPr>
            </w:pPr>
            <w:r w:rsidRPr="00FD2D5D">
              <w:rPr>
                <w:rFonts w:ascii="Times New Roman" w:eastAsia="Times New Roman" w:hAnsi="Times New Roman" w:cs="Times New Roman"/>
                <w:color w:val="000000"/>
                <w:sz w:val="18"/>
                <w:szCs w:val="18"/>
              </w:rPr>
              <w:t>13483</w:t>
            </w:r>
          </w:p>
        </w:tc>
        <w:tc>
          <w:tcPr>
            <w:tcW w:w="1256" w:type="pct"/>
            <w:tcBorders>
              <w:top w:val="nil"/>
              <w:left w:val="nil"/>
              <w:bottom w:val="single" w:sz="4" w:space="0" w:color="auto"/>
              <w:right w:val="single" w:sz="4" w:space="0" w:color="auto"/>
            </w:tcBorders>
            <w:shd w:val="clear" w:color="auto" w:fill="auto"/>
            <w:noWrap/>
            <w:vAlign w:val="center"/>
            <w:hideMark/>
          </w:tcPr>
          <w:p w14:paraId="46DE25D2" w14:textId="77777777" w:rsidR="002B0DCF" w:rsidRPr="00FD2D5D" w:rsidRDefault="002B0DCF" w:rsidP="002B0DCF">
            <w:pPr>
              <w:spacing w:after="0" w:line="240" w:lineRule="auto"/>
              <w:jc w:val="center"/>
              <w:rPr>
                <w:rFonts w:ascii="Times New Roman" w:eastAsia="Times New Roman" w:hAnsi="Times New Roman" w:cs="Times New Roman"/>
                <w:color w:val="000000"/>
                <w:sz w:val="18"/>
                <w:szCs w:val="18"/>
              </w:rPr>
            </w:pPr>
            <w:r w:rsidRPr="00FD2D5D">
              <w:rPr>
                <w:rFonts w:ascii="Times New Roman" w:eastAsia="Times New Roman" w:hAnsi="Times New Roman" w:cs="Times New Roman"/>
                <w:color w:val="000000"/>
                <w:sz w:val="18"/>
                <w:szCs w:val="18"/>
              </w:rPr>
              <w:t>4</w:t>
            </w:r>
          </w:p>
        </w:tc>
      </w:tr>
      <w:tr w:rsidR="002B0DCF" w:rsidRPr="00FD2D5D" w14:paraId="1F0F3321" w14:textId="77777777" w:rsidTr="001D478C">
        <w:trPr>
          <w:trHeight w:val="288"/>
        </w:trPr>
        <w:tc>
          <w:tcPr>
            <w:tcW w:w="1612" w:type="pct"/>
            <w:tcBorders>
              <w:top w:val="nil"/>
              <w:left w:val="single" w:sz="4" w:space="0" w:color="auto"/>
              <w:bottom w:val="single" w:sz="4" w:space="0" w:color="auto"/>
              <w:right w:val="single" w:sz="4" w:space="0" w:color="auto"/>
            </w:tcBorders>
            <w:shd w:val="clear" w:color="auto" w:fill="auto"/>
            <w:noWrap/>
            <w:vAlign w:val="center"/>
            <w:hideMark/>
          </w:tcPr>
          <w:p w14:paraId="502D4DFC" w14:textId="284ACD91" w:rsidR="002B0DCF" w:rsidRPr="00FD2D5D" w:rsidRDefault="002B0DCF" w:rsidP="002B0DCF">
            <w:pPr>
              <w:spacing w:after="0" w:line="240" w:lineRule="auto"/>
              <w:jc w:val="both"/>
              <w:rPr>
                <w:rFonts w:ascii="Times New Roman" w:eastAsia="Times New Roman" w:hAnsi="Times New Roman" w:cs="Times New Roman"/>
                <w:color w:val="000000"/>
                <w:sz w:val="18"/>
                <w:szCs w:val="18"/>
              </w:rPr>
            </w:pPr>
            <w:r w:rsidRPr="00FD2D5D">
              <w:rPr>
                <w:rFonts w:ascii="Times New Roman" w:eastAsia="Times New Roman" w:hAnsi="Times New Roman" w:cs="Times New Roman"/>
                <w:color w:val="000000"/>
                <w:sz w:val="18"/>
                <w:szCs w:val="18"/>
              </w:rPr>
              <w:t xml:space="preserve">Total </w:t>
            </w:r>
            <w:r w:rsidR="00FD2D5D" w:rsidRPr="00FD2D5D">
              <w:rPr>
                <w:rFonts w:ascii="Times New Roman" w:eastAsia="Times New Roman" w:hAnsi="Times New Roman" w:cs="Times New Roman"/>
                <w:color w:val="000000"/>
                <w:sz w:val="18"/>
                <w:szCs w:val="18"/>
              </w:rPr>
              <w:t>național</w:t>
            </w:r>
            <w:r w:rsidRPr="00FD2D5D">
              <w:rPr>
                <w:rFonts w:ascii="Times New Roman" w:eastAsia="Times New Roman" w:hAnsi="Times New Roman" w:cs="Times New Roman"/>
                <w:color w:val="000000"/>
                <w:sz w:val="18"/>
                <w:szCs w:val="18"/>
              </w:rPr>
              <w:t xml:space="preserve"> GES, fără </w:t>
            </w:r>
            <w:r w:rsidR="003242D8">
              <w:rPr>
                <w:rFonts w:ascii="Times New Roman" w:eastAsia="Times New Roman" w:hAnsi="Times New Roman" w:cs="Times New Roman"/>
                <w:color w:val="000000"/>
                <w:sz w:val="18"/>
                <w:szCs w:val="18"/>
              </w:rPr>
              <w:t>FTSCFTS</w:t>
            </w:r>
          </w:p>
        </w:tc>
        <w:tc>
          <w:tcPr>
            <w:tcW w:w="826" w:type="pct"/>
            <w:tcBorders>
              <w:top w:val="nil"/>
              <w:left w:val="nil"/>
              <w:bottom w:val="single" w:sz="4" w:space="0" w:color="auto"/>
              <w:right w:val="single" w:sz="4" w:space="0" w:color="auto"/>
            </w:tcBorders>
            <w:shd w:val="clear" w:color="auto" w:fill="auto"/>
            <w:noWrap/>
            <w:vAlign w:val="center"/>
            <w:hideMark/>
          </w:tcPr>
          <w:p w14:paraId="7515A811" w14:textId="77777777" w:rsidR="002B0DCF" w:rsidRPr="00FD2D5D" w:rsidRDefault="002B0DCF" w:rsidP="002B0DCF">
            <w:pPr>
              <w:spacing w:after="0" w:line="240" w:lineRule="auto"/>
              <w:jc w:val="center"/>
              <w:rPr>
                <w:rFonts w:ascii="Times New Roman" w:eastAsia="Times New Roman" w:hAnsi="Times New Roman" w:cs="Times New Roman"/>
                <w:color w:val="000000"/>
                <w:sz w:val="18"/>
                <w:szCs w:val="18"/>
              </w:rPr>
            </w:pPr>
            <w:r w:rsidRPr="00FD2D5D">
              <w:rPr>
                <w:rFonts w:ascii="Times New Roman" w:eastAsia="Times New Roman" w:hAnsi="Times New Roman" w:cs="Times New Roman"/>
                <w:color w:val="000000"/>
                <w:sz w:val="18"/>
                <w:szCs w:val="18"/>
              </w:rPr>
              <w:t>13690</w:t>
            </w:r>
          </w:p>
        </w:tc>
        <w:tc>
          <w:tcPr>
            <w:tcW w:w="1306" w:type="pct"/>
            <w:tcBorders>
              <w:top w:val="nil"/>
              <w:left w:val="nil"/>
              <w:bottom w:val="single" w:sz="4" w:space="0" w:color="auto"/>
              <w:right w:val="single" w:sz="4" w:space="0" w:color="auto"/>
            </w:tcBorders>
            <w:shd w:val="clear" w:color="auto" w:fill="auto"/>
            <w:noWrap/>
            <w:vAlign w:val="center"/>
            <w:hideMark/>
          </w:tcPr>
          <w:p w14:paraId="5ADD871D" w14:textId="77777777" w:rsidR="002B0DCF" w:rsidRPr="00FD2D5D" w:rsidRDefault="002B0DCF" w:rsidP="002B0DCF">
            <w:pPr>
              <w:spacing w:after="0" w:line="240" w:lineRule="auto"/>
              <w:jc w:val="center"/>
              <w:rPr>
                <w:rFonts w:ascii="Times New Roman" w:eastAsia="Times New Roman" w:hAnsi="Times New Roman" w:cs="Times New Roman"/>
                <w:color w:val="000000"/>
                <w:sz w:val="18"/>
                <w:szCs w:val="18"/>
              </w:rPr>
            </w:pPr>
            <w:r w:rsidRPr="00FD2D5D">
              <w:rPr>
                <w:rFonts w:ascii="Times New Roman" w:eastAsia="Times New Roman" w:hAnsi="Times New Roman" w:cs="Times New Roman"/>
                <w:color w:val="000000"/>
                <w:sz w:val="18"/>
                <w:szCs w:val="18"/>
              </w:rPr>
              <w:t>13979</w:t>
            </w:r>
          </w:p>
        </w:tc>
        <w:tc>
          <w:tcPr>
            <w:tcW w:w="1256" w:type="pct"/>
            <w:tcBorders>
              <w:top w:val="nil"/>
              <w:left w:val="nil"/>
              <w:bottom w:val="single" w:sz="4" w:space="0" w:color="auto"/>
              <w:right w:val="single" w:sz="4" w:space="0" w:color="auto"/>
            </w:tcBorders>
            <w:shd w:val="clear" w:color="auto" w:fill="auto"/>
            <w:noWrap/>
            <w:vAlign w:val="center"/>
            <w:hideMark/>
          </w:tcPr>
          <w:p w14:paraId="7F9555F2" w14:textId="77777777" w:rsidR="002B0DCF" w:rsidRPr="00FD2D5D" w:rsidRDefault="002B0DCF" w:rsidP="002B0DCF">
            <w:pPr>
              <w:spacing w:after="0" w:line="240" w:lineRule="auto"/>
              <w:jc w:val="center"/>
              <w:rPr>
                <w:rFonts w:ascii="Times New Roman" w:eastAsia="Times New Roman" w:hAnsi="Times New Roman" w:cs="Times New Roman"/>
                <w:color w:val="000000"/>
                <w:sz w:val="18"/>
                <w:szCs w:val="18"/>
              </w:rPr>
            </w:pPr>
            <w:r w:rsidRPr="00FD2D5D">
              <w:rPr>
                <w:rFonts w:ascii="Times New Roman" w:eastAsia="Times New Roman" w:hAnsi="Times New Roman" w:cs="Times New Roman"/>
                <w:color w:val="000000"/>
                <w:sz w:val="18"/>
                <w:szCs w:val="18"/>
              </w:rPr>
              <w:t>2</w:t>
            </w:r>
          </w:p>
        </w:tc>
      </w:tr>
    </w:tbl>
    <w:p w14:paraId="2529498A" w14:textId="210351EE" w:rsidR="002B0DCF" w:rsidRPr="00FD2D5D" w:rsidRDefault="002B0DCF" w:rsidP="002B0DCF">
      <w:pPr>
        <w:spacing w:after="120" w:line="240" w:lineRule="auto"/>
        <w:jc w:val="both"/>
        <w:rPr>
          <w:rFonts w:ascii="Times New Roman" w:hAnsi="Times New Roman" w:cs="Times New Roman"/>
          <w:sz w:val="14"/>
          <w:szCs w:val="14"/>
        </w:rPr>
      </w:pPr>
      <w:r w:rsidRPr="00FD2D5D">
        <w:rPr>
          <w:rFonts w:ascii="Times New Roman" w:hAnsi="Times New Roman" w:cs="Times New Roman"/>
          <w:i/>
          <w:iCs/>
          <w:sz w:val="14"/>
          <w:szCs w:val="14"/>
        </w:rPr>
        <w:t>Notă:</w:t>
      </w:r>
      <w:r w:rsidRPr="00FD2D5D">
        <w:rPr>
          <w:rFonts w:ascii="Times New Roman" w:hAnsi="Times New Roman" w:cs="Times New Roman"/>
          <w:sz w:val="14"/>
          <w:szCs w:val="14"/>
        </w:rPr>
        <w:t xml:space="preserve"> Emisiile „efective” pentru a. 2020 au fost </w:t>
      </w:r>
      <w:r w:rsidR="00FD2D5D" w:rsidRPr="00FD2D5D">
        <w:rPr>
          <w:rFonts w:ascii="Times New Roman" w:hAnsi="Times New Roman" w:cs="Times New Roman"/>
          <w:sz w:val="14"/>
          <w:szCs w:val="14"/>
        </w:rPr>
        <w:t>obținute</w:t>
      </w:r>
      <w:r w:rsidRPr="00FD2D5D">
        <w:rPr>
          <w:rFonts w:ascii="Times New Roman" w:hAnsi="Times New Roman" w:cs="Times New Roman"/>
          <w:sz w:val="14"/>
          <w:szCs w:val="14"/>
        </w:rPr>
        <w:t xml:space="preserve"> prin interpolarea datelor din Inventarul </w:t>
      </w:r>
      <w:r w:rsidR="00FD2D5D" w:rsidRPr="00FD2D5D">
        <w:rPr>
          <w:rFonts w:ascii="Times New Roman" w:hAnsi="Times New Roman" w:cs="Times New Roman"/>
          <w:sz w:val="14"/>
          <w:szCs w:val="14"/>
        </w:rPr>
        <w:t>național</w:t>
      </w:r>
      <w:r w:rsidRPr="00FD2D5D">
        <w:rPr>
          <w:rFonts w:ascii="Times New Roman" w:hAnsi="Times New Roman" w:cs="Times New Roman"/>
          <w:sz w:val="14"/>
          <w:szCs w:val="14"/>
        </w:rPr>
        <w:t xml:space="preserve"> prealabil al emisiilor de GES disponibil pentru anii 2016-2019</w:t>
      </w:r>
      <w:r w:rsidR="007A03F4">
        <w:rPr>
          <w:rFonts w:ascii="Times New Roman" w:hAnsi="Times New Roman" w:cs="Times New Roman"/>
          <w:sz w:val="14"/>
          <w:szCs w:val="14"/>
        </w:rPr>
        <w:t xml:space="preserve"> </w:t>
      </w:r>
      <w:proofErr w:type="spellStart"/>
      <w:r w:rsidR="007A03F4">
        <w:rPr>
          <w:rFonts w:ascii="Times New Roman" w:hAnsi="Times New Roman" w:cs="Times New Roman"/>
          <w:sz w:val="14"/>
          <w:szCs w:val="14"/>
        </w:rPr>
        <w:t>şi</w:t>
      </w:r>
      <w:proofErr w:type="spellEnd"/>
      <w:r w:rsidR="007A03F4">
        <w:rPr>
          <w:rFonts w:ascii="Times New Roman" w:hAnsi="Times New Roman" w:cs="Times New Roman"/>
          <w:sz w:val="14"/>
          <w:szCs w:val="14"/>
        </w:rPr>
        <w:t xml:space="preserve"> nu iau în </w:t>
      </w:r>
      <w:proofErr w:type="spellStart"/>
      <w:r w:rsidR="007A03F4">
        <w:rPr>
          <w:rFonts w:ascii="Times New Roman" w:hAnsi="Times New Roman" w:cs="Times New Roman"/>
          <w:sz w:val="14"/>
          <w:szCs w:val="14"/>
        </w:rPr>
        <w:t>consideraţie</w:t>
      </w:r>
      <w:proofErr w:type="spellEnd"/>
      <w:r w:rsidR="007A03F4">
        <w:rPr>
          <w:rFonts w:ascii="Times New Roman" w:hAnsi="Times New Roman" w:cs="Times New Roman"/>
          <w:sz w:val="14"/>
          <w:szCs w:val="14"/>
        </w:rPr>
        <w:t xml:space="preserve"> efectele pandemiei cu COVID-19</w:t>
      </w:r>
      <w:r w:rsidRPr="00FD2D5D">
        <w:rPr>
          <w:rFonts w:ascii="Times New Roman" w:hAnsi="Times New Roman" w:cs="Times New Roman"/>
          <w:sz w:val="14"/>
          <w:szCs w:val="14"/>
        </w:rPr>
        <w:t>.</w:t>
      </w:r>
    </w:p>
    <w:p w14:paraId="54312CD4" w14:textId="5E35F6FD" w:rsidR="006364B2" w:rsidRPr="00FD2D5D" w:rsidRDefault="00403E3C" w:rsidP="001F2F2D">
      <w:pPr>
        <w:spacing w:after="120" w:line="240" w:lineRule="auto"/>
        <w:ind w:firstLine="720"/>
        <w:jc w:val="both"/>
        <w:outlineLvl w:val="2"/>
        <w:rPr>
          <w:rFonts w:ascii="Times New Roman" w:eastAsia="Times New Roman" w:hAnsi="Times New Roman" w:cs="Times New Roman"/>
          <w:b/>
          <w:bCs/>
          <w:sz w:val="24"/>
          <w:szCs w:val="24"/>
          <w:lang w:eastAsia="ru-RU"/>
        </w:rPr>
      </w:pPr>
      <w:r w:rsidRPr="00FD2D5D">
        <w:rPr>
          <w:rFonts w:ascii="Times New Roman" w:eastAsia="Times New Roman" w:hAnsi="Times New Roman" w:cs="Times New Roman"/>
          <w:b/>
          <w:bCs/>
          <w:color w:val="000000"/>
          <w:sz w:val="24"/>
          <w:szCs w:val="24"/>
          <w:shd w:val="clear" w:color="auto" w:fill="FFFFFF"/>
          <w:lang w:eastAsia="ru-RU"/>
        </w:rPr>
        <w:t>2.</w:t>
      </w:r>
      <w:r w:rsidR="006364B2" w:rsidRPr="00FD2D5D">
        <w:rPr>
          <w:rFonts w:ascii="Times New Roman" w:eastAsia="Times New Roman" w:hAnsi="Times New Roman" w:cs="Times New Roman"/>
          <w:b/>
          <w:bCs/>
          <w:color w:val="000000"/>
          <w:sz w:val="24"/>
          <w:szCs w:val="24"/>
          <w:shd w:val="clear" w:color="auto" w:fill="FFFFFF"/>
          <w:lang w:eastAsia="ru-RU"/>
        </w:rPr>
        <w:t xml:space="preserve">1.2. </w:t>
      </w:r>
      <w:r w:rsidR="00FD2D5D" w:rsidRPr="00FD2D5D">
        <w:rPr>
          <w:rFonts w:ascii="Times New Roman" w:eastAsia="Times New Roman" w:hAnsi="Times New Roman" w:cs="Times New Roman"/>
          <w:b/>
          <w:bCs/>
          <w:color w:val="000000"/>
          <w:sz w:val="24"/>
          <w:szCs w:val="24"/>
          <w:shd w:val="clear" w:color="auto" w:fill="FFFFFF"/>
          <w:lang w:eastAsia="ru-RU"/>
        </w:rPr>
        <w:t>Tendințele</w:t>
      </w:r>
      <w:r w:rsidR="006364B2" w:rsidRPr="00FD2D5D">
        <w:rPr>
          <w:rFonts w:ascii="Times New Roman" w:eastAsia="Times New Roman" w:hAnsi="Times New Roman" w:cs="Times New Roman"/>
          <w:b/>
          <w:bCs/>
          <w:color w:val="000000"/>
          <w:sz w:val="24"/>
          <w:szCs w:val="24"/>
          <w:shd w:val="clear" w:color="auto" w:fill="FFFFFF"/>
          <w:lang w:eastAsia="ru-RU"/>
        </w:rPr>
        <w:t xml:space="preserve"> sectoriale </w:t>
      </w:r>
      <w:r w:rsidR="006364B2" w:rsidRPr="00FD2D5D">
        <w:rPr>
          <w:rFonts w:ascii="Times New Roman" w:eastAsia="Times New Roman" w:hAnsi="Times New Roman" w:cs="Times New Roman"/>
          <w:b/>
          <w:bCs/>
          <w:color w:val="000000"/>
          <w:sz w:val="24"/>
          <w:szCs w:val="24"/>
          <w:lang w:eastAsia="ru-RU"/>
        </w:rPr>
        <w:t>ale emisiilor de gaze cu efect</w:t>
      </w:r>
      <w:r w:rsidR="00B566C6" w:rsidRPr="00FD2D5D">
        <w:rPr>
          <w:rFonts w:ascii="Times New Roman" w:eastAsia="Times New Roman" w:hAnsi="Times New Roman" w:cs="Times New Roman"/>
          <w:b/>
          <w:bCs/>
          <w:color w:val="000000"/>
          <w:sz w:val="24"/>
          <w:szCs w:val="24"/>
          <w:lang w:eastAsia="ru-RU"/>
        </w:rPr>
        <w:t xml:space="preserve"> </w:t>
      </w:r>
      <w:r w:rsidR="006364B2" w:rsidRPr="00FD2D5D">
        <w:rPr>
          <w:rFonts w:ascii="Times New Roman" w:eastAsia="Times New Roman" w:hAnsi="Times New Roman" w:cs="Times New Roman"/>
          <w:b/>
          <w:bCs/>
          <w:color w:val="000000"/>
          <w:sz w:val="24"/>
          <w:szCs w:val="24"/>
          <w:lang w:eastAsia="ru-RU"/>
        </w:rPr>
        <w:t>de seră</w:t>
      </w:r>
    </w:p>
    <w:p w14:paraId="7D91B5D3" w14:textId="2EF6D993" w:rsidR="006364B2" w:rsidRPr="00FD2D5D" w:rsidRDefault="00E13B78" w:rsidP="00803311">
      <w:pPr>
        <w:spacing w:after="120"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FD2D5D">
        <w:rPr>
          <w:rFonts w:ascii="Times New Roman" w:eastAsia="Times New Roman" w:hAnsi="Times New Roman" w:cs="Times New Roman"/>
          <w:color w:val="000000"/>
          <w:sz w:val="24"/>
          <w:szCs w:val="24"/>
          <w:shd w:val="clear" w:color="auto" w:fill="FFFFFF"/>
          <w:lang w:eastAsia="ru-RU"/>
        </w:rPr>
        <w:t>4</w:t>
      </w:r>
      <w:r w:rsidR="006364B2" w:rsidRPr="00FD2D5D">
        <w:rPr>
          <w:rFonts w:ascii="Times New Roman" w:eastAsia="Times New Roman" w:hAnsi="Times New Roman" w:cs="Times New Roman"/>
          <w:color w:val="000000"/>
          <w:sz w:val="24"/>
          <w:szCs w:val="24"/>
          <w:shd w:val="clear" w:color="auto" w:fill="FFFFFF"/>
          <w:lang w:eastAsia="ru-RU"/>
        </w:rPr>
        <w:t xml:space="preserve">. Sectorul energetic este cea mai importantă sursă de emisii </w:t>
      </w:r>
      <w:r w:rsidR="00FD2D5D" w:rsidRPr="00FD2D5D">
        <w:rPr>
          <w:rFonts w:ascii="Times New Roman" w:eastAsia="Times New Roman" w:hAnsi="Times New Roman" w:cs="Times New Roman"/>
          <w:color w:val="000000"/>
          <w:sz w:val="24"/>
          <w:szCs w:val="24"/>
          <w:shd w:val="clear" w:color="auto" w:fill="FFFFFF"/>
          <w:lang w:eastAsia="ru-RU"/>
        </w:rPr>
        <w:t>naționale</w:t>
      </w:r>
      <w:r w:rsidR="006364B2" w:rsidRPr="00FD2D5D">
        <w:rPr>
          <w:rFonts w:ascii="Times New Roman" w:eastAsia="Times New Roman" w:hAnsi="Times New Roman" w:cs="Times New Roman"/>
          <w:color w:val="000000"/>
          <w:sz w:val="24"/>
          <w:szCs w:val="24"/>
          <w:shd w:val="clear" w:color="auto" w:fill="FFFFFF"/>
          <w:lang w:eastAsia="ru-RU"/>
        </w:rPr>
        <w:t xml:space="preserve"> de gaze cu efect de seră direct (fără </w:t>
      </w:r>
      <w:r w:rsidR="00FD2D5D" w:rsidRPr="00FD2D5D">
        <w:rPr>
          <w:rFonts w:ascii="Times New Roman" w:eastAsia="Times New Roman" w:hAnsi="Times New Roman" w:cs="Times New Roman"/>
          <w:color w:val="000000"/>
          <w:sz w:val="24"/>
          <w:szCs w:val="24"/>
          <w:shd w:val="clear" w:color="auto" w:fill="FFFFFF"/>
          <w:lang w:eastAsia="ru-RU"/>
        </w:rPr>
        <w:t>contribuția</w:t>
      </w:r>
      <w:r w:rsidR="006364B2" w:rsidRPr="00FD2D5D">
        <w:rPr>
          <w:rFonts w:ascii="Times New Roman" w:eastAsia="Times New Roman" w:hAnsi="Times New Roman" w:cs="Times New Roman"/>
          <w:color w:val="000000"/>
          <w:sz w:val="24"/>
          <w:szCs w:val="24"/>
          <w:shd w:val="clear" w:color="auto" w:fill="FFFFFF"/>
          <w:lang w:eastAsia="ru-RU"/>
        </w:rPr>
        <w:t xml:space="preserve"> sectorului </w:t>
      </w:r>
      <w:r w:rsidR="00D7776F" w:rsidRPr="00FD2D5D">
        <w:rPr>
          <w:rFonts w:ascii="Times New Roman" w:eastAsia="Times New Roman" w:hAnsi="Times New Roman" w:cs="Times New Roman"/>
          <w:color w:val="000000"/>
          <w:sz w:val="24"/>
          <w:szCs w:val="24"/>
          <w:shd w:val="clear" w:color="auto" w:fill="FFFFFF"/>
          <w:lang w:eastAsia="ru-RU"/>
        </w:rPr>
        <w:t>folosința terenurilor, schimbarea categoriei de folosință a terenurilor și silvicultură</w:t>
      </w:r>
      <w:r w:rsidR="006364B2" w:rsidRPr="00FD2D5D">
        <w:rPr>
          <w:rFonts w:ascii="Times New Roman" w:eastAsia="Times New Roman" w:hAnsi="Times New Roman" w:cs="Times New Roman"/>
          <w:color w:val="000000"/>
          <w:sz w:val="24"/>
          <w:szCs w:val="24"/>
          <w:shd w:val="clear" w:color="auto" w:fill="FFFFFF"/>
          <w:lang w:eastAsia="ru-RU"/>
        </w:rPr>
        <w:t>), ponderea acestuia variind între minim 62,</w:t>
      </w:r>
      <w:r w:rsidR="009A7609">
        <w:rPr>
          <w:rFonts w:ascii="Times New Roman" w:eastAsia="Times New Roman" w:hAnsi="Times New Roman" w:cs="Times New Roman"/>
          <w:color w:val="000000"/>
          <w:sz w:val="24"/>
          <w:szCs w:val="24"/>
          <w:shd w:val="clear" w:color="auto" w:fill="FFFFFF"/>
          <w:lang w:eastAsia="ru-RU"/>
        </w:rPr>
        <w:t>3</w:t>
      </w:r>
      <w:r w:rsidR="006364B2" w:rsidRPr="00FD2D5D">
        <w:rPr>
          <w:rFonts w:ascii="Times New Roman" w:eastAsia="Times New Roman" w:hAnsi="Times New Roman" w:cs="Times New Roman"/>
          <w:color w:val="000000"/>
          <w:sz w:val="24"/>
          <w:szCs w:val="24"/>
          <w:shd w:val="clear" w:color="auto" w:fill="FFFFFF"/>
          <w:lang w:eastAsia="ru-RU"/>
        </w:rPr>
        <w:t xml:space="preserve">% în anul 2000 </w:t>
      </w:r>
      <w:r w:rsidR="00FD2D5D" w:rsidRPr="00FD2D5D">
        <w:rPr>
          <w:rFonts w:ascii="Times New Roman" w:eastAsia="Times New Roman" w:hAnsi="Times New Roman" w:cs="Times New Roman"/>
          <w:color w:val="000000"/>
          <w:sz w:val="24"/>
          <w:szCs w:val="24"/>
          <w:shd w:val="clear" w:color="auto" w:fill="FFFFFF"/>
          <w:lang w:eastAsia="ru-RU"/>
        </w:rPr>
        <w:t>și</w:t>
      </w:r>
      <w:r w:rsidR="006364B2" w:rsidRPr="00FD2D5D">
        <w:rPr>
          <w:rFonts w:ascii="Times New Roman" w:eastAsia="Times New Roman" w:hAnsi="Times New Roman" w:cs="Times New Roman"/>
          <w:color w:val="000000"/>
          <w:sz w:val="24"/>
          <w:szCs w:val="24"/>
          <w:shd w:val="clear" w:color="auto" w:fill="FFFFFF"/>
          <w:lang w:eastAsia="ru-RU"/>
        </w:rPr>
        <w:t xml:space="preserve"> maxim</w:t>
      </w:r>
      <w:r w:rsidR="00F41100" w:rsidRPr="00FD2D5D">
        <w:rPr>
          <w:rFonts w:ascii="Times New Roman" w:eastAsia="Times New Roman" w:hAnsi="Times New Roman" w:cs="Times New Roman"/>
          <w:color w:val="000000"/>
          <w:sz w:val="24"/>
          <w:szCs w:val="24"/>
          <w:shd w:val="clear" w:color="auto" w:fill="FFFFFF"/>
          <w:lang w:eastAsia="ru-RU"/>
        </w:rPr>
        <w:t xml:space="preserve"> </w:t>
      </w:r>
      <w:r w:rsidR="00682B1F" w:rsidRPr="00FD2D5D">
        <w:rPr>
          <w:rFonts w:ascii="Times New Roman" w:eastAsia="Times New Roman" w:hAnsi="Times New Roman" w:cs="Times New Roman"/>
          <w:color w:val="000000"/>
          <w:sz w:val="24"/>
          <w:szCs w:val="24"/>
          <w:shd w:val="clear" w:color="auto" w:fill="FFFFFF"/>
          <w:lang w:eastAsia="ru-RU"/>
        </w:rPr>
        <w:t>81</w:t>
      </w:r>
      <w:r w:rsidR="006364B2" w:rsidRPr="00FD2D5D">
        <w:rPr>
          <w:rFonts w:ascii="Times New Roman" w:eastAsia="Times New Roman" w:hAnsi="Times New Roman" w:cs="Times New Roman"/>
          <w:color w:val="000000"/>
          <w:sz w:val="24"/>
          <w:szCs w:val="24"/>
          <w:shd w:val="clear" w:color="auto" w:fill="FFFFFF"/>
          <w:lang w:eastAsia="ru-RU"/>
        </w:rPr>
        <w:t>,</w:t>
      </w:r>
      <w:r w:rsidR="009A7609">
        <w:rPr>
          <w:rFonts w:ascii="Times New Roman" w:eastAsia="Times New Roman" w:hAnsi="Times New Roman" w:cs="Times New Roman"/>
          <w:color w:val="000000"/>
          <w:sz w:val="24"/>
          <w:szCs w:val="24"/>
          <w:shd w:val="clear" w:color="auto" w:fill="FFFFFF"/>
          <w:lang w:eastAsia="ru-RU"/>
        </w:rPr>
        <w:t>4</w:t>
      </w:r>
      <w:r w:rsidR="006364B2" w:rsidRPr="00FD2D5D">
        <w:rPr>
          <w:rFonts w:ascii="Times New Roman" w:eastAsia="Times New Roman" w:hAnsi="Times New Roman" w:cs="Times New Roman"/>
          <w:color w:val="000000"/>
          <w:sz w:val="24"/>
          <w:szCs w:val="24"/>
          <w:shd w:val="clear" w:color="auto" w:fill="FFFFFF"/>
          <w:lang w:eastAsia="ru-RU"/>
        </w:rPr>
        <w:t xml:space="preserve">% în anul 1990 (în ultimii zece ani ponderea acestui sector a avut o </w:t>
      </w:r>
      <w:r w:rsidR="00FD2D5D" w:rsidRPr="00FD2D5D">
        <w:rPr>
          <w:rFonts w:ascii="Times New Roman" w:eastAsia="Times New Roman" w:hAnsi="Times New Roman" w:cs="Times New Roman"/>
          <w:color w:val="000000"/>
          <w:sz w:val="24"/>
          <w:szCs w:val="24"/>
          <w:shd w:val="clear" w:color="auto" w:fill="FFFFFF"/>
          <w:lang w:eastAsia="ru-RU"/>
        </w:rPr>
        <w:t>tendință</w:t>
      </w:r>
      <w:r w:rsidR="006364B2" w:rsidRPr="00FD2D5D">
        <w:rPr>
          <w:rFonts w:ascii="Times New Roman" w:eastAsia="Times New Roman" w:hAnsi="Times New Roman" w:cs="Times New Roman"/>
          <w:color w:val="000000"/>
          <w:sz w:val="24"/>
          <w:szCs w:val="24"/>
          <w:shd w:val="clear" w:color="auto" w:fill="FFFFFF"/>
          <w:lang w:eastAsia="ru-RU"/>
        </w:rPr>
        <w:t xml:space="preserve"> de </w:t>
      </w:r>
      <w:r w:rsidR="00FD2D5D" w:rsidRPr="00FD2D5D">
        <w:rPr>
          <w:rFonts w:ascii="Times New Roman" w:eastAsia="Times New Roman" w:hAnsi="Times New Roman" w:cs="Times New Roman"/>
          <w:color w:val="000000"/>
          <w:sz w:val="24"/>
          <w:szCs w:val="24"/>
          <w:shd w:val="clear" w:color="auto" w:fill="FFFFFF"/>
          <w:lang w:eastAsia="ru-RU"/>
        </w:rPr>
        <w:t>creștere</w:t>
      </w:r>
      <w:r w:rsidR="006364B2" w:rsidRPr="00FD2D5D">
        <w:rPr>
          <w:rFonts w:ascii="Times New Roman" w:eastAsia="Times New Roman" w:hAnsi="Times New Roman" w:cs="Times New Roman"/>
          <w:color w:val="000000"/>
          <w:sz w:val="24"/>
          <w:szCs w:val="24"/>
          <w:shd w:val="clear" w:color="auto" w:fill="FFFFFF"/>
          <w:lang w:eastAsia="ru-RU"/>
        </w:rPr>
        <w:t xml:space="preserve"> – în anul </w:t>
      </w:r>
      <w:r w:rsidR="009A7609" w:rsidRPr="00FD2D5D">
        <w:rPr>
          <w:rFonts w:ascii="Times New Roman" w:eastAsia="Times New Roman" w:hAnsi="Times New Roman" w:cs="Times New Roman"/>
          <w:color w:val="000000"/>
          <w:sz w:val="24"/>
          <w:szCs w:val="24"/>
          <w:shd w:val="clear" w:color="auto" w:fill="FFFFFF"/>
          <w:lang w:eastAsia="ru-RU"/>
        </w:rPr>
        <w:t>201</w:t>
      </w:r>
      <w:r w:rsidR="009A7609">
        <w:rPr>
          <w:rFonts w:ascii="Times New Roman" w:eastAsia="Times New Roman" w:hAnsi="Times New Roman" w:cs="Times New Roman"/>
          <w:color w:val="000000"/>
          <w:sz w:val="24"/>
          <w:szCs w:val="24"/>
          <w:shd w:val="clear" w:color="auto" w:fill="FFFFFF"/>
          <w:lang w:eastAsia="ru-RU"/>
        </w:rPr>
        <w:t>9</w:t>
      </w:r>
      <w:r w:rsidR="009A7609" w:rsidRPr="00FD2D5D">
        <w:rPr>
          <w:rFonts w:ascii="Times New Roman" w:eastAsia="Times New Roman" w:hAnsi="Times New Roman" w:cs="Times New Roman"/>
          <w:color w:val="000000"/>
          <w:sz w:val="24"/>
          <w:szCs w:val="24"/>
          <w:shd w:val="clear" w:color="auto" w:fill="FFFFFF"/>
          <w:lang w:eastAsia="ru-RU"/>
        </w:rPr>
        <w:t xml:space="preserve"> </w:t>
      </w:r>
      <w:r w:rsidR="006364B2" w:rsidRPr="00FD2D5D">
        <w:rPr>
          <w:rFonts w:ascii="Times New Roman" w:eastAsia="Times New Roman" w:hAnsi="Times New Roman" w:cs="Times New Roman"/>
          <w:color w:val="000000"/>
          <w:sz w:val="24"/>
          <w:szCs w:val="24"/>
          <w:shd w:val="clear" w:color="auto" w:fill="FFFFFF"/>
          <w:lang w:eastAsia="ru-RU"/>
        </w:rPr>
        <w:t xml:space="preserve">constituind circa </w:t>
      </w:r>
      <w:r w:rsidR="009A7609" w:rsidRPr="00FD2D5D">
        <w:rPr>
          <w:rFonts w:ascii="Times New Roman" w:eastAsia="Times New Roman" w:hAnsi="Times New Roman" w:cs="Times New Roman"/>
          <w:color w:val="000000"/>
          <w:sz w:val="24"/>
          <w:szCs w:val="24"/>
          <w:shd w:val="clear" w:color="auto" w:fill="FFFFFF"/>
          <w:lang w:eastAsia="ru-RU"/>
        </w:rPr>
        <w:t>6</w:t>
      </w:r>
      <w:r w:rsidR="009A7609">
        <w:rPr>
          <w:rFonts w:ascii="Times New Roman" w:eastAsia="Times New Roman" w:hAnsi="Times New Roman" w:cs="Times New Roman"/>
          <w:color w:val="000000"/>
          <w:sz w:val="24"/>
          <w:szCs w:val="24"/>
          <w:shd w:val="clear" w:color="auto" w:fill="FFFFFF"/>
          <w:lang w:eastAsia="ru-RU"/>
        </w:rPr>
        <w:t>7</w:t>
      </w:r>
      <w:r w:rsidR="00682B1F" w:rsidRPr="00FD2D5D">
        <w:rPr>
          <w:rFonts w:ascii="Times New Roman" w:eastAsia="Times New Roman" w:hAnsi="Times New Roman" w:cs="Times New Roman"/>
          <w:color w:val="000000"/>
          <w:sz w:val="24"/>
          <w:szCs w:val="24"/>
          <w:shd w:val="clear" w:color="auto" w:fill="FFFFFF"/>
          <w:lang w:eastAsia="ru-RU"/>
        </w:rPr>
        <w:t>,</w:t>
      </w:r>
      <w:r w:rsidR="009A7609">
        <w:rPr>
          <w:rFonts w:ascii="Times New Roman" w:eastAsia="Times New Roman" w:hAnsi="Times New Roman" w:cs="Times New Roman"/>
          <w:color w:val="000000"/>
          <w:sz w:val="24"/>
          <w:szCs w:val="24"/>
          <w:shd w:val="clear" w:color="auto" w:fill="FFFFFF"/>
          <w:lang w:eastAsia="ru-RU"/>
        </w:rPr>
        <w:t>5</w:t>
      </w:r>
      <w:r w:rsidR="006364B2" w:rsidRPr="00FD2D5D">
        <w:rPr>
          <w:rFonts w:ascii="Times New Roman" w:eastAsia="Times New Roman" w:hAnsi="Times New Roman" w:cs="Times New Roman"/>
          <w:color w:val="000000"/>
          <w:sz w:val="24"/>
          <w:szCs w:val="24"/>
          <w:shd w:val="clear" w:color="auto" w:fill="FFFFFF"/>
          <w:lang w:eastAsia="ru-RU"/>
        </w:rPr>
        <w:t xml:space="preserve">% din emisiile </w:t>
      </w:r>
      <w:r w:rsidR="00FD2D5D" w:rsidRPr="00FD2D5D">
        <w:rPr>
          <w:rFonts w:ascii="Times New Roman" w:eastAsia="Times New Roman" w:hAnsi="Times New Roman" w:cs="Times New Roman"/>
          <w:color w:val="000000"/>
          <w:sz w:val="24"/>
          <w:szCs w:val="24"/>
          <w:shd w:val="clear" w:color="auto" w:fill="FFFFFF"/>
          <w:lang w:eastAsia="ru-RU"/>
        </w:rPr>
        <w:t>naționale</w:t>
      </w:r>
      <w:r w:rsidR="006364B2" w:rsidRPr="00FD2D5D">
        <w:rPr>
          <w:rFonts w:ascii="Times New Roman" w:eastAsia="Times New Roman" w:hAnsi="Times New Roman" w:cs="Times New Roman"/>
          <w:color w:val="000000"/>
          <w:sz w:val="24"/>
          <w:szCs w:val="24"/>
          <w:shd w:val="clear" w:color="auto" w:fill="FFFFFF"/>
          <w:lang w:eastAsia="ru-RU"/>
        </w:rPr>
        <w:t xml:space="preserve"> de gaze cu efect de seră direct).</w:t>
      </w:r>
    </w:p>
    <w:p w14:paraId="30E18501" w14:textId="5661CC95" w:rsidR="006364B2" w:rsidRPr="00FD2D5D" w:rsidRDefault="006364B2" w:rsidP="00803311">
      <w:pPr>
        <w:spacing w:before="120" w:after="120" w:line="240" w:lineRule="auto"/>
        <w:ind w:firstLine="720"/>
        <w:jc w:val="both"/>
        <w:rPr>
          <w:rFonts w:ascii="Times New Roman" w:eastAsia="Times New Roman" w:hAnsi="Times New Roman" w:cs="Times New Roman"/>
          <w:sz w:val="24"/>
          <w:szCs w:val="24"/>
          <w:lang w:eastAsia="ru-RU"/>
        </w:rPr>
      </w:pPr>
      <w:r w:rsidRPr="00FD2D5D">
        <w:rPr>
          <w:rFonts w:ascii="Times New Roman" w:eastAsia="Times New Roman" w:hAnsi="Times New Roman" w:cs="Times New Roman"/>
          <w:color w:val="000000"/>
          <w:sz w:val="24"/>
          <w:szCs w:val="24"/>
          <w:shd w:val="clear" w:color="auto" w:fill="FFFFFF"/>
          <w:lang w:eastAsia="ru-RU"/>
        </w:rPr>
        <w:t xml:space="preserve">Potrivit </w:t>
      </w:r>
      <w:r w:rsidR="00FD2D5D" w:rsidRPr="00FD2D5D">
        <w:rPr>
          <w:rFonts w:ascii="Times New Roman" w:eastAsia="Times New Roman" w:hAnsi="Times New Roman" w:cs="Times New Roman"/>
          <w:color w:val="000000"/>
          <w:sz w:val="24"/>
          <w:szCs w:val="24"/>
          <w:shd w:val="clear" w:color="auto" w:fill="FFFFFF"/>
          <w:lang w:eastAsia="ru-RU"/>
        </w:rPr>
        <w:t>Agenției</w:t>
      </w:r>
      <w:r w:rsidRPr="00FD2D5D">
        <w:rPr>
          <w:rFonts w:ascii="Times New Roman" w:eastAsia="Times New Roman" w:hAnsi="Times New Roman" w:cs="Times New Roman"/>
          <w:color w:val="000000"/>
          <w:sz w:val="24"/>
          <w:szCs w:val="24"/>
          <w:shd w:val="clear" w:color="auto" w:fill="FFFFFF"/>
          <w:lang w:eastAsia="ru-RU"/>
        </w:rPr>
        <w:t xml:space="preserve"> </w:t>
      </w:r>
      <w:r w:rsidR="00FD2D5D" w:rsidRPr="00FD2D5D">
        <w:rPr>
          <w:rFonts w:ascii="Times New Roman" w:eastAsia="Times New Roman" w:hAnsi="Times New Roman" w:cs="Times New Roman"/>
          <w:color w:val="000000"/>
          <w:sz w:val="24"/>
          <w:szCs w:val="24"/>
          <w:shd w:val="clear" w:color="auto" w:fill="FFFFFF"/>
          <w:lang w:eastAsia="ru-RU"/>
        </w:rPr>
        <w:t>Internaționale</w:t>
      </w:r>
      <w:r w:rsidRPr="00FD2D5D">
        <w:rPr>
          <w:rFonts w:ascii="Times New Roman" w:eastAsia="Times New Roman" w:hAnsi="Times New Roman" w:cs="Times New Roman"/>
          <w:color w:val="000000"/>
          <w:sz w:val="24"/>
          <w:szCs w:val="24"/>
          <w:shd w:val="clear" w:color="auto" w:fill="FFFFFF"/>
          <w:lang w:eastAsia="ru-RU"/>
        </w:rPr>
        <w:t xml:space="preserve"> pentru Energie, intensitatea emisiilor de gaze cu efect de seră (emisii CO</w:t>
      </w:r>
      <w:r w:rsidRPr="00FD2D5D">
        <w:rPr>
          <w:rFonts w:ascii="Times New Roman" w:eastAsia="Times New Roman" w:hAnsi="Times New Roman" w:cs="Times New Roman"/>
          <w:color w:val="000000"/>
          <w:sz w:val="24"/>
          <w:szCs w:val="24"/>
          <w:shd w:val="clear" w:color="auto" w:fill="FFFFFF"/>
          <w:vertAlign w:val="subscript"/>
          <w:lang w:eastAsia="ru-RU"/>
        </w:rPr>
        <w:t>2</w:t>
      </w:r>
      <w:r w:rsidRPr="00FD2D5D">
        <w:rPr>
          <w:rFonts w:ascii="Times New Roman" w:eastAsia="Times New Roman" w:hAnsi="Times New Roman" w:cs="Times New Roman"/>
          <w:color w:val="000000"/>
          <w:sz w:val="24"/>
          <w:szCs w:val="24"/>
          <w:shd w:val="clear" w:color="auto" w:fill="FFFFFF"/>
          <w:lang w:eastAsia="ru-RU"/>
        </w:rPr>
        <w:t xml:space="preserve"> per unitate din PIB) </w:t>
      </w:r>
      <w:r w:rsidR="00FD2D5D" w:rsidRPr="00FD2D5D">
        <w:rPr>
          <w:rFonts w:ascii="Times New Roman" w:eastAsia="Times New Roman" w:hAnsi="Times New Roman" w:cs="Times New Roman"/>
          <w:color w:val="000000"/>
          <w:sz w:val="24"/>
          <w:szCs w:val="24"/>
          <w:shd w:val="clear" w:color="auto" w:fill="FFFFFF"/>
          <w:lang w:eastAsia="ru-RU"/>
        </w:rPr>
        <w:t>și</w:t>
      </w:r>
      <w:r w:rsidRPr="00FD2D5D">
        <w:rPr>
          <w:rFonts w:ascii="Times New Roman" w:eastAsia="Times New Roman" w:hAnsi="Times New Roman" w:cs="Times New Roman"/>
          <w:color w:val="000000"/>
          <w:sz w:val="24"/>
          <w:szCs w:val="24"/>
          <w:shd w:val="clear" w:color="auto" w:fill="FFFFFF"/>
          <w:lang w:eastAsia="ru-RU"/>
        </w:rPr>
        <w:t xml:space="preserve"> intensitatea energetică (</w:t>
      </w:r>
      <w:r w:rsidR="00F41100" w:rsidRPr="00FD2D5D">
        <w:rPr>
          <w:rFonts w:ascii="Times New Roman" w:eastAsia="Times New Roman" w:hAnsi="Times New Roman" w:cs="Times New Roman"/>
          <w:color w:val="000000"/>
          <w:sz w:val="24"/>
          <w:szCs w:val="24"/>
          <w:shd w:val="clear" w:color="auto" w:fill="FFFFFF"/>
          <w:lang w:eastAsia="ru-RU"/>
        </w:rPr>
        <w:t xml:space="preserve">total </w:t>
      </w:r>
      <w:r w:rsidRPr="00FD2D5D">
        <w:rPr>
          <w:rFonts w:ascii="Times New Roman" w:eastAsia="Times New Roman" w:hAnsi="Times New Roman" w:cs="Times New Roman"/>
          <w:color w:val="000000"/>
          <w:sz w:val="24"/>
          <w:szCs w:val="24"/>
          <w:shd w:val="clear" w:color="auto" w:fill="FFFFFF"/>
          <w:lang w:eastAsia="ru-RU"/>
        </w:rPr>
        <w:t>energie primară per unitate din PIB) în Republica Moldova s</w:t>
      </w:r>
      <w:r w:rsidR="001625C3" w:rsidRPr="00FD2D5D">
        <w:rPr>
          <w:rFonts w:ascii="Times New Roman" w:eastAsia="Times New Roman" w:hAnsi="Times New Roman" w:cs="Times New Roman"/>
          <w:color w:val="000000"/>
          <w:sz w:val="24"/>
          <w:szCs w:val="24"/>
          <w:shd w:val="clear" w:color="auto" w:fill="FFFFFF"/>
          <w:lang w:eastAsia="ru-RU"/>
        </w:rPr>
        <w:t>u</w:t>
      </w:r>
      <w:r w:rsidRPr="00FD2D5D">
        <w:rPr>
          <w:rFonts w:ascii="Times New Roman" w:eastAsia="Times New Roman" w:hAnsi="Times New Roman" w:cs="Times New Roman"/>
          <w:color w:val="000000"/>
          <w:sz w:val="24"/>
          <w:szCs w:val="24"/>
          <w:shd w:val="clear" w:color="auto" w:fill="FFFFFF"/>
          <w:lang w:eastAsia="ru-RU"/>
        </w:rPr>
        <w:t xml:space="preserve">nt printre cele mai înalte comparativ cu </w:t>
      </w:r>
      <w:r w:rsidR="00FD2D5D" w:rsidRPr="00FD2D5D">
        <w:rPr>
          <w:rFonts w:ascii="Times New Roman" w:eastAsia="Times New Roman" w:hAnsi="Times New Roman" w:cs="Times New Roman"/>
          <w:color w:val="000000"/>
          <w:sz w:val="24"/>
          <w:szCs w:val="24"/>
          <w:shd w:val="clear" w:color="auto" w:fill="FFFFFF"/>
          <w:lang w:eastAsia="ru-RU"/>
        </w:rPr>
        <w:t>țările</w:t>
      </w:r>
      <w:r w:rsidRPr="00FD2D5D">
        <w:rPr>
          <w:rFonts w:ascii="Times New Roman" w:eastAsia="Times New Roman" w:hAnsi="Times New Roman" w:cs="Times New Roman"/>
          <w:color w:val="000000"/>
          <w:sz w:val="24"/>
          <w:szCs w:val="24"/>
          <w:shd w:val="clear" w:color="auto" w:fill="FFFFFF"/>
          <w:lang w:eastAsia="ru-RU"/>
        </w:rPr>
        <w:t xml:space="preserve"> cu economia în </w:t>
      </w:r>
      <w:r w:rsidR="00FD2D5D" w:rsidRPr="00FD2D5D">
        <w:rPr>
          <w:rFonts w:ascii="Times New Roman" w:eastAsia="Times New Roman" w:hAnsi="Times New Roman" w:cs="Times New Roman"/>
          <w:color w:val="000000"/>
          <w:sz w:val="24"/>
          <w:szCs w:val="24"/>
          <w:shd w:val="clear" w:color="auto" w:fill="FFFFFF"/>
          <w:lang w:eastAsia="ru-RU"/>
        </w:rPr>
        <w:t>tranziție</w:t>
      </w:r>
      <w:r w:rsidRPr="00FD2D5D">
        <w:rPr>
          <w:rFonts w:ascii="Times New Roman" w:eastAsia="Times New Roman" w:hAnsi="Times New Roman" w:cs="Times New Roman"/>
          <w:color w:val="000000"/>
          <w:sz w:val="24"/>
          <w:szCs w:val="24"/>
          <w:shd w:val="clear" w:color="auto" w:fill="FFFFFF"/>
          <w:lang w:eastAsia="ru-RU"/>
        </w:rPr>
        <w:t xml:space="preserve"> din regiunea Europei Centrale </w:t>
      </w:r>
      <w:r w:rsidR="00FD2D5D" w:rsidRPr="00FD2D5D">
        <w:rPr>
          <w:rFonts w:ascii="Times New Roman" w:eastAsia="Times New Roman" w:hAnsi="Times New Roman" w:cs="Times New Roman"/>
          <w:color w:val="000000"/>
          <w:sz w:val="24"/>
          <w:szCs w:val="24"/>
          <w:shd w:val="clear" w:color="auto" w:fill="FFFFFF"/>
          <w:lang w:eastAsia="ru-RU"/>
        </w:rPr>
        <w:t>și</w:t>
      </w:r>
      <w:r w:rsidRPr="00FD2D5D">
        <w:rPr>
          <w:rFonts w:ascii="Times New Roman" w:eastAsia="Times New Roman" w:hAnsi="Times New Roman" w:cs="Times New Roman"/>
          <w:color w:val="000000"/>
          <w:sz w:val="24"/>
          <w:szCs w:val="24"/>
          <w:shd w:val="clear" w:color="auto" w:fill="FFFFFF"/>
          <w:lang w:eastAsia="ru-RU"/>
        </w:rPr>
        <w:t xml:space="preserve"> de Est (</w:t>
      </w:r>
      <w:r w:rsidR="00F41100" w:rsidRPr="00FD2D5D">
        <w:rPr>
          <w:rFonts w:ascii="Times New Roman" w:eastAsia="Times New Roman" w:hAnsi="Times New Roman" w:cs="Times New Roman"/>
          <w:color w:val="000000"/>
          <w:sz w:val="24"/>
          <w:szCs w:val="24"/>
          <w:shd w:val="clear" w:color="auto" w:fill="FFFFFF"/>
          <w:lang w:eastAsia="ru-RU"/>
        </w:rPr>
        <w:t>T</w:t>
      </w:r>
      <w:r w:rsidRPr="00FD2D5D">
        <w:rPr>
          <w:rFonts w:ascii="Times New Roman" w:eastAsia="Times New Roman" w:hAnsi="Times New Roman" w:cs="Times New Roman"/>
          <w:color w:val="000000"/>
          <w:sz w:val="24"/>
          <w:szCs w:val="24"/>
          <w:shd w:val="clear" w:color="auto" w:fill="FFFFFF"/>
          <w:lang w:eastAsia="ru-RU"/>
        </w:rPr>
        <w:t>ab</w:t>
      </w:r>
      <w:r w:rsidR="00F41100" w:rsidRPr="00FD2D5D">
        <w:rPr>
          <w:rFonts w:ascii="Times New Roman" w:eastAsia="Times New Roman" w:hAnsi="Times New Roman" w:cs="Times New Roman"/>
          <w:color w:val="000000"/>
          <w:sz w:val="24"/>
          <w:szCs w:val="24"/>
          <w:shd w:val="clear" w:color="auto" w:fill="FFFFFF"/>
          <w:lang w:eastAsia="ru-RU"/>
        </w:rPr>
        <w:t>.</w:t>
      </w:r>
      <w:r w:rsidRPr="00FD2D5D">
        <w:rPr>
          <w:rFonts w:ascii="Times New Roman" w:eastAsia="Times New Roman" w:hAnsi="Times New Roman" w:cs="Times New Roman"/>
          <w:color w:val="000000"/>
          <w:sz w:val="24"/>
          <w:szCs w:val="24"/>
          <w:shd w:val="clear" w:color="auto" w:fill="FFFFFF"/>
          <w:lang w:eastAsia="ru-RU"/>
        </w:rPr>
        <w:t xml:space="preserve"> 2.</w:t>
      </w:r>
      <w:r w:rsidR="008A3367" w:rsidRPr="00FD2D5D">
        <w:rPr>
          <w:rFonts w:ascii="Times New Roman" w:eastAsia="Times New Roman" w:hAnsi="Times New Roman" w:cs="Times New Roman"/>
          <w:color w:val="000000"/>
          <w:sz w:val="24"/>
          <w:szCs w:val="24"/>
          <w:shd w:val="clear" w:color="auto" w:fill="FFFFFF"/>
          <w:lang w:eastAsia="ru-RU"/>
        </w:rPr>
        <w:t>3</w:t>
      </w:r>
      <w:r w:rsidRPr="00FD2D5D">
        <w:rPr>
          <w:rFonts w:ascii="Times New Roman" w:eastAsia="Times New Roman" w:hAnsi="Times New Roman" w:cs="Times New Roman"/>
          <w:color w:val="000000"/>
          <w:sz w:val="24"/>
          <w:szCs w:val="24"/>
          <w:shd w:val="clear" w:color="auto" w:fill="FFFFFF"/>
          <w:lang w:eastAsia="ru-RU"/>
        </w:rPr>
        <w:t xml:space="preserve"> </w:t>
      </w:r>
      <w:r w:rsidR="00FD2D5D" w:rsidRPr="00FD2D5D">
        <w:rPr>
          <w:rFonts w:ascii="Times New Roman" w:eastAsia="Times New Roman" w:hAnsi="Times New Roman" w:cs="Times New Roman"/>
          <w:color w:val="000000"/>
          <w:sz w:val="24"/>
          <w:szCs w:val="24"/>
          <w:shd w:val="clear" w:color="auto" w:fill="FFFFFF"/>
          <w:lang w:eastAsia="ru-RU"/>
        </w:rPr>
        <w:t>și</w:t>
      </w:r>
      <w:r w:rsidRPr="00FD2D5D">
        <w:rPr>
          <w:rFonts w:ascii="Times New Roman" w:eastAsia="Times New Roman" w:hAnsi="Times New Roman" w:cs="Times New Roman"/>
          <w:color w:val="000000"/>
          <w:sz w:val="24"/>
          <w:szCs w:val="24"/>
          <w:shd w:val="clear" w:color="auto" w:fill="FFFFFF"/>
          <w:lang w:eastAsia="ru-RU"/>
        </w:rPr>
        <w:t xml:space="preserve"> </w:t>
      </w:r>
      <w:r w:rsidR="00F41100" w:rsidRPr="00FD2D5D">
        <w:rPr>
          <w:rFonts w:ascii="Times New Roman" w:eastAsia="Times New Roman" w:hAnsi="Times New Roman" w:cs="Times New Roman"/>
          <w:color w:val="000000"/>
          <w:sz w:val="24"/>
          <w:szCs w:val="24"/>
          <w:shd w:val="clear" w:color="auto" w:fill="FFFFFF"/>
          <w:lang w:eastAsia="ru-RU"/>
        </w:rPr>
        <w:t xml:space="preserve">Tab. </w:t>
      </w:r>
      <w:r w:rsidRPr="00FD2D5D">
        <w:rPr>
          <w:rFonts w:ascii="Times New Roman" w:eastAsia="Times New Roman" w:hAnsi="Times New Roman" w:cs="Times New Roman"/>
          <w:color w:val="000000"/>
          <w:sz w:val="24"/>
          <w:szCs w:val="24"/>
          <w:shd w:val="clear" w:color="auto" w:fill="FFFFFF"/>
          <w:lang w:eastAsia="ru-RU"/>
        </w:rPr>
        <w:t>2.</w:t>
      </w:r>
      <w:r w:rsidR="008A3367" w:rsidRPr="00FD2D5D">
        <w:rPr>
          <w:rFonts w:ascii="Times New Roman" w:eastAsia="Times New Roman" w:hAnsi="Times New Roman" w:cs="Times New Roman"/>
          <w:color w:val="000000"/>
          <w:sz w:val="24"/>
          <w:szCs w:val="24"/>
          <w:shd w:val="clear" w:color="auto" w:fill="FFFFFF"/>
          <w:lang w:eastAsia="ru-RU"/>
        </w:rPr>
        <w:t>4</w:t>
      </w:r>
      <w:r w:rsidRPr="00FD2D5D">
        <w:rPr>
          <w:rFonts w:ascii="Times New Roman" w:eastAsia="Times New Roman" w:hAnsi="Times New Roman" w:cs="Times New Roman"/>
          <w:color w:val="000000"/>
          <w:sz w:val="24"/>
          <w:szCs w:val="24"/>
          <w:shd w:val="clear" w:color="auto" w:fill="FFFFFF"/>
          <w:lang w:eastAsia="ru-RU"/>
        </w:rPr>
        <w:t>).</w:t>
      </w:r>
    </w:p>
    <w:p w14:paraId="735E7F9E" w14:textId="7CAF9738" w:rsidR="006364B2" w:rsidRPr="00FD2D5D" w:rsidRDefault="006364B2" w:rsidP="00803311">
      <w:pPr>
        <w:spacing w:before="120" w:after="120" w:line="240" w:lineRule="auto"/>
        <w:ind w:firstLine="720"/>
        <w:jc w:val="right"/>
        <w:rPr>
          <w:rFonts w:ascii="Times New Roman" w:eastAsia="Times New Roman" w:hAnsi="Times New Roman" w:cs="Times New Roman"/>
          <w:bCs/>
          <w:color w:val="000000"/>
          <w:sz w:val="24"/>
          <w:szCs w:val="24"/>
          <w:lang w:eastAsia="ru-RU"/>
        </w:rPr>
      </w:pPr>
      <w:r w:rsidRPr="00FD2D5D">
        <w:rPr>
          <w:rFonts w:ascii="Times New Roman" w:eastAsia="Times New Roman" w:hAnsi="Times New Roman" w:cs="Times New Roman"/>
          <w:bCs/>
          <w:color w:val="000000"/>
          <w:sz w:val="24"/>
          <w:szCs w:val="24"/>
          <w:lang w:eastAsia="ru-RU"/>
        </w:rPr>
        <w:t>Tabelul 2.</w:t>
      </w:r>
      <w:r w:rsidR="008A3367" w:rsidRPr="00FD2D5D">
        <w:rPr>
          <w:rFonts w:ascii="Times New Roman" w:eastAsia="Times New Roman" w:hAnsi="Times New Roman" w:cs="Times New Roman"/>
          <w:bCs/>
          <w:color w:val="000000"/>
          <w:sz w:val="24"/>
          <w:szCs w:val="24"/>
          <w:lang w:eastAsia="ru-RU"/>
        </w:rPr>
        <w:t>3</w:t>
      </w:r>
    </w:p>
    <w:p w14:paraId="02787CF0" w14:textId="1C259355" w:rsidR="006364B2" w:rsidRPr="00FD2D5D" w:rsidRDefault="006364B2" w:rsidP="006364B2">
      <w:pPr>
        <w:spacing w:after="0" w:line="240" w:lineRule="auto"/>
        <w:jc w:val="center"/>
        <w:rPr>
          <w:rFonts w:ascii="Times New Roman" w:eastAsia="Times New Roman" w:hAnsi="Times New Roman" w:cs="Times New Roman"/>
          <w:b/>
          <w:color w:val="000000"/>
          <w:sz w:val="24"/>
          <w:szCs w:val="24"/>
          <w:lang w:eastAsia="ru-RU"/>
        </w:rPr>
      </w:pPr>
      <w:bookmarkStart w:id="1" w:name="_Hlk68782459"/>
      <w:r w:rsidRPr="00FD2D5D">
        <w:rPr>
          <w:rFonts w:ascii="Times New Roman" w:eastAsia="Times New Roman" w:hAnsi="Times New Roman" w:cs="Times New Roman"/>
          <w:b/>
          <w:color w:val="000000"/>
          <w:sz w:val="24"/>
          <w:szCs w:val="24"/>
          <w:lang w:eastAsia="ru-RU"/>
        </w:rPr>
        <w:t>Intensitatea emisiilor de gaze cu efect de seră</w:t>
      </w:r>
      <w:bookmarkEnd w:id="1"/>
      <w:r w:rsidRPr="00FD2D5D">
        <w:rPr>
          <w:rFonts w:ascii="Times New Roman" w:eastAsia="Times New Roman" w:hAnsi="Times New Roman" w:cs="Times New Roman"/>
          <w:b/>
          <w:color w:val="000000"/>
          <w:sz w:val="24"/>
          <w:szCs w:val="24"/>
          <w:lang w:eastAsia="ru-RU"/>
        </w:rPr>
        <w:t xml:space="preserve"> în </w:t>
      </w:r>
      <w:r w:rsidR="00FD2D5D" w:rsidRPr="00FD2D5D">
        <w:rPr>
          <w:rFonts w:ascii="Times New Roman" w:eastAsia="Times New Roman" w:hAnsi="Times New Roman" w:cs="Times New Roman"/>
          <w:b/>
          <w:color w:val="000000"/>
          <w:sz w:val="24"/>
          <w:szCs w:val="24"/>
          <w:lang w:eastAsia="ru-RU"/>
        </w:rPr>
        <w:t>țările</w:t>
      </w:r>
      <w:r w:rsidRPr="00FD2D5D">
        <w:rPr>
          <w:rFonts w:ascii="Times New Roman" w:eastAsia="Times New Roman" w:hAnsi="Times New Roman" w:cs="Times New Roman"/>
          <w:b/>
          <w:color w:val="000000"/>
          <w:sz w:val="24"/>
          <w:szCs w:val="24"/>
          <w:lang w:eastAsia="ru-RU"/>
        </w:rPr>
        <w:t xml:space="preserve"> cu economia în </w:t>
      </w:r>
      <w:r w:rsidR="00FD2D5D" w:rsidRPr="00FD2D5D">
        <w:rPr>
          <w:rFonts w:ascii="Times New Roman" w:eastAsia="Times New Roman" w:hAnsi="Times New Roman" w:cs="Times New Roman"/>
          <w:b/>
          <w:color w:val="000000"/>
          <w:sz w:val="24"/>
          <w:szCs w:val="24"/>
          <w:lang w:eastAsia="ru-RU"/>
        </w:rPr>
        <w:t>tranziție</w:t>
      </w:r>
      <w:r w:rsidRPr="00FD2D5D">
        <w:rPr>
          <w:rFonts w:ascii="Times New Roman" w:eastAsia="Times New Roman" w:hAnsi="Times New Roman" w:cs="Times New Roman"/>
          <w:b/>
          <w:color w:val="000000"/>
          <w:sz w:val="24"/>
          <w:szCs w:val="24"/>
          <w:lang w:eastAsia="ru-RU"/>
        </w:rPr>
        <w:t xml:space="preserve"> din Europa Centrală </w:t>
      </w:r>
      <w:r w:rsidR="00FD2D5D" w:rsidRPr="00FD2D5D">
        <w:rPr>
          <w:rFonts w:ascii="Times New Roman" w:eastAsia="Times New Roman" w:hAnsi="Times New Roman" w:cs="Times New Roman"/>
          <w:b/>
          <w:color w:val="000000"/>
          <w:sz w:val="24"/>
          <w:szCs w:val="24"/>
          <w:lang w:eastAsia="ru-RU"/>
        </w:rPr>
        <w:t>și</w:t>
      </w:r>
      <w:r w:rsidRPr="00FD2D5D">
        <w:rPr>
          <w:rFonts w:ascii="Times New Roman" w:eastAsia="Times New Roman" w:hAnsi="Times New Roman" w:cs="Times New Roman"/>
          <w:b/>
          <w:color w:val="000000"/>
          <w:sz w:val="24"/>
          <w:szCs w:val="24"/>
          <w:lang w:eastAsia="ru-RU"/>
        </w:rPr>
        <w:t xml:space="preserve"> de Est în perioada 1990-201</w:t>
      </w:r>
      <w:r w:rsidR="001625C3" w:rsidRPr="00FD2D5D">
        <w:rPr>
          <w:rFonts w:ascii="Times New Roman" w:eastAsia="Times New Roman" w:hAnsi="Times New Roman" w:cs="Times New Roman"/>
          <w:b/>
          <w:color w:val="000000"/>
          <w:sz w:val="24"/>
          <w:szCs w:val="24"/>
          <w:lang w:eastAsia="ru-RU"/>
        </w:rPr>
        <w:t>8</w:t>
      </w:r>
      <w:r w:rsidRPr="00FD2D5D">
        <w:rPr>
          <w:rFonts w:ascii="Times New Roman" w:eastAsia="Times New Roman" w:hAnsi="Times New Roman" w:cs="Times New Roman"/>
          <w:b/>
          <w:color w:val="000000"/>
          <w:sz w:val="24"/>
          <w:szCs w:val="24"/>
          <w:lang w:eastAsia="ru-RU"/>
        </w:rPr>
        <w:t>, kg CO</w:t>
      </w:r>
      <w:r w:rsidRPr="00FD2D5D">
        <w:rPr>
          <w:rFonts w:ascii="Times New Roman" w:eastAsia="Times New Roman" w:hAnsi="Times New Roman" w:cs="Times New Roman"/>
          <w:b/>
          <w:color w:val="000000"/>
          <w:sz w:val="24"/>
          <w:szCs w:val="24"/>
          <w:vertAlign w:val="subscript"/>
          <w:lang w:eastAsia="ru-RU"/>
        </w:rPr>
        <w:t>2</w:t>
      </w:r>
      <w:r w:rsidRPr="00FD2D5D">
        <w:rPr>
          <w:rFonts w:ascii="Times New Roman" w:eastAsia="Times New Roman" w:hAnsi="Times New Roman" w:cs="Times New Roman"/>
          <w:b/>
          <w:color w:val="000000"/>
          <w:sz w:val="24"/>
          <w:szCs w:val="24"/>
          <w:lang w:eastAsia="ru-RU"/>
        </w:rPr>
        <w:t xml:space="preserve">/dolari SUA </w:t>
      </w:r>
      <w:r w:rsidR="00340159" w:rsidRPr="00FD2D5D">
        <w:rPr>
          <w:rFonts w:ascii="Times New Roman" w:eastAsia="Times New Roman" w:hAnsi="Times New Roman" w:cs="Times New Roman"/>
          <w:b/>
          <w:color w:val="000000"/>
          <w:sz w:val="24"/>
          <w:szCs w:val="24"/>
          <w:lang w:eastAsia="ru-RU"/>
        </w:rPr>
        <w:t xml:space="preserve">din </w:t>
      </w:r>
      <w:r w:rsidRPr="00FD2D5D">
        <w:rPr>
          <w:rFonts w:ascii="Times New Roman" w:eastAsia="Times New Roman" w:hAnsi="Times New Roman" w:cs="Times New Roman"/>
          <w:b/>
          <w:color w:val="000000"/>
          <w:sz w:val="24"/>
          <w:szCs w:val="24"/>
          <w:shd w:val="clear" w:color="auto" w:fill="FFFFFF"/>
          <w:lang w:eastAsia="ru-RU"/>
        </w:rPr>
        <w:t>PIB</w:t>
      </w:r>
      <w:r w:rsidR="00340159" w:rsidRPr="00FD2D5D">
        <w:rPr>
          <w:rFonts w:ascii="Times New Roman" w:eastAsia="Times New Roman" w:hAnsi="Times New Roman" w:cs="Times New Roman"/>
          <w:b/>
          <w:color w:val="000000"/>
          <w:sz w:val="24"/>
          <w:szCs w:val="24"/>
          <w:shd w:val="clear" w:color="auto" w:fill="FFFFFF"/>
          <w:lang w:eastAsia="ru-RU"/>
        </w:rPr>
        <w:t xml:space="preserve">-ul </w:t>
      </w:r>
      <w:r w:rsidR="00FD2D5D" w:rsidRPr="00FD2D5D">
        <w:rPr>
          <w:rFonts w:ascii="Times New Roman" w:eastAsia="Times New Roman" w:hAnsi="Times New Roman" w:cs="Times New Roman"/>
          <w:b/>
          <w:color w:val="000000"/>
          <w:sz w:val="24"/>
          <w:szCs w:val="24"/>
          <w:shd w:val="clear" w:color="auto" w:fill="FFFFFF"/>
          <w:lang w:eastAsia="ru-RU"/>
        </w:rPr>
        <w:t>țării</w:t>
      </w:r>
    </w:p>
    <w:p w14:paraId="635DBDC8" w14:textId="24E8DF27" w:rsidR="006364B2" w:rsidRPr="00FD2D5D" w:rsidRDefault="006364B2" w:rsidP="006364B2">
      <w:pPr>
        <w:spacing w:after="0" w:line="240" w:lineRule="auto"/>
        <w:jc w:val="center"/>
        <w:rPr>
          <w:rFonts w:ascii="Times New Roman" w:eastAsia="Times New Roman" w:hAnsi="Times New Roman" w:cs="Times New Roman"/>
          <w:b/>
          <w:color w:val="000000"/>
          <w:sz w:val="24"/>
          <w:szCs w:val="24"/>
          <w:lang w:eastAsia="ru-RU"/>
        </w:rPr>
      </w:pPr>
      <w:r w:rsidRPr="00FD2D5D">
        <w:rPr>
          <w:rFonts w:ascii="Times New Roman" w:eastAsia="Times New Roman" w:hAnsi="Times New Roman" w:cs="Times New Roman"/>
          <w:b/>
          <w:color w:val="000000"/>
          <w:sz w:val="24"/>
          <w:szCs w:val="24"/>
          <w:lang w:eastAsia="ru-RU"/>
        </w:rPr>
        <w:t>actualiza</w:t>
      </w:r>
      <w:r w:rsidR="00F41100" w:rsidRPr="00FD2D5D">
        <w:rPr>
          <w:rFonts w:ascii="Times New Roman" w:eastAsia="Times New Roman" w:hAnsi="Times New Roman" w:cs="Times New Roman"/>
          <w:b/>
          <w:color w:val="000000"/>
          <w:sz w:val="24"/>
          <w:szCs w:val="24"/>
          <w:lang w:eastAsia="ru-RU"/>
        </w:rPr>
        <w:t>t</w:t>
      </w:r>
      <w:r w:rsidRPr="00FD2D5D">
        <w:rPr>
          <w:rFonts w:ascii="Times New Roman" w:eastAsia="Times New Roman" w:hAnsi="Times New Roman" w:cs="Times New Roman"/>
          <w:b/>
          <w:color w:val="000000"/>
          <w:sz w:val="24"/>
          <w:szCs w:val="24"/>
          <w:lang w:eastAsia="ru-RU"/>
        </w:rPr>
        <w:t xml:space="preserve"> la nivelul anului 20</w:t>
      </w:r>
      <w:r w:rsidR="001625C3" w:rsidRPr="00FD2D5D">
        <w:rPr>
          <w:rFonts w:ascii="Times New Roman" w:eastAsia="Times New Roman" w:hAnsi="Times New Roman" w:cs="Times New Roman"/>
          <w:b/>
          <w:color w:val="000000"/>
          <w:sz w:val="24"/>
          <w:szCs w:val="24"/>
          <w:lang w:eastAsia="ru-RU"/>
        </w:rPr>
        <w:t>1</w:t>
      </w:r>
      <w:r w:rsidRPr="00FD2D5D">
        <w:rPr>
          <w:rFonts w:ascii="Times New Roman" w:eastAsia="Times New Roman" w:hAnsi="Times New Roman" w:cs="Times New Roman"/>
          <w:b/>
          <w:color w:val="000000"/>
          <w:sz w:val="24"/>
          <w:szCs w:val="24"/>
          <w:lang w:eastAsia="ru-RU"/>
        </w:rPr>
        <w:t>5</w:t>
      </w:r>
    </w:p>
    <w:tbl>
      <w:tblPr>
        <w:tblW w:w="5000" w:type="pct"/>
        <w:tblLook w:val="04A0" w:firstRow="1" w:lastRow="0" w:firstColumn="1" w:lastColumn="0" w:noHBand="0" w:noVBand="1"/>
      </w:tblPr>
      <w:tblGrid>
        <w:gridCol w:w="2057"/>
        <w:gridCol w:w="883"/>
        <w:gridCol w:w="883"/>
        <w:gridCol w:w="883"/>
        <w:gridCol w:w="883"/>
        <w:gridCol w:w="883"/>
        <w:gridCol w:w="883"/>
        <w:gridCol w:w="883"/>
        <w:gridCol w:w="881"/>
      </w:tblGrid>
      <w:tr w:rsidR="001625C3" w:rsidRPr="00FD2D5D" w14:paraId="22FE3A3F" w14:textId="77777777" w:rsidTr="00403E3C">
        <w:trPr>
          <w:trHeight w:val="480"/>
        </w:trPr>
        <w:tc>
          <w:tcPr>
            <w:tcW w:w="1128" w:type="pct"/>
            <w:tcBorders>
              <w:top w:val="single" w:sz="4" w:space="0" w:color="auto"/>
              <w:left w:val="single" w:sz="4" w:space="0" w:color="auto"/>
              <w:bottom w:val="single" w:sz="4" w:space="0" w:color="auto"/>
              <w:right w:val="single" w:sz="4" w:space="0" w:color="auto"/>
            </w:tcBorders>
            <w:shd w:val="clear" w:color="000000" w:fill="5B9BD5"/>
            <w:vAlign w:val="center"/>
            <w:hideMark/>
          </w:tcPr>
          <w:p w14:paraId="294EB6ED" w14:textId="40D9AEE2" w:rsidR="001625C3" w:rsidRPr="00FD2D5D" w:rsidRDefault="00FD2D5D" w:rsidP="001F2F2D">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Țara</w:t>
            </w:r>
          </w:p>
        </w:tc>
        <w:tc>
          <w:tcPr>
            <w:tcW w:w="484" w:type="pct"/>
            <w:tcBorders>
              <w:top w:val="single" w:sz="4" w:space="0" w:color="auto"/>
              <w:left w:val="nil"/>
              <w:bottom w:val="single" w:sz="4" w:space="0" w:color="auto"/>
              <w:right w:val="single" w:sz="4" w:space="0" w:color="auto"/>
            </w:tcBorders>
            <w:shd w:val="clear" w:color="000000" w:fill="5B9BD5"/>
            <w:vAlign w:val="center"/>
            <w:hideMark/>
          </w:tcPr>
          <w:p w14:paraId="4BCC7C9C" w14:textId="77777777" w:rsidR="001625C3" w:rsidRPr="00FD2D5D" w:rsidRDefault="001625C3" w:rsidP="001625C3">
            <w:pPr>
              <w:spacing w:after="0" w:line="240" w:lineRule="auto"/>
              <w:jc w:val="center"/>
              <w:rPr>
                <w:rFonts w:ascii="Times New Roman" w:eastAsia="Times New Roman" w:hAnsi="Times New Roman" w:cs="Times New Roman"/>
                <w:b/>
                <w:bCs/>
                <w:color w:val="FFFFFF"/>
                <w:sz w:val="18"/>
                <w:szCs w:val="18"/>
                <w:lang w:eastAsia="ro-RO"/>
              </w:rPr>
            </w:pPr>
            <w:r w:rsidRPr="00FD2D5D">
              <w:rPr>
                <w:rFonts w:ascii="Times New Roman" w:eastAsia="Times New Roman" w:hAnsi="Times New Roman" w:cs="Times New Roman"/>
                <w:b/>
                <w:bCs/>
                <w:color w:val="FFFFFF"/>
                <w:sz w:val="18"/>
                <w:szCs w:val="18"/>
                <w:lang w:eastAsia="ro-RO"/>
              </w:rPr>
              <w:t>1990</w:t>
            </w:r>
          </w:p>
        </w:tc>
        <w:tc>
          <w:tcPr>
            <w:tcW w:w="484" w:type="pct"/>
            <w:tcBorders>
              <w:top w:val="single" w:sz="4" w:space="0" w:color="auto"/>
              <w:left w:val="nil"/>
              <w:bottom w:val="single" w:sz="4" w:space="0" w:color="auto"/>
              <w:right w:val="single" w:sz="4" w:space="0" w:color="auto"/>
            </w:tcBorders>
            <w:shd w:val="clear" w:color="000000" w:fill="5B9BD5"/>
            <w:vAlign w:val="center"/>
            <w:hideMark/>
          </w:tcPr>
          <w:p w14:paraId="7ED556B1" w14:textId="77777777" w:rsidR="001625C3" w:rsidRPr="00FD2D5D" w:rsidRDefault="001625C3" w:rsidP="001625C3">
            <w:pPr>
              <w:spacing w:after="0" w:line="240" w:lineRule="auto"/>
              <w:jc w:val="center"/>
              <w:rPr>
                <w:rFonts w:ascii="Times New Roman" w:eastAsia="Times New Roman" w:hAnsi="Times New Roman" w:cs="Times New Roman"/>
                <w:b/>
                <w:bCs/>
                <w:color w:val="FFFFFF"/>
                <w:sz w:val="18"/>
                <w:szCs w:val="18"/>
                <w:lang w:eastAsia="ro-RO"/>
              </w:rPr>
            </w:pPr>
            <w:r w:rsidRPr="00FD2D5D">
              <w:rPr>
                <w:rFonts w:ascii="Times New Roman" w:eastAsia="Times New Roman" w:hAnsi="Times New Roman" w:cs="Times New Roman"/>
                <w:b/>
                <w:bCs/>
                <w:color w:val="FFFFFF"/>
                <w:sz w:val="18"/>
                <w:szCs w:val="18"/>
                <w:lang w:eastAsia="ro-RO"/>
              </w:rPr>
              <w:t>1995</w:t>
            </w:r>
          </w:p>
        </w:tc>
        <w:tc>
          <w:tcPr>
            <w:tcW w:w="484" w:type="pct"/>
            <w:tcBorders>
              <w:top w:val="single" w:sz="4" w:space="0" w:color="auto"/>
              <w:left w:val="nil"/>
              <w:bottom w:val="single" w:sz="4" w:space="0" w:color="auto"/>
              <w:right w:val="single" w:sz="4" w:space="0" w:color="auto"/>
            </w:tcBorders>
            <w:shd w:val="clear" w:color="000000" w:fill="5B9BD5"/>
            <w:vAlign w:val="center"/>
            <w:hideMark/>
          </w:tcPr>
          <w:p w14:paraId="596BC553" w14:textId="77777777" w:rsidR="001625C3" w:rsidRPr="00FD2D5D" w:rsidRDefault="001625C3" w:rsidP="001625C3">
            <w:pPr>
              <w:spacing w:after="0" w:line="240" w:lineRule="auto"/>
              <w:jc w:val="center"/>
              <w:rPr>
                <w:rFonts w:ascii="Times New Roman" w:eastAsia="Times New Roman" w:hAnsi="Times New Roman" w:cs="Times New Roman"/>
                <w:b/>
                <w:bCs/>
                <w:color w:val="FFFFFF"/>
                <w:sz w:val="18"/>
                <w:szCs w:val="18"/>
                <w:lang w:eastAsia="ro-RO"/>
              </w:rPr>
            </w:pPr>
            <w:r w:rsidRPr="00FD2D5D">
              <w:rPr>
                <w:rFonts w:ascii="Times New Roman" w:eastAsia="Times New Roman" w:hAnsi="Times New Roman" w:cs="Times New Roman"/>
                <w:b/>
                <w:bCs/>
                <w:color w:val="FFFFFF"/>
                <w:sz w:val="18"/>
                <w:szCs w:val="18"/>
                <w:lang w:eastAsia="ro-RO"/>
              </w:rPr>
              <w:t>2000</w:t>
            </w:r>
          </w:p>
        </w:tc>
        <w:tc>
          <w:tcPr>
            <w:tcW w:w="484" w:type="pct"/>
            <w:tcBorders>
              <w:top w:val="single" w:sz="4" w:space="0" w:color="auto"/>
              <w:left w:val="nil"/>
              <w:bottom w:val="single" w:sz="4" w:space="0" w:color="auto"/>
              <w:right w:val="single" w:sz="4" w:space="0" w:color="auto"/>
            </w:tcBorders>
            <w:shd w:val="clear" w:color="000000" w:fill="5B9BD5"/>
            <w:vAlign w:val="center"/>
            <w:hideMark/>
          </w:tcPr>
          <w:p w14:paraId="167DF944" w14:textId="77777777" w:rsidR="001625C3" w:rsidRPr="00FD2D5D" w:rsidRDefault="001625C3" w:rsidP="001625C3">
            <w:pPr>
              <w:spacing w:after="0" w:line="240" w:lineRule="auto"/>
              <w:jc w:val="center"/>
              <w:rPr>
                <w:rFonts w:ascii="Times New Roman" w:eastAsia="Times New Roman" w:hAnsi="Times New Roman" w:cs="Times New Roman"/>
                <w:b/>
                <w:bCs/>
                <w:color w:val="FFFFFF"/>
                <w:sz w:val="18"/>
                <w:szCs w:val="18"/>
                <w:lang w:eastAsia="ro-RO"/>
              </w:rPr>
            </w:pPr>
            <w:r w:rsidRPr="00FD2D5D">
              <w:rPr>
                <w:rFonts w:ascii="Times New Roman" w:eastAsia="Times New Roman" w:hAnsi="Times New Roman" w:cs="Times New Roman"/>
                <w:b/>
                <w:bCs/>
                <w:color w:val="FFFFFF"/>
                <w:sz w:val="18"/>
                <w:szCs w:val="18"/>
                <w:lang w:eastAsia="ro-RO"/>
              </w:rPr>
              <w:t>2005</w:t>
            </w:r>
          </w:p>
        </w:tc>
        <w:tc>
          <w:tcPr>
            <w:tcW w:w="484" w:type="pct"/>
            <w:tcBorders>
              <w:top w:val="single" w:sz="4" w:space="0" w:color="auto"/>
              <w:left w:val="nil"/>
              <w:bottom w:val="single" w:sz="4" w:space="0" w:color="auto"/>
              <w:right w:val="single" w:sz="4" w:space="0" w:color="auto"/>
            </w:tcBorders>
            <w:shd w:val="clear" w:color="000000" w:fill="5B9BD5"/>
            <w:vAlign w:val="center"/>
            <w:hideMark/>
          </w:tcPr>
          <w:p w14:paraId="79D05FB2" w14:textId="77777777" w:rsidR="001625C3" w:rsidRPr="00FD2D5D" w:rsidRDefault="001625C3" w:rsidP="001625C3">
            <w:pPr>
              <w:spacing w:after="0" w:line="240" w:lineRule="auto"/>
              <w:jc w:val="center"/>
              <w:rPr>
                <w:rFonts w:ascii="Times New Roman" w:eastAsia="Times New Roman" w:hAnsi="Times New Roman" w:cs="Times New Roman"/>
                <w:b/>
                <w:bCs/>
                <w:color w:val="FFFFFF"/>
                <w:sz w:val="18"/>
                <w:szCs w:val="18"/>
                <w:lang w:eastAsia="ro-RO"/>
              </w:rPr>
            </w:pPr>
            <w:r w:rsidRPr="00FD2D5D">
              <w:rPr>
                <w:rFonts w:ascii="Times New Roman" w:eastAsia="Times New Roman" w:hAnsi="Times New Roman" w:cs="Times New Roman"/>
                <w:b/>
                <w:bCs/>
                <w:color w:val="FFFFFF"/>
                <w:sz w:val="18"/>
                <w:szCs w:val="18"/>
                <w:lang w:eastAsia="ro-RO"/>
              </w:rPr>
              <w:t>2010</w:t>
            </w:r>
          </w:p>
        </w:tc>
        <w:tc>
          <w:tcPr>
            <w:tcW w:w="484" w:type="pct"/>
            <w:tcBorders>
              <w:top w:val="single" w:sz="4" w:space="0" w:color="auto"/>
              <w:left w:val="nil"/>
              <w:bottom w:val="single" w:sz="4" w:space="0" w:color="auto"/>
              <w:right w:val="single" w:sz="4" w:space="0" w:color="auto"/>
            </w:tcBorders>
            <w:shd w:val="clear" w:color="000000" w:fill="5B9BD5"/>
            <w:vAlign w:val="center"/>
            <w:hideMark/>
          </w:tcPr>
          <w:p w14:paraId="49F42022" w14:textId="77777777" w:rsidR="001625C3" w:rsidRPr="00FD2D5D" w:rsidRDefault="001625C3" w:rsidP="001625C3">
            <w:pPr>
              <w:spacing w:after="0" w:line="240" w:lineRule="auto"/>
              <w:jc w:val="center"/>
              <w:rPr>
                <w:rFonts w:ascii="Times New Roman" w:eastAsia="Times New Roman" w:hAnsi="Times New Roman" w:cs="Times New Roman"/>
                <w:b/>
                <w:bCs/>
                <w:color w:val="FFFFFF"/>
                <w:sz w:val="18"/>
                <w:szCs w:val="18"/>
                <w:lang w:eastAsia="ro-RO"/>
              </w:rPr>
            </w:pPr>
            <w:r w:rsidRPr="00FD2D5D">
              <w:rPr>
                <w:rFonts w:ascii="Times New Roman" w:eastAsia="Times New Roman" w:hAnsi="Times New Roman" w:cs="Times New Roman"/>
                <w:b/>
                <w:bCs/>
                <w:color w:val="FFFFFF"/>
                <w:sz w:val="18"/>
                <w:szCs w:val="18"/>
                <w:lang w:eastAsia="ro-RO"/>
              </w:rPr>
              <w:t>2015</w:t>
            </w:r>
          </w:p>
        </w:tc>
        <w:tc>
          <w:tcPr>
            <w:tcW w:w="484" w:type="pct"/>
            <w:tcBorders>
              <w:top w:val="single" w:sz="4" w:space="0" w:color="auto"/>
              <w:left w:val="nil"/>
              <w:bottom w:val="single" w:sz="4" w:space="0" w:color="auto"/>
              <w:right w:val="single" w:sz="4" w:space="0" w:color="auto"/>
            </w:tcBorders>
            <w:shd w:val="clear" w:color="000000" w:fill="5B9BD5"/>
            <w:vAlign w:val="center"/>
            <w:hideMark/>
          </w:tcPr>
          <w:p w14:paraId="3581848E" w14:textId="77777777" w:rsidR="001625C3" w:rsidRPr="00FD2D5D" w:rsidRDefault="001625C3" w:rsidP="001625C3">
            <w:pPr>
              <w:spacing w:after="0" w:line="240" w:lineRule="auto"/>
              <w:jc w:val="center"/>
              <w:rPr>
                <w:rFonts w:ascii="Times New Roman" w:eastAsia="Times New Roman" w:hAnsi="Times New Roman" w:cs="Times New Roman"/>
                <w:b/>
                <w:bCs/>
                <w:color w:val="FFFFFF"/>
                <w:sz w:val="18"/>
                <w:szCs w:val="18"/>
                <w:lang w:eastAsia="ro-RO"/>
              </w:rPr>
            </w:pPr>
            <w:r w:rsidRPr="00FD2D5D">
              <w:rPr>
                <w:rFonts w:ascii="Times New Roman" w:eastAsia="Times New Roman" w:hAnsi="Times New Roman" w:cs="Times New Roman"/>
                <w:b/>
                <w:bCs/>
                <w:color w:val="FFFFFF"/>
                <w:sz w:val="18"/>
                <w:szCs w:val="18"/>
                <w:lang w:eastAsia="ro-RO"/>
              </w:rPr>
              <w:t>2018</w:t>
            </w:r>
          </w:p>
        </w:tc>
        <w:tc>
          <w:tcPr>
            <w:tcW w:w="483" w:type="pct"/>
            <w:tcBorders>
              <w:top w:val="single" w:sz="4" w:space="0" w:color="auto"/>
              <w:left w:val="nil"/>
              <w:bottom w:val="single" w:sz="4" w:space="0" w:color="auto"/>
              <w:right w:val="single" w:sz="4" w:space="0" w:color="auto"/>
            </w:tcBorders>
            <w:shd w:val="clear" w:color="000000" w:fill="5B9BD5"/>
            <w:vAlign w:val="center"/>
            <w:hideMark/>
          </w:tcPr>
          <w:p w14:paraId="44C70B03" w14:textId="77777777" w:rsidR="001625C3" w:rsidRPr="00FD2D5D" w:rsidRDefault="001625C3" w:rsidP="001625C3">
            <w:pPr>
              <w:spacing w:after="0" w:line="240" w:lineRule="auto"/>
              <w:jc w:val="center"/>
              <w:rPr>
                <w:rFonts w:ascii="Times New Roman" w:eastAsia="Times New Roman" w:hAnsi="Times New Roman" w:cs="Times New Roman"/>
                <w:b/>
                <w:bCs/>
                <w:color w:val="FFFFFF"/>
                <w:sz w:val="18"/>
                <w:szCs w:val="18"/>
                <w:lang w:eastAsia="ro-RO"/>
              </w:rPr>
            </w:pPr>
            <w:r w:rsidRPr="00FD2D5D">
              <w:rPr>
                <w:rFonts w:ascii="Times New Roman" w:eastAsia="Times New Roman" w:hAnsi="Times New Roman" w:cs="Times New Roman"/>
                <w:b/>
                <w:bCs/>
                <w:color w:val="FFFFFF"/>
                <w:sz w:val="18"/>
                <w:szCs w:val="18"/>
                <w:lang w:eastAsia="ro-RO"/>
              </w:rPr>
              <w:t>1990-2018, %</w:t>
            </w:r>
          </w:p>
        </w:tc>
      </w:tr>
      <w:tr w:rsidR="001625C3" w:rsidRPr="00FD2D5D" w14:paraId="2CFD4C01" w14:textId="77777777" w:rsidTr="00803311">
        <w:trPr>
          <w:trHeight w:val="300"/>
        </w:trPr>
        <w:tc>
          <w:tcPr>
            <w:tcW w:w="1128" w:type="pct"/>
            <w:tcBorders>
              <w:top w:val="nil"/>
              <w:left w:val="single" w:sz="4" w:space="0" w:color="auto"/>
              <w:bottom w:val="single" w:sz="4" w:space="0" w:color="auto"/>
              <w:right w:val="single" w:sz="4" w:space="0" w:color="auto"/>
            </w:tcBorders>
            <w:shd w:val="clear" w:color="auto" w:fill="auto"/>
            <w:vAlign w:val="center"/>
            <w:hideMark/>
          </w:tcPr>
          <w:p w14:paraId="0E0D59A8" w14:textId="77777777" w:rsidR="001625C3" w:rsidRPr="00FD2D5D" w:rsidRDefault="001625C3" w:rsidP="001625C3">
            <w:pPr>
              <w:spacing w:after="0" w:line="240" w:lineRule="auto"/>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Albania</w:t>
            </w:r>
          </w:p>
        </w:tc>
        <w:tc>
          <w:tcPr>
            <w:tcW w:w="484" w:type="pct"/>
            <w:tcBorders>
              <w:top w:val="nil"/>
              <w:left w:val="nil"/>
              <w:bottom w:val="single" w:sz="4" w:space="0" w:color="auto"/>
              <w:right w:val="single" w:sz="4" w:space="0" w:color="auto"/>
            </w:tcBorders>
            <w:shd w:val="clear" w:color="auto" w:fill="auto"/>
            <w:noWrap/>
            <w:vAlign w:val="center"/>
            <w:hideMark/>
          </w:tcPr>
          <w:p w14:paraId="3135428C" w14:textId="47F89DA3"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1</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07</w:t>
            </w:r>
          </w:p>
        </w:tc>
        <w:tc>
          <w:tcPr>
            <w:tcW w:w="484" w:type="pct"/>
            <w:tcBorders>
              <w:top w:val="nil"/>
              <w:left w:val="nil"/>
              <w:bottom w:val="single" w:sz="4" w:space="0" w:color="auto"/>
              <w:right w:val="single" w:sz="4" w:space="0" w:color="auto"/>
            </w:tcBorders>
            <w:shd w:val="clear" w:color="auto" w:fill="auto"/>
            <w:noWrap/>
            <w:vAlign w:val="center"/>
            <w:hideMark/>
          </w:tcPr>
          <w:p w14:paraId="6346B765" w14:textId="339B9F9A"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39</w:t>
            </w:r>
          </w:p>
        </w:tc>
        <w:tc>
          <w:tcPr>
            <w:tcW w:w="484" w:type="pct"/>
            <w:tcBorders>
              <w:top w:val="nil"/>
              <w:left w:val="nil"/>
              <w:bottom w:val="single" w:sz="4" w:space="0" w:color="auto"/>
              <w:right w:val="single" w:sz="4" w:space="0" w:color="auto"/>
            </w:tcBorders>
            <w:shd w:val="clear" w:color="auto" w:fill="auto"/>
            <w:noWrap/>
            <w:vAlign w:val="center"/>
            <w:hideMark/>
          </w:tcPr>
          <w:p w14:paraId="2AF682EC" w14:textId="53B18674"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51</w:t>
            </w:r>
          </w:p>
        </w:tc>
        <w:tc>
          <w:tcPr>
            <w:tcW w:w="484" w:type="pct"/>
            <w:tcBorders>
              <w:top w:val="nil"/>
              <w:left w:val="nil"/>
              <w:bottom w:val="single" w:sz="4" w:space="0" w:color="auto"/>
              <w:right w:val="single" w:sz="4" w:space="0" w:color="auto"/>
            </w:tcBorders>
            <w:shd w:val="clear" w:color="auto" w:fill="auto"/>
            <w:noWrap/>
            <w:vAlign w:val="center"/>
            <w:hideMark/>
          </w:tcPr>
          <w:p w14:paraId="4E095A6C" w14:textId="3450FC0F"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47</w:t>
            </w:r>
          </w:p>
        </w:tc>
        <w:tc>
          <w:tcPr>
            <w:tcW w:w="484" w:type="pct"/>
            <w:tcBorders>
              <w:top w:val="nil"/>
              <w:left w:val="nil"/>
              <w:bottom w:val="single" w:sz="4" w:space="0" w:color="auto"/>
              <w:right w:val="single" w:sz="4" w:space="0" w:color="auto"/>
            </w:tcBorders>
            <w:shd w:val="clear" w:color="auto" w:fill="auto"/>
            <w:noWrap/>
            <w:vAlign w:val="center"/>
            <w:hideMark/>
          </w:tcPr>
          <w:p w14:paraId="57DEAE09" w14:textId="10338AD1"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38</w:t>
            </w:r>
          </w:p>
        </w:tc>
        <w:tc>
          <w:tcPr>
            <w:tcW w:w="484" w:type="pct"/>
            <w:tcBorders>
              <w:top w:val="nil"/>
              <w:left w:val="nil"/>
              <w:bottom w:val="single" w:sz="4" w:space="0" w:color="auto"/>
              <w:right w:val="single" w:sz="4" w:space="0" w:color="auto"/>
            </w:tcBorders>
            <w:shd w:val="clear" w:color="auto" w:fill="auto"/>
            <w:noWrap/>
            <w:vAlign w:val="center"/>
            <w:hideMark/>
          </w:tcPr>
          <w:p w14:paraId="14C77014" w14:textId="3CB5FD29"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34</w:t>
            </w:r>
          </w:p>
        </w:tc>
        <w:tc>
          <w:tcPr>
            <w:tcW w:w="484" w:type="pct"/>
            <w:tcBorders>
              <w:top w:val="nil"/>
              <w:left w:val="nil"/>
              <w:bottom w:val="single" w:sz="4" w:space="0" w:color="auto"/>
              <w:right w:val="single" w:sz="4" w:space="0" w:color="auto"/>
            </w:tcBorders>
            <w:shd w:val="clear" w:color="auto" w:fill="auto"/>
            <w:noWrap/>
            <w:vAlign w:val="center"/>
            <w:hideMark/>
          </w:tcPr>
          <w:p w14:paraId="42237CD1" w14:textId="0D671DDA"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34</w:t>
            </w:r>
          </w:p>
        </w:tc>
        <w:tc>
          <w:tcPr>
            <w:tcW w:w="483" w:type="pct"/>
            <w:tcBorders>
              <w:top w:val="nil"/>
              <w:left w:val="nil"/>
              <w:bottom w:val="single" w:sz="4" w:space="0" w:color="auto"/>
              <w:right w:val="single" w:sz="4" w:space="0" w:color="auto"/>
            </w:tcBorders>
            <w:shd w:val="clear" w:color="auto" w:fill="auto"/>
            <w:vAlign w:val="center"/>
            <w:hideMark/>
          </w:tcPr>
          <w:p w14:paraId="667837B0" w14:textId="077D5456"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68</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2</w:t>
            </w:r>
            <w:r w:rsidR="00214ED2" w:rsidRPr="00FD2D5D">
              <w:rPr>
                <w:rFonts w:ascii="Times New Roman" w:eastAsia="Times New Roman" w:hAnsi="Times New Roman" w:cs="Times New Roman"/>
                <w:color w:val="000000"/>
                <w:sz w:val="18"/>
                <w:szCs w:val="18"/>
                <w:lang w:eastAsia="ro-RO"/>
              </w:rPr>
              <w:t>0</w:t>
            </w:r>
          </w:p>
        </w:tc>
      </w:tr>
      <w:tr w:rsidR="001625C3" w:rsidRPr="00FD2D5D" w14:paraId="38EC9D5D" w14:textId="77777777" w:rsidTr="00803311">
        <w:trPr>
          <w:trHeight w:val="300"/>
        </w:trPr>
        <w:tc>
          <w:tcPr>
            <w:tcW w:w="1128" w:type="pct"/>
            <w:tcBorders>
              <w:top w:val="nil"/>
              <w:left w:val="single" w:sz="4" w:space="0" w:color="auto"/>
              <w:bottom w:val="single" w:sz="4" w:space="0" w:color="auto"/>
              <w:right w:val="single" w:sz="4" w:space="0" w:color="auto"/>
            </w:tcBorders>
            <w:shd w:val="clear" w:color="auto" w:fill="auto"/>
            <w:vAlign w:val="center"/>
            <w:hideMark/>
          </w:tcPr>
          <w:p w14:paraId="0C599FE1" w14:textId="77777777" w:rsidR="001625C3" w:rsidRPr="00FD2D5D" w:rsidRDefault="001625C3" w:rsidP="001625C3">
            <w:pPr>
              <w:spacing w:after="0" w:line="240" w:lineRule="auto"/>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Armenia</w:t>
            </w:r>
          </w:p>
        </w:tc>
        <w:tc>
          <w:tcPr>
            <w:tcW w:w="484" w:type="pct"/>
            <w:tcBorders>
              <w:top w:val="nil"/>
              <w:left w:val="nil"/>
              <w:bottom w:val="single" w:sz="4" w:space="0" w:color="auto"/>
              <w:right w:val="single" w:sz="4" w:space="0" w:color="auto"/>
            </w:tcBorders>
            <w:shd w:val="clear" w:color="auto" w:fill="auto"/>
            <w:noWrap/>
            <w:vAlign w:val="center"/>
            <w:hideMark/>
          </w:tcPr>
          <w:p w14:paraId="65572239" w14:textId="205DB0AA"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3</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4</w:t>
            </w:r>
            <w:r w:rsidR="00214ED2" w:rsidRPr="00FD2D5D">
              <w:rPr>
                <w:rFonts w:ascii="Times New Roman" w:eastAsia="Times New Roman" w:hAnsi="Times New Roman" w:cs="Times New Roman"/>
                <w:color w:val="000000"/>
                <w:sz w:val="18"/>
                <w:szCs w:val="18"/>
                <w:lang w:eastAsia="ro-RO"/>
              </w:rPr>
              <w:t>0</w:t>
            </w:r>
          </w:p>
        </w:tc>
        <w:tc>
          <w:tcPr>
            <w:tcW w:w="484" w:type="pct"/>
            <w:tcBorders>
              <w:top w:val="nil"/>
              <w:left w:val="nil"/>
              <w:bottom w:val="single" w:sz="4" w:space="0" w:color="auto"/>
              <w:right w:val="single" w:sz="4" w:space="0" w:color="auto"/>
            </w:tcBorders>
            <w:shd w:val="clear" w:color="auto" w:fill="auto"/>
            <w:noWrap/>
            <w:vAlign w:val="center"/>
            <w:hideMark/>
          </w:tcPr>
          <w:p w14:paraId="5AC8DA58" w14:textId="3F91B51B"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1</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09</w:t>
            </w:r>
          </w:p>
        </w:tc>
        <w:tc>
          <w:tcPr>
            <w:tcW w:w="484" w:type="pct"/>
            <w:tcBorders>
              <w:top w:val="nil"/>
              <w:left w:val="nil"/>
              <w:bottom w:val="single" w:sz="4" w:space="0" w:color="auto"/>
              <w:right w:val="single" w:sz="4" w:space="0" w:color="auto"/>
            </w:tcBorders>
            <w:shd w:val="clear" w:color="auto" w:fill="auto"/>
            <w:noWrap/>
            <w:vAlign w:val="center"/>
            <w:hideMark/>
          </w:tcPr>
          <w:p w14:paraId="666D428D" w14:textId="78FBA3B9"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86</w:t>
            </w:r>
          </w:p>
        </w:tc>
        <w:tc>
          <w:tcPr>
            <w:tcW w:w="484" w:type="pct"/>
            <w:tcBorders>
              <w:top w:val="nil"/>
              <w:left w:val="nil"/>
              <w:bottom w:val="single" w:sz="4" w:space="0" w:color="auto"/>
              <w:right w:val="single" w:sz="4" w:space="0" w:color="auto"/>
            </w:tcBorders>
            <w:shd w:val="clear" w:color="auto" w:fill="auto"/>
            <w:noWrap/>
            <w:vAlign w:val="center"/>
            <w:hideMark/>
          </w:tcPr>
          <w:p w14:paraId="089EFA3C" w14:textId="66E016F6"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59</w:t>
            </w:r>
          </w:p>
        </w:tc>
        <w:tc>
          <w:tcPr>
            <w:tcW w:w="484" w:type="pct"/>
            <w:tcBorders>
              <w:top w:val="nil"/>
              <w:left w:val="nil"/>
              <w:bottom w:val="single" w:sz="4" w:space="0" w:color="auto"/>
              <w:right w:val="single" w:sz="4" w:space="0" w:color="auto"/>
            </w:tcBorders>
            <w:shd w:val="clear" w:color="auto" w:fill="auto"/>
            <w:noWrap/>
            <w:vAlign w:val="center"/>
            <w:hideMark/>
          </w:tcPr>
          <w:p w14:paraId="55F28F8F" w14:textId="7F2F9065"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48</w:t>
            </w:r>
          </w:p>
        </w:tc>
        <w:tc>
          <w:tcPr>
            <w:tcW w:w="484" w:type="pct"/>
            <w:tcBorders>
              <w:top w:val="nil"/>
              <w:left w:val="nil"/>
              <w:bottom w:val="single" w:sz="4" w:space="0" w:color="auto"/>
              <w:right w:val="single" w:sz="4" w:space="0" w:color="auto"/>
            </w:tcBorders>
            <w:shd w:val="clear" w:color="auto" w:fill="auto"/>
            <w:noWrap/>
            <w:vAlign w:val="center"/>
            <w:hideMark/>
          </w:tcPr>
          <w:p w14:paraId="557A50E4" w14:textId="09C57C42"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48</w:t>
            </w:r>
          </w:p>
        </w:tc>
        <w:tc>
          <w:tcPr>
            <w:tcW w:w="484" w:type="pct"/>
            <w:tcBorders>
              <w:top w:val="nil"/>
              <w:left w:val="nil"/>
              <w:bottom w:val="single" w:sz="4" w:space="0" w:color="auto"/>
              <w:right w:val="single" w:sz="4" w:space="0" w:color="auto"/>
            </w:tcBorders>
            <w:shd w:val="clear" w:color="auto" w:fill="auto"/>
            <w:noWrap/>
            <w:vAlign w:val="center"/>
            <w:hideMark/>
          </w:tcPr>
          <w:p w14:paraId="507E22E7" w14:textId="480719F2"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45</w:t>
            </w:r>
          </w:p>
        </w:tc>
        <w:tc>
          <w:tcPr>
            <w:tcW w:w="483" w:type="pct"/>
            <w:tcBorders>
              <w:top w:val="nil"/>
              <w:left w:val="nil"/>
              <w:bottom w:val="single" w:sz="4" w:space="0" w:color="auto"/>
              <w:right w:val="single" w:sz="4" w:space="0" w:color="auto"/>
            </w:tcBorders>
            <w:shd w:val="clear" w:color="auto" w:fill="auto"/>
            <w:vAlign w:val="center"/>
            <w:hideMark/>
          </w:tcPr>
          <w:p w14:paraId="120DDD39" w14:textId="6E19097B"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86</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8</w:t>
            </w:r>
            <w:r w:rsidR="00214ED2" w:rsidRPr="00FD2D5D">
              <w:rPr>
                <w:rFonts w:ascii="Times New Roman" w:eastAsia="Times New Roman" w:hAnsi="Times New Roman" w:cs="Times New Roman"/>
                <w:color w:val="000000"/>
                <w:sz w:val="18"/>
                <w:szCs w:val="18"/>
                <w:lang w:eastAsia="ro-RO"/>
              </w:rPr>
              <w:t>0</w:t>
            </w:r>
          </w:p>
        </w:tc>
      </w:tr>
      <w:tr w:rsidR="001625C3" w:rsidRPr="00FD2D5D" w14:paraId="6A4223CD" w14:textId="77777777" w:rsidTr="00803311">
        <w:trPr>
          <w:trHeight w:val="300"/>
        </w:trPr>
        <w:tc>
          <w:tcPr>
            <w:tcW w:w="1128" w:type="pct"/>
            <w:tcBorders>
              <w:top w:val="nil"/>
              <w:left w:val="single" w:sz="4" w:space="0" w:color="auto"/>
              <w:bottom w:val="single" w:sz="4" w:space="0" w:color="auto"/>
              <w:right w:val="single" w:sz="4" w:space="0" w:color="auto"/>
            </w:tcBorders>
            <w:shd w:val="clear" w:color="auto" w:fill="auto"/>
            <w:vAlign w:val="center"/>
            <w:hideMark/>
          </w:tcPr>
          <w:p w14:paraId="685DC177" w14:textId="77777777" w:rsidR="001625C3" w:rsidRPr="00FD2D5D" w:rsidRDefault="001625C3" w:rsidP="001625C3">
            <w:pPr>
              <w:spacing w:after="0" w:line="240" w:lineRule="auto"/>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Azerbaidjan</w:t>
            </w:r>
          </w:p>
        </w:tc>
        <w:tc>
          <w:tcPr>
            <w:tcW w:w="484" w:type="pct"/>
            <w:tcBorders>
              <w:top w:val="nil"/>
              <w:left w:val="nil"/>
              <w:bottom w:val="single" w:sz="4" w:space="0" w:color="auto"/>
              <w:right w:val="single" w:sz="4" w:space="0" w:color="auto"/>
            </w:tcBorders>
            <w:shd w:val="clear" w:color="auto" w:fill="auto"/>
            <w:noWrap/>
            <w:vAlign w:val="center"/>
            <w:hideMark/>
          </w:tcPr>
          <w:p w14:paraId="6FD3D369" w14:textId="7F52A3AA"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2</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6</w:t>
            </w:r>
            <w:r w:rsidR="00214ED2" w:rsidRPr="00FD2D5D">
              <w:rPr>
                <w:rFonts w:ascii="Times New Roman" w:eastAsia="Times New Roman" w:hAnsi="Times New Roman" w:cs="Times New Roman"/>
                <w:color w:val="000000"/>
                <w:sz w:val="18"/>
                <w:szCs w:val="18"/>
                <w:lang w:eastAsia="ro-RO"/>
              </w:rPr>
              <w:t>0</w:t>
            </w:r>
          </w:p>
        </w:tc>
        <w:tc>
          <w:tcPr>
            <w:tcW w:w="484" w:type="pct"/>
            <w:tcBorders>
              <w:top w:val="nil"/>
              <w:left w:val="nil"/>
              <w:bottom w:val="single" w:sz="4" w:space="0" w:color="auto"/>
              <w:right w:val="single" w:sz="4" w:space="0" w:color="auto"/>
            </w:tcBorders>
            <w:shd w:val="clear" w:color="auto" w:fill="auto"/>
            <w:noWrap/>
            <w:vAlign w:val="center"/>
            <w:hideMark/>
          </w:tcPr>
          <w:p w14:paraId="2C62538A" w14:textId="35969CD3"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3</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76</w:t>
            </w:r>
          </w:p>
        </w:tc>
        <w:tc>
          <w:tcPr>
            <w:tcW w:w="484" w:type="pct"/>
            <w:tcBorders>
              <w:top w:val="nil"/>
              <w:left w:val="nil"/>
              <w:bottom w:val="single" w:sz="4" w:space="0" w:color="auto"/>
              <w:right w:val="single" w:sz="4" w:space="0" w:color="auto"/>
            </w:tcBorders>
            <w:shd w:val="clear" w:color="auto" w:fill="auto"/>
            <w:noWrap/>
            <w:vAlign w:val="center"/>
            <w:hideMark/>
          </w:tcPr>
          <w:p w14:paraId="532B9A4A" w14:textId="3D5E3D9E"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2</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25</w:t>
            </w:r>
          </w:p>
        </w:tc>
        <w:tc>
          <w:tcPr>
            <w:tcW w:w="484" w:type="pct"/>
            <w:tcBorders>
              <w:top w:val="nil"/>
              <w:left w:val="nil"/>
              <w:bottom w:val="single" w:sz="4" w:space="0" w:color="auto"/>
              <w:right w:val="single" w:sz="4" w:space="0" w:color="auto"/>
            </w:tcBorders>
            <w:shd w:val="clear" w:color="auto" w:fill="auto"/>
            <w:noWrap/>
            <w:vAlign w:val="center"/>
            <w:hideMark/>
          </w:tcPr>
          <w:p w14:paraId="4ACAFBD3" w14:textId="276EF137"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1</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29</w:t>
            </w:r>
          </w:p>
        </w:tc>
        <w:tc>
          <w:tcPr>
            <w:tcW w:w="484" w:type="pct"/>
            <w:tcBorders>
              <w:top w:val="nil"/>
              <w:left w:val="nil"/>
              <w:bottom w:val="single" w:sz="4" w:space="0" w:color="auto"/>
              <w:right w:val="single" w:sz="4" w:space="0" w:color="auto"/>
            </w:tcBorders>
            <w:shd w:val="clear" w:color="auto" w:fill="auto"/>
            <w:noWrap/>
            <w:vAlign w:val="center"/>
            <w:hideMark/>
          </w:tcPr>
          <w:p w14:paraId="682B998D" w14:textId="3D11C2F3"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49</w:t>
            </w:r>
          </w:p>
        </w:tc>
        <w:tc>
          <w:tcPr>
            <w:tcW w:w="484" w:type="pct"/>
            <w:tcBorders>
              <w:top w:val="nil"/>
              <w:left w:val="nil"/>
              <w:bottom w:val="single" w:sz="4" w:space="0" w:color="auto"/>
              <w:right w:val="single" w:sz="4" w:space="0" w:color="auto"/>
            </w:tcBorders>
            <w:shd w:val="clear" w:color="auto" w:fill="auto"/>
            <w:noWrap/>
            <w:vAlign w:val="center"/>
            <w:hideMark/>
          </w:tcPr>
          <w:p w14:paraId="6BAEB67F" w14:textId="1790E9B7"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58</w:t>
            </w:r>
          </w:p>
        </w:tc>
        <w:tc>
          <w:tcPr>
            <w:tcW w:w="484" w:type="pct"/>
            <w:tcBorders>
              <w:top w:val="nil"/>
              <w:left w:val="nil"/>
              <w:bottom w:val="single" w:sz="4" w:space="0" w:color="auto"/>
              <w:right w:val="single" w:sz="4" w:space="0" w:color="auto"/>
            </w:tcBorders>
            <w:shd w:val="clear" w:color="auto" w:fill="auto"/>
            <w:noWrap/>
            <w:vAlign w:val="center"/>
            <w:hideMark/>
          </w:tcPr>
          <w:p w14:paraId="289C2524" w14:textId="4089C3EB"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59</w:t>
            </w:r>
          </w:p>
        </w:tc>
        <w:tc>
          <w:tcPr>
            <w:tcW w:w="483" w:type="pct"/>
            <w:tcBorders>
              <w:top w:val="nil"/>
              <w:left w:val="nil"/>
              <w:bottom w:val="single" w:sz="4" w:space="0" w:color="auto"/>
              <w:right w:val="single" w:sz="4" w:space="0" w:color="auto"/>
            </w:tcBorders>
            <w:shd w:val="clear" w:color="auto" w:fill="auto"/>
            <w:vAlign w:val="center"/>
            <w:hideMark/>
          </w:tcPr>
          <w:p w14:paraId="0949AB6D" w14:textId="518DB443"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77</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3</w:t>
            </w:r>
            <w:r w:rsidR="00214ED2" w:rsidRPr="00FD2D5D">
              <w:rPr>
                <w:rFonts w:ascii="Times New Roman" w:eastAsia="Times New Roman" w:hAnsi="Times New Roman" w:cs="Times New Roman"/>
                <w:color w:val="000000"/>
                <w:sz w:val="18"/>
                <w:szCs w:val="18"/>
                <w:lang w:eastAsia="ro-RO"/>
              </w:rPr>
              <w:t>0</w:t>
            </w:r>
          </w:p>
        </w:tc>
      </w:tr>
      <w:tr w:rsidR="001625C3" w:rsidRPr="00FD2D5D" w14:paraId="63A8F247" w14:textId="77777777" w:rsidTr="00803311">
        <w:trPr>
          <w:trHeight w:val="300"/>
        </w:trPr>
        <w:tc>
          <w:tcPr>
            <w:tcW w:w="1128" w:type="pct"/>
            <w:tcBorders>
              <w:top w:val="nil"/>
              <w:left w:val="single" w:sz="4" w:space="0" w:color="auto"/>
              <w:bottom w:val="single" w:sz="4" w:space="0" w:color="auto"/>
              <w:right w:val="single" w:sz="4" w:space="0" w:color="auto"/>
            </w:tcBorders>
            <w:shd w:val="clear" w:color="auto" w:fill="auto"/>
            <w:vAlign w:val="center"/>
            <w:hideMark/>
          </w:tcPr>
          <w:p w14:paraId="066459F3" w14:textId="77777777" w:rsidR="001625C3" w:rsidRPr="00FD2D5D" w:rsidRDefault="001625C3" w:rsidP="001625C3">
            <w:pPr>
              <w:spacing w:after="0" w:line="240" w:lineRule="auto"/>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Belarus</w:t>
            </w:r>
          </w:p>
        </w:tc>
        <w:tc>
          <w:tcPr>
            <w:tcW w:w="484" w:type="pct"/>
            <w:tcBorders>
              <w:top w:val="nil"/>
              <w:left w:val="nil"/>
              <w:bottom w:val="single" w:sz="4" w:space="0" w:color="auto"/>
              <w:right w:val="single" w:sz="4" w:space="0" w:color="auto"/>
            </w:tcBorders>
            <w:shd w:val="clear" w:color="auto" w:fill="auto"/>
            <w:noWrap/>
            <w:vAlign w:val="center"/>
            <w:hideMark/>
          </w:tcPr>
          <w:p w14:paraId="52DB7706" w14:textId="2797A386"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3</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39</w:t>
            </w:r>
          </w:p>
        </w:tc>
        <w:tc>
          <w:tcPr>
            <w:tcW w:w="484" w:type="pct"/>
            <w:tcBorders>
              <w:top w:val="nil"/>
              <w:left w:val="nil"/>
              <w:bottom w:val="single" w:sz="4" w:space="0" w:color="auto"/>
              <w:right w:val="single" w:sz="4" w:space="0" w:color="auto"/>
            </w:tcBorders>
            <w:shd w:val="clear" w:color="auto" w:fill="auto"/>
            <w:noWrap/>
            <w:vAlign w:val="center"/>
            <w:hideMark/>
          </w:tcPr>
          <w:p w14:paraId="4872006A" w14:textId="7CF9F1B4"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2</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96</w:t>
            </w:r>
          </w:p>
        </w:tc>
        <w:tc>
          <w:tcPr>
            <w:tcW w:w="484" w:type="pct"/>
            <w:tcBorders>
              <w:top w:val="nil"/>
              <w:left w:val="nil"/>
              <w:bottom w:val="single" w:sz="4" w:space="0" w:color="auto"/>
              <w:right w:val="single" w:sz="4" w:space="0" w:color="auto"/>
            </w:tcBorders>
            <w:shd w:val="clear" w:color="auto" w:fill="auto"/>
            <w:noWrap/>
            <w:vAlign w:val="center"/>
            <w:hideMark/>
          </w:tcPr>
          <w:p w14:paraId="5886B72D" w14:textId="76A8F47D"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2</w:t>
            </w:r>
            <w:r w:rsidR="00214ED2" w:rsidRPr="00FD2D5D">
              <w:rPr>
                <w:rFonts w:ascii="Times New Roman" w:eastAsia="Times New Roman" w:hAnsi="Times New Roman" w:cs="Times New Roman"/>
                <w:color w:val="000000"/>
                <w:sz w:val="18"/>
                <w:szCs w:val="18"/>
                <w:lang w:eastAsia="ro-RO"/>
              </w:rPr>
              <w:t>,00</w:t>
            </w:r>
          </w:p>
        </w:tc>
        <w:tc>
          <w:tcPr>
            <w:tcW w:w="484" w:type="pct"/>
            <w:tcBorders>
              <w:top w:val="nil"/>
              <w:left w:val="nil"/>
              <w:bottom w:val="single" w:sz="4" w:space="0" w:color="auto"/>
              <w:right w:val="single" w:sz="4" w:space="0" w:color="auto"/>
            </w:tcBorders>
            <w:shd w:val="clear" w:color="auto" w:fill="auto"/>
            <w:noWrap/>
            <w:vAlign w:val="center"/>
            <w:hideMark/>
          </w:tcPr>
          <w:p w14:paraId="432E1CED" w14:textId="5EC17BD8"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1</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47</w:t>
            </w:r>
          </w:p>
        </w:tc>
        <w:tc>
          <w:tcPr>
            <w:tcW w:w="484" w:type="pct"/>
            <w:tcBorders>
              <w:top w:val="nil"/>
              <w:left w:val="nil"/>
              <w:bottom w:val="single" w:sz="4" w:space="0" w:color="auto"/>
              <w:right w:val="single" w:sz="4" w:space="0" w:color="auto"/>
            </w:tcBorders>
            <w:shd w:val="clear" w:color="auto" w:fill="auto"/>
            <w:noWrap/>
            <w:vAlign w:val="center"/>
            <w:hideMark/>
          </w:tcPr>
          <w:p w14:paraId="5B18994C" w14:textId="3329F7E6"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1</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12</w:t>
            </w:r>
          </w:p>
        </w:tc>
        <w:tc>
          <w:tcPr>
            <w:tcW w:w="484" w:type="pct"/>
            <w:tcBorders>
              <w:top w:val="nil"/>
              <w:left w:val="nil"/>
              <w:bottom w:val="single" w:sz="4" w:space="0" w:color="auto"/>
              <w:right w:val="single" w:sz="4" w:space="0" w:color="auto"/>
            </w:tcBorders>
            <w:shd w:val="clear" w:color="auto" w:fill="auto"/>
            <w:noWrap/>
            <w:vAlign w:val="center"/>
            <w:hideMark/>
          </w:tcPr>
          <w:p w14:paraId="59BDD359" w14:textId="702D810B"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93</w:t>
            </w:r>
          </w:p>
        </w:tc>
        <w:tc>
          <w:tcPr>
            <w:tcW w:w="484" w:type="pct"/>
            <w:tcBorders>
              <w:top w:val="nil"/>
              <w:left w:val="nil"/>
              <w:bottom w:val="single" w:sz="4" w:space="0" w:color="auto"/>
              <w:right w:val="single" w:sz="4" w:space="0" w:color="auto"/>
            </w:tcBorders>
            <w:shd w:val="clear" w:color="auto" w:fill="auto"/>
            <w:noWrap/>
            <w:vAlign w:val="center"/>
            <w:hideMark/>
          </w:tcPr>
          <w:p w14:paraId="6261D5E5" w14:textId="0621D75E"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98</w:t>
            </w:r>
          </w:p>
        </w:tc>
        <w:tc>
          <w:tcPr>
            <w:tcW w:w="483" w:type="pct"/>
            <w:tcBorders>
              <w:top w:val="nil"/>
              <w:left w:val="nil"/>
              <w:bottom w:val="single" w:sz="4" w:space="0" w:color="auto"/>
              <w:right w:val="single" w:sz="4" w:space="0" w:color="auto"/>
            </w:tcBorders>
            <w:shd w:val="clear" w:color="auto" w:fill="auto"/>
            <w:vAlign w:val="center"/>
            <w:hideMark/>
          </w:tcPr>
          <w:p w14:paraId="5E57A6DA" w14:textId="44493C7D"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71</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1</w:t>
            </w:r>
            <w:r w:rsidR="00214ED2" w:rsidRPr="00FD2D5D">
              <w:rPr>
                <w:rFonts w:ascii="Times New Roman" w:eastAsia="Times New Roman" w:hAnsi="Times New Roman" w:cs="Times New Roman"/>
                <w:color w:val="000000"/>
                <w:sz w:val="18"/>
                <w:szCs w:val="18"/>
                <w:lang w:eastAsia="ro-RO"/>
              </w:rPr>
              <w:t>0</w:t>
            </w:r>
          </w:p>
        </w:tc>
      </w:tr>
      <w:tr w:rsidR="001625C3" w:rsidRPr="00FD2D5D" w14:paraId="0F44203F" w14:textId="77777777" w:rsidTr="00803311">
        <w:trPr>
          <w:trHeight w:val="300"/>
        </w:trPr>
        <w:tc>
          <w:tcPr>
            <w:tcW w:w="1128" w:type="pct"/>
            <w:tcBorders>
              <w:top w:val="nil"/>
              <w:left w:val="single" w:sz="4" w:space="0" w:color="auto"/>
              <w:bottom w:val="single" w:sz="4" w:space="0" w:color="auto"/>
              <w:right w:val="single" w:sz="4" w:space="0" w:color="auto"/>
            </w:tcBorders>
            <w:shd w:val="clear" w:color="auto" w:fill="auto"/>
            <w:vAlign w:val="center"/>
            <w:hideMark/>
          </w:tcPr>
          <w:p w14:paraId="63637C03" w14:textId="16DD4A3B" w:rsidR="001625C3" w:rsidRPr="00FD2D5D" w:rsidRDefault="001625C3" w:rsidP="001625C3">
            <w:pPr>
              <w:spacing w:after="0" w:line="240" w:lineRule="auto"/>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 xml:space="preserve">Bosnia </w:t>
            </w:r>
            <w:r w:rsidR="00FD2D5D" w:rsidRPr="00FD2D5D">
              <w:rPr>
                <w:rFonts w:ascii="Times New Roman" w:eastAsia="Times New Roman" w:hAnsi="Times New Roman" w:cs="Times New Roman"/>
                <w:color w:val="000000"/>
                <w:sz w:val="18"/>
                <w:szCs w:val="18"/>
                <w:lang w:eastAsia="ro-RO"/>
              </w:rPr>
              <w:t>și</w:t>
            </w:r>
            <w:r w:rsidRPr="00FD2D5D">
              <w:rPr>
                <w:rFonts w:ascii="Times New Roman" w:eastAsia="Times New Roman" w:hAnsi="Times New Roman" w:cs="Times New Roman"/>
                <w:color w:val="000000"/>
                <w:sz w:val="18"/>
                <w:szCs w:val="18"/>
                <w:lang w:eastAsia="ro-RO"/>
              </w:rPr>
              <w:t xml:space="preserve"> </w:t>
            </w:r>
            <w:r w:rsidR="00FD2D5D" w:rsidRPr="00FD2D5D">
              <w:rPr>
                <w:rFonts w:ascii="Times New Roman" w:eastAsia="Times New Roman" w:hAnsi="Times New Roman" w:cs="Times New Roman"/>
                <w:color w:val="000000"/>
                <w:sz w:val="18"/>
                <w:szCs w:val="18"/>
                <w:lang w:eastAsia="ro-RO"/>
              </w:rPr>
              <w:t>Herțegovina</w:t>
            </w:r>
          </w:p>
        </w:tc>
        <w:tc>
          <w:tcPr>
            <w:tcW w:w="484" w:type="pct"/>
            <w:tcBorders>
              <w:top w:val="nil"/>
              <w:left w:val="nil"/>
              <w:bottom w:val="single" w:sz="4" w:space="0" w:color="auto"/>
              <w:right w:val="single" w:sz="4" w:space="0" w:color="auto"/>
            </w:tcBorders>
            <w:shd w:val="clear" w:color="auto" w:fill="auto"/>
            <w:noWrap/>
            <w:vAlign w:val="center"/>
            <w:hideMark/>
          </w:tcPr>
          <w:p w14:paraId="7A996058" w14:textId="7F5D53E2"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7</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99</w:t>
            </w:r>
          </w:p>
        </w:tc>
        <w:tc>
          <w:tcPr>
            <w:tcW w:w="484" w:type="pct"/>
            <w:tcBorders>
              <w:top w:val="nil"/>
              <w:left w:val="nil"/>
              <w:bottom w:val="single" w:sz="4" w:space="0" w:color="auto"/>
              <w:right w:val="single" w:sz="4" w:space="0" w:color="auto"/>
            </w:tcBorders>
            <w:shd w:val="clear" w:color="auto" w:fill="auto"/>
            <w:noWrap/>
            <w:vAlign w:val="center"/>
            <w:hideMark/>
          </w:tcPr>
          <w:p w14:paraId="69120754" w14:textId="42B1BDBE"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1</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11</w:t>
            </w:r>
          </w:p>
        </w:tc>
        <w:tc>
          <w:tcPr>
            <w:tcW w:w="484" w:type="pct"/>
            <w:tcBorders>
              <w:top w:val="nil"/>
              <w:left w:val="nil"/>
              <w:bottom w:val="single" w:sz="4" w:space="0" w:color="auto"/>
              <w:right w:val="single" w:sz="4" w:space="0" w:color="auto"/>
            </w:tcBorders>
            <w:shd w:val="clear" w:color="auto" w:fill="auto"/>
            <w:noWrap/>
            <w:vAlign w:val="center"/>
            <w:hideMark/>
          </w:tcPr>
          <w:p w14:paraId="73B008FD" w14:textId="33E6454C"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1</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37</w:t>
            </w:r>
          </w:p>
        </w:tc>
        <w:tc>
          <w:tcPr>
            <w:tcW w:w="484" w:type="pct"/>
            <w:tcBorders>
              <w:top w:val="nil"/>
              <w:left w:val="nil"/>
              <w:bottom w:val="single" w:sz="4" w:space="0" w:color="auto"/>
              <w:right w:val="single" w:sz="4" w:space="0" w:color="auto"/>
            </w:tcBorders>
            <w:shd w:val="clear" w:color="auto" w:fill="auto"/>
            <w:noWrap/>
            <w:vAlign w:val="center"/>
            <w:hideMark/>
          </w:tcPr>
          <w:p w14:paraId="4355CC31" w14:textId="454F1FA2"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1</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2</w:t>
            </w:r>
            <w:r w:rsidR="00214ED2" w:rsidRPr="00FD2D5D">
              <w:rPr>
                <w:rFonts w:ascii="Times New Roman" w:eastAsia="Times New Roman" w:hAnsi="Times New Roman" w:cs="Times New Roman"/>
                <w:color w:val="000000"/>
                <w:sz w:val="18"/>
                <w:szCs w:val="18"/>
                <w:lang w:eastAsia="ro-RO"/>
              </w:rPr>
              <w:t>0</w:t>
            </w:r>
          </w:p>
        </w:tc>
        <w:tc>
          <w:tcPr>
            <w:tcW w:w="484" w:type="pct"/>
            <w:tcBorders>
              <w:top w:val="nil"/>
              <w:left w:val="nil"/>
              <w:bottom w:val="single" w:sz="4" w:space="0" w:color="auto"/>
              <w:right w:val="single" w:sz="4" w:space="0" w:color="auto"/>
            </w:tcBorders>
            <w:shd w:val="clear" w:color="auto" w:fill="auto"/>
            <w:noWrap/>
            <w:vAlign w:val="center"/>
            <w:hideMark/>
          </w:tcPr>
          <w:p w14:paraId="4D875E6C" w14:textId="0D069E31"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1</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35</w:t>
            </w:r>
          </w:p>
        </w:tc>
        <w:tc>
          <w:tcPr>
            <w:tcW w:w="484" w:type="pct"/>
            <w:tcBorders>
              <w:top w:val="nil"/>
              <w:left w:val="nil"/>
              <w:bottom w:val="single" w:sz="4" w:space="0" w:color="auto"/>
              <w:right w:val="single" w:sz="4" w:space="0" w:color="auto"/>
            </w:tcBorders>
            <w:shd w:val="clear" w:color="auto" w:fill="auto"/>
            <w:noWrap/>
            <w:vAlign w:val="center"/>
            <w:hideMark/>
          </w:tcPr>
          <w:p w14:paraId="5D3E4148" w14:textId="68A5F04D"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1</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19</w:t>
            </w:r>
          </w:p>
        </w:tc>
        <w:tc>
          <w:tcPr>
            <w:tcW w:w="484" w:type="pct"/>
            <w:tcBorders>
              <w:top w:val="nil"/>
              <w:left w:val="nil"/>
              <w:bottom w:val="single" w:sz="4" w:space="0" w:color="auto"/>
              <w:right w:val="single" w:sz="4" w:space="0" w:color="auto"/>
            </w:tcBorders>
            <w:shd w:val="clear" w:color="auto" w:fill="auto"/>
            <w:noWrap/>
            <w:vAlign w:val="center"/>
            <w:hideMark/>
          </w:tcPr>
          <w:p w14:paraId="385B3E26" w14:textId="50F9644A"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1</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26</w:t>
            </w:r>
          </w:p>
        </w:tc>
        <w:tc>
          <w:tcPr>
            <w:tcW w:w="483" w:type="pct"/>
            <w:tcBorders>
              <w:top w:val="nil"/>
              <w:left w:val="nil"/>
              <w:bottom w:val="single" w:sz="4" w:space="0" w:color="auto"/>
              <w:right w:val="single" w:sz="4" w:space="0" w:color="auto"/>
            </w:tcBorders>
            <w:shd w:val="clear" w:color="auto" w:fill="auto"/>
            <w:vAlign w:val="center"/>
            <w:hideMark/>
          </w:tcPr>
          <w:p w14:paraId="1F6C0D3A" w14:textId="48A2728F"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84</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2</w:t>
            </w:r>
            <w:r w:rsidR="00214ED2" w:rsidRPr="00FD2D5D">
              <w:rPr>
                <w:rFonts w:ascii="Times New Roman" w:eastAsia="Times New Roman" w:hAnsi="Times New Roman" w:cs="Times New Roman"/>
                <w:color w:val="000000"/>
                <w:sz w:val="18"/>
                <w:szCs w:val="18"/>
                <w:lang w:eastAsia="ro-RO"/>
              </w:rPr>
              <w:t>0</w:t>
            </w:r>
          </w:p>
        </w:tc>
      </w:tr>
      <w:tr w:rsidR="001625C3" w:rsidRPr="00FD2D5D" w14:paraId="69F7D17A" w14:textId="77777777" w:rsidTr="00803311">
        <w:trPr>
          <w:trHeight w:val="300"/>
        </w:trPr>
        <w:tc>
          <w:tcPr>
            <w:tcW w:w="1128" w:type="pct"/>
            <w:tcBorders>
              <w:top w:val="nil"/>
              <w:left w:val="single" w:sz="4" w:space="0" w:color="auto"/>
              <w:bottom w:val="single" w:sz="4" w:space="0" w:color="auto"/>
              <w:right w:val="single" w:sz="4" w:space="0" w:color="auto"/>
            </w:tcBorders>
            <w:shd w:val="clear" w:color="auto" w:fill="auto"/>
            <w:vAlign w:val="center"/>
            <w:hideMark/>
          </w:tcPr>
          <w:p w14:paraId="4395D0E0" w14:textId="77777777" w:rsidR="001625C3" w:rsidRPr="00FD2D5D" w:rsidRDefault="001625C3" w:rsidP="001625C3">
            <w:pPr>
              <w:spacing w:after="0" w:line="240" w:lineRule="auto"/>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Bulgaria</w:t>
            </w:r>
          </w:p>
        </w:tc>
        <w:tc>
          <w:tcPr>
            <w:tcW w:w="484" w:type="pct"/>
            <w:tcBorders>
              <w:top w:val="nil"/>
              <w:left w:val="nil"/>
              <w:bottom w:val="single" w:sz="4" w:space="0" w:color="auto"/>
              <w:right w:val="single" w:sz="4" w:space="0" w:color="auto"/>
            </w:tcBorders>
            <w:shd w:val="clear" w:color="auto" w:fill="auto"/>
            <w:noWrap/>
            <w:vAlign w:val="center"/>
            <w:hideMark/>
          </w:tcPr>
          <w:p w14:paraId="657AFFDC" w14:textId="197C1A76"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2</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14</w:t>
            </w:r>
          </w:p>
        </w:tc>
        <w:tc>
          <w:tcPr>
            <w:tcW w:w="484" w:type="pct"/>
            <w:tcBorders>
              <w:top w:val="nil"/>
              <w:left w:val="nil"/>
              <w:bottom w:val="single" w:sz="4" w:space="0" w:color="auto"/>
              <w:right w:val="single" w:sz="4" w:space="0" w:color="auto"/>
            </w:tcBorders>
            <w:shd w:val="clear" w:color="auto" w:fill="auto"/>
            <w:noWrap/>
            <w:vAlign w:val="center"/>
            <w:hideMark/>
          </w:tcPr>
          <w:p w14:paraId="3AB676A2" w14:textId="00B9557B"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1</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81</w:t>
            </w:r>
          </w:p>
        </w:tc>
        <w:tc>
          <w:tcPr>
            <w:tcW w:w="484" w:type="pct"/>
            <w:tcBorders>
              <w:top w:val="nil"/>
              <w:left w:val="nil"/>
              <w:bottom w:val="single" w:sz="4" w:space="0" w:color="auto"/>
              <w:right w:val="single" w:sz="4" w:space="0" w:color="auto"/>
            </w:tcBorders>
            <w:shd w:val="clear" w:color="auto" w:fill="auto"/>
            <w:noWrap/>
            <w:vAlign w:val="center"/>
            <w:hideMark/>
          </w:tcPr>
          <w:p w14:paraId="04F20B48" w14:textId="622C4AAA"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1</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42</w:t>
            </w:r>
          </w:p>
        </w:tc>
        <w:tc>
          <w:tcPr>
            <w:tcW w:w="484" w:type="pct"/>
            <w:tcBorders>
              <w:top w:val="nil"/>
              <w:left w:val="nil"/>
              <w:bottom w:val="single" w:sz="4" w:space="0" w:color="auto"/>
              <w:right w:val="single" w:sz="4" w:space="0" w:color="auto"/>
            </w:tcBorders>
            <w:shd w:val="clear" w:color="auto" w:fill="auto"/>
            <w:noWrap/>
            <w:vAlign w:val="center"/>
            <w:hideMark/>
          </w:tcPr>
          <w:p w14:paraId="54A7883F" w14:textId="286AA1FE"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1</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18</w:t>
            </w:r>
          </w:p>
        </w:tc>
        <w:tc>
          <w:tcPr>
            <w:tcW w:w="484" w:type="pct"/>
            <w:tcBorders>
              <w:top w:val="nil"/>
              <w:left w:val="nil"/>
              <w:bottom w:val="single" w:sz="4" w:space="0" w:color="auto"/>
              <w:right w:val="single" w:sz="4" w:space="0" w:color="auto"/>
            </w:tcBorders>
            <w:shd w:val="clear" w:color="auto" w:fill="auto"/>
            <w:noWrap/>
            <w:vAlign w:val="center"/>
            <w:hideMark/>
          </w:tcPr>
          <w:p w14:paraId="3A22B07B" w14:textId="1E071F0A"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95</w:t>
            </w:r>
          </w:p>
        </w:tc>
        <w:tc>
          <w:tcPr>
            <w:tcW w:w="484" w:type="pct"/>
            <w:tcBorders>
              <w:top w:val="nil"/>
              <w:left w:val="nil"/>
              <w:bottom w:val="single" w:sz="4" w:space="0" w:color="auto"/>
              <w:right w:val="single" w:sz="4" w:space="0" w:color="auto"/>
            </w:tcBorders>
            <w:shd w:val="clear" w:color="auto" w:fill="auto"/>
            <w:noWrap/>
            <w:vAlign w:val="center"/>
            <w:hideMark/>
          </w:tcPr>
          <w:p w14:paraId="5FD91F1F" w14:textId="022617C3"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87</w:t>
            </w:r>
          </w:p>
        </w:tc>
        <w:tc>
          <w:tcPr>
            <w:tcW w:w="484" w:type="pct"/>
            <w:tcBorders>
              <w:top w:val="nil"/>
              <w:left w:val="nil"/>
              <w:bottom w:val="single" w:sz="4" w:space="0" w:color="auto"/>
              <w:right w:val="single" w:sz="4" w:space="0" w:color="auto"/>
            </w:tcBorders>
            <w:shd w:val="clear" w:color="auto" w:fill="auto"/>
            <w:noWrap/>
            <w:vAlign w:val="center"/>
            <w:hideMark/>
          </w:tcPr>
          <w:p w14:paraId="278BCA32" w14:textId="27FFD9F8"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71</w:t>
            </w:r>
          </w:p>
        </w:tc>
        <w:tc>
          <w:tcPr>
            <w:tcW w:w="483" w:type="pct"/>
            <w:tcBorders>
              <w:top w:val="nil"/>
              <w:left w:val="nil"/>
              <w:bottom w:val="single" w:sz="4" w:space="0" w:color="auto"/>
              <w:right w:val="single" w:sz="4" w:space="0" w:color="auto"/>
            </w:tcBorders>
            <w:shd w:val="clear" w:color="auto" w:fill="auto"/>
            <w:vAlign w:val="center"/>
            <w:hideMark/>
          </w:tcPr>
          <w:p w14:paraId="38D8A327" w14:textId="1B11A80D"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66</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8</w:t>
            </w:r>
            <w:r w:rsidR="00214ED2" w:rsidRPr="00FD2D5D">
              <w:rPr>
                <w:rFonts w:ascii="Times New Roman" w:eastAsia="Times New Roman" w:hAnsi="Times New Roman" w:cs="Times New Roman"/>
                <w:color w:val="000000"/>
                <w:sz w:val="18"/>
                <w:szCs w:val="18"/>
                <w:lang w:eastAsia="ro-RO"/>
              </w:rPr>
              <w:t>0</w:t>
            </w:r>
          </w:p>
        </w:tc>
      </w:tr>
      <w:tr w:rsidR="001625C3" w:rsidRPr="00FD2D5D" w14:paraId="57B396BA" w14:textId="77777777" w:rsidTr="00803311">
        <w:trPr>
          <w:trHeight w:val="300"/>
        </w:trPr>
        <w:tc>
          <w:tcPr>
            <w:tcW w:w="1128" w:type="pct"/>
            <w:tcBorders>
              <w:top w:val="nil"/>
              <w:left w:val="single" w:sz="4" w:space="0" w:color="auto"/>
              <w:bottom w:val="single" w:sz="4" w:space="0" w:color="auto"/>
              <w:right w:val="single" w:sz="4" w:space="0" w:color="auto"/>
            </w:tcBorders>
            <w:shd w:val="clear" w:color="auto" w:fill="auto"/>
            <w:vAlign w:val="center"/>
            <w:hideMark/>
          </w:tcPr>
          <w:p w14:paraId="632C2C01" w14:textId="30021FBF" w:rsidR="001625C3" w:rsidRPr="00FD2D5D" w:rsidRDefault="00FD2D5D" w:rsidP="001625C3">
            <w:pPr>
              <w:spacing w:after="0" w:line="240" w:lineRule="auto"/>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Croația</w:t>
            </w:r>
          </w:p>
        </w:tc>
        <w:tc>
          <w:tcPr>
            <w:tcW w:w="484" w:type="pct"/>
            <w:tcBorders>
              <w:top w:val="nil"/>
              <w:left w:val="nil"/>
              <w:bottom w:val="single" w:sz="4" w:space="0" w:color="auto"/>
              <w:right w:val="single" w:sz="4" w:space="0" w:color="auto"/>
            </w:tcBorders>
            <w:shd w:val="clear" w:color="auto" w:fill="auto"/>
            <w:noWrap/>
            <w:vAlign w:val="center"/>
            <w:hideMark/>
          </w:tcPr>
          <w:p w14:paraId="30A117C7" w14:textId="3A2CA32A"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51</w:t>
            </w:r>
          </w:p>
        </w:tc>
        <w:tc>
          <w:tcPr>
            <w:tcW w:w="484" w:type="pct"/>
            <w:tcBorders>
              <w:top w:val="nil"/>
              <w:left w:val="nil"/>
              <w:bottom w:val="single" w:sz="4" w:space="0" w:color="auto"/>
              <w:right w:val="single" w:sz="4" w:space="0" w:color="auto"/>
            </w:tcBorders>
            <w:shd w:val="clear" w:color="auto" w:fill="auto"/>
            <w:noWrap/>
            <w:vAlign w:val="center"/>
            <w:hideMark/>
          </w:tcPr>
          <w:p w14:paraId="2F19F8F9" w14:textId="08547C4E"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45</w:t>
            </w:r>
          </w:p>
        </w:tc>
        <w:tc>
          <w:tcPr>
            <w:tcW w:w="484" w:type="pct"/>
            <w:tcBorders>
              <w:top w:val="nil"/>
              <w:left w:val="nil"/>
              <w:bottom w:val="single" w:sz="4" w:space="0" w:color="auto"/>
              <w:right w:val="single" w:sz="4" w:space="0" w:color="auto"/>
            </w:tcBorders>
            <w:shd w:val="clear" w:color="auto" w:fill="auto"/>
            <w:noWrap/>
            <w:vAlign w:val="center"/>
            <w:hideMark/>
          </w:tcPr>
          <w:p w14:paraId="12712D78" w14:textId="01CEB6E4"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43</w:t>
            </w:r>
          </w:p>
        </w:tc>
        <w:tc>
          <w:tcPr>
            <w:tcW w:w="484" w:type="pct"/>
            <w:tcBorders>
              <w:top w:val="nil"/>
              <w:left w:val="nil"/>
              <w:bottom w:val="single" w:sz="4" w:space="0" w:color="auto"/>
              <w:right w:val="single" w:sz="4" w:space="0" w:color="auto"/>
            </w:tcBorders>
            <w:shd w:val="clear" w:color="auto" w:fill="auto"/>
            <w:noWrap/>
            <w:vAlign w:val="center"/>
            <w:hideMark/>
          </w:tcPr>
          <w:p w14:paraId="1AEA133D" w14:textId="415C5268"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41</w:t>
            </w:r>
          </w:p>
        </w:tc>
        <w:tc>
          <w:tcPr>
            <w:tcW w:w="484" w:type="pct"/>
            <w:tcBorders>
              <w:top w:val="nil"/>
              <w:left w:val="nil"/>
              <w:bottom w:val="single" w:sz="4" w:space="0" w:color="auto"/>
              <w:right w:val="single" w:sz="4" w:space="0" w:color="auto"/>
            </w:tcBorders>
            <w:shd w:val="clear" w:color="auto" w:fill="auto"/>
            <w:noWrap/>
            <w:vAlign w:val="center"/>
            <w:hideMark/>
          </w:tcPr>
          <w:p w14:paraId="20F0B8F2" w14:textId="565DCA65"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37</w:t>
            </w:r>
          </w:p>
        </w:tc>
        <w:tc>
          <w:tcPr>
            <w:tcW w:w="484" w:type="pct"/>
            <w:tcBorders>
              <w:top w:val="nil"/>
              <w:left w:val="nil"/>
              <w:bottom w:val="single" w:sz="4" w:space="0" w:color="auto"/>
              <w:right w:val="single" w:sz="4" w:space="0" w:color="auto"/>
            </w:tcBorders>
            <w:shd w:val="clear" w:color="auto" w:fill="auto"/>
            <w:noWrap/>
            <w:vAlign w:val="center"/>
            <w:hideMark/>
          </w:tcPr>
          <w:p w14:paraId="4DF3CEB7" w14:textId="63506CD9"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31</w:t>
            </w:r>
          </w:p>
        </w:tc>
        <w:tc>
          <w:tcPr>
            <w:tcW w:w="484" w:type="pct"/>
            <w:tcBorders>
              <w:top w:val="nil"/>
              <w:left w:val="nil"/>
              <w:bottom w:val="single" w:sz="4" w:space="0" w:color="auto"/>
              <w:right w:val="single" w:sz="4" w:space="0" w:color="auto"/>
            </w:tcBorders>
            <w:shd w:val="clear" w:color="auto" w:fill="auto"/>
            <w:noWrap/>
            <w:vAlign w:val="center"/>
            <w:hideMark/>
          </w:tcPr>
          <w:p w14:paraId="1D4E222B" w14:textId="25E6799B"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28</w:t>
            </w:r>
          </w:p>
        </w:tc>
        <w:tc>
          <w:tcPr>
            <w:tcW w:w="483" w:type="pct"/>
            <w:tcBorders>
              <w:top w:val="nil"/>
              <w:left w:val="nil"/>
              <w:bottom w:val="single" w:sz="4" w:space="0" w:color="auto"/>
              <w:right w:val="single" w:sz="4" w:space="0" w:color="auto"/>
            </w:tcBorders>
            <w:shd w:val="clear" w:color="auto" w:fill="auto"/>
            <w:vAlign w:val="center"/>
            <w:hideMark/>
          </w:tcPr>
          <w:p w14:paraId="59817D5F" w14:textId="0F68B4DF"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45</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1</w:t>
            </w:r>
            <w:r w:rsidR="00214ED2" w:rsidRPr="00FD2D5D">
              <w:rPr>
                <w:rFonts w:ascii="Times New Roman" w:eastAsia="Times New Roman" w:hAnsi="Times New Roman" w:cs="Times New Roman"/>
                <w:color w:val="000000"/>
                <w:sz w:val="18"/>
                <w:szCs w:val="18"/>
                <w:lang w:eastAsia="ro-RO"/>
              </w:rPr>
              <w:t>0</w:t>
            </w:r>
          </w:p>
        </w:tc>
      </w:tr>
      <w:tr w:rsidR="001625C3" w:rsidRPr="00FD2D5D" w14:paraId="27D8FB56" w14:textId="77777777" w:rsidTr="00803311">
        <w:trPr>
          <w:trHeight w:val="300"/>
        </w:trPr>
        <w:tc>
          <w:tcPr>
            <w:tcW w:w="1128" w:type="pct"/>
            <w:tcBorders>
              <w:top w:val="nil"/>
              <w:left w:val="single" w:sz="4" w:space="0" w:color="auto"/>
              <w:bottom w:val="single" w:sz="4" w:space="0" w:color="auto"/>
              <w:right w:val="single" w:sz="4" w:space="0" w:color="auto"/>
            </w:tcBorders>
            <w:shd w:val="clear" w:color="auto" w:fill="auto"/>
            <w:vAlign w:val="center"/>
            <w:hideMark/>
          </w:tcPr>
          <w:p w14:paraId="1FAA4905" w14:textId="77777777" w:rsidR="001625C3" w:rsidRPr="00FD2D5D" w:rsidRDefault="001625C3" w:rsidP="001625C3">
            <w:pPr>
              <w:spacing w:after="0" w:line="240" w:lineRule="auto"/>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Estonia</w:t>
            </w:r>
          </w:p>
        </w:tc>
        <w:tc>
          <w:tcPr>
            <w:tcW w:w="484" w:type="pct"/>
            <w:tcBorders>
              <w:top w:val="nil"/>
              <w:left w:val="nil"/>
              <w:bottom w:val="single" w:sz="4" w:space="0" w:color="auto"/>
              <w:right w:val="single" w:sz="4" w:space="0" w:color="auto"/>
            </w:tcBorders>
            <w:shd w:val="clear" w:color="auto" w:fill="auto"/>
            <w:noWrap/>
            <w:vAlign w:val="center"/>
            <w:hideMark/>
          </w:tcPr>
          <w:p w14:paraId="62C00A6C" w14:textId="022C2871"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2</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5</w:t>
            </w:r>
            <w:r w:rsidR="00214ED2" w:rsidRPr="00FD2D5D">
              <w:rPr>
                <w:rFonts w:ascii="Times New Roman" w:eastAsia="Times New Roman" w:hAnsi="Times New Roman" w:cs="Times New Roman"/>
                <w:color w:val="000000"/>
                <w:sz w:val="18"/>
                <w:szCs w:val="18"/>
                <w:lang w:eastAsia="ro-RO"/>
              </w:rPr>
              <w:t>0</w:t>
            </w:r>
          </w:p>
        </w:tc>
        <w:tc>
          <w:tcPr>
            <w:tcW w:w="484" w:type="pct"/>
            <w:tcBorders>
              <w:top w:val="nil"/>
              <w:left w:val="nil"/>
              <w:bottom w:val="single" w:sz="4" w:space="0" w:color="auto"/>
              <w:right w:val="single" w:sz="4" w:space="0" w:color="auto"/>
            </w:tcBorders>
            <w:shd w:val="clear" w:color="auto" w:fill="auto"/>
            <w:noWrap/>
            <w:vAlign w:val="center"/>
            <w:hideMark/>
          </w:tcPr>
          <w:p w14:paraId="7C5CC79E" w14:textId="49B0D190"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1</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54</w:t>
            </w:r>
          </w:p>
        </w:tc>
        <w:tc>
          <w:tcPr>
            <w:tcW w:w="484" w:type="pct"/>
            <w:tcBorders>
              <w:top w:val="nil"/>
              <w:left w:val="nil"/>
              <w:bottom w:val="single" w:sz="4" w:space="0" w:color="auto"/>
              <w:right w:val="single" w:sz="4" w:space="0" w:color="auto"/>
            </w:tcBorders>
            <w:shd w:val="clear" w:color="auto" w:fill="auto"/>
            <w:noWrap/>
            <w:vAlign w:val="center"/>
            <w:hideMark/>
          </w:tcPr>
          <w:p w14:paraId="0E62F84E" w14:textId="68E9EEC0"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1</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03</w:t>
            </w:r>
          </w:p>
        </w:tc>
        <w:tc>
          <w:tcPr>
            <w:tcW w:w="484" w:type="pct"/>
            <w:tcBorders>
              <w:top w:val="nil"/>
              <w:left w:val="nil"/>
              <w:bottom w:val="single" w:sz="4" w:space="0" w:color="auto"/>
              <w:right w:val="single" w:sz="4" w:space="0" w:color="auto"/>
            </w:tcBorders>
            <w:shd w:val="clear" w:color="auto" w:fill="auto"/>
            <w:noWrap/>
            <w:vAlign w:val="center"/>
            <w:hideMark/>
          </w:tcPr>
          <w:p w14:paraId="05DC7E37" w14:textId="50BEEB2D"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84</w:t>
            </w:r>
          </w:p>
        </w:tc>
        <w:tc>
          <w:tcPr>
            <w:tcW w:w="484" w:type="pct"/>
            <w:tcBorders>
              <w:top w:val="nil"/>
              <w:left w:val="nil"/>
              <w:bottom w:val="single" w:sz="4" w:space="0" w:color="auto"/>
              <w:right w:val="single" w:sz="4" w:space="0" w:color="auto"/>
            </w:tcBorders>
            <w:shd w:val="clear" w:color="auto" w:fill="auto"/>
            <w:noWrap/>
            <w:vAlign w:val="center"/>
            <w:hideMark/>
          </w:tcPr>
          <w:p w14:paraId="76E2A818" w14:textId="0AE51E8F"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95</w:t>
            </w:r>
          </w:p>
        </w:tc>
        <w:tc>
          <w:tcPr>
            <w:tcW w:w="484" w:type="pct"/>
            <w:tcBorders>
              <w:top w:val="nil"/>
              <w:left w:val="nil"/>
              <w:bottom w:val="single" w:sz="4" w:space="0" w:color="auto"/>
              <w:right w:val="single" w:sz="4" w:space="0" w:color="auto"/>
            </w:tcBorders>
            <w:shd w:val="clear" w:color="auto" w:fill="auto"/>
            <w:noWrap/>
            <w:vAlign w:val="center"/>
            <w:hideMark/>
          </w:tcPr>
          <w:p w14:paraId="70578FAF" w14:textId="1D2C0104"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66</w:t>
            </w:r>
          </w:p>
        </w:tc>
        <w:tc>
          <w:tcPr>
            <w:tcW w:w="484" w:type="pct"/>
            <w:tcBorders>
              <w:top w:val="nil"/>
              <w:left w:val="nil"/>
              <w:bottom w:val="single" w:sz="4" w:space="0" w:color="auto"/>
              <w:right w:val="single" w:sz="4" w:space="0" w:color="auto"/>
            </w:tcBorders>
            <w:shd w:val="clear" w:color="auto" w:fill="auto"/>
            <w:noWrap/>
            <w:vAlign w:val="center"/>
            <w:hideMark/>
          </w:tcPr>
          <w:p w14:paraId="6A302D39" w14:textId="0CEFD19E"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42</w:t>
            </w:r>
          </w:p>
        </w:tc>
        <w:tc>
          <w:tcPr>
            <w:tcW w:w="483" w:type="pct"/>
            <w:tcBorders>
              <w:top w:val="nil"/>
              <w:left w:val="nil"/>
              <w:bottom w:val="single" w:sz="4" w:space="0" w:color="auto"/>
              <w:right w:val="single" w:sz="4" w:space="0" w:color="auto"/>
            </w:tcBorders>
            <w:shd w:val="clear" w:color="auto" w:fill="auto"/>
            <w:vAlign w:val="center"/>
            <w:hideMark/>
          </w:tcPr>
          <w:p w14:paraId="5543DF43" w14:textId="3EEF80B1"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83</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2</w:t>
            </w:r>
            <w:r w:rsidR="00214ED2" w:rsidRPr="00FD2D5D">
              <w:rPr>
                <w:rFonts w:ascii="Times New Roman" w:eastAsia="Times New Roman" w:hAnsi="Times New Roman" w:cs="Times New Roman"/>
                <w:color w:val="000000"/>
                <w:sz w:val="18"/>
                <w:szCs w:val="18"/>
                <w:lang w:eastAsia="ro-RO"/>
              </w:rPr>
              <w:t>0</w:t>
            </w:r>
          </w:p>
        </w:tc>
      </w:tr>
      <w:tr w:rsidR="001625C3" w:rsidRPr="00FD2D5D" w14:paraId="443DD9E9" w14:textId="77777777" w:rsidTr="00803311">
        <w:trPr>
          <w:trHeight w:val="300"/>
        </w:trPr>
        <w:tc>
          <w:tcPr>
            <w:tcW w:w="1128" w:type="pct"/>
            <w:tcBorders>
              <w:top w:val="nil"/>
              <w:left w:val="single" w:sz="4" w:space="0" w:color="auto"/>
              <w:bottom w:val="single" w:sz="4" w:space="0" w:color="auto"/>
              <w:right w:val="single" w:sz="4" w:space="0" w:color="auto"/>
            </w:tcBorders>
            <w:shd w:val="clear" w:color="auto" w:fill="auto"/>
            <w:vAlign w:val="center"/>
            <w:hideMark/>
          </w:tcPr>
          <w:p w14:paraId="4A2EDE98" w14:textId="77777777" w:rsidR="001625C3" w:rsidRPr="00FD2D5D" w:rsidRDefault="001625C3" w:rsidP="001625C3">
            <w:pPr>
              <w:spacing w:after="0" w:line="240" w:lineRule="auto"/>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Georgia</w:t>
            </w:r>
          </w:p>
        </w:tc>
        <w:tc>
          <w:tcPr>
            <w:tcW w:w="484" w:type="pct"/>
            <w:tcBorders>
              <w:top w:val="nil"/>
              <w:left w:val="nil"/>
              <w:bottom w:val="single" w:sz="4" w:space="0" w:color="auto"/>
              <w:right w:val="single" w:sz="4" w:space="0" w:color="auto"/>
            </w:tcBorders>
            <w:shd w:val="clear" w:color="auto" w:fill="auto"/>
            <w:noWrap/>
            <w:vAlign w:val="center"/>
            <w:hideMark/>
          </w:tcPr>
          <w:p w14:paraId="031E4A95" w14:textId="73FA6B1D"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1</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97</w:t>
            </w:r>
          </w:p>
        </w:tc>
        <w:tc>
          <w:tcPr>
            <w:tcW w:w="484" w:type="pct"/>
            <w:tcBorders>
              <w:top w:val="nil"/>
              <w:left w:val="nil"/>
              <w:bottom w:val="single" w:sz="4" w:space="0" w:color="auto"/>
              <w:right w:val="single" w:sz="4" w:space="0" w:color="auto"/>
            </w:tcBorders>
            <w:shd w:val="clear" w:color="auto" w:fill="auto"/>
            <w:noWrap/>
            <w:vAlign w:val="center"/>
            <w:hideMark/>
          </w:tcPr>
          <w:p w14:paraId="3C1FF60B" w14:textId="47151700"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1</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69</w:t>
            </w:r>
          </w:p>
        </w:tc>
        <w:tc>
          <w:tcPr>
            <w:tcW w:w="484" w:type="pct"/>
            <w:tcBorders>
              <w:top w:val="nil"/>
              <w:left w:val="nil"/>
              <w:bottom w:val="single" w:sz="4" w:space="0" w:color="auto"/>
              <w:right w:val="single" w:sz="4" w:space="0" w:color="auto"/>
            </w:tcBorders>
            <w:shd w:val="clear" w:color="auto" w:fill="auto"/>
            <w:noWrap/>
            <w:vAlign w:val="center"/>
            <w:hideMark/>
          </w:tcPr>
          <w:p w14:paraId="312EDB84" w14:textId="5F8FA52F"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72</w:t>
            </w:r>
          </w:p>
        </w:tc>
        <w:tc>
          <w:tcPr>
            <w:tcW w:w="484" w:type="pct"/>
            <w:tcBorders>
              <w:top w:val="nil"/>
              <w:left w:val="nil"/>
              <w:bottom w:val="single" w:sz="4" w:space="0" w:color="auto"/>
              <w:right w:val="single" w:sz="4" w:space="0" w:color="auto"/>
            </w:tcBorders>
            <w:shd w:val="clear" w:color="auto" w:fill="auto"/>
            <w:noWrap/>
            <w:vAlign w:val="center"/>
            <w:hideMark/>
          </w:tcPr>
          <w:p w14:paraId="6DA8276C" w14:textId="1756871A"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45</w:t>
            </w:r>
          </w:p>
        </w:tc>
        <w:tc>
          <w:tcPr>
            <w:tcW w:w="484" w:type="pct"/>
            <w:tcBorders>
              <w:top w:val="nil"/>
              <w:left w:val="nil"/>
              <w:bottom w:val="single" w:sz="4" w:space="0" w:color="auto"/>
              <w:right w:val="single" w:sz="4" w:space="0" w:color="auto"/>
            </w:tcBorders>
            <w:shd w:val="clear" w:color="auto" w:fill="auto"/>
            <w:noWrap/>
            <w:vAlign w:val="center"/>
            <w:hideMark/>
          </w:tcPr>
          <w:p w14:paraId="66FD5D95" w14:textId="55CF75FB"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43</w:t>
            </w:r>
          </w:p>
        </w:tc>
        <w:tc>
          <w:tcPr>
            <w:tcW w:w="484" w:type="pct"/>
            <w:tcBorders>
              <w:top w:val="nil"/>
              <w:left w:val="nil"/>
              <w:bottom w:val="single" w:sz="4" w:space="0" w:color="auto"/>
              <w:right w:val="single" w:sz="4" w:space="0" w:color="auto"/>
            </w:tcBorders>
            <w:shd w:val="clear" w:color="auto" w:fill="auto"/>
            <w:noWrap/>
            <w:vAlign w:val="center"/>
            <w:hideMark/>
          </w:tcPr>
          <w:p w14:paraId="20FC0701" w14:textId="505078D5"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57</w:t>
            </w:r>
          </w:p>
        </w:tc>
        <w:tc>
          <w:tcPr>
            <w:tcW w:w="484" w:type="pct"/>
            <w:tcBorders>
              <w:top w:val="nil"/>
              <w:left w:val="nil"/>
              <w:bottom w:val="single" w:sz="4" w:space="0" w:color="auto"/>
              <w:right w:val="single" w:sz="4" w:space="0" w:color="auto"/>
            </w:tcBorders>
            <w:shd w:val="clear" w:color="auto" w:fill="auto"/>
            <w:noWrap/>
            <w:vAlign w:val="center"/>
            <w:hideMark/>
          </w:tcPr>
          <w:p w14:paraId="7FA57E16" w14:textId="1E9987D0"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52</w:t>
            </w:r>
          </w:p>
        </w:tc>
        <w:tc>
          <w:tcPr>
            <w:tcW w:w="483" w:type="pct"/>
            <w:tcBorders>
              <w:top w:val="nil"/>
              <w:left w:val="nil"/>
              <w:bottom w:val="single" w:sz="4" w:space="0" w:color="auto"/>
              <w:right w:val="single" w:sz="4" w:space="0" w:color="auto"/>
            </w:tcBorders>
            <w:shd w:val="clear" w:color="auto" w:fill="auto"/>
            <w:vAlign w:val="center"/>
            <w:hideMark/>
          </w:tcPr>
          <w:p w14:paraId="0AE31233" w14:textId="0528CA31"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73</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6</w:t>
            </w:r>
            <w:r w:rsidR="00214ED2" w:rsidRPr="00FD2D5D">
              <w:rPr>
                <w:rFonts w:ascii="Times New Roman" w:eastAsia="Times New Roman" w:hAnsi="Times New Roman" w:cs="Times New Roman"/>
                <w:color w:val="000000"/>
                <w:sz w:val="18"/>
                <w:szCs w:val="18"/>
                <w:lang w:eastAsia="ro-RO"/>
              </w:rPr>
              <w:t>0</w:t>
            </w:r>
          </w:p>
        </w:tc>
      </w:tr>
      <w:tr w:rsidR="001625C3" w:rsidRPr="00FD2D5D" w14:paraId="3DE0A691" w14:textId="77777777" w:rsidTr="00803311">
        <w:trPr>
          <w:trHeight w:val="300"/>
        </w:trPr>
        <w:tc>
          <w:tcPr>
            <w:tcW w:w="1128" w:type="pct"/>
            <w:tcBorders>
              <w:top w:val="nil"/>
              <w:left w:val="single" w:sz="4" w:space="0" w:color="auto"/>
              <w:bottom w:val="single" w:sz="4" w:space="0" w:color="auto"/>
              <w:right w:val="single" w:sz="4" w:space="0" w:color="auto"/>
            </w:tcBorders>
            <w:shd w:val="clear" w:color="auto" w:fill="auto"/>
            <w:vAlign w:val="center"/>
            <w:hideMark/>
          </w:tcPr>
          <w:p w14:paraId="13DDA001" w14:textId="77777777" w:rsidR="001625C3" w:rsidRPr="00FD2D5D" w:rsidRDefault="001625C3" w:rsidP="001625C3">
            <w:pPr>
              <w:spacing w:after="0" w:line="240" w:lineRule="auto"/>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Letonia</w:t>
            </w:r>
          </w:p>
        </w:tc>
        <w:tc>
          <w:tcPr>
            <w:tcW w:w="484" w:type="pct"/>
            <w:tcBorders>
              <w:top w:val="nil"/>
              <w:left w:val="nil"/>
              <w:bottom w:val="single" w:sz="4" w:space="0" w:color="auto"/>
              <w:right w:val="single" w:sz="4" w:space="0" w:color="auto"/>
            </w:tcBorders>
            <w:shd w:val="clear" w:color="auto" w:fill="auto"/>
            <w:noWrap/>
            <w:vAlign w:val="center"/>
            <w:hideMark/>
          </w:tcPr>
          <w:p w14:paraId="38501078" w14:textId="73181E63"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1</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1</w:t>
            </w:r>
            <w:r w:rsidR="00214ED2" w:rsidRPr="00FD2D5D">
              <w:rPr>
                <w:rFonts w:ascii="Times New Roman" w:eastAsia="Times New Roman" w:hAnsi="Times New Roman" w:cs="Times New Roman"/>
                <w:color w:val="000000"/>
                <w:sz w:val="18"/>
                <w:szCs w:val="18"/>
                <w:lang w:eastAsia="ro-RO"/>
              </w:rPr>
              <w:t>0</w:t>
            </w:r>
          </w:p>
        </w:tc>
        <w:tc>
          <w:tcPr>
            <w:tcW w:w="484" w:type="pct"/>
            <w:tcBorders>
              <w:top w:val="nil"/>
              <w:left w:val="nil"/>
              <w:bottom w:val="single" w:sz="4" w:space="0" w:color="auto"/>
              <w:right w:val="single" w:sz="4" w:space="0" w:color="auto"/>
            </w:tcBorders>
            <w:shd w:val="clear" w:color="auto" w:fill="auto"/>
            <w:noWrap/>
            <w:vAlign w:val="center"/>
            <w:hideMark/>
          </w:tcPr>
          <w:p w14:paraId="729497B8" w14:textId="679B28A9"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73</w:t>
            </w:r>
          </w:p>
        </w:tc>
        <w:tc>
          <w:tcPr>
            <w:tcW w:w="484" w:type="pct"/>
            <w:tcBorders>
              <w:top w:val="nil"/>
              <w:left w:val="nil"/>
              <w:bottom w:val="single" w:sz="4" w:space="0" w:color="auto"/>
              <w:right w:val="single" w:sz="4" w:space="0" w:color="auto"/>
            </w:tcBorders>
            <w:shd w:val="clear" w:color="auto" w:fill="auto"/>
            <w:noWrap/>
            <w:vAlign w:val="center"/>
            <w:hideMark/>
          </w:tcPr>
          <w:p w14:paraId="498D5CAA" w14:textId="649E4B15"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43</w:t>
            </w:r>
          </w:p>
        </w:tc>
        <w:tc>
          <w:tcPr>
            <w:tcW w:w="484" w:type="pct"/>
            <w:tcBorders>
              <w:top w:val="nil"/>
              <w:left w:val="nil"/>
              <w:bottom w:val="single" w:sz="4" w:space="0" w:color="auto"/>
              <w:right w:val="single" w:sz="4" w:space="0" w:color="auto"/>
            </w:tcBorders>
            <w:shd w:val="clear" w:color="auto" w:fill="auto"/>
            <w:noWrap/>
            <w:vAlign w:val="center"/>
            <w:hideMark/>
          </w:tcPr>
          <w:p w14:paraId="4F28B21C" w14:textId="25CEAC78"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32</w:t>
            </w:r>
          </w:p>
        </w:tc>
        <w:tc>
          <w:tcPr>
            <w:tcW w:w="484" w:type="pct"/>
            <w:tcBorders>
              <w:top w:val="nil"/>
              <w:left w:val="nil"/>
              <w:bottom w:val="single" w:sz="4" w:space="0" w:color="auto"/>
              <w:right w:val="single" w:sz="4" w:space="0" w:color="auto"/>
            </w:tcBorders>
            <w:shd w:val="clear" w:color="auto" w:fill="auto"/>
            <w:noWrap/>
            <w:vAlign w:val="center"/>
            <w:hideMark/>
          </w:tcPr>
          <w:p w14:paraId="6745B988" w14:textId="1FD130C7"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36</w:t>
            </w:r>
          </w:p>
        </w:tc>
        <w:tc>
          <w:tcPr>
            <w:tcW w:w="484" w:type="pct"/>
            <w:tcBorders>
              <w:top w:val="nil"/>
              <w:left w:val="nil"/>
              <w:bottom w:val="single" w:sz="4" w:space="0" w:color="auto"/>
              <w:right w:val="single" w:sz="4" w:space="0" w:color="auto"/>
            </w:tcBorders>
            <w:shd w:val="clear" w:color="auto" w:fill="auto"/>
            <w:noWrap/>
            <w:vAlign w:val="center"/>
            <w:hideMark/>
          </w:tcPr>
          <w:p w14:paraId="78EB7CAE" w14:textId="05935209"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25</w:t>
            </w:r>
          </w:p>
        </w:tc>
        <w:tc>
          <w:tcPr>
            <w:tcW w:w="484" w:type="pct"/>
            <w:tcBorders>
              <w:top w:val="nil"/>
              <w:left w:val="nil"/>
              <w:bottom w:val="single" w:sz="4" w:space="0" w:color="auto"/>
              <w:right w:val="single" w:sz="4" w:space="0" w:color="auto"/>
            </w:tcBorders>
            <w:shd w:val="clear" w:color="auto" w:fill="auto"/>
            <w:noWrap/>
            <w:vAlign w:val="center"/>
            <w:hideMark/>
          </w:tcPr>
          <w:p w14:paraId="7D1B1D16" w14:textId="5649FA2E"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22</w:t>
            </w:r>
          </w:p>
        </w:tc>
        <w:tc>
          <w:tcPr>
            <w:tcW w:w="483" w:type="pct"/>
            <w:tcBorders>
              <w:top w:val="nil"/>
              <w:left w:val="nil"/>
              <w:bottom w:val="single" w:sz="4" w:space="0" w:color="auto"/>
              <w:right w:val="single" w:sz="4" w:space="0" w:color="auto"/>
            </w:tcBorders>
            <w:shd w:val="clear" w:color="auto" w:fill="auto"/>
            <w:vAlign w:val="center"/>
            <w:hideMark/>
          </w:tcPr>
          <w:p w14:paraId="1437DB31" w14:textId="08E15CA5"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80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0</w:t>
            </w:r>
            <w:r w:rsidR="00214ED2" w:rsidRPr="00FD2D5D">
              <w:rPr>
                <w:rFonts w:ascii="Times New Roman" w:eastAsia="Times New Roman" w:hAnsi="Times New Roman" w:cs="Times New Roman"/>
                <w:color w:val="000000"/>
                <w:sz w:val="18"/>
                <w:szCs w:val="18"/>
                <w:lang w:eastAsia="ro-RO"/>
              </w:rPr>
              <w:t>0</w:t>
            </w:r>
          </w:p>
        </w:tc>
      </w:tr>
      <w:tr w:rsidR="001625C3" w:rsidRPr="00FD2D5D" w14:paraId="3350A8F7" w14:textId="77777777" w:rsidTr="00803311">
        <w:trPr>
          <w:trHeight w:val="300"/>
        </w:trPr>
        <w:tc>
          <w:tcPr>
            <w:tcW w:w="1128" w:type="pct"/>
            <w:tcBorders>
              <w:top w:val="nil"/>
              <w:left w:val="single" w:sz="4" w:space="0" w:color="auto"/>
              <w:bottom w:val="single" w:sz="4" w:space="0" w:color="auto"/>
              <w:right w:val="single" w:sz="4" w:space="0" w:color="auto"/>
            </w:tcBorders>
            <w:shd w:val="clear" w:color="auto" w:fill="auto"/>
            <w:vAlign w:val="center"/>
            <w:hideMark/>
          </w:tcPr>
          <w:p w14:paraId="6E62D241" w14:textId="77777777" w:rsidR="001625C3" w:rsidRPr="00FD2D5D" w:rsidRDefault="001625C3" w:rsidP="001625C3">
            <w:pPr>
              <w:spacing w:after="0" w:line="240" w:lineRule="auto"/>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Lituania</w:t>
            </w:r>
          </w:p>
        </w:tc>
        <w:tc>
          <w:tcPr>
            <w:tcW w:w="484" w:type="pct"/>
            <w:tcBorders>
              <w:top w:val="nil"/>
              <w:left w:val="nil"/>
              <w:bottom w:val="single" w:sz="4" w:space="0" w:color="auto"/>
              <w:right w:val="single" w:sz="4" w:space="0" w:color="auto"/>
            </w:tcBorders>
            <w:shd w:val="clear" w:color="auto" w:fill="auto"/>
            <w:noWrap/>
            <w:vAlign w:val="center"/>
            <w:hideMark/>
          </w:tcPr>
          <w:p w14:paraId="6028EFB0" w14:textId="693A4D9D"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1</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29</w:t>
            </w:r>
          </w:p>
        </w:tc>
        <w:tc>
          <w:tcPr>
            <w:tcW w:w="484" w:type="pct"/>
            <w:tcBorders>
              <w:top w:val="nil"/>
              <w:left w:val="nil"/>
              <w:bottom w:val="single" w:sz="4" w:space="0" w:color="auto"/>
              <w:right w:val="single" w:sz="4" w:space="0" w:color="auto"/>
            </w:tcBorders>
            <w:shd w:val="clear" w:color="auto" w:fill="auto"/>
            <w:noWrap/>
            <w:vAlign w:val="center"/>
            <w:hideMark/>
          </w:tcPr>
          <w:p w14:paraId="1D801851" w14:textId="7EB14517"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75</w:t>
            </w:r>
          </w:p>
        </w:tc>
        <w:tc>
          <w:tcPr>
            <w:tcW w:w="484" w:type="pct"/>
            <w:tcBorders>
              <w:top w:val="nil"/>
              <w:left w:val="nil"/>
              <w:bottom w:val="single" w:sz="4" w:space="0" w:color="auto"/>
              <w:right w:val="single" w:sz="4" w:space="0" w:color="auto"/>
            </w:tcBorders>
            <w:shd w:val="clear" w:color="auto" w:fill="auto"/>
            <w:noWrap/>
            <w:vAlign w:val="center"/>
            <w:hideMark/>
          </w:tcPr>
          <w:p w14:paraId="5631AC0C" w14:textId="33396CF1"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45</w:t>
            </w:r>
          </w:p>
        </w:tc>
        <w:tc>
          <w:tcPr>
            <w:tcW w:w="484" w:type="pct"/>
            <w:tcBorders>
              <w:top w:val="nil"/>
              <w:left w:val="nil"/>
              <w:bottom w:val="single" w:sz="4" w:space="0" w:color="auto"/>
              <w:right w:val="single" w:sz="4" w:space="0" w:color="auto"/>
            </w:tcBorders>
            <w:shd w:val="clear" w:color="auto" w:fill="auto"/>
            <w:noWrap/>
            <w:vAlign w:val="center"/>
            <w:hideMark/>
          </w:tcPr>
          <w:p w14:paraId="4AA23348" w14:textId="6F5BEC47"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38</w:t>
            </w:r>
          </w:p>
        </w:tc>
        <w:tc>
          <w:tcPr>
            <w:tcW w:w="484" w:type="pct"/>
            <w:tcBorders>
              <w:top w:val="nil"/>
              <w:left w:val="nil"/>
              <w:bottom w:val="single" w:sz="4" w:space="0" w:color="auto"/>
              <w:right w:val="single" w:sz="4" w:space="0" w:color="auto"/>
            </w:tcBorders>
            <w:shd w:val="clear" w:color="auto" w:fill="auto"/>
            <w:noWrap/>
            <w:vAlign w:val="center"/>
            <w:hideMark/>
          </w:tcPr>
          <w:p w14:paraId="4B9632B6" w14:textId="5180F821"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36</w:t>
            </w:r>
          </w:p>
        </w:tc>
        <w:tc>
          <w:tcPr>
            <w:tcW w:w="484" w:type="pct"/>
            <w:tcBorders>
              <w:top w:val="nil"/>
              <w:left w:val="nil"/>
              <w:bottom w:val="single" w:sz="4" w:space="0" w:color="auto"/>
              <w:right w:val="single" w:sz="4" w:space="0" w:color="auto"/>
            </w:tcBorders>
            <w:shd w:val="clear" w:color="auto" w:fill="auto"/>
            <w:noWrap/>
            <w:vAlign w:val="center"/>
            <w:hideMark/>
          </w:tcPr>
          <w:p w14:paraId="5C245CFD" w14:textId="54115750"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25</w:t>
            </w:r>
          </w:p>
        </w:tc>
        <w:tc>
          <w:tcPr>
            <w:tcW w:w="484" w:type="pct"/>
            <w:tcBorders>
              <w:top w:val="nil"/>
              <w:left w:val="nil"/>
              <w:bottom w:val="single" w:sz="4" w:space="0" w:color="auto"/>
              <w:right w:val="single" w:sz="4" w:space="0" w:color="auto"/>
            </w:tcBorders>
            <w:shd w:val="clear" w:color="auto" w:fill="auto"/>
            <w:noWrap/>
            <w:vAlign w:val="center"/>
            <w:hideMark/>
          </w:tcPr>
          <w:p w14:paraId="7A102CD3" w14:textId="5D2481D1"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23</w:t>
            </w:r>
          </w:p>
        </w:tc>
        <w:tc>
          <w:tcPr>
            <w:tcW w:w="483" w:type="pct"/>
            <w:tcBorders>
              <w:top w:val="nil"/>
              <w:left w:val="nil"/>
              <w:bottom w:val="single" w:sz="4" w:space="0" w:color="auto"/>
              <w:right w:val="single" w:sz="4" w:space="0" w:color="auto"/>
            </w:tcBorders>
            <w:shd w:val="clear" w:color="auto" w:fill="auto"/>
            <w:vAlign w:val="center"/>
            <w:hideMark/>
          </w:tcPr>
          <w:p w14:paraId="59948F77" w14:textId="48ABEB2D"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82</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2</w:t>
            </w:r>
            <w:r w:rsidR="00214ED2" w:rsidRPr="00FD2D5D">
              <w:rPr>
                <w:rFonts w:ascii="Times New Roman" w:eastAsia="Times New Roman" w:hAnsi="Times New Roman" w:cs="Times New Roman"/>
                <w:color w:val="000000"/>
                <w:sz w:val="18"/>
                <w:szCs w:val="18"/>
                <w:lang w:eastAsia="ro-RO"/>
              </w:rPr>
              <w:t>0</w:t>
            </w:r>
          </w:p>
        </w:tc>
      </w:tr>
      <w:tr w:rsidR="001625C3" w:rsidRPr="00FD2D5D" w14:paraId="585D8395" w14:textId="77777777" w:rsidTr="00803311">
        <w:trPr>
          <w:trHeight w:val="300"/>
        </w:trPr>
        <w:tc>
          <w:tcPr>
            <w:tcW w:w="1128" w:type="pct"/>
            <w:tcBorders>
              <w:top w:val="nil"/>
              <w:left w:val="single" w:sz="4" w:space="0" w:color="auto"/>
              <w:bottom w:val="single" w:sz="4" w:space="0" w:color="auto"/>
              <w:right w:val="single" w:sz="4" w:space="0" w:color="auto"/>
            </w:tcBorders>
            <w:shd w:val="clear" w:color="auto" w:fill="auto"/>
            <w:vAlign w:val="center"/>
            <w:hideMark/>
          </w:tcPr>
          <w:p w14:paraId="386ED250" w14:textId="77777777" w:rsidR="001625C3" w:rsidRPr="00FD2D5D" w:rsidRDefault="001625C3" w:rsidP="001625C3">
            <w:pPr>
              <w:spacing w:after="0" w:line="240" w:lineRule="auto"/>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Macedonia de Nord</w:t>
            </w:r>
          </w:p>
        </w:tc>
        <w:tc>
          <w:tcPr>
            <w:tcW w:w="484" w:type="pct"/>
            <w:tcBorders>
              <w:top w:val="nil"/>
              <w:left w:val="nil"/>
              <w:bottom w:val="single" w:sz="4" w:space="0" w:color="auto"/>
              <w:right w:val="single" w:sz="4" w:space="0" w:color="auto"/>
            </w:tcBorders>
            <w:shd w:val="clear" w:color="auto" w:fill="auto"/>
            <w:noWrap/>
            <w:vAlign w:val="center"/>
            <w:hideMark/>
          </w:tcPr>
          <w:p w14:paraId="0E8724F3" w14:textId="7340257E"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1</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18</w:t>
            </w:r>
          </w:p>
        </w:tc>
        <w:tc>
          <w:tcPr>
            <w:tcW w:w="484" w:type="pct"/>
            <w:tcBorders>
              <w:top w:val="nil"/>
              <w:left w:val="nil"/>
              <w:bottom w:val="single" w:sz="4" w:space="0" w:color="auto"/>
              <w:right w:val="single" w:sz="4" w:space="0" w:color="auto"/>
            </w:tcBorders>
            <w:shd w:val="clear" w:color="auto" w:fill="auto"/>
            <w:noWrap/>
            <w:vAlign w:val="center"/>
            <w:hideMark/>
          </w:tcPr>
          <w:p w14:paraId="71A1489A" w14:textId="20C7A171"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1</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44</w:t>
            </w:r>
          </w:p>
        </w:tc>
        <w:tc>
          <w:tcPr>
            <w:tcW w:w="484" w:type="pct"/>
            <w:tcBorders>
              <w:top w:val="nil"/>
              <w:left w:val="nil"/>
              <w:bottom w:val="single" w:sz="4" w:space="0" w:color="auto"/>
              <w:right w:val="single" w:sz="4" w:space="0" w:color="auto"/>
            </w:tcBorders>
            <w:shd w:val="clear" w:color="auto" w:fill="auto"/>
            <w:noWrap/>
            <w:vAlign w:val="center"/>
            <w:hideMark/>
          </w:tcPr>
          <w:p w14:paraId="536B4357" w14:textId="187450C1"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1</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28</w:t>
            </w:r>
          </w:p>
        </w:tc>
        <w:tc>
          <w:tcPr>
            <w:tcW w:w="484" w:type="pct"/>
            <w:tcBorders>
              <w:top w:val="nil"/>
              <w:left w:val="nil"/>
              <w:bottom w:val="single" w:sz="4" w:space="0" w:color="auto"/>
              <w:right w:val="single" w:sz="4" w:space="0" w:color="auto"/>
            </w:tcBorders>
            <w:shd w:val="clear" w:color="auto" w:fill="auto"/>
            <w:noWrap/>
            <w:vAlign w:val="center"/>
            <w:hideMark/>
          </w:tcPr>
          <w:p w14:paraId="55034323" w14:textId="685ECF9D"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1</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22</w:t>
            </w:r>
          </w:p>
        </w:tc>
        <w:tc>
          <w:tcPr>
            <w:tcW w:w="484" w:type="pct"/>
            <w:tcBorders>
              <w:top w:val="nil"/>
              <w:left w:val="nil"/>
              <w:bottom w:val="single" w:sz="4" w:space="0" w:color="auto"/>
              <w:right w:val="single" w:sz="4" w:space="0" w:color="auto"/>
            </w:tcBorders>
            <w:shd w:val="clear" w:color="auto" w:fill="auto"/>
            <w:noWrap/>
            <w:vAlign w:val="center"/>
            <w:hideMark/>
          </w:tcPr>
          <w:p w14:paraId="79336A15" w14:textId="420531BC"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93</w:t>
            </w:r>
          </w:p>
        </w:tc>
        <w:tc>
          <w:tcPr>
            <w:tcW w:w="484" w:type="pct"/>
            <w:tcBorders>
              <w:top w:val="nil"/>
              <w:left w:val="nil"/>
              <w:bottom w:val="single" w:sz="4" w:space="0" w:color="auto"/>
              <w:right w:val="single" w:sz="4" w:space="0" w:color="auto"/>
            </w:tcBorders>
            <w:shd w:val="clear" w:color="auto" w:fill="auto"/>
            <w:noWrap/>
            <w:vAlign w:val="center"/>
            <w:hideMark/>
          </w:tcPr>
          <w:p w14:paraId="447995B3" w14:textId="48ED0518"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71</w:t>
            </w:r>
          </w:p>
        </w:tc>
        <w:tc>
          <w:tcPr>
            <w:tcW w:w="484" w:type="pct"/>
            <w:tcBorders>
              <w:top w:val="nil"/>
              <w:left w:val="nil"/>
              <w:bottom w:val="single" w:sz="4" w:space="0" w:color="auto"/>
              <w:right w:val="single" w:sz="4" w:space="0" w:color="auto"/>
            </w:tcBorders>
            <w:shd w:val="clear" w:color="auto" w:fill="auto"/>
            <w:noWrap/>
            <w:vAlign w:val="center"/>
            <w:hideMark/>
          </w:tcPr>
          <w:p w14:paraId="0770C76D" w14:textId="5CF97DCA"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65</w:t>
            </w:r>
          </w:p>
        </w:tc>
        <w:tc>
          <w:tcPr>
            <w:tcW w:w="483" w:type="pct"/>
            <w:tcBorders>
              <w:top w:val="nil"/>
              <w:left w:val="nil"/>
              <w:bottom w:val="single" w:sz="4" w:space="0" w:color="auto"/>
              <w:right w:val="single" w:sz="4" w:space="0" w:color="auto"/>
            </w:tcBorders>
            <w:shd w:val="clear" w:color="auto" w:fill="auto"/>
            <w:vAlign w:val="center"/>
            <w:hideMark/>
          </w:tcPr>
          <w:p w14:paraId="0C9F5A72" w14:textId="0669F0E6"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44</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9</w:t>
            </w:r>
            <w:r w:rsidR="00214ED2" w:rsidRPr="00FD2D5D">
              <w:rPr>
                <w:rFonts w:ascii="Times New Roman" w:eastAsia="Times New Roman" w:hAnsi="Times New Roman" w:cs="Times New Roman"/>
                <w:color w:val="000000"/>
                <w:sz w:val="18"/>
                <w:szCs w:val="18"/>
                <w:lang w:eastAsia="ro-RO"/>
              </w:rPr>
              <w:t>0</w:t>
            </w:r>
          </w:p>
        </w:tc>
      </w:tr>
      <w:tr w:rsidR="001625C3" w:rsidRPr="00FD2D5D" w14:paraId="0D4852F0" w14:textId="77777777" w:rsidTr="00803311">
        <w:trPr>
          <w:trHeight w:val="300"/>
        </w:trPr>
        <w:tc>
          <w:tcPr>
            <w:tcW w:w="1128" w:type="pct"/>
            <w:tcBorders>
              <w:top w:val="nil"/>
              <w:left w:val="single" w:sz="4" w:space="0" w:color="auto"/>
              <w:bottom w:val="single" w:sz="4" w:space="0" w:color="auto"/>
              <w:right w:val="single" w:sz="4" w:space="0" w:color="auto"/>
            </w:tcBorders>
            <w:shd w:val="clear" w:color="auto" w:fill="auto"/>
            <w:vAlign w:val="center"/>
            <w:hideMark/>
          </w:tcPr>
          <w:p w14:paraId="168DBF80" w14:textId="77777777" w:rsidR="001625C3" w:rsidRPr="00FD2D5D" w:rsidRDefault="001625C3" w:rsidP="001625C3">
            <w:pPr>
              <w:spacing w:after="0" w:line="240" w:lineRule="auto"/>
              <w:rPr>
                <w:rFonts w:ascii="Times New Roman" w:eastAsia="Times New Roman" w:hAnsi="Times New Roman" w:cs="Times New Roman"/>
                <w:b/>
                <w:bCs/>
                <w:color w:val="000000"/>
                <w:sz w:val="18"/>
                <w:szCs w:val="18"/>
                <w:lang w:eastAsia="ro-RO"/>
              </w:rPr>
            </w:pPr>
            <w:r w:rsidRPr="00FD2D5D">
              <w:rPr>
                <w:rFonts w:ascii="Times New Roman" w:eastAsia="Times New Roman" w:hAnsi="Times New Roman" w:cs="Times New Roman"/>
                <w:b/>
                <w:bCs/>
                <w:color w:val="000000"/>
                <w:sz w:val="18"/>
                <w:szCs w:val="18"/>
                <w:lang w:eastAsia="ro-RO"/>
              </w:rPr>
              <w:t>Republica Moldova</w:t>
            </w:r>
          </w:p>
        </w:tc>
        <w:tc>
          <w:tcPr>
            <w:tcW w:w="484" w:type="pct"/>
            <w:tcBorders>
              <w:top w:val="nil"/>
              <w:left w:val="nil"/>
              <w:bottom w:val="single" w:sz="4" w:space="0" w:color="auto"/>
              <w:right w:val="single" w:sz="4" w:space="0" w:color="auto"/>
            </w:tcBorders>
            <w:shd w:val="clear" w:color="auto" w:fill="auto"/>
            <w:noWrap/>
            <w:vAlign w:val="center"/>
            <w:hideMark/>
          </w:tcPr>
          <w:p w14:paraId="56F85935" w14:textId="44D0B26E" w:rsidR="001625C3" w:rsidRPr="00FD2D5D" w:rsidRDefault="001625C3" w:rsidP="00803311">
            <w:pPr>
              <w:spacing w:after="0" w:line="240" w:lineRule="auto"/>
              <w:jc w:val="center"/>
              <w:rPr>
                <w:rFonts w:ascii="Times New Roman" w:eastAsia="Times New Roman" w:hAnsi="Times New Roman" w:cs="Times New Roman"/>
                <w:b/>
                <w:bCs/>
                <w:color w:val="000000"/>
                <w:sz w:val="18"/>
                <w:szCs w:val="18"/>
                <w:lang w:eastAsia="ro-RO"/>
              </w:rPr>
            </w:pPr>
            <w:r w:rsidRPr="00FD2D5D">
              <w:rPr>
                <w:rFonts w:ascii="Times New Roman" w:eastAsia="Times New Roman" w:hAnsi="Times New Roman" w:cs="Times New Roman"/>
                <w:b/>
                <w:bCs/>
                <w:color w:val="000000"/>
                <w:sz w:val="18"/>
                <w:szCs w:val="18"/>
                <w:lang w:eastAsia="ro-RO"/>
              </w:rPr>
              <w:t>4</w:t>
            </w:r>
            <w:r w:rsidR="00803311" w:rsidRPr="00FD2D5D">
              <w:rPr>
                <w:rFonts w:ascii="Times New Roman" w:eastAsia="Times New Roman" w:hAnsi="Times New Roman" w:cs="Times New Roman"/>
                <w:b/>
                <w:bCs/>
                <w:color w:val="000000"/>
                <w:sz w:val="18"/>
                <w:szCs w:val="18"/>
                <w:lang w:eastAsia="ro-RO"/>
              </w:rPr>
              <w:t>,</w:t>
            </w:r>
            <w:r w:rsidRPr="00FD2D5D">
              <w:rPr>
                <w:rFonts w:ascii="Times New Roman" w:eastAsia="Times New Roman" w:hAnsi="Times New Roman" w:cs="Times New Roman"/>
                <w:b/>
                <w:bCs/>
                <w:color w:val="000000"/>
                <w:sz w:val="18"/>
                <w:szCs w:val="18"/>
                <w:lang w:eastAsia="ro-RO"/>
              </w:rPr>
              <w:t>12</w:t>
            </w:r>
          </w:p>
        </w:tc>
        <w:tc>
          <w:tcPr>
            <w:tcW w:w="484" w:type="pct"/>
            <w:tcBorders>
              <w:top w:val="nil"/>
              <w:left w:val="nil"/>
              <w:bottom w:val="single" w:sz="4" w:space="0" w:color="auto"/>
              <w:right w:val="single" w:sz="4" w:space="0" w:color="auto"/>
            </w:tcBorders>
            <w:shd w:val="clear" w:color="auto" w:fill="auto"/>
            <w:noWrap/>
            <w:vAlign w:val="center"/>
            <w:hideMark/>
          </w:tcPr>
          <w:p w14:paraId="10831994" w14:textId="362D8A60" w:rsidR="001625C3" w:rsidRPr="00FD2D5D" w:rsidRDefault="001625C3" w:rsidP="00803311">
            <w:pPr>
              <w:spacing w:after="0" w:line="240" w:lineRule="auto"/>
              <w:jc w:val="center"/>
              <w:rPr>
                <w:rFonts w:ascii="Times New Roman" w:eastAsia="Times New Roman" w:hAnsi="Times New Roman" w:cs="Times New Roman"/>
                <w:b/>
                <w:bCs/>
                <w:color w:val="000000"/>
                <w:sz w:val="18"/>
                <w:szCs w:val="18"/>
                <w:lang w:eastAsia="ro-RO"/>
              </w:rPr>
            </w:pPr>
            <w:r w:rsidRPr="00FD2D5D">
              <w:rPr>
                <w:rFonts w:ascii="Times New Roman" w:eastAsia="Times New Roman" w:hAnsi="Times New Roman" w:cs="Times New Roman"/>
                <w:b/>
                <w:bCs/>
                <w:color w:val="000000"/>
                <w:sz w:val="18"/>
                <w:szCs w:val="18"/>
                <w:lang w:eastAsia="ro-RO"/>
              </w:rPr>
              <w:t>2</w:t>
            </w:r>
            <w:r w:rsidR="00803311" w:rsidRPr="00FD2D5D">
              <w:rPr>
                <w:rFonts w:ascii="Times New Roman" w:eastAsia="Times New Roman" w:hAnsi="Times New Roman" w:cs="Times New Roman"/>
                <w:b/>
                <w:bCs/>
                <w:color w:val="000000"/>
                <w:sz w:val="18"/>
                <w:szCs w:val="18"/>
                <w:lang w:eastAsia="ro-RO"/>
              </w:rPr>
              <w:t>,</w:t>
            </w:r>
            <w:r w:rsidRPr="00FD2D5D">
              <w:rPr>
                <w:rFonts w:ascii="Times New Roman" w:eastAsia="Times New Roman" w:hAnsi="Times New Roman" w:cs="Times New Roman"/>
                <w:b/>
                <w:bCs/>
                <w:color w:val="000000"/>
                <w:sz w:val="18"/>
                <w:szCs w:val="18"/>
                <w:lang w:eastAsia="ro-RO"/>
              </w:rPr>
              <w:t>68</w:t>
            </w:r>
          </w:p>
        </w:tc>
        <w:tc>
          <w:tcPr>
            <w:tcW w:w="484" w:type="pct"/>
            <w:tcBorders>
              <w:top w:val="nil"/>
              <w:left w:val="nil"/>
              <w:bottom w:val="single" w:sz="4" w:space="0" w:color="auto"/>
              <w:right w:val="single" w:sz="4" w:space="0" w:color="auto"/>
            </w:tcBorders>
            <w:shd w:val="clear" w:color="auto" w:fill="auto"/>
            <w:noWrap/>
            <w:vAlign w:val="center"/>
            <w:hideMark/>
          </w:tcPr>
          <w:p w14:paraId="1078F5A5" w14:textId="195F94C8" w:rsidR="001625C3" w:rsidRPr="00FD2D5D" w:rsidRDefault="001625C3" w:rsidP="00803311">
            <w:pPr>
              <w:spacing w:after="0" w:line="240" w:lineRule="auto"/>
              <w:jc w:val="center"/>
              <w:rPr>
                <w:rFonts w:ascii="Times New Roman" w:eastAsia="Times New Roman" w:hAnsi="Times New Roman" w:cs="Times New Roman"/>
                <w:b/>
                <w:bCs/>
                <w:color w:val="000000"/>
                <w:sz w:val="18"/>
                <w:szCs w:val="18"/>
                <w:lang w:eastAsia="ro-RO"/>
              </w:rPr>
            </w:pPr>
            <w:r w:rsidRPr="00FD2D5D">
              <w:rPr>
                <w:rFonts w:ascii="Times New Roman" w:eastAsia="Times New Roman" w:hAnsi="Times New Roman" w:cs="Times New Roman"/>
                <w:b/>
                <w:bCs/>
                <w:color w:val="000000"/>
                <w:sz w:val="18"/>
                <w:szCs w:val="18"/>
                <w:lang w:eastAsia="ro-RO"/>
              </w:rPr>
              <w:t>1</w:t>
            </w:r>
            <w:r w:rsidR="00803311" w:rsidRPr="00FD2D5D">
              <w:rPr>
                <w:rFonts w:ascii="Times New Roman" w:eastAsia="Times New Roman" w:hAnsi="Times New Roman" w:cs="Times New Roman"/>
                <w:b/>
                <w:bCs/>
                <w:color w:val="000000"/>
                <w:sz w:val="18"/>
                <w:szCs w:val="18"/>
                <w:lang w:eastAsia="ro-RO"/>
              </w:rPr>
              <w:t>,</w:t>
            </w:r>
            <w:r w:rsidRPr="00FD2D5D">
              <w:rPr>
                <w:rFonts w:ascii="Times New Roman" w:eastAsia="Times New Roman" w:hAnsi="Times New Roman" w:cs="Times New Roman"/>
                <w:b/>
                <w:bCs/>
                <w:color w:val="000000"/>
                <w:sz w:val="18"/>
                <w:szCs w:val="18"/>
                <w:lang w:eastAsia="ro-RO"/>
              </w:rPr>
              <w:t>67</w:t>
            </w:r>
          </w:p>
        </w:tc>
        <w:tc>
          <w:tcPr>
            <w:tcW w:w="484" w:type="pct"/>
            <w:tcBorders>
              <w:top w:val="nil"/>
              <w:left w:val="nil"/>
              <w:bottom w:val="single" w:sz="4" w:space="0" w:color="auto"/>
              <w:right w:val="single" w:sz="4" w:space="0" w:color="auto"/>
            </w:tcBorders>
            <w:shd w:val="clear" w:color="auto" w:fill="auto"/>
            <w:noWrap/>
            <w:vAlign w:val="center"/>
            <w:hideMark/>
          </w:tcPr>
          <w:p w14:paraId="0B747B3C" w14:textId="399740EF" w:rsidR="001625C3" w:rsidRPr="00FD2D5D" w:rsidRDefault="001625C3" w:rsidP="00803311">
            <w:pPr>
              <w:spacing w:after="0" w:line="240" w:lineRule="auto"/>
              <w:jc w:val="center"/>
              <w:rPr>
                <w:rFonts w:ascii="Times New Roman" w:eastAsia="Times New Roman" w:hAnsi="Times New Roman" w:cs="Times New Roman"/>
                <w:b/>
                <w:bCs/>
                <w:color w:val="000000"/>
                <w:sz w:val="18"/>
                <w:szCs w:val="18"/>
                <w:lang w:eastAsia="ro-RO"/>
              </w:rPr>
            </w:pPr>
            <w:r w:rsidRPr="00FD2D5D">
              <w:rPr>
                <w:rFonts w:ascii="Times New Roman" w:eastAsia="Times New Roman" w:hAnsi="Times New Roman" w:cs="Times New Roman"/>
                <w:b/>
                <w:bCs/>
                <w:color w:val="000000"/>
                <w:sz w:val="18"/>
                <w:szCs w:val="18"/>
                <w:lang w:eastAsia="ro-RO"/>
              </w:rPr>
              <w:t>1</w:t>
            </w:r>
            <w:r w:rsidR="00803311" w:rsidRPr="00FD2D5D">
              <w:rPr>
                <w:rFonts w:ascii="Times New Roman" w:eastAsia="Times New Roman" w:hAnsi="Times New Roman" w:cs="Times New Roman"/>
                <w:b/>
                <w:bCs/>
                <w:color w:val="000000"/>
                <w:sz w:val="18"/>
                <w:szCs w:val="18"/>
                <w:lang w:eastAsia="ro-RO"/>
              </w:rPr>
              <w:t>,</w:t>
            </w:r>
            <w:r w:rsidRPr="00FD2D5D">
              <w:rPr>
                <w:rFonts w:ascii="Times New Roman" w:eastAsia="Times New Roman" w:hAnsi="Times New Roman" w:cs="Times New Roman"/>
                <w:b/>
                <w:bCs/>
                <w:color w:val="000000"/>
                <w:sz w:val="18"/>
                <w:szCs w:val="18"/>
                <w:lang w:eastAsia="ro-RO"/>
              </w:rPr>
              <w:t>42</w:t>
            </w:r>
          </w:p>
        </w:tc>
        <w:tc>
          <w:tcPr>
            <w:tcW w:w="484" w:type="pct"/>
            <w:tcBorders>
              <w:top w:val="nil"/>
              <w:left w:val="nil"/>
              <w:bottom w:val="single" w:sz="4" w:space="0" w:color="auto"/>
              <w:right w:val="single" w:sz="4" w:space="0" w:color="auto"/>
            </w:tcBorders>
            <w:shd w:val="clear" w:color="auto" w:fill="auto"/>
            <w:noWrap/>
            <w:vAlign w:val="center"/>
            <w:hideMark/>
          </w:tcPr>
          <w:p w14:paraId="0EA85A6E" w14:textId="57EBDA9A" w:rsidR="001625C3" w:rsidRPr="00FD2D5D" w:rsidRDefault="001625C3" w:rsidP="00803311">
            <w:pPr>
              <w:spacing w:after="0" w:line="240" w:lineRule="auto"/>
              <w:jc w:val="center"/>
              <w:rPr>
                <w:rFonts w:ascii="Times New Roman" w:eastAsia="Times New Roman" w:hAnsi="Times New Roman" w:cs="Times New Roman"/>
                <w:b/>
                <w:bCs/>
                <w:color w:val="000000"/>
                <w:sz w:val="18"/>
                <w:szCs w:val="18"/>
                <w:lang w:eastAsia="ro-RO"/>
              </w:rPr>
            </w:pPr>
            <w:r w:rsidRPr="00FD2D5D">
              <w:rPr>
                <w:rFonts w:ascii="Times New Roman" w:eastAsia="Times New Roman" w:hAnsi="Times New Roman" w:cs="Times New Roman"/>
                <w:b/>
                <w:bCs/>
                <w:color w:val="000000"/>
                <w:sz w:val="18"/>
                <w:szCs w:val="18"/>
                <w:lang w:eastAsia="ro-RO"/>
              </w:rPr>
              <w:t>1</w:t>
            </w:r>
            <w:r w:rsidR="00803311" w:rsidRPr="00FD2D5D">
              <w:rPr>
                <w:rFonts w:ascii="Times New Roman" w:eastAsia="Times New Roman" w:hAnsi="Times New Roman" w:cs="Times New Roman"/>
                <w:b/>
                <w:bCs/>
                <w:color w:val="000000"/>
                <w:sz w:val="18"/>
                <w:szCs w:val="18"/>
                <w:lang w:eastAsia="ro-RO"/>
              </w:rPr>
              <w:t>,</w:t>
            </w:r>
            <w:r w:rsidRPr="00FD2D5D">
              <w:rPr>
                <w:rFonts w:ascii="Times New Roman" w:eastAsia="Times New Roman" w:hAnsi="Times New Roman" w:cs="Times New Roman"/>
                <w:b/>
                <w:bCs/>
                <w:color w:val="000000"/>
                <w:sz w:val="18"/>
                <w:szCs w:val="18"/>
                <w:lang w:eastAsia="ro-RO"/>
              </w:rPr>
              <w:t>23</w:t>
            </w:r>
          </w:p>
        </w:tc>
        <w:tc>
          <w:tcPr>
            <w:tcW w:w="484" w:type="pct"/>
            <w:tcBorders>
              <w:top w:val="nil"/>
              <w:left w:val="nil"/>
              <w:bottom w:val="single" w:sz="4" w:space="0" w:color="auto"/>
              <w:right w:val="single" w:sz="4" w:space="0" w:color="auto"/>
            </w:tcBorders>
            <w:shd w:val="clear" w:color="auto" w:fill="auto"/>
            <w:noWrap/>
            <w:vAlign w:val="center"/>
            <w:hideMark/>
          </w:tcPr>
          <w:p w14:paraId="6BA1F930" w14:textId="1DEA4CA3" w:rsidR="001625C3" w:rsidRPr="00FD2D5D" w:rsidRDefault="001625C3" w:rsidP="00803311">
            <w:pPr>
              <w:spacing w:after="0" w:line="240" w:lineRule="auto"/>
              <w:jc w:val="center"/>
              <w:rPr>
                <w:rFonts w:ascii="Times New Roman" w:eastAsia="Times New Roman" w:hAnsi="Times New Roman" w:cs="Times New Roman"/>
                <w:b/>
                <w:bCs/>
                <w:color w:val="000000"/>
                <w:sz w:val="18"/>
                <w:szCs w:val="18"/>
                <w:lang w:eastAsia="ro-RO"/>
              </w:rPr>
            </w:pPr>
            <w:r w:rsidRPr="00FD2D5D">
              <w:rPr>
                <w:rFonts w:ascii="Times New Roman" w:eastAsia="Times New Roman" w:hAnsi="Times New Roman" w:cs="Times New Roman"/>
                <w:b/>
                <w:bCs/>
                <w:color w:val="000000"/>
                <w:sz w:val="18"/>
                <w:szCs w:val="18"/>
                <w:lang w:eastAsia="ro-RO"/>
              </w:rPr>
              <w:t>0</w:t>
            </w:r>
            <w:r w:rsidR="00803311" w:rsidRPr="00FD2D5D">
              <w:rPr>
                <w:rFonts w:ascii="Times New Roman" w:eastAsia="Times New Roman" w:hAnsi="Times New Roman" w:cs="Times New Roman"/>
                <w:b/>
                <w:bCs/>
                <w:color w:val="000000"/>
                <w:sz w:val="18"/>
                <w:szCs w:val="18"/>
                <w:lang w:eastAsia="ro-RO"/>
              </w:rPr>
              <w:t>,</w:t>
            </w:r>
            <w:r w:rsidRPr="00FD2D5D">
              <w:rPr>
                <w:rFonts w:ascii="Times New Roman" w:eastAsia="Times New Roman" w:hAnsi="Times New Roman" w:cs="Times New Roman"/>
                <w:b/>
                <w:bCs/>
                <w:color w:val="000000"/>
                <w:sz w:val="18"/>
                <w:szCs w:val="18"/>
                <w:lang w:eastAsia="ro-RO"/>
              </w:rPr>
              <w:t>98</w:t>
            </w:r>
          </w:p>
        </w:tc>
        <w:tc>
          <w:tcPr>
            <w:tcW w:w="484" w:type="pct"/>
            <w:tcBorders>
              <w:top w:val="nil"/>
              <w:left w:val="nil"/>
              <w:bottom w:val="single" w:sz="4" w:space="0" w:color="auto"/>
              <w:right w:val="single" w:sz="4" w:space="0" w:color="auto"/>
            </w:tcBorders>
            <w:shd w:val="clear" w:color="auto" w:fill="auto"/>
            <w:noWrap/>
            <w:vAlign w:val="center"/>
            <w:hideMark/>
          </w:tcPr>
          <w:p w14:paraId="3FE18E5D" w14:textId="289A7FC3" w:rsidR="001625C3" w:rsidRPr="00FD2D5D" w:rsidRDefault="001625C3" w:rsidP="00803311">
            <w:pPr>
              <w:spacing w:after="0" w:line="240" w:lineRule="auto"/>
              <w:jc w:val="center"/>
              <w:rPr>
                <w:rFonts w:ascii="Times New Roman" w:eastAsia="Times New Roman" w:hAnsi="Times New Roman" w:cs="Times New Roman"/>
                <w:b/>
                <w:bCs/>
                <w:color w:val="000000"/>
                <w:sz w:val="18"/>
                <w:szCs w:val="18"/>
                <w:lang w:eastAsia="ro-RO"/>
              </w:rPr>
            </w:pPr>
            <w:r w:rsidRPr="00FD2D5D">
              <w:rPr>
                <w:rFonts w:ascii="Times New Roman" w:eastAsia="Times New Roman" w:hAnsi="Times New Roman" w:cs="Times New Roman"/>
                <w:b/>
                <w:bCs/>
                <w:color w:val="000000"/>
                <w:sz w:val="18"/>
                <w:szCs w:val="18"/>
                <w:lang w:eastAsia="ro-RO"/>
              </w:rPr>
              <w:t>0</w:t>
            </w:r>
            <w:r w:rsidR="00803311" w:rsidRPr="00FD2D5D">
              <w:rPr>
                <w:rFonts w:ascii="Times New Roman" w:eastAsia="Times New Roman" w:hAnsi="Times New Roman" w:cs="Times New Roman"/>
                <w:b/>
                <w:bCs/>
                <w:color w:val="000000"/>
                <w:sz w:val="18"/>
                <w:szCs w:val="18"/>
                <w:lang w:eastAsia="ro-RO"/>
              </w:rPr>
              <w:t>,</w:t>
            </w:r>
            <w:r w:rsidRPr="00FD2D5D">
              <w:rPr>
                <w:rFonts w:ascii="Times New Roman" w:eastAsia="Times New Roman" w:hAnsi="Times New Roman" w:cs="Times New Roman"/>
                <w:b/>
                <w:bCs/>
                <w:color w:val="000000"/>
                <w:sz w:val="18"/>
                <w:szCs w:val="18"/>
                <w:lang w:eastAsia="ro-RO"/>
              </w:rPr>
              <w:t>91</w:t>
            </w:r>
          </w:p>
        </w:tc>
        <w:tc>
          <w:tcPr>
            <w:tcW w:w="483" w:type="pct"/>
            <w:tcBorders>
              <w:top w:val="nil"/>
              <w:left w:val="nil"/>
              <w:bottom w:val="single" w:sz="4" w:space="0" w:color="auto"/>
              <w:right w:val="single" w:sz="4" w:space="0" w:color="auto"/>
            </w:tcBorders>
            <w:shd w:val="clear" w:color="auto" w:fill="auto"/>
            <w:vAlign w:val="center"/>
            <w:hideMark/>
          </w:tcPr>
          <w:p w14:paraId="4B1F5D3A" w14:textId="294B48F9" w:rsidR="001625C3" w:rsidRPr="00FD2D5D" w:rsidRDefault="001625C3" w:rsidP="00803311">
            <w:pPr>
              <w:spacing w:after="0" w:line="240" w:lineRule="auto"/>
              <w:jc w:val="center"/>
              <w:rPr>
                <w:rFonts w:ascii="Times New Roman" w:eastAsia="Times New Roman" w:hAnsi="Times New Roman" w:cs="Times New Roman"/>
                <w:b/>
                <w:bCs/>
                <w:color w:val="000000"/>
                <w:sz w:val="18"/>
                <w:szCs w:val="18"/>
                <w:lang w:eastAsia="ro-RO"/>
              </w:rPr>
            </w:pPr>
            <w:r w:rsidRPr="00FD2D5D">
              <w:rPr>
                <w:rFonts w:ascii="Times New Roman" w:eastAsia="Times New Roman" w:hAnsi="Times New Roman" w:cs="Times New Roman"/>
                <w:b/>
                <w:bCs/>
                <w:color w:val="000000"/>
                <w:sz w:val="18"/>
                <w:szCs w:val="18"/>
                <w:lang w:eastAsia="ro-RO"/>
              </w:rPr>
              <w:t>77</w:t>
            </w:r>
            <w:r w:rsidR="00803311" w:rsidRPr="00FD2D5D">
              <w:rPr>
                <w:rFonts w:ascii="Times New Roman" w:eastAsia="Times New Roman" w:hAnsi="Times New Roman" w:cs="Times New Roman"/>
                <w:b/>
                <w:bCs/>
                <w:color w:val="000000"/>
                <w:sz w:val="18"/>
                <w:szCs w:val="18"/>
                <w:lang w:eastAsia="ro-RO"/>
              </w:rPr>
              <w:t>,</w:t>
            </w:r>
            <w:r w:rsidRPr="00FD2D5D">
              <w:rPr>
                <w:rFonts w:ascii="Times New Roman" w:eastAsia="Times New Roman" w:hAnsi="Times New Roman" w:cs="Times New Roman"/>
                <w:b/>
                <w:bCs/>
                <w:color w:val="000000"/>
                <w:sz w:val="18"/>
                <w:szCs w:val="18"/>
                <w:lang w:eastAsia="ro-RO"/>
              </w:rPr>
              <w:t>9</w:t>
            </w:r>
            <w:r w:rsidR="00214ED2" w:rsidRPr="00FD2D5D">
              <w:rPr>
                <w:rFonts w:ascii="Times New Roman" w:eastAsia="Times New Roman" w:hAnsi="Times New Roman" w:cs="Times New Roman"/>
                <w:b/>
                <w:bCs/>
                <w:color w:val="000000"/>
                <w:sz w:val="18"/>
                <w:szCs w:val="18"/>
                <w:lang w:eastAsia="ro-RO"/>
              </w:rPr>
              <w:t>0</w:t>
            </w:r>
          </w:p>
        </w:tc>
      </w:tr>
      <w:tr w:rsidR="001625C3" w:rsidRPr="00FD2D5D" w14:paraId="5AB05B66" w14:textId="77777777" w:rsidTr="00803311">
        <w:trPr>
          <w:trHeight w:val="300"/>
        </w:trPr>
        <w:tc>
          <w:tcPr>
            <w:tcW w:w="1128" w:type="pct"/>
            <w:tcBorders>
              <w:top w:val="nil"/>
              <w:left w:val="single" w:sz="4" w:space="0" w:color="auto"/>
              <w:bottom w:val="single" w:sz="4" w:space="0" w:color="auto"/>
              <w:right w:val="single" w:sz="4" w:space="0" w:color="auto"/>
            </w:tcBorders>
            <w:shd w:val="clear" w:color="auto" w:fill="auto"/>
            <w:vAlign w:val="center"/>
            <w:hideMark/>
          </w:tcPr>
          <w:p w14:paraId="2AA28500" w14:textId="77777777" w:rsidR="001625C3" w:rsidRPr="00FD2D5D" w:rsidRDefault="001625C3" w:rsidP="001625C3">
            <w:pPr>
              <w:spacing w:after="0" w:line="240" w:lineRule="auto"/>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România</w:t>
            </w:r>
          </w:p>
        </w:tc>
        <w:tc>
          <w:tcPr>
            <w:tcW w:w="484" w:type="pct"/>
            <w:tcBorders>
              <w:top w:val="nil"/>
              <w:left w:val="nil"/>
              <w:bottom w:val="single" w:sz="4" w:space="0" w:color="auto"/>
              <w:right w:val="single" w:sz="4" w:space="0" w:color="auto"/>
            </w:tcBorders>
            <w:shd w:val="clear" w:color="auto" w:fill="auto"/>
            <w:noWrap/>
            <w:vAlign w:val="center"/>
            <w:hideMark/>
          </w:tcPr>
          <w:p w14:paraId="37D5133D" w14:textId="6185CEAB"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1</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46</w:t>
            </w:r>
          </w:p>
        </w:tc>
        <w:tc>
          <w:tcPr>
            <w:tcW w:w="484" w:type="pct"/>
            <w:tcBorders>
              <w:top w:val="nil"/>
              <w:left w:val="nil"/>
              <w:bottom w:val="single" w:sz="4" w:space="0" w:color="auto"/>
              <w:right w:val="single" w:sz="4" w:space="0" w:color="auto"/>
            </w:tcBorders>
            <w:shd w:val="clear" w:color="auto" w:fill="auto"/>
            <w:noWrap/>
            <w:vAlign w:val="center"/>
            <w:hideMark/>
          </w:tcPr>
          <w:p w14:paraId="044FD485" w14:textId="40316965"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1</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14</w:t>
            </w:r>
          </w:p>
        </w:tc>
        <w:tc>
          <w:tcPr>
            <w:tcW w:w="484" w:type="pct"/>
            <w:tcBorders>
              <w:top w:val="nil"/>
              <w:left w:val="nil"/>
              <w:bottom w:val="single" w:sz="4" w:space="0" w:color="auto"/>
              <w:right w:val="single" w:sz="4" w:space="0" w:color="auto"/>
            </w:tcBorders>
            <w:shd w:val="clear" w:color="auto" w:fill="auto"/>
            <w:noWrap/>
            <w:vAlign w:val="center"/>
            <w:hideMark/>
          </w:tcPr>
          <w:p w14:paraId="05989F21" w14:textId="53A83437"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85</w:t>
            </w:r>
          </w:p>
        </w:tc>
        <w:tc>
          <w:tcPr>
            <w:tcW w:w="484" w:type="pct"/>
            <w:tcBorders>
              <w:top w:val="nil"/>
              <w:left w:val="nil"/>
              <w:bottom w:val="single" w:sz="4" w:space="0" w:color="auto"/>
              <w:right w:val="single" w:sz="4" w:space="0" w:color="auto"/>
            </w:tcBorders>
            <w:shd w:val="clear" w:color="auto" w:fill="auto"/>
            <w:noWrap/>
            <w:vAlign w:val="center"/>
            <w:hideMark/>
          </w:tcPr>
          <w:p w14:paraId="4B1D59ED" w14:textId="3F271CC5"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69</w:t>
            </w:r>
          </w:p>
        </w:tc>
        <w:tc>
          <w:tcPr>
            <w:tcW w:w="484" w:type="pct"/>
            <w:tcBorders>
              <w:top w:val="nil"/>
              <w:left w:val="nil"/>
              <w:bottom w:val="single" w:sz="4" w:space="0" w:color="auto"/>
              <w:right w:val="single" w:sz="4" w:space="0" w:color="auto"/>
            </w:tcBorders>
            <w:shd w:val="clear" w:color="auto" w:fill="auto"/>
            <w:noWrap/>
            <w:vAlign w:val="center"/>
            <w:hideMark/>
          </w:tcPr>
          <w:p w14:paraId="400FC7FE" w14:textId="1A8382E8"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49</w:t>
            </w:r>
          </w:p>
        </w:tc>
        <w:tc>
          <w:tcPr>
            <w:tcW w:w="484" w:type="pct"/>
            <w:tcBorders>
              <w:top w:val="nil"/>
              <w:left w:val="nil"/>
              <w:bottom w:val="single" w:sz="4" w:space="0" w:color="auto"/>
              <w:right w:val="single" w:sz="4" w:space="0" w:color="auto"/>
            </w:tcBorders>
            <w:shd w:val="clear" w:color="auto" w:fill="auto"/>
            <w:noWrap/>
            <w:vAlign w:val="center"/>
            <w:hideMark/>
          </w:tcPr>
          <w:p w14:paraId="38782E85" w14:textId="70DF4805"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39</w:t>
            </w:r>
          </w:p>
        </w:tc>
        <w:tc>
          <w:tcPr>
            <w:tcW w:w="484" w:type="pct"/>
            <w:tcBorders>
              <w:top w:val="nil"/>
              <w:left w:val="nil"/>
              <w:bottom w:val="single" w:sz="4" w:space="0" w:color="auto"/>
              <w:right w:val="single" w:sz="4" w:space="0" w:color="auto"/>
            </w:tcBorders>
            <w:shd w:val="clear" w:color="auto" w:fill="auto"/>
            <w:noWrap/>
            <w:vAlign w:val="center"/>
            <w:hideMark/>
          </w:tcPr>
          <w:p w14:paraId="759D7696" w14:textId="2806E4F2"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34</w:t>
            </w:r>
          </w:p>
        </w:tc>
        <w:tc>
          <w:tcPr>
            <w:tcW w:w="483" w:type="pct"/>
            <w:tcBorders>
              <w:top w:val="nil"/>
              <w:left w:val="nil"/>
              <w:bottom w:val="single" w:sz="4" w:space="0" w:color="auto"/>
              <w:right w:val="single" w:sz="4" w:space="0" w:color="auto"/>
            </w:tcBorders>
            <w:shd w:val="clear" w:color="auto" w:fill="auto"/>
            <w:vAlign w:val="center"/>
            <w:hideMark/>
          </w:tcPr>
          <w:p w14:paraId="34DB4344" w14:textId="483B52BF"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76</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7</w:t>
            </w:r>
            <w:r w:rsidR="00214ED2" w:rsidRPr="00FD2D5D">
              <w:rPr>
                <w:rFonts w:ascii="Times New Roman" w:eastAsia="Times New Roman" w:hAnsi="Times New Roman" w:cs="Times New Roman"/>
                <w:color w:val="000000"/>
                <w:sz w:val="18"/>
                <w:szCs w:val="18"/>
                <w:lang w:eastAsia="ro-RO"/>
              </w:rPr>
              <w:t>0</w:t>
            </w:r>
          </w:p>
        </w:tc>
      </w:tr>
      <w:tr w:rsidR="001625C3" w:rsidRPr="00FD2D5D" w14:paraId="236D2AAE" w14:textId="77777777" w:rsidTr="00803311">
        <w:trPr>
          <w:trHeight w:val="300"/>
        </w:trPr>
        <w:tc>
          <w:tcPr>
            <w:tcW w:w="1128" w:type="pct"/>
            <w:tcBorders>
              <w:top w:val="nil"/>
              <w:left w:val="single" w:sz="4" w:space="0" w:color="auto"/>
              <w:bottom w:val="single" w:sz="4" w:space="0" w:color="auto"/>
              <w:right w:val="single" w:sz="4" w:space="0" w:color="auto"/>
            </w:tcBorders>
            <w:shd w:val="clear" w:color="auto" w:fill="auto"/>
            <w:vAlign w:val="center"/>
            <w:hideMark/>
          </w:tcPr>
          <w:p w14:paraId="3AAF2DC6" w14:textId="023CEAAE" w:rsidR="001625C3" w:rsidRPr="00FD2D5D" w:rsidRDefault="00FD2D5D" w:rsidP="001625C3">
            <w:pPr>
              <w:spacing w:after="0" w:line="240" w:lineRule="auto"/>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Federația</w:t>
            </w:r>
            <w:r w:rsidR="001625C3" w:rsidRPr="00FD2D5D">
              <w:rPr>
                <w:rFonts w:ascii="Times New Roman" w:eastAsia="Times New Roman" w:hAnsi="Times New Roman" w:cs="Times New Roman"/>
                <w:color w:val="000000"/>
                <w:sz w:val="18"/>
                <w:szCs w:val="18"/>
                <w:lang w:eastAsia="ro-RO"/>
              </w:rPr>
              <w:t xml:space="preserve"> Rusă</w:t>
            </w:r>
          </w:p>
        </w:tc>
        <w:tc>
          <w:tcPr>
            <w:tcW w:w="484" w:type="pct"/>
            <w:tcBorders>
              <w:top w:val="nil"/>
              <w:left w:val="nil"/>
              <w:bottom w:val="single" w:sz="4" w:space="0" w:color="auto"/>
              <w:right w:val="single" w:sz="4" w:space="0" w:color="auto"/>
            </w:tcBorders>
            <w:shd w:val="clear" w:color="auto" w:fill="auto"/>
            <w:noWrap/>
            <w:vAlign w:val="center"/>
            <w:hideMark/>
          </w:tcPr>
          <w:p w14:paraId="6D7BD6F9" w14:textId="4648453C"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1</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85</w:t>
            </w:r>
          </w:p>
        </w:tc>
        <w:tc>
          <w:tcPr>
            <w:tcW w:w="484" w:type="pct"/>
            <w:tcBorders>
              <w:top w:val="nil"/>
              <w:left w:val="nil"/>
              <w:bottom w:val="single" w:sz="4" w:space="0" w:color="auto"/>
              <w:right w:val="single" w:sz="4" w:space="0" w:color="auto"/>
            </w:tcBorders>
            <w:shd w:val="clear" w:color="auto" w:fill="auto"/>
            <w:noWrap/>
            <w:vAlign w:val="center"/>
            <w:hideMark/>
          </w:tcPr>
          <w:p w14:paraId="42F30AB0" w14:textId="36B00FBD"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2</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13</w:t>
            </w:r>
          </w:p>
        </w:tc>
        <w:tc>
          <w:tcPr>
            <w:tcW w:w="484" w:type="pct"/>
            <w:tcBorders>
              <w:top w:val="nil"/>
              <w:left w:val="nil"/>
              <w:bottom w:val="single" w:sz="4" w:space="0" w:color="auto"/>
              <w:right w:val="single" w:sz="4" w:space="0" w:color="auto"/>
            </w:tcBorders>
            <w:shd w:val="clear" w:color="auto" w:fill="auto"/>
            <w:noWrap/>
            <w:vAlign w:val="center"/>
            <w:hideMark/>
          </w:tcPr>
          <w:p w14:paraId="00EDE213" w14:textId="308A3315"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1</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88</w:t>
            </w:r>
          </w:p>
        </w:tc>
        <w:tc>
          <w:tcPr>
            <w:tcW w:w="484" w:type="pct"/>
            <w:tcBorders>
              <w:top w:val="nil"/>
              <w:left w:val="nil"/>
              <w:bottom w:val="single" w:sz="4" w:space="0" w:color="auto"/>
              <w:right w:val="single" w:sz="4" w:space="0" w:color="auto"/>
            </w:tcBorders>
            <w:shd w:val="clear" w:color="auto" w:fill="auto"/>
            <w:noWrap/>
            <w:vAlign w:val="center"/>
            <w:hideMark/>
          </w:tcPr>
          <w:p w14:paraId="4106A81A" w14:textId="4AB868D4"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1</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4</w:t>
            </w:r>
            <w:r w:rsidR="00214ED2" w:rsidRPr="00FD2D5D">
              <w:rPr>
                <w:rFonts w:ascii="Times New Roman" w:eastAsia="Times New Roman" w:hAnsi="Times New Roman" w:cs="Times New Roman"/>
                <w:color w:val="000000"/>
                <w:sz w:val="18"/>
                <w:szCs w:val="18"/>
                <w:lang w:eastAsia="ro-RO"/>
              </w:rPr>
              <w:t>0</w:t>
            </w:r>
          </w:p>
        </w:tc>
        <w:tc>
          <w:tcPr>
            <w:tcW w:w="484" w:type="pct"/>
            <w:tcBorders>
              <w:top w:val="nil"/>
              <w:left w:val="nil"/>
              <w:bottom w:val="single" w:sz="4" w:space="0" w:color="auto"/>
              <w:right w:val="single" w:sz="4" w:space="0" w:color="auto"/>
            </w:tcBorders>
            <w:shd w:val="clear" w:color="auto" w:fill="auto"/>
            <w:noWrap/>
            <w:vAlign w:val="center"/>
            <w:hideMark/>
          </w:tcPr>
          <w:p w14:paraId="376BC5F0" w14:textId="63677903"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1</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21</w:t>
            </w:r>
          </w:p>
        </w:tc>
        <w:tc>
          <w:tcPr>
            <w:tcW w:w="484" w:type="pct"/>
            <w:tcBorders>
              <w:top w:val="nil"/>
              <w:left w:val="nil"/>
              <w:bottom w:val="single" w:sz="4" w:space="0" w:color="auto"/>
              <w:right w:val="single" w:sz="4" w:space="0" w:color="auto"/>
            </w:tcBorders>
            <w:shd w:val="clear" w:color="auto" w:fill="auto"/>
            <w:noWrap/>
            <w:vAlign w:val="center"/>
            <w:hideMark/>
          </w:tcPr>
          <w:p w14:paraId="3C955AFC" w14:textId="20E5AD5E"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1</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13</w:t>
            </w:r>
          </w:p>
        </w:tc>
        <w:tc>
          <w:tcPr>
            <w:tcW w:w="484" w:type="pct"/>
            <w:tcBorders>
              <w:top w:val="nil"/>
              <w:left w:val="nil"/>
              <w:bottom w:val="single" w:sz="4" w:space="0" w:color="auto"/>
              <w:right w:val="single" w:sz="4" w:space="0" w:color="auto"/>
            </w:tcBorders>
            <w:shd w:val="clear" w:color="auto" w:fill="auto"/>
            <w:noWrap/>
            <w:vAlign w:val="center"/>
            <w:hideMark/>
          </w:tcPr>
          <w:p w14:paraId="48D0445F" w14:textId="66FCF7B3"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1</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12</w:t>
            </w:r>
          </w:p>
        </w:tc>
        <w:tc>
          <w:tcPr>
            <w:tcW w:w="483" w:type="pct"/>
            <w:tcBorders>
              <w:top w:val="nil"/>
              <w:left w:val="nil"/>
              <w:bottom w:val="single" w:sz="4" w:space="0" w:color="auto"/>
              <w:right w:val="single" w:sz="4" w:space="0" w:color="auto"/>
            </w:tcBorders>
            <w:shd w:val="clear" w:color="auto" w:fill="auto"/>
            <w:vAlign w:val="center"/>
            <w:hideMark/>
          </w:tcPr>
          <w:p w14:paraId="78DBCDA5" w14:textId="26E23E82"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39</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5</w:t>
            </w:r>
            <w:r w:rsidR="00214ED2" w:rsidRPr="00FD2D5D">
              <w:rPr>
                <w:rFonts w:ascii="Times New Roman" w:eastAsia="Times New Roman" w:hAnsi="Times New Roman" w:cs="Times New Roman"/>
                <w:color w:val="000000"/>
                <w:sz w:val="18"/>
                <w:szCs w:val="18"/>
                <w:lang w:eastAsia="ro-RO"/>
              </w:rPr>
              <w:t>0</w:t>
            </w:r>
          </w:p>
        </w:tc>
      </w:tr>
      <w:tr w:rsidR="001625C3" w:rsidRPr="00FD2D5D" w14:paraId="5213736C" w14:textId="77777777" w:rsidTr="00803311">
        <w:trPr>
          <w:trHeight w:val="300"/>
        </w:trPr>
        <w:tc>
          <w:tcPr>
            <w:tcW w:w="1128" w:type="pct"/>
            <w:tcBorders>
              <w:top w:val="nil"/>
              <w:left w:val="single" w:sz="4" w:space="0" w:color="auto"/>
              <w:bottom w:val="single" w:sz="4" w:space="0" w:color="auto"/>
              <w:right w:val="single" w:sz="4" w:space="0" w:color="auto"/>
            </w:tcBorders>
            <w:shd w:val="clear" w:color="auto" w:fill="auto"/>
            <w:vAlign w:val="center"/>
            <w:hideMark/>
          </w:tcPr>
          <w:p w14:paraId="2E0B12E1" w14:textId="77777777" w:rsidR="001625C3" w:rsidRPr="00FD2D5D" w:rsidRDefault="001625C3" w:rsidP="001625C3">
            <w:pPr>
              <w:spacing w:after="0" w:line="240" w:lineRule="auto"/>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lastRenderedPageBreak/>
              <w:t>Ucraina</w:t>
            </w:r>
          </w:p>
        </w:tc>
        <w:tc>
          <w:tcPr>
            <w:tcW w:w="484" w:type="pct"/>
            <w:tcBorders>
              <w:top w:val="nil"/>
              <w:left w:val="nil"/>
              <w:bottom w:val="single" w:sz="4" w:space="0" w:color="auto"/>
              <w:right w:val="single" w:sz="4" w:space="0" w:color="auto"/>
            </w:tcBorders>
            <w:shd w:val="clear" w:color="auto" w:fill="auto"/>
            <w:noWrap/>
            <w:vAlign w:val="center"/>
            <w:hideMark/>
          </w:tcPr>
          <w:p w14:paraId="79E00805" w14:textId="53827FEE"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4</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46</w:t>
            </w:r>
          </w:p>
        </w:tc>
        <w:tc>
          <w:tcPr>
            <w:tcW w:w="484" w:type="pct"/>
            <w:tcBorders>
              <w:top w:val="nil"/>
              <w:left w:val="nil"/>
              <w:bottom w:val="single" w:sz="4" w:space="0" w:color="auto"/>
              <w:right w:val="single" w:sz="4" w:space="0" w:color="auto"/>
            </w:tcBorders>
            <w:shd w:val="clear" w:color="auto" w:fill="auto"/>
            <w:noWrap/>
            <w:vAlign w:val="center"/>
            <w:hideMark/>
          </w:tcPr>
          <w:p w14:paraId="22A09032" w14:textId="5C718526"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5</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34</w:t>
            </w:r>
          </w:p>
        </w:tc>
        <w:tc>
          <w:tcPr>
            <w:tcW w:w="484" w:type="pct"/>
            <w:tcBorders>
              <w:top w:val="nil"/>
              <w:left w:val="nil"/>
              <w:bottom w:val="single" w:sz="4" w:space="0" w:color="auto"/>
              <w:right w:val="single" w:sz="4" w:space="0" w:color="auto"/>
            </w:tcBorders>
            <w:shd w:val="clear" w:color="auto" w:fill="auto"/>
            <w:noWrap/>
            <w:vAlign w:val="center"/>
            <w:hideMark/>
          </w:tcPr>
          <w:p w14:paraId="04C882B1" w14:textId="1F9A6BF4"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4</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4</w:t>
            </w:r>
            <w:r w:rsidR="00214ED2" w:rsidRPr="00FD2D5D">
              <w:rPr>
                <w:rFonts w:ascii="Times New Roman" w:eastAsia="Times New Roman" w:hAnsi="Times New Roman" w:cs="Times New Roman"/>
                <w:color w:val="000000"/>
                <w:sz w:val="18"/>
                <w:szCs w:val="18"/>
                <w:lang w:eastAsia="ro-RO"/>
              </w:rPr>
              <w:t>0</w:t>
            </w:r>
          </w:p>
        </w:tc>
        <w:tc>
          <w:tcPr>
            <w:tcW w:w="484" w:type="pct"/>
            <w:tcBorders>
              <w:top w:val="nil"/>
              <w:left w:val="nil"/>
              <w:bottom w:val="single" w:sz="4" w:space="0" w:color="auto"/>
              <w:right w:val="single" w:sz="4" w:space="0" w:color="auto"/>
            </w:tcBorders>
            <w:shd w:val="clear" w:color="auto" w:fill="auto"/>
            <w:noWrap/>
            <w:vAlign w:val="center"/>
            <w:hideMark/>
          </w:tcPr>
          <w:p w14:paraId="1B4A8071" w14:textId="0D291410"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2</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98</w:t>
            </w:r>
          </w:p>
        </w:tc>
        <w:tc>
          <w:tcPr>
            <w:tcW w:w="484" w:type="pct"/>
            <w:tcBorders>
              <w:top w:val="nil"/>
              <w:left w:val="nil"/>
              <w:bottom w:val="single" w:sz="4" w:space="0" w:color="auto"/>
              <w:right w:val="single" w:sz="4" w:space="0" w:color="auto"/>
            </w:tcBorders>
            <w:shd w:val="clear" w:color="auto" w:fill="auto"/>
            <w:noWrap/>
            <w:vAlign w:val="center"/>
            <w:hideMark/>
          </w:tcPr>
          <w:p w14:paraId="142E351D" w14:textId="41577CAD"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2</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61</w:t>
            </w:r>
          </w:p>
        </w:tc>
        <w:tc>
          <w:tcPr>
            <w:tcW w:w="484" w:type="pct"/>
            <w:tcBorders>
              <w:top w:val="nil"/>
              <w:left w:val="nil"/>
              <w:bottom w:val="single" w:sz="4" w:space="0" w:color="auto"/>
              <w:right w:val="single" w:sz="4" w:space="0" w:color="auto"/>
            </w:tcBorders>
            <w:shd w:val="clear" w:color="auto" w:fill="auto"/>
            <w:noWrap/>
            <w:vAlign w:val="center"/>
            <w:hideMark/>
          </w:tcPr>
          <w:p w14:paraId="4BB846A4" w14:textId="232AEC9C"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2</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06</w:t>
            </w:r>
          </w:p>
        </w:tc>
        <w:tc>
          <w:tcPr>
            <w:tcW w:w="484" w:type="pct"/>
            <w:tcBorders>
              <w:top w:val="nil"/>
              <w:left w:val="nil"/>
              <w:bottom w:val="single" w:sz="4" w:space="0" w:color="auto"/>
              <w:right w:val="single" w:sz="4" w:space="0" w:color="auto"/>
            </w:tcBorders>
            <w:shd w:val="clear" w:color="auto" w:fill="auto"/>
            <w:noWrap/>
            <w:vAlign w:val="center"/>
            <w:hideMark/>
          </w:tcPr>
          <w:p w14:paraId="777AE8C0" w14:textId="361D308F"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1</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84</w:t>
            </w:r>
          </w:p>
        </w:tc>
        <w:tc>
          <w:tcPr>
            <w:tcW w:w="483" w:type="pct"/>
            <w:tcBorders>
              <w:top w:val="nil"/>
              <w:left w:val="nil"/>
              <w:bottom w:val="single" w:sz="4" w:space="0" w:color="auto"/>
              <w:right w:val="single" w:sz="4" w:space="0" w:color="auto"/>
            </w:tcBorders>
            <w:shd w:val="clear" w:color="auto" w:fill="auto"/>
            <w:vAlign w:val="center"/>
            <w:hideMark/>
          </w:tcPr>
          <w:p w14:paraId="41401286" w14:textId="5084C1E4"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58</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7</w:t>
            </w:r>
            <w:r w:rsidR="00214ED2" w:rsidRPr="00FD2D5D">
              <w:rPr>
                <w:rFonts w:ascii="Times New Roman" w:eastAsia="Times New Roman" w:hAnsi="Times New Roman" w:cs="Times New Roman"/>
                <w:color w:val="000000"/>
                <w:sz w:val="18"/>
                <w:szCs w:val="18"/>
                <w:lang w:eastAsia="ro-RO"/>
              </w:rPr>
              <w:t>0</w:t>
            </w:r>
          </w:p>
        </w:tc>
      </w:tr>
    </w:tbl>
    <w:p w14:paraId="609F3DBC" w14:textId="51A769A6" w:rsidR="006364B2" w:rsidRPr="00FD2D5D" w:rsidRDefault="006364B2" w:rsidP="00803311">
      <w:pPr>
        <w:spacing w:before="120" w:after="120" w:line="240" w:lineRule="auto"/>
        <w:ind w:firstLine="720"/>
        <w:jc w:val="both"/>
        <w:rPr>
          <w:rFonts w:ascii="Times New Roman" w:eastAsia="Times New Roman" w:hAnsi="Times New Roman" w:cs="Times New Roman"/>
          <w:sz w:val="24"/>
          <w:szCs w:val="24"/>
          <w:lang w:eastAsia="ru-RU"/>
        </w:rPr>
      </w:pPr>
      <w:r w:rsidRPr="00FD2D5D">
        <w:rPr>
          <w:rFonts w:ascii="Times New Roman" w:eastAsia="Times New Roman" w:hAnsi="Times New Roman" w:cs="Times New Roman"/>
          <w:color w:val="000000"/>
          <w:sz w:val="24"/>
          <w:szCs w:val="24"/>
          <w:shd w:val="clear" w:color="auto" w:fill="FFFFFF"/>
          <w:lang w:eastAsia="ru-RU"/>
        </w:rPr>
        <w:t xml:space="preserve">Această </w:t>
      </w:r>
      <w:r w:rsidR="00FD2D5D" w:rsidRPr="00FD2D5D">
        <w:rPr>
          <w:rFonts w:ascii="Times New Roman" w:eastAsia="Times New Roman" w:hAnsi="Times New Roman" w:cs="Times New Roman"/>
          <w:color w:val="000000"/>
          <w:sz w:val="24"/>
          <w:szCs w:val="24"/>
          <w:shd w:val="clear" w:color="auto" w:fill="FFFFFF"/>
          <w:lang w:eastAsia="ru-RU"/>
        </w:rPr>
        <w:t>situație</w:t>
      </w:r>
      <w:r w:rsidRPr="00FD2D5D">
        <w:rPr>
          <w:rFonts w:ascii="Times New Roman" w:eastAsia="Times New Roman" w:hAnsi="Times New Roman" w:cs="Times New Roman"/>
          <w:color w:val="000000"/>
          <w:sz w:val="24"/>
          <w:szCs w:val="24"/>
          <w:shd w:val="clear" w:color="auto" w:fill="FFFFFF"/>
          <w:lang w:eastAsia="ru-RU"/>
        </w:rPr>
        <w:t xml:space="preserve"> </w:t>
      </w:r>
      <w:r w:rsidR="003B13DE" w:rsidRPr="00FD2D5D">
        <w:rPr>
          <w:rFonts w:ascii="Times New Roman" w:eastAsia="Times New Roman" w:hAnsi="Times New Roman" w:cs="Times New Roman"/>
          <w:color w:val="000000"/>
          <w:sz w:val="24"/>
          <w:szCs w:val="24"/>
          <w:shd w:val="clear" w:color="auto" w:fill="FFFFFF"/>
          <w:lang w:eastAsia="ru-RU"/>
        </w:rPr>
        <w:t xml:space="preserve">este cauzată de </w:t>
      </w:r>
      <w:r w:rsidR="00FD2D5D" w:rsidRPr="00FD2D5D">
        <w:rPr>
          <w:rFonts w:ascii="Times New Roman" w:eastAsia="Times New Roman" w:hAnsi="Times New Roman" w:cs="Times New Roman"/>
          <w:color w:val="000000"/>
          <w:sz w:val="24"/>
          <w:szCs w:val="24"/>
          <w:shd w:val="clear" w:color="auto" w:fill="FFFFFF"/>
          <w:lang w:eastAsia="ru-RU"/>
        </w:rPr>
        <w:t>eficiență</w:t>
      </w:r>
      <w:r w:rsidRPr="00FD2D5D">
        <w:rPr>
          <w:rFonts w:ascii="Times New Roman" w:eastAsia="Times New Roman" w:hAnsi="Times New Roman" w:cs="Times New Roman"/>
          <w:color w:val="000000"/>
          <w:sz w:val="24"/>
          <w:szCs w:val="24"/>
          <w:shd w:val="clear" w:color="auto" w:fill="FFFFFF"/>
          <w:lang w:eastAsia="ru-RU"/>
        </w:rPr>
        <w:t xml:space="preserve"> energetic</w:t>
      </w:r>
      <w:r w:rsidR="003B13DE" w:rsidRPr="00FD2D5D">
        <w:rPr>
          <w:rFonts w:ascii="Times New Roman" w:eastAsia="Times New Roman" w:hAnsi="Times New Roman" w:cs="Times New Roman"/>
          <w:color w:val="000000"/>
          <w:sz w:val="24"/>
          <w:szCs w:val="24"/>
          <w:shd w:val="clear" w:color="auto" w:fill="FFFFFF"/>
          <w:lang w:eastAsia="ru-RU"/>
        </w:rPr>
        <w:t>ă</w:t>
      </w:r>
      <w:r w:rsidRPr="00FD2D5D">
        <w:rPr>
          <w:rFonts w:ascii="Times New Roman" w:eastAsia="Times New Roman" w:hAnsi="Times New Roman" w:cs="Times New Roman"/>
          <w:color w:val="000000"/>
          <w:sz w:val="24"/>
          <w:szCs w:val="24"/>
          <w:shd w:val="clear" w:color="auto" w:fill="FFFFFF"/>
          <w:lang w:eastAsia="ru-RU"/>
        </w:rPr>
        <w:t xml:space="preserve"> scăzut</w:t>
      </w:r>
      <w:r w:rsidR="00DB3EEE" w:rsidRPr="00FD2D5D">
        <w:rPr>
          <w:rFonts w:ascii="Times New Roman" w:eastAsia="Times New Roman" w:hAnsi="Times New Roman" w:cs="Times New Roman"/>
          <w:color w:val="000000"/>
          <w:sz w:val="24"/>
          <w:szCs w:val="24"/>
          <w:shd w:val="clear" w:color="auto" w:fill="FFFFFF"/>
          <w:lang w:eastAsia="ru-RU"/>
        </w:rPr>
        <w:t>ă</w:t>
      </w:r>
      <w:r w:rsidRPr="00FD2D5D">
        <w:rPr>
          <w:rFonts w:ascii="Times New Roman" w:eastAsia="Times New Roman" w:hAnsi="Times New Roman" w:cs="Times New Roman"/>
          <w:color w:val="000000"/>
          <w:sz w:val="24"/>
          <w:szCs w:val="24"/>
          <w:shd w:val="clear" w:color="auto" w:fill="FFFFFF"/>
          <w:lang w:eastAsia="ru-RU"/>
        </w:rPr>
        <w:t xml:space="preserve"> </w:t>
      </w:r>
      <w:r w:rsidR="00F41100" w:rsidRPr="00FD2D5D">
        <w:rPr>
          <w:rFonts w:ascii="Times New Roman" w:eastAsia="Times New Roman" w:hAnsi="Times New Roman" w:cs="Times New Roman"/>
          <w:color w:val="000000"/>
          <w:sz w:val="24"/>
          <w:szCs w:val="24"/>
          <w:shd w:val="clear" w:color="auto" w:fill="FFFFFF"/>
          <w:lang w:eastAsia="ru-RU"/>
        </w:rPr>
        <w:t xml:space="preserve">la producerea, transportul, </w:t>
      </w:r>
      <w:r w:rsidR="00FD2D5D" w:rsidRPr="00FD2D5D">
        <w:rPr>
          <w:rFonts w:ascii="Times New Roman" w:eastAsia="Times New Roman" w:hAnsi="Times New Roman" w:cs="Times New Roman"/>
          <w:color w:val="000000"/>
          <w:sz w:val="24"/>
          <w:szCs w:val="24"/>
          <w:shd w:val="clear" w:color="auto" w:fill="FFFFFF"/>
          <w:lang w:eastAsia="ru-RU"/>
        </w:rPr>
        <w:t>distribuția</w:t>
      </w:r>
      <w:r w:rsidR="00F41100" w:rsidRPr="00FD2D5D">
        <w:rPr>
          <w:rFonts w:ascii="Times New Roman" w:eastAsia="Times New Roman" w:hAnsi="Times New Roman" w:cs="Times New Roman"/>
          <w:color w:val="000000"/>
          <w:sz w:val="24"/>
          <w:szCs w:val="24"/>
          <w:shd w:val="clear" w:color="auto" w:fill="FFFFFF"/>
          <w:lang w:eastAsia="ru-RU"/>
        </w:rPr>
        <w:t xml:space="preserve"> </w:t>
      </w:r>
      <w:r w:rsidR="00FD2D5D" w:rsidRPr="00FD2D5D">
        <w:rPr>
          <w:rFonts w:ascii="Times New Roman" w:eastAsia="Times New Roman" w:hAnsi="Times New Roman" w:cs="Times New Roman"/>
          <w:color w:val="000000"/>
          <w:sz w:val="24"/>
          <w:szCs w:val="24"/>
          <w:shd w:val="clear" w:color="auto" w:fill="FFFFFF"/>
          <w:lang w:eastAsia="ru-RU"/>
        </w:rPr>
        <w:t>și</w:t>
      </w:r>
      <w:r w:rsidR="00F41100" w:rsidRPr="00FD2D5D">
        <w:rPr>
          <w:rFonts w:ascii="Times New Roman" w:eastAsia="Times New Roman" w:hAnsi="Times New Roman" w:cs="Times New Roman"/>
          <w:color w:val="000000"/>
          <w:sz w:val="24"/>
          <w:szCs w:val="24"/>
          <w:shd w:val="clear" w:color="auto" w:fill="FFFFFF"/>
          <w:lang w:eastAsia="ru-RU"/>
        </w:rPr>
        <w:t xml:space="preserve"> consumul r</w:t>
      </w:r>
      <w:r w:rsidRPr="00FD2D5D">
        <w:rPr>
          <w:rFonts w:ascii="Times New Roman" w:eastAsia="Times New Roman" w:hAnsi="Times New Roman" w:cs="Times New Roman"/>
          <w:color w:val="000000"/>
          <w:sz w:val="24"/>
          <w:szCs w:val="24"/>
          <w:shd w:val="clear" w:color="auto" w:fill="FFFFFF"/>
          <w:lang w:eastAsia="ru-RU"/>
        </w:rPr>
        <w:t>esurse</w:t>
      </w:r>
      <w:r w:rsidR="00F41100" w:rsidRPr="00FD2D5D">
        <w:rPr>
          <w:rFonts w:ascii="Times New Roman" w:eastAsia="Times New Roman" w:hAnsi="Times New Roman" w:cs="Times New Roman"/>
          <w:color w:val="000000"/>
          <w:sz w:val="24"/>
          <w:szCs w:val="24"/>
          <w:shd w:val="clear" w:color="auto" w:fill="FFFFFF"/>
          <w:lang w:eastAsia="ru-RU"/>
        </w:rPr>
        <w:t>lor</w:t>
      </w:r>
      <w:r w:rsidRPr="00FD2D5D">
        <w:rPr>
          <w:rFonts w:ascii="Times New Roman" w:eastAsia="Times New Roman" w:hAnsi="Times New Roman" w:cs="Times New Roman"/>
          <w:color w:val="000000"/>
          <w:sz w:val="24"/>
          <w:szCs w:val="24"/>
          <w:shd w:val="clear" w:color="auto" w:fill="FFFFFF"/>
          <w:lang w:eastAsia="ru-RU"/>
        </w:rPr>
        <w:t xml:space="preserve"> energetice, inclusiv</w:t>
      </w:r>
      <w:r w:rsidR="003B13DE" w:rsidRPr="00FD2D5D">
        <w:rPr>
          <w:rFonts w:ascii="Times New Roman" w:eastAsia="Times New Roman" w:hAnsi="Times New Roman" w:cs="Times New Roman"/>
          <w:color w:val="000000"/>
          <w:sz w:val="24"/>
          <w:szCs w:val="24"/>
          <w:shd w:val="clear" w:color="auto" w:fill="FFFFFF"/>
          <w:lang w:eastAsia="ru-RU"/>
        </w:rPr>
        <w:t xml:space="preserve">, drept urmare a </w:t>
      </w:r>
      <w:r w:rsidRPr="00FD2D5D">
        <w:rPr>
          <w:rFonts w:ascii="Times New Roman" w:eastAsia="Times New Roman" w:hAnsi="Times New Roman" w:cs="Times New Roman"/>
          <w:color w:val="000000"/>
          <w:sz w:val="24"/>
          <w:szCs w:val="24"/>
          <w:shd w:val="clear" w:color="auto" w:fill="FFFFFF"/>
          <w:lang w:eastAsia="ru-RU"/>
        </w:rPr>
        <w:t xml:space="preserve">tehnologiilor </w:t>
      </w:r>
      <w:r w:rsidR="00FD2D5D" w:rsidRPr="00FD2D5D">
        <w:rPr>
          <w:rFonts w:ascii="Times New Roman" w:eastAsia="Times New Roman" w:hAnsi="Times New Roman" w:cs="Times New Roman"/>
          <w:color w:val="000000"/>
          <w:sz w:val="24"/>
          <w:szCs w:val="24"/>
          <w:shd w:val="clear" w:color="auto" w:fill="FFFFFF"/>
          <w:lang w:eastAsia="ru-RU"/>
        </w:rPr>
        <w:t>depășite</w:t>
      </w:r>
      <w:r w:rsidRPr="00FD2D5D">
        <w:rPr>
          <w:rFonts w:ascii="Times New Roman" w:eastAsia="Times New Roman" w:hAnsi="Times New Roman" w:cs="Times New Roman"/>
          <w:color w:val="000000"/>
          <w:sz w:val="24"/>
          <w:szCs w:val="24"/>
          <w:shd w:val="clear" w:color="auto" w:fill="FFFFFF"/>
          <w:lang w:eastAsia="ru-RU"/>
        </w:rPr>
        <w:t xml:space="preserve"> </w:t>
      </w:r>
      <w:r w:rsidR="00FD2D5D" w:rsidRPr="00FD2D5D">
        <w:rPr>
          <w:rFonts w:ascii="Times New Roman" w:eastAsia="Times New Roman" w:hAnsi="Times New Roman" w:cs="Times New Roman"/>
          <w:color w:val="000000"/>
          <w:sz w:val="24"/>
          <w:szCs w:val="24"/>
          <w:shd w:val="clear" w:color="auto" w:fill="FFFFFF"/>
          <w:lang w:eastAsia="ru-RU"/>
        </w:rPr>
        <w:t>și</w:t>
      </w:r>
      <w:r w:rsidRPr="00FD2D5D">
        <w:rPr>
          <w:rFonts w:ascii="Times New Roman" w:eastAsia="Times New Roman" w:hAnsi="Times New Roman" w:cs="Times New Roman"/>
          <w:color w:val="000000"/>
          <w:sz w:val="24"/>
          <w:szCs w:val="24"/>
          <w:shd w:val="clear" w:color="auto" w:fill="FFFFFF"/>
          <w:lang w:eastAsia="ru-RU"/>
        </w:rPr>
        <w:t xml:space="preserve"> ineficiente, infrastructurii învechite </w:t>
      </w:r>
      <w:r w:rsidR="00FD2D5D" w:rsidRPr="00FD2D5D">
        <w:rPr>
          <w:rFonts w:ascii="Times New Roman" w:eastAsia="Times New Roman" w:hAnsi="Times New Roman" w:cs="Times New Roman"/>
          <w:color w:val="000000"/>
          <w:sz w:val="24"/>
          <w:szCs w:val="24"/>
          <w:shd w:val="clear" w:color="auto" w:fill="FFFFFF"/>
          <w:lang w:eastAsia="ru-RU"/>
        </w:rPr>
        <w:t>și</w:t>
      </w:r>
      <w:r w:rsidRPr="00FD2D5D">
        <w:rPr>
          <w:rFonts w:ascii="Times New Roman" w:eastAsia="Times New Roman" w:hAnsi="Times New Roman" w:cs="Times New Roman"/>
          <w:color w:val="000000"/>
          <w:sz w:val="24"/>
          <w:szCs w:val="24"/>
          <w:shd w:val="clear" w:color="auto" w:fill="FFFFFF"/>
          <w:lang w:eastAsia="ru-RU"/>
        </w:rPr>
        <w:t xml:space="preserve"> </w:t>
      </w:r>
      <w:r w:rsidR="00FD2D5D" w:rsidRPr="00FD2D5D">
        <w:rPr>
          <w:rFonts w:ascii="Times New Roman" w:eastAsia="Times New Roman" w:hAnsi="Times New Roman" w:cs="Times New Roman"/>
          <w:color w:val="000000"/>
          <w:sz w:val="24"/>
          <w:szCs w:val="24"/>
          <w:shd w:val="clear" w:color="auto" w:fill="FFFFFF"/>
          <w:lang w:eastAsia="ru-RU"/>
        </w:rPr>
        <w:t>performanțelor</w:t>
      </w:r>
      <w:r w:rsidR="00F41100" w:rsidRPr="00FD2D5D">
        <w:rPr>
          <w:rFonts w:ascii="Times New Roman" w:eastAsia="Times New Roman" w:hAnsi="Times New Roman" w:cs="Times New Roman"/>
          <w:color w:val="000000"/>
          <w:sz w:val="24"/>
          <w:szCs w:val="24"/>
          <w:shd w:val="clear" w:color="auto" w:fill="FFFFFF"/>
          <w:lang w:eastAsia="ru-RU"/>
        </w:rPr>
        <w:t xml:space="preserve"> energetice </w:t>
      </w:r>
      <w:r w:rsidR="003B13DE" w:rsidRPr="00FD2D5D">
        <w:rPr>
          <w:rFonts w:ascii="Times New Roman" w:eastAsia="Times New Roman" w:hAnsi="Times New Roman" w:cs="Times New Roman"/>
          <w:color w:val="000000"/>
          <w:sz w:val="24"/>
          <w:szCs w:val="24"/>
          <w:shd w:val="clear" w:color="auto" w:fill="FFFFFF"/>
          <w:lang w:eastAsia="ru-RU"/>
        </w:rPr>
        <w:t>joase</w:t>
      </w:r>
      <w:r w:rsidR="00F41100" w:rsidRPr="00FD2D5D">
        <w:rPr>
          <w:rFonts w:ascii="Times New Roman" w:eastAsia="Times New Roman" w:hAnsi="Times New Roman" w:cs="Times New Roman"/>
          <w:color w:val="000000"/>
          <w:sz w:val="24"/>
          <w:szCs w:val="24"/>
          <w:shd w:val="clear" w:color="auto" w:fill="FFFFFF"/>
          <w:lang w:eastAsia="ru-RU"/>
        </w:rPr>
        <w:t xml:space="preserve"> a fondului de clădiri</w:t>
      </w:r>
      <w:r w:rsidRPr="00FD2D5D">
        <w:rPr>
          <w:rFonts w:ascii="Times New Roman" w:eastAsia="Times New Roman" w:hAnsi="Times New Roman" w:cs="Times New Roman"/>
          <w:bCs/>
          <w:iCs/>
          <w:sz w:val="24"/>
          <w:szCs w:val="24"/>
          <w:lang w:eastAsia="ru-RU"/>
        </w:rPr>
        <w:t>.</w:t>
      </w:r>
    </w:p>
    <w:p w14:paraId="001E0131" w14:textId="51E39AEA" w:rsidR="006364B2" w:rsidRPr="00FD2D5D" w:rsidRDefault="006364B2" w:rsidP="00803311">
      <w:pPr>
        <w:spacing w:after="120" w:line="240" w:lineRule="auto"/>
        <w:ind w:firstLine="720"/>
        <w:jc w:val="right"/>
        <w:rPr>
          <w:rFonts w:ascii="Times New Roman" w:eastAsia="Times New Roman" w:hAnsi="Times New Roman" w:cs="Times New Roman"/>
          <w:bCs/>
          <w:color w:val="000000"/>
          <w:sz w:val="24"/>
          <w:szCs w:val="24"/>
          <w:lang w:eastAsia="ru-RU"/>
        </w:rPr>
      </w:pPr>
      <w:r w:rsidRPr="00FD2D5D">
        <w:rPr>
          <w:rFonts w:ascii="Times New Roman" w:eastAsia="Times New Roman" w:hAnsi="Times New Roman" w:cs="Times New Roman"/>
          <w:bCs/>
          <w:color w:val="000000"/>
          <w:sz w:val="24"/>
          <w:szCs w:val="24"/>
          <w:lang w:eastAsia="ru-RU"/>
        </w:rPr>
        <w:t>Tabelul 2.</w:t>
      </w:r>
      <w:r w:rsidR="008A3367" w:rsidRPr="00FD2D5D">
        <w:rPr>
          <w:rFonts w:ascii="Times New Roman" w:eastAsia="Times New Roman" w:hAnsi="Times New Roman" w:cs="Times New Roman"/>
          <w:bCs/>
          <w:color w:val="000000"/>
          <w:sz w:val="24"/>
          <w:szCs w:val="24"/>
          <w:lang w:eastAsia="ru-RU"/>
        </w:rPr>
        <w:t>4</w:t>
      </w:r>
    </w:p>
    <w:p w14:paraId="1A206E80" w14:textId="0DDAF68E" w:rsidR="006364B2" w:rsidRPr="00FD2D5D" w:rsidRDefault="006364B2" w:rsidP="006364B2">
      <w:pPr>
        <w:spacing w:after="0" w:line="240" w:lineRule="auto"/>
        <w:jc w:val="center"/>
        <w:rPr>
          <w:rFonts w:ascii="Times New Roman" w:eastAsia="Times New Roman" w:hAnsi="Times New Roman" w:cs="Times New Roman"/>
          <w:b/>
          <w:color w:val="000000"/>
          <w:sz w:val="24"/>
          <w:szCs w:val="24"/>
          <w:lang w:eastAsia="ru-RU"/>
        </w:rPr>
      </w:pPr>
      <w:bookmarkStart w:id="2" w:name="_Hlk74652183"/>
      <w:r w:rsidRPr="00FD2D5D">
        <w:rPr>
          <w:rFonts w:ascii="Times New Roman" w:eastAsia="Times New Roman" w:hAnsi="Times New Roman" w:cs="Times New Roman"/>
          <w:b/>
          <w:color w:val="000000"/>
          <w:sz w:val="24"/>
          <w:szCs w:val="24"/>
          <w:lang w:eastAsia="ru-RU"/>
        </w:rPr>
        <w:t xml:space="preserve">Intensitatea energetică în </w:t>
      </w:r>
      <w:r w:rsidR="00FD2D5D" w:rsidRPr="00FD2D5D">
        <w:rPr>
          <w:rFonts w:ascii="Times New Roman" w:eastAsia="Times New Roman" w:hAnsi="Times New Roman" w:cs="Times New Roman"/>
          <w:b/>
          <w:color w:val="000000"/>
          <w:sz w:val="24"/>
          <w:szCs w:val="24"/>
          <w:lang w:eastAsia="ru-RU"/>
        </w:rPr>
        <w:t>țările</w:t>
      </w:r>
      <w:r w:rsidRPr="00FD2D5D">
        <w:rPr>
          <w:rFonts w:ascii="Times New Roman" w:eastAsia="Times New Roman" w:hAnsi="Times New Roman" w:cs="Times New Roman"/>
          <w:b/>
          <w:color w:val="000000"/>
          <w:sz w:val="24"/>
          <w:szCs w:val="24"/>
          <w:lang w:eastAsia="ru-RU"/>
        </w:rPr>
        <w:t xml:space="preserve"> cu economia în </w:t>
      </w:r>
      <w:r w:rsidR="00FD2D5D" w:rsidRPr="00FD2D5D">
        <w:rPr>
          <w:rFonts w:ascii="Times New Roman" w:eastAsia="Times New Roman" w:hAnsi="Times New Roman" w:cs="Times New Roman"/>
          <w:b/>
          <w:color w:val="000000"/>
          <w:sz w:val="24"/>
          <w:szCs w:val="24"/>
          <w:lang w:eastAsia="ru-RU"/>
        </w:rPr>
        <w:t>tranziție</w:t>
      </w:r>
      <w:r w:rsidRPr="00FD2D5D">
        <w:rPr>
          <w:rFonts w:ascii="Times New Roman" w:eastAsia="Times New Roman" w:hAnsi="Times New Roman" w:cs="Times New Roman"/>
          <w:b/>
          <w:color w:val="000000"/>
          <w:sz w:val="24"/>
          <w:szCs w:val="24"/>
          <w:lang w:eastAsia="ru-RU"/>
        </w:rPr>
        <w:t xml:space="preserve"> din Europa Centrală </w:t>
      </w:r>
      <w:r w:rsidR="00FD2D5D" w:rsidRPr="00FD2D5D">
        <w:rPr>
          <w:rFonts w:ascii="Times New Roman" w:eastAsia="Times New Roman" w:hAnsi="Times New Roman" w:cs="Times New Roman"/>
          <w:b/>
          <w:color w:val="000000"/>
          <w:sz w:val="24"/>
          <w:szCs w:val="24"/>
          <w:lang w:eastAsia="ru-RU"/>
        </w:rPr>
        <w:t>și</w:t>
      </w:r>
      <w:r w:rsidRPr="00FD2D5D">
        <w:rPr>
          <w:rFonts w:ascii="Times New Roman" w:eastAsia="Times New Roman" w:hAnsi="Times New Roman" w:cs="Times New Roman"/>
          <w:b/>
          <w:color w:val="000000"/>
          <w:sz w:val="24"/>
          <w:szCs w:val="24"/>
          <w:lang w:eastAsia="ru-RU"/>
        </w:rPr>
        <w:t xml:space="preserve"> de Est</w:t>
      </w:r>
    </w:p>
    <w:p w14:paraId="693BD2BB" w14:textId="7DA9140F" w:rsidR="006364B2" w:rsidRPr="00FD2D5D" w:rsidRDefault="006364B2" w:rsidP="006364B2">
      <w:pPr>
        <w:spacing w:after="0" w:line="240" w:lineRule="auto"/>
        <w:jc w:val="center"/>
        <w:rPr>
          <w:rFonts w:ascii="Times New Roman" w:eastAsia="Times New Roman" w:hAnsi="Times New Roman" w:cs="Times New Roman"/>
          <w:b/>
          <w:color w:val="000000"/>
          <w:sz w:val="24"/>
          <w:szCs w:val="24"/>
          <w:lang w:eastAsia="ru-RU"/>
        </w:rPr>
      </w:pPr>
      <w:r w:rsidRPr="00FD2D5D">
        <w:rPr>
          <w:rFonts w:ascii="Times New Roman" w:eastAsia="Times New Roman" w:hAnsi="Times New Roman" w:cs="Times New Roman"/>
          <w:b/>
          <w:color w:val="000000"/>
          <w:sz w:val="24"/>
          <w:szCs w:val="24"/>
          <w:lang w:eastAsia="ru-RU"/>
        </w:rPr>
        <w:t xml:space="preserve"> în perioada </w:t>
      </w:r>
      <w:r w:rsidR="001625C3" w:rsidRPr="00FD2D5D">
        <w:rPr>
          <w:rFonts w:ascii="Times New Roman" w:eastAsia="Times New Roman" w:hAnsi="Times New Roman" w:cs="Times New Roman"/>
          <w:b/>
          <w:color w:val="000000"/>
          <w:sz w:val="24"/>
          <w:szCs w:val="24"/>
          <w:lang w:eastAsia="ru-RU"/>
        </w:rPr>
        <w:t>1990</w:t>
      </w:r>
      <w:r w:rsidRPr="00FD2D5D">
        <w:rPr>
          <w:rFonts w:ascii="Times New Roman" w:eastAsia="Times New Roman" w:hAnsi="Times New Roman" w:cs="Times New Roman"/>
          <w:b/>
          <w:color w:val="000000"/>
          <w:sz w:val="24"/>
          <w:szCs w:val="24"/>
          <w:lang w:eastAsia="ru-RU"/>
        </w:rPr>
        <w:t>-201</w:t>
      </w:r>
      <w:r w:rsidR="001625C3" w:rsidRPr="00FD2D5D">
        <w:rPr>
          <w:rFonts w:ascii="Times New Roman" w:eastAsia="Times New Roman" w:hAnsi="Times New Roman" w:cs="Times New Roman"/>
          <w:b/>
          <w:color w:val="000000"/>
          <w:sz w:val="24"/>
          <w:szCs w:val="24"/>
          <w:lang w:eastAsia="ru-RU"/>
        </w:rPr>
        <w:t>8</w:t>
      </w:r>
      <w:r w:rsidRPr="00FD2D5D">
        <w:rPr>
          <w:rFonts w:ascii="Times New Roman" w:eastAsia="Times New Roman" w:hAnsi="Times New Roman" w:cs="Times New Roman"/>
          <w:b/>
          <w:color w:val="000000"/>
          <w:sz w:val="24"/>
          <w:szCs w:val="24"/>
          <w:lang w:eastAsia="ru-RU"/>
        </w:rPr>
        <w:t>, tone petrol echivalent TEPL</w:t>
      </w:r>
      <w:r w:rsidRPr="00FD2D5D">
        <w:rPr>
          <w:rFonts w:ascii="Times New Roman" w:eastAsia="Times New Roman" w:hAnsi="Times New Roman" w:cs="Times New Roman"/>
          <w:b/>
          <w:color w:val="000000"/>
          <w:sz w:val="24"/>
          <w:szCs w:val="24"/>
          <w:vertAlign w:val="superscript"/>
          <w:lang w:eastAsia="ru-RU"/>
        </w:rPr>
        <w:footnoteReference w:id="1"/>
      </w:r>
      <w:r w:rsidRPr="00FD2D5D">
        <w:rPr>
          <w:rFonts w:ascii="Times New Roman" w:eastAsia="Times New Roman" w:hAnsi="Times New Roman" w:cs="Times New Roman"/>
          <w:b/>
          <w:color w:val="000000"/>
          <w:sz w:val="24"/>
          <w:szCs w:val="24"/>
          <w:lang w:eastAsia="ru-RU"/>
        </w:rPr>
        <w:t xml:space="preserve">/mii dolari SUA </w:t>
      </w:r>
      <w:r w:rsidR="00803311" w:rsidRPr="00FD2D5D">
        <w:rPr>
          <w:rFonts w:ascii="Times New Roman" w:eastAsia="Times New Roman" w:hAnsi="Times New Roman" w:cs="Times New Roman"/>
          <w:b/>
          <w:color w:val="000000"/>
          <w:sz w:val="24"/>
          <w:szCs w:val="24"/>
          <w:lang w:eastAsia="ru-RU"/>
        </w:rPr>
        <w:t xml:space="preserve">din </w:t>
      </w:r>
      <w:r w:rsidRPr="00FD2D5D">
        <w:rPr>
          <w:rFonts w:ascii="Times New Roman" w:eastAsia="Times New Roman" w:hAnsi="Times New Roman" w:cs="Times New Roman"/>
          <w:b/>
          <w:color w:val="000000"/>
          <w:sz w:val="24"/>
          <w:szCs w:val="24"/>
          <w:shd w:val="clear" w:color="auto" w:fill="FFFFFF"/>
          <w:lang w:eastAsia="ru-RU"/>
        </w:rPr>
        <w:t>PIB</w:t>
      </w:r>
      <w:r w:rsidRPr="00FD2D5D">
        <w:rPr>
          <w:rFonts w:ascii="Times New Roman" w:eastAsia="Times New Roman" w:hAnsi="Times New Roman" w:cs="Times New Roman"/>
          <w:b/>
          <w:color w:val="000000"/>
          <w:sz w:val="24"/>
          <w:szCs w:val="24"/>
          <w:lang w:eastAsia="ru-RU"/>
        </w:rPr>
        <w:t xml:space="preserve"> actualiza</w:t>
      </w:r>
      <w:r w:rsidR="003B13DE" w:rsidRPr="00FD2D5D">
        <w:rPr>
          <w:rFonts w:ascii="Times New Roman" w:eastAsia="Times New Roman" w:hAnsi="Times New Roman" w:cs="Times New Roman"/>
          <w:b/>
          <w:color w:val="000000"/>
          <w:sz w:val="24"/>
          <w:szCs w:val="24"/>
          <w:lang w:eastAsia="ru-RU"/>
        </w:rPr>
        <w:t>t</w:t>
      </w:r>
      <w:r w:rsidRPr="00FD2D5D">
        <w:rPr>
          <w:rFonts w:ascii="Times New Roman" w:eastAsia="Times New Roman" w:hAnsi="Times New Roman" w:cs="Times New Roman"/>
          <w:b/>
          <w:color w:val="000000"/>
          <w:sz w:val="24"/>
          <w:szCs w:val="24"/>
          <w:lang w:eastAsia="ru-RU"/>
        </w:rPr>
        <w:t xml:space="preserve"> la nivelul anului 20</w:t>
      </w:r>
      <w:r w:rsidR="001625C3" w:rsidRPr="00FD2D5D">
        <w:rPr>
          <w:rFonts w:ascii="Times New Roman" w:eastAsia="Times New Roman" w:hAnsi="Times New Roman" w:cs="Times New Roman"/>
          <w:b/>
          <w:color w:val="000000"/>
          <w:sz w:val="24"/>
          <w:szCs w:val="24"/>
          <w:lang w:eastAsia="ru-RU"/>
        </w:rPr>
        <w:t>1</w:t>
      </w:r>
      <w:r w:rsidRPr="00FD2D5D">
        <w:rPr>
          <w:rFonts w:ascii="Times New Roman" w:eastAsia="Times New Roman" w:hAnsi="Times New Roman" w:cs="Times New Roman"/>
          <w:b/>
          <w:color w:val="000000"/>
          <w:sz w:val="24"/>
          <w:szCs w:val="24"/>
          <w:lang w:eastAsia="ru-RU"/>
        </w:rPr>
        <w:t>5</w:t>
      </w:r>
    </w:p>
    <w:tbl>
      <w:tblPr>
        <w:tblW w:w="5000" w:type="pct"/>
        <w:tblLook w:val="04A0" w:firstRow="1" w:lastRow="0" w:firstColumn="1" w:lastColumn="0" w:noHBand="0" w:noVBand="1"/>
      </w:tblPr>
      <w:tblGrid>
        <w:gridCol w:w="2058"/>
        <w:gridCol w:w="882"/>
        <w:gridCol w:w="883"/>
        <w:gridCol w:w="883"/>
        <w:gridCol w:w="883"/>
        <w:gridCol w:w="883"/>
        <w:gridCol w:w="883"/>
        <w:gridCol w:w="883"/>
        <w:gridCol w:w="881"/>
      </w:tblGrid>
      <w:tr w:rsidR="001625C3" w:rsidRPr="00FD2D5D" w14:paraId="036B8681" w14:textId="77777777" w:rsidTr="00403E3C">
        <w:trPr>
          <w:trHeight w:val="480"/>
        </w:trPr>
        <w:tc>
          <w:tcPr>
            <w:tcW w:w="1129" w:type="pct"/>
            <w:tcBorders>
              <w:top w:val="single" w:sz="4" w:space="0" w:color="auto"/>
              <w:left w:val="single" w:sz="4" w:space="0" w:color="auto"/>
              <w:bottom w:val="single" w:sz="4" w:space="0" w:color="auto"/>
              <w:right w:val="single" w:sz="4" w:space="0" w:color="auto"/>
            </w:tcBorders>
            <w:shd w:val="clear" w:color="000000" w:fill="5B9BD5"/>
            <w:vAlign w:val="center"/>
            <w:hideMark/>
          </w:tcPr>
          <w:bookmarkEnd w:id="2"/>
          <w:p w14:paraId="17C7D848" w14:textId="131E98E7" w:rsidR="001625C3" w:rsidRPr="00FD2D5D" w:rsidRDefault="00FD2D5D" w:rsidP="001F2F2D">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Țara</w:t>
            </w:r>
          </w:p>
        </w:tc>
        <w:tc>
          <w:tcPr>
            <w:tcW w:w="484" w:type="pct"/>
            <w:tcBorders>
              <w:top w:val="single" w:sz="4" w:space="0" w:color="auto"/>
              <w:left w:val="nil"/>
              <w:bottom w:val="single" w:sz="4" w:space="0" w:color="auto"/>
              <w:right w:val="single" w:sz="4" w:space="0" w:color="auto"/>
            </w:tcBorders>
            <w:shd w:val="clear" w:color="000000" w:fill="5B9BD5"/>
            <w:vAlign w:val="center"/>
            <w:hideMark/>
          </w:tcPr>
          <w:p w14:paraId="68C0F5EE" w14:textId="77777777" w:rsidR="001625C3" w:rsidRPr="00FD2D5D" w:rsidRDefault="001625C3" w:rsidP="001625C3">
            <w:pPr>
              <w:spacing w:after="0" w:line="240" w:lineRule="auto"/>
              <w:jc w:val="center"/>
              <w:rPr>
                <w:rFonts w:ascii="Times New Roman" w:eastAsia="Times New Roman" w:hAnsi="Times New Roman" w:cs="Times New Roman"/>
                <w:b/>
                <w:bCs/>
                <w:color w:val="FFFFFF"/>
                <w:sz w:val="18"/>
                <w:szCs w:val="18"/>
                <w:lang w:eastAsia="ro-RO"/>
              </w:rPr>
            </w:pPr>
            <w:r w:rsidRPr="00FD2D5D">
              <w:rPr>
                <w:rFonts w:ascii="Times New Roman" w:eastAsia="Times New Roman" w:hAnsi="Times New Roman" w:cs="Times New Roman"/>
                <w:b/>
                <w:bCs/>
                <w:color w:val="FFFFFF"/>
                <w:sz w:val="18"/>
                <w:szCs w:val="18"/>
                <w:lang w:eastAsia="ro-RO"/>
              </w:rPr>
              <w:t>1990</w:t>
            </w:r>
          </w:p>
        </w:tc>
        <w:tc>
          <w:tcPr>
            <w:tcW w:w="484" w:type="pct"/>
            <w:tcBorders>
              <w:top w:val="single" w:sz="4" w:space="0" w:color="auto"/>
              <w:left w:val="nil"/>
              <w:bottom w:val="single" w:sz="4" w:space="0" w:color="auto"/>
              <w:right w:val="single" w:sz="4" w:space="0" w:color="auto"/>
            </w:tcBorders>
            <w:shd w:val="clear" w:color="000000" w:fill="5B9BD5"/>
            <w:vAlign w:val="center"/>
            <w:hideMark/>
          </w:tcPr>
          <w:p w14:paraId="4DA79901" w14:textId="77777777" w:rsidR="001625C3" w:rsidRPr="00FD2D5D" w:rsidRDefault="001625C3" w:rsidP="001625C3">
            <w:pPr>
              <w:spacing w:after="0" w:line="240" w:lineRule="auto"/>
              <w:jc w:val="center"/>
              <w:rPr>
                <w:rFonts w:ascii="Times New Roman" w:eastAsia="Times New Roman" w:hAnsi="Times New Roman" w:cs="Times New Roman"/>
                <w:b/>
                <w:bCs/>
                <w:color w:val="FFFFFF"/>
                <w:sz w:val="18"/>
                <w:szCs w:val="18"/>
                <w:lang w:eastAsia="ro-RO"/>
              </w:rPr>
            </w:pPr>
            <w:r w:rsidRPr="00FD2D5D">
              <w:rPr>
                <w:rFonts w:ascii="Times New Roman" w:eastAsia="Times New Roman" w:hAnsi="Times New Roman" w:cs="Times New Roman"/>
                <w:b/>
                <w:bCs/>
                <w:color w:val="FFFFFF"/>
                <w:sz w:val="18"/>
                <w:szCs w:val="18"/>
                <w:lang w:eastAsia="ro-RO"/>
              </w:rPr>
              <w:t>1995</w:t>
            </w:r>
          </w:p>
        </w:tc>
        <w:tc>
          <w:tcPr>
            <w:tcW w:w="484" w:type="pct"/>
            <w:tcBorders>
              <w:top w:val="single" w:sz="4" w:space="0" w:color="auto"/>
              <w:left w:val="nil"/>
              <w:bottom w:val="single" w:sz="4" w:space="0" w:color="auto"/>
              <w:right w:val="single" w:sz="4" w:space="0" w:color="auto"/>
            </w:tcBorders>
            <w:shd w:val="clear" w:color="000000" w:fill="5B9BD5"/>
            <w:vAlign w:val="center"/>
            <w:hideMark/>
          </w:tcPr>
          <w:p w14:paraId="31A5AAA2" w14:textId="77777777" w:rsidR="001625C3" w:rsidRPr="00FD2D5D" w:rsidRDefault="001625C3" w:rsidP="001625C3">
            <w:pPr>
              <w:spacing w:after="0" w:line="240" w:lineRule="auto"/>
              <w:jc w:val="center"/>
              <w:rPr>
                <w:rFonts w:ascii="Times New Roman" w:eastAsia="Times New Roman" w:hAnsi="Times New Roman" w:cs="Times New Roman"/>
                <w:b/>
                <w:bCs/>
                <w:color w:val="FFFFFF"/>
                <w:sz w:val="18"/>
                <w:szCs w:val="18"/>
                <w:lang w:eastAsia="ro-RO"/>
              </w:rPr>
            </w:pPr>
            <w:r w:rsidRPr="00FD2D5D">
              <w:rPr>
                <w:rFonts w:ascii="Times New Roman" w:eastAsia="Times New Roman" w:hAnsi="Times New Roman" w:cs="Times New Roman"/>
                <w:b/>
                <w:bCs/>
                <w:color w:val="FFFFFF"/>
                <w:sz w:val="18"/>
                <w:szCs w:val="18"/>
                <w:lang w:eastAsia="ro-RO"/>
              </w:rPr>
              <w:t>2000</w:t>
            </w:r>
          </w:p>
        </w:tc>
        <w:tc>
          <w:tcPr>
            <w:tcW w:w="484" w:type="pct"/>
            <w:tcBorders>
              <w:top w:val="single" w:sz="4" w:space="0" w:color="auto"/>
              <w:left w:val="nil"/>
              <w:bottom w:val="single" w:sz="4" w:space="0" w:color="auto"/>
              <w:right w:val="single" w:sz="4" w:space="0" w:color="auto"/>
            </w:tcBorders>
            <w:shd w:val="clear" w:color="000000" w:fill="5B9BD5"/>
            <w:vAlign w:val="center"/>
            <w:hideMark/>
          </w:tcPr>
          <w:p w14:paraId="3B8FD893" w14:textId="77777777" w:rsidR="001625C3" w:rsidRPr="00FD2D5D" w:rsidRDefault="001625C3" w:rsidP="001625C3">
            <w:pPr>
              <w:spacing w:after="0" w:line="240" w:lineRule="auto"/>
              <w:jc w:val="center"/>
              <w:rPr>
                <w:rFonts w:ascii="Times New Roman" w:eastAsia="Times New Roman" w:hAnsi="Times New Roman" w:cs="Times New Roman"/>
                <w:b/>
                <w:bCs/>
                <w:color w:val="FFFFFF"/>
                <w:sz w:val="18"/>
                <w:szCs w:val="18"/>
                <w:lang w:eastAsia="ro-RO"/>
              </w:rPr>
            </w:pPr>
            <w:r w:rsidRPr="00FD2D5D">
              <w:rPr>
                <w:rFonts w:ascii="Times New Roman" w:eastAsia="Times New Roman" w:hAnsi="Times New Roman" w:cs="Times New Roman"/>
                <w:b/>
                <w:bCs/>
                <w:color w:val="FFFFFF"/>
                <w:sz w:val="18"/>
                <w:szCs w:val="18"/>
                <w:lang w:eastAsia="ro-RO"/>
              </w:rPr>
              <w:t>2005</w:t>
            </w:r>
          </w:p>
        </w:tc>
        <w:tc>
          <w:tcPr>
            <w:tcW w:w="484" w:type="pct"/>
            <w:tcBorders>
              <w:top w:val="single" w:sz="4" w:space="0" w:color="auto"/>
              <w:left w:val="nil"/>
              <w:bottom w:val="single" w:sz="4" w:space="0" w:color="auto"/>
              <w:right w:val="single" w:sz="4" w:space="0" w:color="auto"/>
            </w:tcBorders>
            <w:shd w:val="clear" w:color="000000" w:fill="5B9BD5"/>
            <w:vAlign w:val="center"/>
            <w:hideMark/>
          </w:tcPr>
          <w:p w14:paraId="1874636F" w14:textId="77777777" w:rsidR="001625C3" w:rsidRPr="00FD2D5D" w:rsidRDefault="001625C3" w:rsidP="001625C3">
            <w:pPr>
              <w:spacing w:after="0" w:line="240" w:lineRule="auto"/>
              <w:jc w:val="center"/>
              <w:rPr>
                <w:rFonts w:ascii="Times New Roman" w:eastAsia="Times New Roman" w:hAnsi="Times New Roman" w:cs="Times New Roman"/>
                <w:b/>
                <w:bCs/>
                <w:color w:val="FFFFFF"/>
                <w:sz w:val="18"/>
                <w:szCs w:val="18"/>
                <w:lang w:eastAsia="ro-RO"/>
              </w:rPr>
            </w:pPr>
            <w:r w:rsidRPr="00FD2D5D">
              <w:rPr>
                <w:rFonts w:ascii="Times New Roman" w:eastAsia="Times New Roman" w:hAnsi="Times New Roman" w:cs="Times New Roman"/>
                <w:b/>
                <w:bCs/>
                <w:color w:val="FFFFFF"/>
                <w:sz w:val="18"/>
                <w:szCs w:val="18"/>
                <w:lang w:eastAsia="ro-RO"/>
              </w:rPr>
              <w:t>2010</w:t>
            </w:r>
          </w:p>
        </w:tc>
        <w:tc>
          <w:tcPr>
            <w:tcW w:w="484" w:type="pct"/>
            <w:tcBorders>
              <w:top w:val="single" w:sz="4" w:space="0" w:color="auto"/>
              <w:left w:val="nil"/>
              <w:bottom w:val="single" w:sz="4" w:space="0" w:color="auto"/>
              <w:right w:val="single" w:sz="4" w:space="0" w:color="auto"/>
            </w:tcBorders>
            <w:shd w:val="clear" w:color="000000" w:fill="5B9BD5"/>
            <w:vAlign w:val="center"/>
            <w:hideMark/>
          </w:tcPr>
          <w:p w14:paraId="44175F9B" w14:textId="77777777" w:rsidR="001625C3" w:rsidRPr="00FD2D5D" w:rsidRDefault="001625C3" w:rsidP="001625C3">
            <w:pPr>
              <w:spacing w:after="0" w:line="240" w:lineRule="auto"/>
              <w:jc w:val="center"/>
              <w:rPr>
                <w:rFonts w:ascii="Times New Roman" w:eastAsia="Times New Roman" w:hAnsi="Times New Roman" w:cs="Times New Roman"/>
                <w:b/>
                <w:bCs/>
                <w:color w:val="FFFFFF"/>
                <w:sz w:val="18"/>
                <w:szCs w:val="18"/>
                <w:lang w:eastAsia="ro-RO"/>
              </w:rPr>
            </w:pPr>
            <w:r w:rsidRPr="00FD2D5D">
              <w:rPr>
                <w:rFonts w:ascii="Times New Roman" w:eastAsia="Times New Roman" w:hAnsi="Times New Roman" w:cs="Times New Roman"/>
                <w:b/>
                <w:bCs/>
                <w:color w:val="FFFFFF"/>
                <w:sz w:val="18"/>
                <w:szCs w:val="18"/>
                <w:lang w:eastAsia="ro-RO"/>
              </w:rPr>
              <w:t>2015</w:t>
            </w:r>
          </w:p>
        </w:tc>
        <w:tc>
          <w:tcPr>
            <w:tcW w:w="484" w:type="pct"/>
            <w:tcBorders>
              <w:top w:val="single" w:sz="4" w:space="0" w:color="auto"/>
              <w:left w:val="nil"/>
              <w:bottom w:val="single" w:sz="4" w:space="0" w:color="auto"/>
              <w:right w:val="single" w:sz="4" w:space="0" w:color="auto"/>
            </w:tcBorders>
            <w:shd w:val="clear" w:color="000000" w:fill="5B9BD5"/>
            <w:vAlign w:val="center"/>
            <w:hideMark/>
          </w:tcPr>
          <w:p w14:paraId="4FBBA5AF" w14:textId="77777777" w:rsidR="001625C3" w:rsidRPr="00FD2D5D" w:rsidRDefault="001625C3" w:rsidP="001625C3">
            <w:pPr>
              <w:spacing w:after="0" w:line="240" w:lineRule="auto"/>
              <w:jc w:val="center"/>
              <w:rPr>
                <w:rFonts w:ascii="Times New Roman" w:eastAsia="Times New Roman" w:hAnsi="Times New Roman" w:cs="Times New Roman"/>
                <w:b/>
                <w:bCs/>
                <w:color w:val="FFFFFF"/>
                <w:sz w:val="18"/>
                <w:szCs w:val="18"/>
                <w:lang w:eastAsia="ro-RO"/>
              </w:rPr>
            </w:pPr>
            <w:r w:rsidRPr="00FD2D5D">
              <w:rPr>
                <w:rFonts w:ascii="Times New Roman" w:eastAsia="Times New Roman" w:hAnsi="Times New Roman" w:cs="Times New Roman"/>
                <w:b/>
                <w:bCs/>
                <w:color w:val="FFFFFF"/>
                <w:sz w:val="18"/>
                <w:szCs w:val="18"/>
                <w:lang w:eastAsia="ro-RO"/>
              </w:rPr>
              <w:t>2018</w:t>
            </w:r>
          </w:p>
        </w:tc>
        <w:tc>
          <w:tcPr>
            <w:tcW w:w="484" w:type="pct"/>
            <w:tcBorders>
              <w:top w:val="single" w:sz="4" w:space="0" w:color="auto"/>
              <w:left w:val="nil"/>
              <w:bottom w:val="single" w:sz="4" w:space="0" w:color="auto"/>
              <w:right w:val="single" w:sz="4" w:space="0" w:color="auto"/>
            </w:tcBorders>
            <w:shd w:val="clear" w:color="000000" w:fill="5B9BD5"/>
            <w:vAlign w:val="center"/>
            <w:hideMark/>
          </w:tcPr>
          <w:p w14:paraId="6CD00563" w14:textId="77777777" w:rsidR="001625C3" w:rsidRPr="00FD2D5D" w:rsidRDefault="001625C3" w:rsidP="001625C3">
            <w:pPr>
              <w:spacing w:after="0" w:line="240" w:lineRule="auto"/>
              <w:jc w:val="center"/>
              <w:rPr>
                <w:rFonts w:ascii="Times New Roman" w:eastAsia="Times New Roman" w:hAnsi="Times New Roman" w:cs="Times New Roman"/>
                <w:b/>
                <w:bCs/>
                <w:color w:val="FFFFFF"/>
                <w:sz w:val="18"/>
                <w:szCs w:val="18"/>
                <w:lang w:eastAsia="ro-RO"/>
              </w:rPr>
            </w:pPr>
            <w:r w:rsidRPr="00FD2D5D">
              <w:rPr>
                <w:rFonts w:ascii="Times New Roman" w:eastAsia="Times New Roman" w:hAnsi="Times New Roman" w:cs="Times New Roman"/>
                <w:b/>
                <w:bCs/>
                <w:color w:val="FFFFFF"/>
                <w:sz w:val="18"/>
                <w:szCs w:val="18"/>
                <w:lang w:eastAsia="ro-RO"/>
              </w:rPr>
              <w:t>1990-2018, %</w:t>
            </w:r>
          </w:p>
        </w:tc>
      </w:tr>
      <w:tr w:rsidR="001625C3" w:rsidRPr="00FD2D5D" w14:paraId="590C9996" w14:textId="77777777" w:rsidTr="00803311">
        <w:trPr>
          <w:trHeight w:val="300"/>
        </w:trPr>
        <w:tc>
          <w:tcPr>
            <w:tcW w:w="1129" w:type="pct"/>
            <w:tcBorders>
              <w:top w:val="nil"/>
              <w:left w:val="single" w:sz="4" w:space="0" w:color="auto"/>
              <w:bottom w:val="single" w:sz="4" w:space="0" w:color="auto"/>
              <w:right w:val="single" w:sz="4" w:space="0" w:color="auto"/>
            </w:tcBorders>
            <w:shd w:val="clear" w:color="auto" w:fill="auto"/>
            <w:vAlign w:val="center"/>
            <w:hideMark/>
          </w:tcPr>
          <w:p w14:paraId="4F13A6C1" w14:textId="77777777" w:rsidR="001625C3" w:rsidRPr="00FD2D5D" w:rsidRDefault="001625C3" w:rsidP="001625C3">
            <w:pPr>
              <w:spacing w:after="0" w:line="240" w:lineRule="auto"/>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Albania</w:t>
            </w:r>
          </w:p>
        </w:tc>
        <w:tc>
          <w:tcPr>
            <w:tcW w:w="484" w:type="pct"/>
            <w:tcBorders>
              <w:top w:val="nil"/>
              <w:left w:val="nil"/>
              <w:bottom w:val="single" w:sz="4" w:space="0" w:color="auto"/>
              <w:right w:val="single" w:sz="4" w:space="0" w:color="auto"/>
            </w:tcBorders>
            <w:shd w:val="clear" w:color="auto" w:fill="auto"/>
            <w:noWrap/>
            <w:vAlign w:val="center"/>
            <w:hideMark/>
          </w:tcPr>
          <w:p w14:paraId="3FF1142D" w14:textId="1B2E20ED"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51</w:t>
            </w:r>
          </w:p>
        </w:tc>
        <w:tc>
          <w:tcPr>
            <w:tcW w:w="484" w:type="pct"/>
            <w:tcBorders>
              <w:top w:val="nil"/>
              <w:left w:val="nil"/>
              <w:bottom w:val="single" w:sz="4" w:space="0" w:color="auto"/>
              <w:right w:val="single" w:sz="4" w:space="0" w:color="auto"/>
            </w:tcBorders>
            <w:shd w:val="clear" w:color="auto" w:fill="auto"/>
            <w:noWrap/>
            <w:vAlign w:val="center"/>
            <w:hideMark/>
          </w:tcPr>
          <w:p w14:paraId="1E9FE8ED" w14:textId="6AC45BC2"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28</w:t>
            </w:r>
          </w:p>
        </w:tc>
        <w:tc>
          <w:tcPr>
            <w:tcW w:w="484" w:type="pct"/>
            <w:tcBorders>
              <w:top w:val="nil"/>
              <w:left w:val="nil"/>
              <w:bottom w:val="single" w:sz="4" w:space="0" w:color="auto"/>
              <w:right w:val="single" w:sz="4" w:space="0" w:color="auto"/>
            </w:tcBorders>
            <w:shd w:val="clear" w:color="auto" w:fill="auto"/>
            <w:noWrap/>
            <w:vAlign w:val="center"/>
            <w:hideMark/>
          </w:tcPr>
          <w:p w14:paraId="77B7991F" w14:textId="100F184E"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3</w:t>
            </w:r>
            <w:r w:rsidR="00214ED2" w:rsidRPr="00FD2D5D">
              <w:rPr>
                <w:rFonts w:ascii="Times New Roman" w:eastAsia="Times New Roman" w:hAnsi="Times New Roman" w:cs="Times New Roman"/>
                <w:color w:val="000000"/>
                <w:sz w:val="18"/>
                <w:szCs w:val="18"/>
                <w:lang w:eastAsia="ro-RO"/>
              </w:rPr>
              <w:t>0</w:t>
            </w:r>
          </w:p>
        </w:tc>
        <w:tc>
          <w:tcPr>
            <w:tcW w:w="484" w:type="pct"/>
            <w:tcBorders>
              <w:top w:val="nil"/>
              <w:left w:val="nil"/>
              <w:bottom w:val="single" w:sz="4" w:space="0" w:color="auto"/>
              <w:right w:val="single" w:sz="4" w:space="0" w:color="auto"/>
            </w:tcBorders>
            <w:shd w:val="clear" w:color="auto" w:fill="auto"/>
            <w:noWrap/>
            <w:vAlign w:val="center"/>
            <w:hideMark/>
          </w:tcPr>
          <w:p w14:paraId="597A2FF9" w14:textId="659A0865"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27</w:t>
            </w:r>
          </w:p>
        </w:tc>
        <w:tc>
          <w:tcPr>
            <w:tcW w:w="484" w:type="pct"/>
            <w:tcBorders>
              <w:top w:val="nil"/>
              <w:left w:val="nil"/>
              <w:bottom w:val="single" w:sz="4" w:space="0" w:color="auto"/>
              <w:right w:val="single" w:sz="4" w:space="0" w:color="auto"/>
            </w:tcBorders>
            <w:shd w:val="clear" w:color="auto" w:fill="auto"/>
            <w:noWrap/>
            <w:vAlign w:val="center"/>
            <w:hideMark/>
          </w:tcPr>
          <w:p w14:paraId="3F8F4B15" w14:textId="13B10E61"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2</w:t>
            </w:r>
            <w:r w:rsidR="00803311" w:rsidRPr="00FD2D5D">
              <w:rPr>
                <w:rFonts w:ascii="Times New Roman" w:eastAsia="Times New Roman" w:hAnsi="Times New Roman" w:cs="Times New Roman"/>
                <w:color w:val="000000"/>
                <w:sz w:val="18"/>
                <w:szCs w:val="18"/>
                <w:lang w:eastAsia="ro-RO"/>
              </w:rPr>
              <w:t>0</w:t>
            </w:r>
          </w:p>
        </w:tc>
        <w:tc>
          <w:tcPr>
            <w:tcW w:w="484" w:type="pct"/>
            <w:tcBorders>
              <w:top w:val="nil"/>
              <w:left w:val="nil"/>
              <w:bottom w:val="single" w:sz="4" w:space="0" w:color="auto"/>
              <w:right w:val="single" w:sz="4" w:space="0" w:color="auto"/>
            </w:tcBorders>
            <w:shd w:val="clear" w:color="auto" w:fill="auto"/>
            <w:noWrap/>
            <w:vAlign w:val="center"/>
            <w:hideMark/>
          </w:tcPr>
          <w:p w14:paraId="7740467B" w14:textId="2103C8FD"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19</w:t>
            </w:r>
          </w:p>
        </w:tc>
        <w:tc>
          <w:tcPr>
            <w:tcW w:w="484" w:type="pct"/>
            <w:tcBorders>
              <w:top w:val="nil"/>
              <w:left w:val="nil"/>
              <w:bottom w:val="single" w:sz="4" w:space="0" w:color="auto"/>
              <w:right w:val="single" w:sz="4" w:space="0" w:color="auto"/>
            </w:tcBorders>
            <w:shd w:val="clear" w:color="auto" w:fill="auto"/>
            <w:noWrap/>
            <w:vAlign w:val="center"/>
            <w:hideMark/>
          </w:tcPr>
          <w:p w14:paraId="77DCE56D" w14:textId="6EFF520A"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18</w:t>
            </w:r>
          </w:p>
        </w:tc>
        <w:tc>
          <w:tcPr>
            <w:tcW w:w="484" w:type="pct"/>
            <w:tcBorders>
              <w:top w:val="nil"/>
              <w:left w:val="nil"/>
              <w:bottom w:val="single" w:sz="4" w:space="0" w:color="auto"/>
              <w:right w:val="single" w:sz="4" w:space="0" w:color="auto"/>
            </w:tcBorders>
            <w:shd w:val="clear" w:color="auto" w:fill="auto"/>
            <w:vAlign w:val="center"/>
            <w:hideMark/>
          </w:tcPr>
          <w:p w14:paraId="705A7377" w14:textId="27A0AF37"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64</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7</w:t>
            </w:r>
            <w:r w:rsidR="00214ED2" w:rsidRPr="00FD2D5D">
              <w:rPr>
                <w:rFonts w:ascii="Times New Roman" w:eastAsia="Times New Roman" w:hAnsi="Times New Roman" w:cs="Times New Roman"/>
                <w:color w:val="000000"/>
                <w:sz w:val="18"/>
                <w:szCs w:val="18"/>
                <w:lang w:eastAsia="ro-RO"/>
              </w:rPr>
              <w:t>0</w:t>
            </w:r>
          </w:p>
        </w:tc>
      </w:tr>
      <w:tr w:rsidR="001625C3" w:rsidRPr="00FD2D5D" w14:paraId="5B53ADE3" w14:textId="77777777" w:rsidTr="00803311">
        <w:trPr>
          <w:trHeight w:val="300"/>
        </w:trPr>
        <w:tc>
          <w:tcPr>
            <w:tcW w:w="1129" w:type="pct"/>
            <w:tcBorders>
              <w:top w:val="nil"/>
              <w:left w:val="single" w:sz="4" w:space="0" w:color="auto"/>
              <w:bottom w:val="single" w:sz="4" w:space="0" w:color="auto"/>
              <w:right w:val="single" w:sz="4" w:space="0" w:color="auto"/>
            </w:tcBorders>
            <w:shd w:val="clear" w:color="auto" w:fill="auto"/>
            <w:vAlign w:val="center"/>
            <w:hideMark/>
          </w:tcPr>
          <w:p w14:paraId="536CE4FC" w14:textId="77777777" w:rsidR="001625C3" w:rsidRPr="00FD2D5D" w:rsidRDefault="001625C3" w:rsidP="001625C3">
            <w:pPr>
              <w:spacing w:after="0" w:line="240" w:lineRule="auto"/>
              <w:rPr>
                <w:rFonts w:ascii="Times New Roman" w:eastAsia="Times New Roman" w:hAnsi="Times New Roman" w:cs="Times New Roman"/>
                <w:color w:val="000000"/>
                <w:sz w:val="18"/>
                <w:szCs w:val="18"/>
                <w:lang w:eastAsia="ro-RO"/>
              </w:rPr>
            </w:pPr>
            <w:bookmarkStart w:id="3" w:name="RANGE!F42"/>
            <w:r w:rsidRPr="00FD2D5D">
              <w:rPr>
                <w:rFonts w:ascii="Times New Roman" w:eastAsia="Times New Roman" w:hAnsi="Times New Roman" w:cs="Times New Roman"/>
                <w:color w:val="000000"/>
                <w:sz w:val="18"/>
                <w:szCs w:val="18"/>
                <w:lang w:eastAsia="ro-RO"/>
              </w:rPr>
              <w:t>Armenia</w:t>
            </w:r>
            <w:bookmarkEnd w:id="3"/>
          </w:p>
        </w:tc>
        <w:tc>
          <w:tcPr>
            <w:tcW w:w="484" w:type="pct"/>
            <w:tcBorders>
              <w:top w:val="nil"/>
              <w:left w:val="nil"/>
              <w:bottom w:val="single" w:sz="4" w:space="0" w:color="auto"/>
              <w:right w:val="single" w:sz="4" w:space="0" w:color="auto"/>
            </w:tcBorders>
            <w:shd w:val="clear" w:color="auto" w:fill="auto"/>
            <w:noWrap/>
            <w:vAlign w:val="center"/>
            <w:hideMark/>
          </w:tcPr>
          <w:p w14:paraId="13997B0E" w14:textId="735439E2"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1</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32</w:t>
            </w:r>
          </w:p>
        </w:tc>
        <w:tc>
          <w:tcPr>
            <w:tcW w:w="484" w:type="pct"/>
            <w:tcBorders>
              <w:top w:val="nil"/>
              <w:left w:val="nil"/>
              <w:bottom w:val="single" w:sz="4" w:space="0" w:color="auto"/>
              <w:right w:val="single" w:sz="4" w:space="0" w:color="auto"/>
            </w:tcBorders>
            <w:shd w:val="clear" w:color="auto" w:fill="auto"/>
            <w:noWrap/>
            <w:vAlign w:val="center"/>
            <w:hideMark/>
          </w:tcPr>
          <w:p w14:paraId="021283F5" w14:textId="306BBE8D"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53</w:t>
            </w:r>
          </w:p>
        </w:tc>
        <w:tc>
          <w:tcPr>
            <w:tcW w:w="484" w:type="pct"/>
            <w:tcBorders>
              <w:top w:val="nil"/>
              <w:left w:val="nil"/>
              <w:bottom w:val="single" w:sz="4" w:space="0" w:color="auto"/>
              <w:right w:val="single" w:sz="4" w:space="0" w:color="auto"/>
            </w:tcBorders>
            <w:shd w:val="clear" w:color="auto" w:fill="auto"/>
            <w:noWrap/>
            <w:vAlign w:val="center"/>
            <w:hideMark/>
          </w:tcPr>
          <w:p w14:paraId="1B5D0681" w14:textId="538A7FDB"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51</w:t>
            </w:r>
          </w:p>
        </w:tc>
        <w:tc>
          <w:tcPr>
            <w:tcW w:w="484" w:type="pct"/>
            <w:tcBorders>
              <w:top w:val="nil"/>
              <w:left w:val="nil"/>
              <w:bottom w:val="single" w:sz="4" w:space="0" w:color="auto"/>
              <w:right w:val="single" w:sz="4" w:space="0" w:color="auto"/>
            </w:tcBorders>
            <w:shd w:val="clear" w:color="auto" w:fill="auto"/>
            <w:noWrap/>
            <w:vAlign w:val="center"/>
            <w:hideMark/>
          </w:tcPr>
          <w:p w14:paraId="5ACF34B1" w14:textId="5C188F4B"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36</w:t>
            </w:r>
          </w:p>
        </w:tc>
        <w:tc>
          <w:tcPr>
            <w:tcW w:w="484" w:type="pct"/>
            <w:tcBorders>
              <w:top w:val="nil"/>
              <w:left w:val="nil"/>
              <w:bottom w:val="single" w:sz="4" w:space="0" w:color="auto"/>
              <w:right w:val="single" w:sz="4" w:space="0" w:color="auto"/>
            </w:tcBorders>
            <w:shd w:val="clear" w:color="auto" w:fill="auto"/>
            <w:noWrap/>
            <w:vAlign w:val="center"/>
            <w:hideMark/>
          </w:tcPr>
          <w:p w14:paraId="5A255320" w14:textId="2AAAE1EC"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29</w:t>
            </w:r>
          </w:p>
        </w:tc>
        <w:tc>
          <w:tcPr>
            <w:tcW w:w="484" w:type="pct"/>
            <w:tcBorders>
              <w:top w:val="nil"/>
              <w:left w:val="nil"/>
              <w:bottom w:val="single" w:sz="4" w:space="0" w:color="auto"/>
              <w:right w:val="single" w:sz="4" w:space="0" w:color="auto"/>
            </w:tcBorders>
            <w:shd w:val="clear" w:color="auto" w:fill="auto"/>
            <w:noWrap/>
            <w:vAlign w:val="center"/>
            <w:hideMark/>
          </w:tcPr>
          <w:p w14:paraId="64F2D0E2" w14:textId="20745299"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3</w:t>
            </w:r>
            <w:r w:rsidR="00214ED2" w:rsidRPr="00FD2D5D">
              <w:rPr>
                <w:rFonts w:ascii="Times New Roman" w:eastAsia="Times New Roman" w:hAnsi="Times New Roman" w:cs="Times New Roman"/>
                <w:color w:val="000000"/>
                <w:sz w:val="18"/>
                <w:szCs w:val="18"/>
                <w:lang w:eastAsia="ro-RO"/>
              </w:rPr>
              <w:t>0</w:t>
            </w:r>
          </w:p>
        </w:tc>
        <w:tc>
          <w:tcPr>
            <w:tcW w:w="484" w:type="pct"/>
            <w:tcBorders>
              <w:top w:val="nil"/>
              <w:left w:val="nil"/>
              <w:bottom w:val="single" w:sz="4" w:space="0" w:color="auto"/>
              <w:right w:val="single" w:sz="4" w:space="0" w:color="auto"/>
            </w:tcBorders>
            <w:shd w:val="clear" w:color="auto" w:fill="auto"/>
            <w:noWrap/>
            <w:vAlign w:val="center"/>
            <w:hideMark/>
          </w:tcPr>
          <w:p w14:paraId="52445B45" w14:textId="340D4F98"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26</w:t>
            </w:r>
          </w:p>
        </w:tc>
        <w:tc>
          <w:tcPr>
            <w:tcW w:w="484" w:type="pct"/>
            <w:tcBorders>
              <w:top w:val="nil"/>
              <w:left w:val="nil"/>
              <w:bottom w:val="single" w:sz="4" w:space="0" w:color="auto"/>
              <w:right w:val="single" w:sz="4" w:space="0" w:color="auto"/>
            </w:tcBorders>
            <w:shd w:val="clear" w:color="auto" w:fill="auto"/>
            <w:vAlign w:val="center"/>
            <w:hideMark/>
          </w:tcPr>
          <w:p w14:paraId="236E58DC" w14:textId="54DC6F25"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80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3</w:t>
            </w:r>
            <w:r w:rsidR="00214ED2" w:rsidRPr="00FD2D5D">
              <w:rPr>
                <w:rFonts w:ascii="Times New Roman" w:eastAsia="Times New Roman" w:hAnsi="Times New Roman" w:cs="Times New Roman"/>
                <w:color w:val="000000"/>
                <w:sz w:val="18"/>
                <w:szCs w:val="18"/>
                <w:lang w:eastAsia="ro-RO"/>
              </w:rPr>
              <w:t>0</w:t>
            </w:r>
          </w:p>
        </w:tc>
      </w:tr>
      <w:tr w:rsidR="001625C3" w:rsidRPr="00FD2D5D" w14:paraId="14AFCEAF" w14:textId="77777777" w:rsidTr="00803311">
        <w:trPr>
          <w:trHeight w:val="300"/>
        </w:trPr>
        <w:tc>
          <w:tcPr>
            <w:tcW w:w="1129" w:type="pct"/>
            <w:tcBorders>
              <w:top w:val="nil"/>
              <w:left w:val="single" w:sz="4" w:space="0" w:color="auto"/>
              <w:bottom w:val="single" w:sz="4" w:space="0" w:color="auto"/>
              <w:right w:val="single" w:sz="4" w:space="0" w:color="auto"/>
            </w:tcBorders>
            <w:shd w:val="clear" w:color="auto" w:fill="auto"/>
            <w:vAlign w:val="center"/>
            <w:hideMark/>
          </w:tcPr>
          <w:p w14:paraId="3442BF9F" w14:textId="77777777" w:rsidR="001625C3" w:rsidRPr="00FD2D5D" w:rsidRDefault="001625C3" w:rsidP="001625C3">
            <w:pPr>
              <w:spacing w:after="0" w:line="240" w:lineRule="auto"/>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Azerbaidjan</w:t>
            </w:r>
          </w:p>
        </w:tc>
        <w:tc>
          <w:tcPr>
            <w:tcW w:w="484" w:type="pct"/>
            <w:tcBorders>
              <w:top w:val="nil"/>
              <w:left w:val="nil"/>
              <w:bottom w:val="single" w:sz="4" w:space="0" w:color="auto"/>
              <w:right w:val="single" w:sz="4" w:space="0" w:color="auto"/>
            </w:tcBorders>
            <w:shd w:val="clear" w:color="auto" w:fill="auto"/>
            <w:noWrap/>
            <w:vAlign w:val="center"/>
            <w:hideMark/>
          </w:tcPr>
          <w:p w14:paraId="7FBE0EA6" w14:textId="7F6DB0AC"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1</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1</w:t>
            </w:r>
            <w:r w:rsidR="0048189B" w:rsidRPr="00FD2D5D">
              <w:rPr>
                <w:rFonts w:ascii="Times New Roman" w:eastAsia="Times New Roman" w:hAnsi="Times New Roman" w:cs="Times New Roman"/>
                <w:color w:val="000000"/>
                <w:sz w:val="18"/>
                <w:szCs w:val="18"/>
                <w:lang w:eastAsia="ro-RO"/>
              </w:rPr>
              <w:t>0</w:t>
            </w:r>
          </w:p>
        </w:tc>
        <w:tc>
          <w:tcPr>
            <w:tcW w:w="484" w:type="pct"/>
            <w:tcBorders>
              <w:top w:val="nil"/>
              <w:left w:val="nil"/>
              <w:bottom w:val="single" w:sz="4" w:space="0" w:color="auto"/>
              <w:right w:val="single" w:sz="4" w:space="0" w:color="auto"/>
            </w:tcBorders>
            <w:shd w:val="clear" w:color="auto" w:fill="auto"/>
            <w:noWrap/>
            <w:vAlign w:val="center"/>
            <w:hideMark/>
          </w:tcPr>
          <w:p w14:paraId="3944F8FB" w14:textId="380C7359"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1</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62</w:t>
            </w:r>
          </w:p>
        </w:tc>
        <w:tc>
          <w:tcPr>
            <w:tcW w:w="484" w:type="pct"/>
            <w:tcBorders>
              <w:top w:val="nil"/>
              <w:left w:val="nil"/>
              <w:bottom w:val="single" w:sz="4" w:space="0" w:color="auto"/>
              <w:right w:val="single" w:sz="4" w:space="0" w:color="auto"/>
            </w:tcBorders>
            <w:shd w:val="clear" w:color="auto" w:fill="auto"/>
            <w:noWrap/>
            <w:vAlign w:val="center"/>
            <w:hideMark/>
          </w:tcPr>
          <w:p w14:paraId="261086A2" w14:textId="575599CB"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93</w:t>
            </w:r>
          </w:p>
        </w:tc>
        <w:tc>
          <w:tcPr>
            <w:tcW w:w="484" w:type="pct"/>
            <w:tcBorders>
              <w:top w:val="nil"/>
              <w:left w:val="nil"/>
              <w:bottom w:val="single" w:sz="4" w:space="0" w:color="auto"/>
              <w:right w:val="single" w:sz="4" w:space="0" w:color="auto"/>
            </w:tcBorders>
            <w:shd w:val="clear" w:color="auto" w:fill="auto"/>
            <w:noWrap/>
            <w:vAlign w:val="center"/>
            <w:hideMark/>
          </w:tcPr>
          <w:p w14:paraId="6309B956" w14:textId="2E241EF6"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6</w:t>
            </w:r>
            <w:r w:rsidR="00214ED2" w:rsidRPr="00FD2D5D">
              <w:rPr>
                <w:rFonts w:ascii="Times New Roman" w:eastAsia="Times New Roman" w:hAnsi="Times New Roman" w:cs="Times New Roman"/>
                <w:color w:val="000000"/>
                <w:sz w:val="18"/>
                <w:szCs w:val="18"/>
                <w:lang w:eastAsia="ro-RO"/>
              </w:rPr>
              <w:t>0</w:t>
            </w:r>
          </w:p>
        </w:tc>
        <w:tc>
          <w:tcPr>
            <w:tcW w:w="484" w:type="pct"/>
            <w:tcBorders>
              <w:top w:val="nil"/>
              <w:left w:val="nil"/>
              <w:bottom w:val="single" w:sz="4" w:space="0" w:color="auto"/>
              <w:right w:val="single" w:sz="4" w:space="0" w:color="auto"/>
            </w:tcBorders>
            <w:shd w:val="clear" w:color="auto" w:fill="auto"/>
            <w:noWrap/>
            <w:vAlign w:val="center"/>
            <w:hideMark/>
          </w:tcPr>
          <w:p w14:paraId="0717F2D6" w14:textId="31180CE2"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24</w:t>
            </w:r>
          </w:p>
        </w:tc>
        <w:tc>
          <w:tcPr>
            <w:tcW w:w="484" w:type="pct"/>
            <w:tcBorders>
              <w:top w:val="nil"/>
              <w:left w:val="nil"/>
              <w:bottom w:val="single" w:sz="4" w:space="0" w:color="auto"/>
              <w:right w:val="single" w:sz="4" w:space="0" w:color="auto"/>
            </w:tcBorders>
            <w:shd w:val="clear" w:color="auto" w:fill="auto"/>
            <w:noWrap/>
            <w:vAlign w:val="center"/>
            <w:hideMark/>
          </w:tcPr>
          <w:p w14:paraId="3CCBA002" w14:textId="26F4C58F"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27</w:t>
            </w:r>
          </w:p>
        </w:tc>
        <w:tc>
          <w:tcPr>
            <w:tcW w:w="484" w:type="pct"/>
            <w:tcBorders>
              <w:top w:val="nil"/>
              <w:left w:val="nil"/>
              <w:bottom w:val="single" w:sz="4" w:space="0" w:color="auto"/>
              <w:right w:val="single" w:sz="4" w:space="0" w:color="auto"/>
            </w:tcBorders>
            <w:shd w:val="clear" w:color="auto" w:fill="auto"/>
            <w:noWrap/>
            <w:vAlign w:val="center"/>
            <w:hideMark/>
          </w:tcPr>
          <w:p w14:paraId="6AC64344" w14:textId="4FC95419"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28</w:t>
            </w:r>
          </w:p>
        </w:tc>
        <w:tc>
          <w:tcPr>
            <w:tcW w:w="484" w:type="pct"/>
            <w:tcBorders>
              <w:top w:val="nil"/>
              <w:left w:val="nil"/>
              <w:bottom w:val="single" w:sz="4" w:space="0" w:color="auto"/>
              <w:right w:val="single" w:sz="4" w:space="0" w:color="auto"/>
            </w:tcBorders>
            <w:shd w:val="clear" w:color="auto" w:fill="auto"/>
            <w:vAlign w:val="center"/>
            <w:hideMark/>
          </w:tcPr>
          <w:p w14:paraId="530F800A" w14:textId="6524EE72"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74</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5</w:t>
            </w:r>
            <w:r w:rsidR="00214ED2" w:rsidRPr="00FD2D5D">
              <w:rPr>
                <w:rFonts w:ascii="Times New Roman" w:eastAsia="Times New Roman" w:hAnsi="Times New Roman" w:cs="Times New Roman"/>
                <w:color w:val="000000"/>
                <w:sz w:val="18"/>
                <w:szCs w:val="18"/>
                <w:lang w:eastAsia="ro-RO"/>
              </w:rPr>
              <w:t>0</w:t>
            </w:r>
          </w:p>
        </w:tc>
      </w:tr>
      <w:tr w:rsidR="001625C3" w:rsidRPr="00FD2D5D" w14:paraId="597397C8" w14:textId="77777777" w:rsidTr="00803311">
        <w:trPr>
          <w:trHeight w:val="300"/>
        </w:trPr>
        <w:tc>
          <w:tcPr>
            <w:tcW w:w="1129" w:type="pct"/>
            <w:tcBorders>
              <w:top w:val="nil"/>
              <w:left w:val="single" w:sz="4" w:space="0" w:color="auto"/>
              <w:bottom w:val="single" w:sz="4" w:space="0" w:color="auto"/>
              <w:right w:val="single" w:sz="4" w:space="0" w:color="auto"/>
            </w:tcBorders>
            <w:shd w:val="clear" w:color="auto" w:fill="auto"/>
            <w:vAlign w:val="center"/>
            <w:hideMark/>
          </w:tcPr>
          <w:p w14:paraId="3798DB41" w14:textId="77777777" w:rsidR="001625C3" w:rsidRPr="00FD2D5D" w:rsidRDefault="001625C3" w:rsidP="001625C3">
            <w:pPr>
              <w:spacing w:after="0" w:line="240" w:lineRule="auto"/>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Belarus</w:t>
            </w:r>
          </w:p>
        </w:tc>
        <w:tc>
          <w:tcPr>
            <w:tcW w:w="484" w:type="pct"/>
            <w:tcBorders>
              <w:top w:val="nil"/>
              <w:left w:val="nil"/>
              <w:bottom w:val="single" w:sz="4" w:space="0" w:color="auto"/>
              <w:right w:val="single" w:sz="4" w:space="0" w:color="auto"/>
            </w:tcBorders>
            <w:shd w:val="clear" w:color="auto" w:fill="auto"/>
            <w:noWrap/>
            <w:vAlign w:val="center"/>
            <w:hideMark/>
          </w:tcPr>
          <w:p w14:paraId="7E20119E" w14:textId="09C41B7A"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1</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55</w:t>
            </w:r>
          </w:p>
        </w:tc>
        <w:tc>
          <w:tcPr>
            <w:tcW w:w="484" w:type="pct"/>
            <w:tcBorders>
              <w:top w:val="nil"/>
              <w:left w:val="nil"/>
              <w:bottom w:val="single" w:sz="4" w:space="0" w:color="auto"/>
              <w:right w:val="single" w:sz="4" w:space="0" w:color="auto"/>
            </w:tcBorders>
            <w:shd w:val="clear" w:color="auto" w:fill="auto"/>
            <w:noWrap/>
            <w:vAlign w:val="center"/>
            <w:hideMark/>
          </w:tcPr>
          <w:p w14:paraId="2F50E5C4" w14:textId="257192F9"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1</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29</w:t>
            </w:r>
          </w:p>
        </w:tc>
        <w:tc>
          <w:tcPr>
            <w:tcW w:w="484" w:type="pct"/>
            <w:tcBorders>
              <w:top w:val="nil"/>
              <w:left w:val="nil"/>
              <w:bottom w:val="single" w:sz="4" w:space="0" w:color="auto"/>
              <w:right w:val="single" w:sz="4" w:space="0" w:color="auto"/>
            </w:tcBorders>
            <w:shd w:val="clear" w:color="auto" w:fill="auto"/>
            <w:noWrap/>
            <w:vAlign w:val="center"/>
            <w:hideMark/>
          </w:tcPr>
          <w:p w14:paraId="4D8B6459" w14:textId="1B329CE8"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95</w:t>
            </w:r>
          </w:p>
        </w:tc>
        <w:tc>
          <w:tcPr>
            <w:tcW w:w="484" w:type="pct"/>
            <w:tcBorders>
              <w:top w:val="nil"/>
              <w:left w:val="nil"/>
              <w:bottom w:val="single" w:sz="4" w:space="0" w:color="auto"/>
              <w:right w:val="single" w:sz="4" w:space="0" w:color="auto"/>
            </w:tcBorders>
            <w:shd w:val="clear" w:color="auto" w:fill="auto"/>
            <w:noWrap/>
            <w:vAlign w:val="center"/>
            <w:hideMark/>
          </w:tcPr>
          <w:p w14:paraId="7795837E" w14:textId="22F4DB69"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72</w:t>
            </w:r>
          </w:p>
        </w:tc>
        <w:tc>
          <w:tcPr>
            <w:tcW w:w="484" w:type="pct"/>
            <w:tcBorders>
              <w:top w:val="nil"/>
              <w:left w:val="nil"/>
              <w:bottom w:val="single" w:sz="4" w:space="0" w:color="auto"/>
              <w:right w:val="single" w:sz="4" w:space="0" w:color="auto"/>
            </w:tcBorders>
            <w:shd w:val="clear" w:color="auto" w:fill="auto"/>
            <w:noWrap/>
            <w:vAlign w:val="center"/>
            <w:hideMark/>
          </w:tcPr>
          <w:p w14:paraId="3DE27ED2" w14:textId="4B0CDDFC"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52</w:t>
            </w:r>
          </w:p>
        </w:tc>
        <w:tc>
          <w:tcPr>
            <w:tcW w:w="484" w:type="pct"/>
            <w:tcBorders>
              <w:top w:val="nil"/>
              <w:left w:val="nil"/>
              <w:bottom w:val="single" w:sz="4" w:space="0" w:color="auto"/>
              <w:right w:val="single" w:sz="4" w:space="0" w:color="auto"/>
            </w:tcBorders>
            <w:shd w:val="clear" w:color="auto" w:fill="auto"/>
            <w:noWrap/>
            <w:vAlign w:val="center"/>
            <w:hideMark/>
          </w:tcPr>
          <w:p w14:paraId="3528167B" w14:textId="4E0101CB"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45</w:t>
            </w:r>
          </w:p>
        </w:tc>
        <w:tc>
          <w:tcPr>
            <w:tcW w:w="484" w:type="pct"/>
            <w:tcBorders>
              <w:top w:val="nil"/>
              <w:left w:val="nil"/>
              <w:bottom w:val="single" w:sz="4" w:space="0" w:color="auto"/>
              <w:right w:val="single" w:sz="4" w:space="0" w:color="auto"/>
            </w:tcBorders>
            <w:shd w:val="clear" w:color="auto" w:fill="auto"/>
            <w:noWrap/>
            <w:vAlign w:val="center"/>
            <w:hideMark/>
          </w:tcPr>
          <w:p w14:paraId="5DF33E81" w14:textId="221EA07A"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46</w:t>
            </w:r>
          </w:p>
        </w:tc>
        <w:tc>
          <w:tcPr>
            <w:tcW w:w="484" w:type="pct"/>
            <w:tcBorders>
              <w:top w:val="nil"/>
              <w:left w:val="nil"/>
              <w:bottom w:val="single" w:sz="4" w:space="0" w:color="auto"/>
              <w:right w:val="single" w:sz="4" w:space="0" w:color="auto"/>
            </w:tcBorders>
            <w:shd w:val="clear" w:color="auto" w:fill="auto"/>
            <w:vAlign w:val="center"/>
            <w:hideMark/>
          </w:tcPr>
          <w:p w14:paraId="57B1C230" w14:textId="2A8C5851"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70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3</w:t>
            </w:r>
            <w:r w:rsidR="00214ED2" w:rsidRPr="00FD2D5D">
              <w:rPr>
                <w:rFonts w:ascii="Times New Roman" w:eastAsia="Times New Roman" w:hAnsi="Times New Roman" w:cs="Times New Roman"/>
                <w:color w:val="000000"/>
                <w:sz w:val="18"/>
                <w:szCs w:val="18"/>
                <w:lang w:eastAsia="ro-RO"/>
              </w:rPr>
              <w:t>0</w:t>
            </w:r>
          </w:p>
        </w:tc>
      </w:tr>
      <w:tr w:rsidR="001625C3" w:rsidRPr="00FD2D5D" w14:paraId="7427620B" w14:textId="77777777" w:rsidTr="00803311">
        <w:trPr>
          <w:trHeight w:val="300"/>
        </w:trPr>
        <w:tc>
          <w:tcPr>
            <w:tcW w:w="1129" w:type="pct"/>
            <w:tcBorders>
              <w:top w:val="nil"/>
              <w:left w:val="single" w:sz="4" w:space="0" w:color="auto"/>
              <w:bottom w:val="single" w:sz="4" w:space="0" w:color="auto"/>
              <w:right w:val="single" w:sz="4" w:space="0" w:color="auto"/>
            </w:tcBorders>
            <w:shd w:val="clear" w:color="auto" w:fill="auto"/>
            <w:vAlign w:val="center"/>
            <w:hideMark/>
          </w:tcPr>
          <w:p w14:paraId="4292C686" w14:textId="0EFA11CD" w:rsidR="001625C3" w:rsidRPr="00FD2D5D" w:rsidRDefault="001625C3" w:rsidP="001625C3">
            <w:pPr>
              <w:spacing w:after="0" w:line="240" w:lineRule="auto"/>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 xml:space="preserve">Bosnia </w:t>
            </w:r>
            <w:r w:rsidR="00FD2D5D" w:rsidRPr="00FD2D5D">
              <w:rPr>
                <w:rFonts w:ascii="Times New Roman" w:eastAsia="Times New Roman" w:hAnsi="Times New Roman" w:cs="Times New Roman"/>
                <w:color w:val="000000"/>
                <w:sz w:val="18"/>
                <w:szCs w:val="18"/>
                <w:lang w:eastAsia="ro-RO"/>
              </w:rPr>
              <w:t>și</w:t>
            </w:r>
            <w:r w:rsidRPr="00FD2D5D">
              <w:rPr>
                <w:rFonts w:ascii="Times New Roman" w:eastAsia="Times New Roman" w:hAnsi="Times New Roman" w:cs="Times New Roman"/>
                <w:color w:val="000000"/>
                <w:sz w:val="18"/>
                <w:szCs w:val="18"/>
                <w:lang w:eastAsia="ro-RO"/>
              </w:rPr>
              <w:t xml:space="preserve"> </w:t>
            </w:r>
            <w:r w:rsidR="00FD2D5D" w:rsidRPr="00FD2D5D">
              <w:rPr>
                <w:rFonts w:ascii="Times New Roman" w:eastAsia="Times New Roman" w:hAnsi="Times New Roman" w:cs="Times New Roman"/>
                <w:color w:val="000000"/>
                <w:sz w:val="18"/>
                <w:szCs w:val="18"/>
                <w:lang w:eastAsia="ro-RO"/>
              </w:rPr>
              <w:t>Herțegovina</w:t>
            </w:r>
          </w:p>
        </w:tc>
        <w:tc>
          <w:tcPr>
            <w:tcW w:w="484" w:type="pct"/>
            <w:tcBorders>
              <w:top w:val="nil"/>
              <w:left w:val="nil"/>
              <w:bottom w:val="single" w:sz="4" w:space="0" w:color="auto"/>
              <w:right w:val="single" w:sz="4" w:space="0" w:color="auto"/>
            </w:tcBorders>
            <w:shd w:val="clear" w:color="auto" w:fill="auto"/>
            <w:noWrap/>
            <w:vAlign w:val="center"/>
            <w:hideMark/>
          </w:tcPr>
          <w:p w14:paraId="13D6C79E" w14:textId="12F621C2"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2</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34</w:t>
            </w:r>
          </w:p>
        </w:tc>
        <w:tc>
          <w:tcPr>
            <w:tcW w:w="484" w:type="pct"/>
            <w:tcBorders>
              <w:top w:val="nil"/>
              <w:left w:val="nil"/>
              <w:bottom w:val="single" w:sz="4" w:space="0" w:color="auto"/>
              <w:right w:val="single" w:sz="4" w:space="0" w:color="auto"/>
            </w:tcBorders>
            <w:shd w:val="clear" w:color="auto" w:fill="auto"/>
            <w:noWrap/>
            <w:vAlign w:val="center"/>
            <w:hideMark/>
          </w:tcPr>
          <w:p w14:paraId="31B4B012" w14:textId="67218653"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51</w:t>
            </w:r>
          </w:p>
        </w:tc>
        <w:tc>
          <w:tcPr>
            <w:tcW w:w="484" w:type="pct"/>
            <w:tcBorders>
              <w:top w:val="nil"/>
              <w:left w:val="nil"/>
              <w:bottom w:val="single" w:sz="4" w:space="0" w:color="auto"/>
              <w:right w:val="single" w:sz="4" w:space="0" w:color="auto"/>
            </w:tcBorders>
            <w:shd w:val="clear" w:color="auto" w:fill="auto"/>
            <w:noWrap/>
            <w:vAlign w:val="center"/>
            <w:hideMark/>
          </w:tcPr>
          <w:p w14:paraId="7BD37ACD" w14:textId="6BA5ECD5"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43</w:t>
            </w:r>
          </w:p>
        </w:tc>
        <w:tc>
          <w:tcPr>
            <w:tcW w:w="484" w:type="pct"/>
            <w:tcBorders>
              <w:top w:val="nil"/>
              <w:left w:val="nil"/>
              <w:bottom w:val="single" w:sz="4" w:space="0" w:color="auto"/>
              <w:right w:val="single" w:sz="4" w:space="0" w:color="auto"/>
            </w:tcBorders>
            <w:shd w:val="clear" w:color="auto" w:fill="auto"/>
            <w:noWrap/>
            <w:vAlign w:val="center"/>
            <w:hideMark/>
          </w:tcPr>
          <w:p w14:paraId="7B1B099F" w14:textId="3E010F11"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38</w:t>
            </w:r>
          </w:p>
        </w:tc>
        <w:tc>
          <w:tcPr>
            <w:tcW w:w="484" w:type="pct"/>
            <w:tcBorders>
              <w:top w:val="nil"/>
              <w:left w:val="nil"/>
              <w:bottom w:val="single" w:sz="4" w:space="0" w:color="auto"/>
              <w:right w:val="single" w:sz="4" w:space="0" w:color="auto"/>
            </w:tcBorders>
            <w:shd w:val="clear" w:color="auto" w:fill="auto"/>
            <w:noWrap/>
            <w:vAlign w:val="center"/>
            <w:hideMark/>
          </w:tcPr>
          <w:p w14:paraId="574D2267" w14:textId="5EC5B63D"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43</w:t>
            </w:r>
          </w:p>
        </w:tc>
        <w:tc>
          <w:tcPr>
            <w:tcW w:w="484" w:type="pct"/>
            <w:tcBorders>
              <w:top w:val="nil"/>
              <w:left w:val="nil"/>
              <w:bottom w:val="single" w:sz="4" w:space="0" w:color="auto"/>
              <w:right w:val="single" w:sz="4" w:space="0" w:color="auto"/>
            </w:tcBorders>
            <w:shd w:val="clear" w:color="auto" w:fill="auto"/>
            <w:noWrap/>
            <w:vAlign w:val="center"/>
            <w:hideMark/>
          </w:tcPr>
          <w:p w14:paraId="452DBD2F" w14:textId="62660601"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38</w:t>
            </w:r>
          </w:p>
        </w:tc>
        <w:tc>
          <w:tcPr>
            <w:tcW w:w="484" w:type="pct"/>
            <w:tcBorders>
              <w:top w:val="nil"/>
              <w:left w:val="nil"/>
              <w:bottom w:val="single" w:sz="4" w:space="0" w:color="auto"/>
              <w:right w:val="single" w:sz="4" w:space="0" w:color="auto"/>
            </w:tcBorders>
            <w:shd w:val="clear" w:color="auto" w:fill="auto"/>
            <w:noWrap/>
            <w:vAlign w:val="center"/>
            <w:hideMark/>
          </w:tcPr>
          <w:p w14:paraId="06BF7FE8" w14:textId="6D3C1CB4"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42</w:t>
            </w:r>
          </w:p>
        </w:tc>
        <w:tc>
          <w:tcPr>
            <w:tcW w:w="484" w:type="pct"/>
            <w:tcBorders>
              <w:top w:val="nil"/>
              <w:left w:val="nil"/>
              <w:bottom w:val="single" w:sz="4" w:space="0" w:color="auto"/>
              <w:right w:val="single" w:sz="4" w:space="0" w:color="auto"/>
            </w:tcBorders>
            <w:shd w:val="clear" w:color="auto" w:fill="auto"/>
            <w:vAlign w:val="center"/>
            <w:hideMark/>
          </w:tcPr>
          <w:p w14:paraId="7B9A93DC" w14:textId="15604D90"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82</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1</w:t>
            </w:r>
            <w:r w:rsidR="00214ED2" w:rsidRPr="00FD2D5D">
              <w:rPr>
                <w:rFonts w:ascii="Times New Roman" w:eastAsia="Times New Roman" w:hAnsi="Times New Roman" w:cs="Times New Roman"/>
                <w:color w:val="000000"/>
                <w:sz w:val="18"/>
                <w:szCs w:val="18"/>
                <w:lang w:eastAsia="ro-RO"/>
              </w:rPr>
              <w:t>0</w:t>
            </w:r>
          </w:p>
        </w:tc>
      </w:tr>
      <w:tr w:rsidR="001625C3" w:rsidRPr="00FD2D5D" w14:paraId="0A281D35" w14:textId="77777777" w:rsidTr="00803311">
        <w:trPr>
          <w:trHeight w:val="300"/>
        </w:trPr>
        <w:tc>
          <w:tcPr>
            <w:tcW w:w="1129" w:type="pct"/>
            <w:tcBorders>
              <w:top w:val="nil"/>
              <w:left w:val="single" w:sz="4" w:space="0" w:color="auto"/>
              <w:bottom w:val="single" w:sz="4" w:space="0" w:color="auto"/>
              <w:right w:val="single" w:sz="4" w:space="0" w:color="auto"/>
            </w:tcBorders>
            <w:shd w:val="clear" w:color="auto" w:fill="auto"/>
            <w:vAlign w:val="center"/>
            <w:hideMark/>
          </w:tcPr>
          <w:p w14:paraId="25E93B68" w14:textId="77777777" w:rsidR="001625C3" w:rsidRPr="00FD2D5D" w:rsidRDefault="001625C3" w:rsidP="001625C3">
            <w:pPr>
              <w:spacing w:after="0" w:line="240" w:lineRule="auto"/>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Bulgaria</w:t>
            </w:r>
          </w:p>
        </w:tc>
        <w:tc>
          <w:tcPr>
            <w:tcW w:w="484" w:type="pct"/>
            <w:tcBorders>
              <w:top w:val="nil"/>
              <w:left w:val="nil"/>
              <w:bottom w:val="single" w:sz="4" w:space="0" w:color="auto"/>
              <w:right w:val="single" w:sz="4" w:space="0" w:color="auto"/>
            </w:tcBorders>
            <w:shd w:val="clear" w:color="auto" w:fill="auto"/>
            <w:noWrap/>
            <w:vAlign w:val="center"/>
            <w:hideMark/>
          </w:tcPr>
          <w:p w14:paraId="7F98BE8C" w14:textId="27CED094"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84</w:t>
            </w:r>
          </w:p>
        </w:tc>
        <w:tc>
          <w:tcPr>
            <w:tcW w:w="484" w:type="pct"/>
            <w:tcBorders>
              <w:top w:val="nil"/>
              <w:left w:val="nil"/>
              <w:bottom w:val="single" w:sz="4" w:space="0" w:color="auto"/>
              <w:right w:val="single" w:sz="4" w:space="0" w:color="auto"/>
            </w:tcBorders>
            <w:shd w:val="clear" w:color="auto" w:fill="auto"/>
            <w:noWrap/>
            <w:vAlign w:val="center"/>
            <w:hideMark/>
          </w:tcPr>
          <w:p w14:paraId="21D302CA" w14:textId="493819BC"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79</w:t>
            </w:r>
          </w:p>
        </w:tc>
        <w:tc>
          <w:tcPr>
            <w:tcW w:w="484" w:type="pct"/>
            <w:tcBorders>
              <w:top w:val="nil"/>
              <w:left w:val="nil"/>
              <w:bottom w:val="single" w:sz="4" w:space="0" w:color="auto"/>
              <w:right w:val="single" w:sz="4" w:space="0" w:color="auto"/>
            </w:tcBorders>
            <w:shd w:val="clear" w:color="auto" w:fill="auto"/>
            <w:noWrap/>
            <w:vAlign w:val="center"/>
            <w:hideMark/>
          </w:tcPr>
          <w:p w14:paraId="371EB1A9" w14:textId="1BDCDC3B"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63</w:t>
            </w:r>
          </w:p>
        </w:tc>
        <w:tc>
          <w:tcPr>
            <w:tcW w:w="484" w:type="pct"/>
            <w:tcBorders>
              <w:top w:val="nil"/>
              <w:left w:val="nil"/>
              <w:bottom w:val="single" w:sz="4" w:space="0" w:color="auto"/>
              <w:right w:val="single" w:sz="4" w:space="0" w:color="auto"/>
            </w:tcBorders>
            <w:shd w:val="clear" w:color="auto" w:fill="auto"/>
            <w:noWrap/>
            <w:vAlign w:val="center"/>
            <w:hideMark/>
          </w:tcPr>
          <w:p w14:paraId="2F9275AA" w14:textId="37003E11"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51</w:t>
            </w:r>
          </w:p>
        </w:tc>
        <w:tc>
          <w:tcPr>
            <w:tcW w:w="484" w:type="pct"/>
            <w:tcBorders>
              <w:top w:val="nil"/>
              <w:left w:val="nil"/>
              <w:bottom w:val="single" w:sz="4" w:space="0" w:color="auto"/>
              <w:right w:val="single" w:sz="4" w:space="0" w:color="auto"/>
            </w:tcBorders>
            <w:shd w:val="clear" w:color="auto" w:fill="auto"/>
            <w:noWrap/>
            <w:vAlign w:val="center"/>
            <w:hideMark/>
          </w:tcPr>
          <w:p w14:paraId="20B8C95C" w14:textId="58589746"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38</w:t>
            </w:r>
          </w:p>
        </w:tc>
        <w:tc>
          <w:tcPr>
            <w:tcW w:w="484" w:type="pct"/>
            <w:tcBorders>
              <w:top w:val="nil"/>
              <w:left w:val="nil"/>
              <w:bottom w:val="single" w:sz="4" w:space="0" w:color="auto"/>
              <w:right w:val="single" w:sz="4" w:space="0" w:color="auto"/>
            </w:tcBorders>
            <w:shd w:val="clear" w:color="auto" w:fill="auto"/>
            <w:noWrap/>
            <w:vAlign w:val="center"/>
            <w:hideMark/>
          </w:tcPr>
          <w:p w14:paraId="6C1196A6" w14:textId="57DB8EDB"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37</w:t>
            </w:r>
          </w:p>
        </w:tc>
        <w:tc>
          <w:tcPr>
            <w:tcW w:w="484" w:type="pct"/>
            <w:tcBorders>
              <w:top w:val="nil"/>
              <w:left w:val="nil"/>
              <w:bottom w:val="single" w:sz="4" w:space="0" w:color="auto"/>
              <w:right w:val="single" w:sz="4" w:space="0" w:color="auto"/>
            </w:tcBorders>
            <w:shd w:val="clear" w:color="auto" w:fill="auto"/>
            <w:noWrap/>
            <w:vAlign w:val="center"/>
            <w:hideMark/>
          </w:tcPr>
          <w:p w14:paraId="79CD6266" w14:textId="4BB48508"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33</w:t>
            </w:r>
          </w:p>
        </w:tc>
        <w:tc>
          <w:tcPr>
            <w:tcW w:w="484" w:type="pct"/>
            <w:tcBorders>
              <w:top w:val="nil"/>
              <w:left w:val="nil"/>
              <w:bottom w:val="single" w:sz="4" w:space="0" w:color="auto"/>
              <w:right w:val="single" w:sz="4" w:space="0" w:color="auto"/>
            </w:tcBorders>
            <w:shd w:val="clear" w:color="auto" w:fill="auto"/>
            <w:vAlign w:val="center"/>
            <w:hideMark/>
          </w:tcPr>
          <w:p w14:paraId="5744EC3F" w14:textId="13C8B1F9"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60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7</w:t>
            </w:r>
            <w:r w:rsidR="00214ED2" w:rsidRPr="00FD2D5D">
              <w:rPr>
                <w:rFonts w:ascii="Times New Roman" w:eastAsia="Times New Roman" w:hAnsi="Times New Roman" w:cs="Times New Roman"/>
                <w:color w:val="000000"/>
                <w:sz w:val="18"/>
                <w:szCs w:val="18"/>
                <w:lang w:eastAsia="ro-RO"/>
              </w:rPr>
              <w:t>0</w:t>
            </w:r>
          </w:p>
        </w:tc>
      </w:tr>
      <w:tr w:rsidR="001625C3" w:rsidRPr="00FD2D5D" w14:paraId="3914033F" w14:textId="77777777" w:rsidTr="00803311">
        <w:trPr>
          <w:trHeight w:val="300"/>
        </w:trPr>
        <w:tc>
          <w:tcPr>
            <w:tcW w:w="1129" w:type="pct"/>
            <w:tcBorders>
              <w:top w:val="nil"/>
              <w:left w:val="single" w:sz="4" w:space="0" w:color="auto"/>
              <w:bottom w:val="single" w:sz="4" w:space="0" w:color="auto"/>
              <w:right w:val="single" w:sz="4" w:space="0" w:color="auto"/>
            </w:tcBorders>
            <w:shd w:val="clear" w:color="auto" w:fill="auto"/>
            <w:vAlign w:val="center"/>
            <w:hideMark/>
          </w:tcPr>
          <w:p w14:paraId="3FF53872" w14:textId="7E979319" w:rsidR="001625C3" w:rsidRPr="00FD2D5D" w:rsidRDefault="00FD2D5D" w:rsidP="001625C3">
            <w:pPr>
              <w:spacing w:after="0" w:line="240" w:lineRule="auto"/>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Croația</w:t>
            </w:r>
          </w:p>
        </w:tc>
        <w:tc>
          <w:tcPr>
            <w:tcW w:w="484" w:type="pct"/>
            <w:tcBorders>
              <w:top w:val="nil"/>
              <w:left w:val="nil"/>
              <w:bottom w:val="single" w:sz="4" w:space="0" w:color="auto"/>
              <w:right w:val="single" w:sz="4" w:space="0" w:color="auto"/>
            </w:tcBorders>
            <w:shd w:val="clear" w:color="auto" w:fill="auto"/>
            <w:noWrap/>
            <w:vAlign w:val="center"/>
            <w:hideMark/>
          </w:tcPr>
          <w:p w14:paraId="3D833E1D" w14:textId="103DDBD6"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24</w:t>
            </w:r>
          </w:p>
        </w:tc>
        <w:tc>
          <w:tcPr>
            <w:tcW w:w="484" w:type="pct"/>
            <w:tcBorders>
              <w:top w:val="nil"/>
              <w:left w:val="nil"/>
              <w:bottom w:val="single" w:sz="4" w:space="0" w:color="auto"/>
              <w:right w:val="single" w:sz="4" w:space="0" w:color="auto"/>
            </w:tcBorders>
            <w:shd w:val="clear" w:color="auto" w:fill="auto"/>
            <w:noWrap/>
            <w:vAlign w:val="center"/>
            <w:hideMark/>
          </w:tcPr>
          <w:p w14:paraId="6EF2AA0F" w14:textId="72BF3884"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24</w:t>
            </w:r>
          </w:p>
        </w:tc>
        <w:tc>
          <w:tcPr>
            <w:tcW w:w="484" w:type="pct"/>
            <w:tcBorders>
              <w:top w:val="nil"/>
              <w:left w:val="nil"/>
              <w:bottom w:val="single" w:sz="4" w:space="0" w:color="auto"/>
              <w:right w:val="single" w:sz="4" w:space="0" w:color="auto"/>
            </w:tcBorders>
            <w:shd w:val="clear" w:color="auto" w:fill="auto"/>
            <w:noWrap/>
            <w:vAlign w:val="center"/>
            <w:hideMark/>
          </w:tcPr>
          <w:p w14:paraId="6E73053F" w14:textId="611AC535"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21</w:t>
            </w:r>
          </w:p>
        </w:tc>
        <w:tc>
          <w:tcPr>
            <w:tcW w:w="484" w:type="pct"/>
            <w:tcBorders>
              <w:top w:val="nil"/>
              <w:left w:val="nil"/>
              <w:bottom w:val="single" w:sz="4" w:space="0" w:color="auto"/>
              <w:right w:val="single" w:sz="4" w:space="0" w:color="auto"/>
            </w:tcBorders>
            <w:shd w:val="clear" w:color="auto" w:fill="auto"/>
            <w:noWrap/>
            <w:vAlign w:val="center"/>
            <w:hideMark/>
          </w:tcPr>
          <w:p w14:paraId="4D9D2F35" w14:textId="0B275828"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2</w:t>
            </w:r>
            <w:r w:rsidR="0048189B" w:rsidRPr="00FD2D5D">
              <w:rPr>
                <w:rFonts w:ascii="Times New Roman" w:eastAsia="Times New Roman" w:hAnsi="Times New Roman" w:cs="Times New Roman"/>
                <w:color w:val="000000"/>
                <w:sz w:val="18"/>
                <w:szCs w:val="18"/>
                <w:lang w:eastAsia="ro-RO"/>
              </w:rPr>
              <w:t>0</w:t>
            </w:r>
          </w:p>
        </w:tc>
        <w:tc>
          <w:tcPr>
            <w:tcW w:w="484" w:type="pct"/>
            <w:tcBorders>
              <w:top w:val="nil"/>
              <w:left w:val="nil"/>
              <w:bottom w:val="single" w:sz="4" w:space="0" w:color="auto"/>
              <w:right w:val="single" w:sz="4" w:space="0" w:color="auto"/>
            </w:tcBorders>
            <w:shd w:val="clear" w:color="auto" w:fill="auto"/>
            <w:noWrap/>
            <w:vAlign w:val="center"/>
            <w:hideMark/>
          </w:tcPr>
          <w:p w14:paraId="2228DEB2" w14:textId="75035115"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19</w:t>
            </w:r>
          </w:p>
        </w:tc>
        <w:tc>
          <w:tcPr>
            <w:tcW w:w="484" w:type="pct"/>
            <w:tcBorders>
              <w:top w:val="nil"/>
              <w:left w:val="nil"/>
              <w:bottom w:val="single" w:sz="4" w:space="0" w:color="auto"/>
              <w:right w:val="single" w:sz="4" w:space="0" w:color="auto"/>
            </w:tcBorders>
            <w:shd w:val="clear" w:color="auto" w:fill="auto"/>
            <w:noWrap/>
            <w:vAlign w:val="center"/>
            <w:hideMark/>
          </w:tcPr>
          <w:p w14:paraId="14F40F5C" w14:textId="131B934E"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17</w:t>
            </w:r>
          </w:p>
        </w:tc>
        <w:tc>
          <w:tcPr>
            <w:tcW w:w="484" w:type="pct"/>
            <w:tcBorders>
              <w:top w:val="nil"/>
              <w:left w:val="nil"/>
              <w:bottom w:val="single" w:sz="4" w:space="0" w:color="auto"/>
              <w:right w:val="single" w:sz="4" w:space="0" w:color="auto"/>
            </w:tcBorders>
            <w:shd w:val="clear" w:color="auto" w:fill="auto"/>
            <w:noWrap/>
            <w:vAlign w:val="center"/>
            <w:hideMark/>
          </w:tcPr>
          <w:p w14:paraId="71FDF4D7" w14:textId="1ACD8067"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16</w:t>
            </w:r>
          </w:p>
        </w:tc>
        <w:tc>
          <w:tcPr>
            <w:tcW w:w="484" w:type="pct"/>
            <w:tcBorders>
              <w:top w:val="nil"/>
              <w:left w:val="nil"/>
              <w:bottom w:val="single" w:sz="4" w:space="0" w:color="auto"/>
              <w:right w:val="single" w:sz="4" w:space="0" w:color="auto"/>
            </w:tcBorders>
            <w:shd w:val="clear" w:color="auto" w:fill="auto"/>
            <w:vAlign w:val="center"/>
            <w:hideMark/>
          </w:tcPr>
          <w:p w14:paraId="36A6D3B1" w14:textId="27D79054"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33</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3</w:t>
            </w:r>
            <w:r w:rsidR="00214ED2" w:rsidRPr="00FD2D5D">
              <w:rPr>
                <w:rFonts w:ascii="Times New Roman" w:eastAsia="Times New Roman" w:hAnsi="Times New Roman" w:cs="Times New Roman"/>
                <w:color w:val="000000"/>
                <w:sz w:val="18"/>
                <w:szCs w:val="18"/>
                <w:lang w:eastAsia="ro-RO"/>
              </w:rPr>
              <w:t>0</w:t>
            </w:r>
          </w:p>
        </w:tc>
      </w:tr>
      <w:tr w:rsidR="001625C3" w:rsidRPr="00FD2D5D" w14:paraId="4434D721" w14:textId="77777777" w:rsidTr="00803311">
        <w:trPr>
          <w:trHeight w:val="300"/>
        </w:trPr>
        <w:tc>
          <w:tcPr>
            <w:tcW w:w="1129" w:type="pct"/>
            <w:tcBorders>
              <w:top w:val="nil"/>
              <w:left w:val="single" w:sz="4" w:space="0" w:color="auto"/>
              <w:bottom w:val="single" w:sz="4" w:space="0" w:color="auto"/>
              <w:right w:val="single" w:sz="4" w:space="0" w:color="auto"/>
            </w:tcBorders>
            <w:shd w:val="clear" w:color="auto" w:fill="auto"/>
            <w:vAlign w:val="center"/>
            <w:hideMark/>
          </w:tcPr>
          <w:p w14:paraId="4FCD4879" w14:textId="77777777" w:rsidR="001625C3" w:rsidRPr="00FD2D5D" w:rsidRDefault="001625C3" w:rsidP="001625C3">
            <w:pPr>
              <w:spacing w:after="0" w:line="240" w:lineRule="auto"/>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Estonia</w:t>
            </w:r>
          </w:p>
        </w:tc>
        <w:tc>
          <w:tcPr>
            <w:tcW w:w="484" w:type="pct"/>
            <w:tcBorders>
              <w:top w:val="nil"/>
              <w:left w:val="nil"/>
              <w:bottom w:val="single" w:sz="4" w:space="0" w:color="auto"/>
              <w:right w:val="single" w:sz="4" w:space="0" w:color="auto"/>
            </w:tcBorders>
            <w:shd w:val="clear" w:color="auto" w:fill="auto"/>
            <w:noWrap/>
            <w:vAlign w:val="center"/>
            <w:hideMark/>
          </w:tcPr>
          <w:p w14:paraId="116239D4" w14:textId="1C261D69"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68</w:t>
            </w:r>
          </w:p>
        </w:tc>
        <w:tc>
          <w:tcPr>
            <w:tcW w:w="484" w:type="pct"/>
            <w:tcBorders>
              <w:top w:val="nil"/>
              <w:left w:val="nil"/>
              <w:bottom w:val="single" w:sz="4" w:space="0" w:color="auto"/>
              <w:right w:val="single" w:sz="4" w:space="0" w:color="auto"/>
            </w:tcBorders>
            <w:shd w:val="clear" w:color="auto" w:fill="auto"/>
            <w:noWrap/>
            <w:vAlign w:val="center"/>
            <w:hideMark/>
          </w:tcPr>
          <w:p w14:paraId="005134C3" w14:textId="4F264B66"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5</w:t>
            </w:r>
            <w:r w:rsidR="0048189B" w:rsidRPr="00FD2D5D">
              <w:rPr>
                <w:rFonts w:ascii="Times New Roman" w:eastAsia="Times New Roman" w:hAnsi="Times New Roman" w:cs="Times New Roman"/>
                <w:color w:val="000000"/>
                <w:sz w:val="18"/>
                <w:szCs w:val="18"/>
                <w:lang w:eastAsia="ro-RO"/>
              </w:rPr>
              <w:t>0</w:t>
            </w:r>
          </w:p>
        </w:tc>
        <w:tc>
          <w:tcPr>
            <w:tcW w:w="484" w:type="pct"/>
            <w:tcBorders>
              <w:top w:val="nil"/>
              <w:left w:val="nil"/>
              <w:bottom w:val="single" w:sz="4" w:space="0" w:color="auto"/>
              <w:right w:val="single" w:sz="4" w:space="0" w:color="auto"/>
            </w:tcBorders>
            <w:shd w:val="clear" w:color="auto" w:fill="auto"/>
            <w:noWrap/>
            <w:vAlign w:val="center"/>
            <w:hideMark/>
          </w:tcPr>
          <w:p w14:paraId="4661DFE7" w14:textId="625B8BD4"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34</w:t>
            </w:r>
          </w:p>
        </w:tc>
        <w:tc>
          <w:tcPr>
            <w:tcW w:w="484" w:type="pct"/>
            <w:tcBorders>
              <w:top w:val="nil"/>
              <w:left w:val="nil"/>
              <w:bottom w:val="single" w:sz="4" w:space="0" w:color="auto"/>
              <w:right w:val="single" w:sz="4" w:space="0" w:color="auto"/>
            </w:tcBorders>
            <w:shd w:val="clear" w:color="auto" w:fill="auto"/>
            <w:noWrap/>
            <w:vAlign w:val="center"/>
            <w:hideMark/>
          </w:tcPr>
          <w:p w14:paraId="33D76A33" w14:textId="2180C7C3"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26</w:t>
            </w:r>
          </w:p>
        </w:tc>
        <w:tc>
          <w:tcPr>
            <w:tcW w:w="484" w:type="pct"/>
            <w:tcBorders>
              <w:top w:val="nil"/>
              <w:left w:val="nil"/>
              <w:bottom w:val="single" w:sz="4" w:space="0" w:color="auto"/>
              <w:right w:val="single" w:sz="4" w:space="0" w:color="auto"/>
            </w:tcBorders>
            <w:shd w:val="clear" w:color="auto" w:fill="auto"/>
            <w:noWrap/>
            <w:vAlign w:val="center"/>
            <w:hideMark/>
          </w:tcPr>
          <w:p w14:paraId="6A12011D" w14:textId="10624210"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29</w:t>
            </w:r>
          </w:p>
        </w:tc>
        <w:tc>
          <w:tcPr>
            <w:tcW w:w="484" w:type="pct"/>
            <w:tcBorders>
              <w:top w:val="nil"/>
              <w:left w:val="nil"/>
              <w:bottom w:val="single" w:sz="4" w:space="0" w:color="auto"/>
              <w:right w:val="single" w:sz="4" w:space="0" w:color="auto"/>
            </w:tcBorders>
            <w:shd w:val="clear" w:color="auto" w:fill="auto"/>
            <w:noWrap/>
            <w:vAlign w:val="center"/>
            <w:hideMark/>
          </w:tcPr>
          <w:p w14:paraId="4FC1A687" w14:textId="51B4205E"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24</w:t>
            </w:r>
          </w:p>
        </w:tc>
        <w:tc>
          <w:tcPr>
            <w:tcW w:w="484" w:type="pct"/>
            <w:tcBorders>
              <w:top w:val="nil"/>
              <w:left w:val="nil"/>
              <w:bottom w:val="single" w:sz="4" w:space="0" w:color="auto"/>
              <w:right w:val="single" w:sz="4" w:space="0" w:color="auto"/>
            </w:tcBorders>
            <w:shd w:val="clear" w:color="auto" w:fill="auto"/>
            <w:noWrap/>
            <w:vAlign w:val="center"/>
            <w:hideMark/>
          </w:tcPr>
          <w:p w14:paraId="531E5F96" w14:textId="753DB1AF"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19</w:t>
            </w:r>
          </w:p>
        </w:tc>
        <w:tc>
          <w:tcPr>
            <w:tcW w:w="484" w:type="pct"/>
            <w:tcBorders>
              <w:top w:val="nil"/>
              <w:left w:val="nil"/>
              <w:bottom w:val="single" w:sz="4" w:space="0" w:color="auto"/>
              <w:right w:val="single" w:sz="4" w:space="0" w:color="auto"/>
            </w:tcBorders>
            <w:shd w:val="clear" w:color="auto" w:fill="auto"/>
            <w:vAlign w:val="center"/>
            <w:hideMark/>
          </w:tcPr>
          <w:p w14:paraId="4F45CF77" w14:textId="41CE7126"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72</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1</w:t>
            </w:r>
            <w:r w:rsidR="00214ED2" w:rsidRPr="00FD2D5D">
              <w:rPr>
                <w:rFonts w:ascii="Times New Roman" w:eastAsia="Times New Roman" w:hAnsi="Times New Roman" w:cs="Times New Roman"/>
                <w:color w:val="000000"/>
                <w:sz w:val="18"/>
                <w:szCs w:val="18"/>
                <w:lang w:eastAsia="ro-RO"/>
              </w:rPr>
              <w:t>0</w:t>
            </w:r>
          </w:p>
        </w:tc>
      </w:tr>
      <w:tr w:rsidR="001625C3" w:rsidRPr="00FD2D5D" w14:paraId="46525753" w14:textId="77777777" w:rsidTr="00803311">
        <w:trPr>
          <w:trHeight w:val="300"/>
        </w:trPr>
        <w:tc>
          <w:tcPr>
            <w:tcW w:w="1129" w:type="pct"/>
            <w:tcBorders>
              <w:top w:val="nil"/>
              <w:left w:val="single" w:sz="4" w:space="0" w:color="auto"/>
              <w:bottom w:val="single" w:sz="4" w:space="0" w:color="auto"/>
              <w:right w:val="single" w:sz="4" w:space="0" w:color="auto"/>
            </w:tcBorders>
            <w:shd w:val="clear" w:color="auto" w:fill="auto"/>
            <w:vAlign w:val="center"/>
            <w:hideMark/>
          </w:tcPr>
          <w:p w14:paraId="3A2DF118" w14:textId="77777777" w:rsidR="001625C3" w:rsidRPr="00FD2D5D" w:rsidRDefault="001625C3" w:rsidP="001625C3">
            <w:pPr>
              <w:spacing w:after="0" w:line="240" w:lineRule="auto"/>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Georgia</w:t>
            </w:r>
          </w:p>
        </w:tc>
        <w:tc>
          <w:tcPr>
            <w:tcW w:w="484" w:type="pct"/>
            <w:tcBorders>
              <w:top w:val="nil"/>
              <w:left w:val="nil"/>
              <w:bottom w:val="single" w:sz="4" w:space="0" w:color="auto"/>
              <w:right w:val="single" w:sz="4" w:space="0" w:color="auto"/>
            </w:tcBorders>
            <w:shd w:val="clear" w:color="auto" w:fill="auto"/>
            <w:noWrap/>
            <w:vAlign w:val="center"/>
            <w:hideMark/>
          </w:tcPr>
          <w:p w14:paraId="0F86F2F9" w14:textId="31C7325D"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73</w:t>
            </w:r>
          </w:p>
        </w:tc>
        <w:tc>
          <w:tcPr>
            <w:tcW w:w="484" w:type="pct"/>
            <w:tcBorders>
              <w:top w:val="nil"/>
              <w:left w:val="nil"/>
              <w:bottom w:val="single" w:sz="4" w:space="0" w:color="auto"/>
              <w:right w:val="single" w:sz="4" w:space="0" w:color="auto"/>
            </w:tcBorders>
            <w:shd w:val="clear" w:color="auto" w:fill="auto"/>
            <w:noWrap/>
            <w:vAlign w:val="center"/>
            <w:hideMark/>
          </w:tcPr>
          <w:p w14:paraId="4723F859" w14:textId="6125B15F"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77</w:t>
            </w:r>
          </w:p>
        </w:tc>
        <w:tc>
          <w:tcPr>
            <w:tcW w:w="484" w:type="pct"/>
            <w:tcBorders>
              <w:top w:val="nil"/>
              <w:left w:val="nil"/>
              <w:bottom w:val="single" w:sz="4" w:space="0" w:color="auto"/>
              <w:right w:val="single" w:sz="4" w:space="0" w:color="auto"/>
            </w:tcBorders>
            <w:shd w:val="clear" w:color="auto" w:fill="auto"/>
            <w:noWrap/>
            <w:vAlign w:val="center"/>
            <w:hideMark/>
          </w:tcPr>
          <w:p w14:paraId="49FB4985" w14:textId="271D6FF5"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45</w:t>
            </w:r>
          </w:p>
        </w:tc>
        <w:tc>
          <w:tcPr>
            <w:tcW w:w="484" w:type="pct"/>
            <w:tcBorders>
              <w:top w:val="nil"/>
              <w:left w:val="nil"/>
              <w:bottom w:val="single" w:sz="4" w:space="0" w:color="auto"/>
              <w:right w:val="single" w:sz="4" w:space="0" w:color="auto"/>
            </w:tcBorders>
            <w:shd w:val="clear" w:color="auto" w:fill="auto"/>
            <w:noWrap/>
            <w:vAlign w:val="center"/>
            <w:hideMark/>
          </w:tcPr>
          <w:p w14:paraId="48404F54" w14:textId="1775BFF9"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31</w:t>
            </w:r>
          </w:p>
        </w:tc>
        <w:tc>
          <w:tcPr>
            <w:tcW w:w="484" w:type="pct"/>
            <w:tcBorders>
              <w:top w:val="nil"/>
              <w:left w:val="nil"/>
              <w:bottom w:val="single" w:sz="4" w:space="0" w:color="auto"/>
              <w:right w:val="single" w:sz="4" w:space="0" w:color="auto"/>
            </w:tcBorders>
            <w:shd w:val="clear" w:color="auto" w:fill="auto"/>
            <w:noWrap/>
            <w:vAlign w:val="center"/>
            <w:hideMark/>
          </w:tcPr>
          <w:p w14:paraId="66302573" w14:textId="46CA47E3"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27</w:t>
            </w:r>
          </w:p>
        </w:tc>
        <w:tc>
          <w:tcPr>
            <w:tcW w:w="484" w:type="pct"/>
            <w:tcBorders>
              <w:top w:val="nil"/>
              <w:left w:val="nil"/>
              <w:bottom w:val="single" w:sz="4" w:space="0" w:color="auto"/>
              <w:right w:val="single" w:sz="4" w:space="0" w:color="auto"/>
            </w:tcBorders>
            <w:shd w:val="clear" w:color="auto" w:fill="auto"/>
            <w:noWrap/>
            <w:vAlign w:val="center"/>
            <w:hideMark/>
          </w:tcPr>
          <w:p w14:paraId="6019A81C" w14:textId="55CB55F0"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31</w:t>
            </w:r>
          </w:p>
        </w:tc>
        <w:tc>
          <w:tcPr>
            <w:tcW w:w="484" w:type="pct"/>
            <w:tcBorders>
              <w:top w:val="nil"/>
              <w:left w:val="nil"/>
              <w:bottom w:val="single" w:sz="4" w:space="0" w:color="auto"/>
              <w:right w:val="single" w:sz="4" w:space="0" w:color="auto"/>
            </w:tcBorders>
            <w:shd w:val="clear" w:color="auto" w:fill="auto"/>
            <w:noWrap/>
            <w:vAlign w:val="center"/>
            <w:hideMark/>
          </w:tcPr>
          <w:p w14:paraId="53531343" w14:textId="1F1CD4E4"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29</w:t>
            </w:r>
          </w:p>
        </w:tc>
        <w:tc>
          <w:tcPr>
            <w:tcW w:w="484" w:type="pct"/>
            <w:tcBorders>
              <w:top w:val="nil"/>
              <w:left w:val="nil"/>
              <w:bottom w:val="single" w:sz="4" w:space="0" w:color="auto"/>
              <w:right w:val="single" w:sz="4" w:space="0" w:color="auto"/>
            </w:tcBorders>
            <w:shd w:val="clear" w:color="auto" w:fill="auto"/>
            <w:vAlign w:val="center"/>
            <w:hideMark/>
          </w:tcPr>
          <w:p w14:paraId="3516CA0E" w14:textId="0A001FBE"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60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3</w:t>
            </w:r>
            <w:r w:rsidR="00214ED2" w:rsidRPr="00FD2D5D">
              <w:rPr>
                <w:rFonts w:ascii="Times New Roman" w:eastAsia="Times New Roman" w:hAnsi="Times New Roman" w:cs="Times New Roman"/>
                <w:color w:val="000000"/>
                <w:sz w:val="18"/>
                <w:szCs w:val="18"/>
                <w:lang w:eastAsia="ro-RO"/>
              </w:rPr>
              <w:t>0</w:t>
            </w:r>
          </w:p>
        </w:tc>
      </w:tr>
      <w:tr w:rsidR="001625C3" w:rsidRPr="00FD2D5D" w14:paraId="1928373E" w14:textId="77777777" w:rsidTr="00803311">
        <w:trPr>
          <w:trHeight w:val="300"/>
        </w:trPr>
        <w:tc>
          <w:tcPr>
            <w:tcW w:w="1129" w:type="pct"/>
            <w:tcBorders>
              <w:top w:val="nil"/>
              <w:left w:val="single" w:sz="4" w:space="0" w:color="auto"/>
              <w:bottom w:val="single" w:sz="4" w:space="0" w:color="auto"/>
              <w:right w:val="single" w:sz="4" w:space="0" w:color="auto"/>
            </w:tcBorders>
            <w:shd w:val="clear" w:color="auto" w:fill="auto"/>
            <w:vAlign w:val="center"/>
            <w:hideMark/>
          </w:tcPr>
          <w:p w14:paraId="5FECD5A1" w14:textId="77777777" w:rsidR="001625C3" w:rsidRPr="00FD2D5D" w:rsidRDefault="001625C3" w:rsidP="001625C3">
            <w:pPr>
              <w:spacing w:after="0" w:line="240" w:lineRule="auto"/>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Letonia</w:t>
            </w:r>
          </w:p>
        </w:tc>
        <w:tc>
          <w:tcPr>
            <w:tcW w:w="484" w:type="pct"/>
            <w:tcBorders>
              <w:top w:val="nil"/>
              <w:left w:val="nil"/>
              <w:bottom w:val="single" w:sz="4" w:space="0" w:color="auto"/>
              <w:right w:val="single" w:sz="4" w:space="0" w:color="auto"/>
            </w:tcBorders>
            <w:shd w:val="clear" w:color="auto" w:fill="auto"/>
            <w:noWrap/>
            <w:vAlign w:val="center"/>
            <w:hideMark/>
          </w:tcPr>
          <w:p w14:paraId="1BCC7076" w14:textId="44964CA7"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46</w:t>
            </w:r>
          </w:p>
        </w:tc>
        <w:tc>
          <w:tcPr>
            <w:tcW w:w="484" w:type="pct"/>
            <w:tcBorders>
              <w:top w:val="nil"/>
              <w:left w:val="nil"/>
              <w:bottom w:val="single" w:sz="4" w:space="0" w:color="auto"/>
              <w:right w:val="single" w:sz="4" w:space="0" w:color="auto"/>
            </w:tcBorders>
            <w:shd w:val="clear" w:color="auto" w:fill="auto"/>
            <w:noWrap/>
            <w:vAlign w:val="center"/>
            <w:hideMark/>
          </w:tcPr>
          <w:p w14:paraId="0D0312B9" w14:textId="1D8ABE85"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38</w:t>
            </w:r>
          </w:p>
        </w:tc>
        <w:tc>
          <w:tcPr>
            <w:tcW w:w="484" w:type="pct"/>
            <w:tcBorders>
              <w:top w:val="nil"/>
              <w:left w:val="nil"/>
              <w:bottom w:val="single" w:sz="4" w:space="0" w:color="auto"/>
              <w:right w:val="single" w:sz="4" w:space="0" w:color="auto"/>
            </w:tcBorders>
            <w:shd w:val="clear" w:color="auto" w:fill="auto"/>
            <w:noWrap/>
            <w:vAlign w:val="center"/>
            <w:hideMark/>
          </w:tcPr>
          <w:p w14:paraId="49F1EAFE" w14:textId="308E2381"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24</w:t>
            </w:r>
          </w:p>
        </w:tc>
        <w:tc>
          <w:tcPr>
            <w:tcW w:w="484" w:type="pct"/>
            <w:tcBorders>
              <w:top w:val="nil"/>
              <w:left w:val="nil"/>
              <w:bottom w:val="single" w:sz="4" w:space="0" w:color="auto"/>
              <w:right w:val="single" w:sz="4" w:space="0" w:color="auto"/>
            </w:tcBorders>
            <w:shd w:val="clear" w:color="auto" w:fill="auto"/>
            <w:noWrap/>
            <w:vAlign w:val="center"/>
            <w:hideMark/>
          </w:tcPr>
          <w:p w14:paraId="60D0FD6B" w14:textId="68930245"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19</w:t>
            </w:r>
          </w:p>
        </w:tc>
        <w:tc>
          <w:tcPr>
            <w:tcW w:w="484" w:type="pct"/>
            <w:tcBorders>
              <w:top w:val="nil"/>
              <w:left w:val="nil"/>
              <w:bottom w:val="single" w:sz="4" w:space="0" w:color="auto"/>
              <w:right w:val="single" w:sz="4" w:space="0" w:color="auto"/>
            </w:tcBorders>
            <w:shd w:val="clear" w:color="auto" w:fill="auto"/>
            <w:noWrap/>
            <w:vAlign w:val="center"/>
            <w:hideMark/>
          </w:tcPr>
          <w:p w14:paraId="4C96E855" w14:textId="3AC486CE"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2</w:t>
            </w:r>
            <w:r w:rsidR="00214ED2" w:rsidRPr="00FD2D5D">
              <w:rPr>
                <w:rFonts w:ascii="Times New Roman" w:eastAsia="Times New Roman" w:hAnsi="Times New Roman" w:cs="Times New Roman"/>
                <w:color w:val="000000"/>
                <w:sz w:val="18"/>
                <w:szCs w:val="18"/>
                <w:lang w:eastAsia="ro-RO"/>
              </w:rPr>
              <w:t>0</w:t>
            </w:r>
          </w:p>
        </w:tc>
        <w:tc>
          <w:tcPr>
            <w:tcW w:w="484" w:type="pct"/>
            <w:tcBorders>
              <w:top w:val="nil"/>
              <w:left w:val="nil"/>
              <w:bottom w:val="single" w:sz="4" w:space="0" w:color="auto"/>
              <w:right w:val="single" w:sz="4" w:space="0" w:color="auto"/>
            </w:tcBorders>
            <w:shd w:val="clear" w:color="auto" w:fill="auto"/>
            <w:noWrap/>
            <w:vAlign w:val="center"/>
            <w:hideMark/>
          </w:tcPr>
          <w:p w14:paraId="545BE563" w14:textId="64F04122"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16</w:t>
            </w:r>
          </w:p>
        </w:tc>
        <w:tc>
          <w:tcPr>
            <w:tcW w:w="484" w:type="pct"/>
            <w:tcBorders>
              <w:top w:val="nil"/>
              <w:left w:val="nil"/>
              <w:bottom w:val="single" w:sz="4" w:space="0" w:color="auto"/>
              <w:right w:val="single" w:sz="4" w:space="0" w:color="auto"/>
            </w:tcBorders>
            <w:shd w:val="clear" w:color="auto" w:fill="auto"/>
            <w:noWrap/>
            <w:vAlign w:val="center"/>
            <w:hideMark/>
          </w:tcPr>
          <w:p w14:paraId="647BDF01" w14:textId="3EF924DD"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15</w:t>
            </w:r>
          </w:p>
        </w:tc>
        <w:tc>
          <w:tcPr>
            <w:tcW w:w="484" w:type="pct"/>
            <w:tcBorders>
              <w:top w:val="nil"/>
              <w:left w:val="nil"/>
              <w:bottom w:val="single" w:sz="4" w:space="0" w:color="auto"/>
              <w:right w:val="single" w:sz="4" w:space="0" w:color="auto"/>
            </w:tcBorders>
            <w:shd w:val="clear" w:color="auto" w:fill="auto"/>
            <w:vAlign w:val="center"/>
            <w:hideMark/>
          </w:tcPr>
          <w:p w14:paraId="7F27139C" w14:textId="31C5BD68"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67</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4</w:t>
            </w:r>
            <w:r w:rsidR="00214ED2" w:rsidRPr="00FD2D5D">
              <w:rPr>
                <w:rFonts w:ascii="Times New Roman" w:eastAsia="Times New Roman" w:hAnsi="Times New Roman" w:cs="Times New Roman"/>
                <w:color w:val="000000"/>
                <w:sz w:val="18"/>
                <w:szCs w:val="18"/>
                <w:lang w:eastAsia="ro-RO"/>
              </w:rPr>
              <w:t>0</w:t>
            </w:r>
          </w:p>
        </w:tc>
      </w:tr>
      <w:tr w:rsidR="001625C3" w:rsidRPr="00FD2D5D" w14:paraId="5CB702D2" w14:textId="77777777" w:rsidTr="00803311">
        <w:trPr>
          <w:trHeight w:val="300"/>
        </w:trPr>
        <w:tc>
          <w:tcPr>
            <w:tcW w:w="1129" w:type="pct"/>
            <w:tcBorders>
              <w:top w:val="nil"/>
              <w:left w:val="single" w:sz="4" w:space="0" w:color="auto"/>
              <w:bottom w:val="single" w:sz="4" w:space="0" w:color="auto"/>
              <w:right w:val="single" w:sz="4" w:space="0" w:color="auto"/>
            </w:tcBorders>
            <w:shd w:val="clear" w:color="auto" w:fill="auto"/>
            <w:vAlign w:val="center"/>
            <w:hideMark/>
          </w:tcPr>
          <w:p w14:paraId="36DC0AD5" w14:textId="77777777" w:rsidR="001625C3" w:rsidRPr="00FD2D5D" w:rsidRDefault="001625C3" w:rsidP="001625C3">
            <w:pPr>
              <w:spacing w:after="0" w:line="240" w:lineRule="auto"/>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Lituania</w:t>
            </w:r>
          </w:p>
        </w:tc>
        <w:tc>
          <w:tcPr>
            <w:tcW w:w="484" w:type="pct"/>
            <w:tcBorders>
              <w:top w:val="nil"/>
              <w:left w:val="nil"/>
              <w:bottom w:val="single" w:sz="4" w:space="0" w:color="auto"/>
              <w:right w:val="single" w:sz="4" w:space="0" w:color="auto"/>
            </w:tcBorders>
            <w:shd w:val="clear" w:color="auto" w:fill="auto"/>
            <w:noWrap/>
            <w:vAlign w:val="center"/>
            <w:hideMark/>
          </w:tcPr>
          <w:p w14:paraId="329867E5" w14:textId="1A33A2E2"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64</w:t>
            </w:r>
          </w:p>
        </w:tc>
        <w:tc>
          <w:tcPr>
            <w:tcW w:w="484" w:type="pct"/>
            <w:tcBorders>
              <w:top w:val="nil"/>
              <w:left w:val="nil"/>
              <w:bottom w:val="single" w:sz="4" w:space="0" w:color="auto"/>
              <w:right w:val="single" w:sz="4" w:space="0" w:color="auto"/>
            </w:tcBorders>
            <w:shd w:val="clear" w:color="auto" w:fill="auto"/>
            <w:noWrap/>
            <w:vAlign w:val="center"/>
            <w:hideMark/>
          </w:tcPr>
          <w:p w14:paraId="1BD67FDB" w14:textId="738420C3"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49</w:t>
            </w:r>
          </w:p>
        </w:tc>
        <w:tc>
          <w:tcPr>
            <w:tcW w:w="484" w:type="pct"/>
            <w:tcBorders>
              <w:top w:val="nil"/>
              <w:left w:val="nil"/>
              <w:bottom w:val="single" w:sz="4" w:space="0" w:color="auto"/>
              <w:right w:val="single" w:sz="4" w:space="0" w:color="auto"/>
            </w:tcBorders>
            <w:shd w:val="clear" w:color="auto" w:fill="auto"/>
            <w:noWrap/>
            <w:vAlign w:val="center"/>
            <w:hideMark/>
          </w:tcPr>
          <w:p w14:paraId="0EF3A8DD" w14:textId="5BC551EA"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32</w:t>
            </w:r>
          </w:p>
        </w:tc>
        <w:tc>
          <w:tcPr>
            <w:tcW w:w="484" w:type="pct"/>
            <w:tcBorders>
              <w:top w:val="nil"/>
              <w:left w:val="nil"/>
              <w:bottom w:val="single" w:sz="4" w:space="0" w:color="auto"/>
              <w:right w:val="single" w:sz="4" w:space="0" w:color="auto"/>
            </w:tcBorders>
            <w:shd w:val="clear" w:color="auto" w:fill="auto"/>
            <w:noWrap/>
            <w:vAlign w:val="center"/>
            <w:hideMark/>
          </w:tcPr>
          <w:p w14:paraId="34A1D185" w14:textId="44B9F298"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27</w:t>
            </w:r>
          </w:p>
        </w:tc>
        <w:tc>
          <w:tcPr>
            <w:tcW w:w="484" w:type="pct"/>
            <w:tcBorders>
              <w:top w:val="nil"/>
              <w:left w:val="nil"/>
              <w:bottom w:val="single" w:sz="4" w:space="0" w:color="auto"/>
              <w:right w:val="single" w:sz="4" w:space="0" w:color="auto"/>
            </w:tcBorders>
            <w:shd w:val="clear" w:color="auto" w:fill="auto"/>
            <w:noWrap/>
            <w:vAlign w:val="center"/>
            <w:hideMark/>
          </w:tcPr>
          <w:p w14:paraId="3EEFADBD" w14:textId="0E5E5B4E"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21</w:t>
            </w:r>
          </w:p>
        </w:tc>
        <w:tc>
          <w:tcPr>
            <w:tcW w:w="484" w:type="pct"/>
            <w:tcBorders>
              <w:top w:val="nil"/>
              <w:left w:val="nil"/>
              <w:bottom w:val="single" w:sz="4" w:space="0" w:color="auto"/>
              <w:right w:val="single" w:sz="4" w:space="0" w:color="auto"/>
            </w:tcBorders>
            <w:shd w:val="clear" w:color="auto" w:fill="auto"/>
            <w:noWrap/>
            <w:vAlign w:val="center"/>
            <w:hideMark/>
          </w:tcPr>
          <w:p w14:paraId="0BE8FE03" w14:textId="663B1B89"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17</w:t>
            </w:r>
          </w:p>
        </w:tc>
        <w:tc>
          <w:tcPr>
            <w:tcW w:w="484" w:type="pct"/>
            <w:tcBorders>
              <w:top w:val="nil"/>
              <w:left w:val="nil"/>
              <w:bottom w:val="single" w:sz="4" w:space="0" w:color="auto"/>
              <w:right w:val="single" w:sz="4" w:space="0" w:color="auto"/>
            </w:tcBorders>
            <w:shd w:val="clear" w:color="auto" w:fill="auto"/>
            <w:noWrap/>
            <w:vAlign w:val="center"/>
            <w:hideMark/>
          </w:tcPr>
          <w:p w14:paraId="04655E1C" w14:textId="7BE9C9D3"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16</w:t>
            </w:r>
          </w:p>
        </w:tc>
        <w:tc>
          <w:tcPr>
            <w:tcW w:w="484" w:type="pct"/>
            <w:tcBorders>
              <w:top w:val="nil"/>
              <w:left w:val="nil"/>
              <w:bottom w:val="single" w:sz="4" w:space="0" w:color="auto"/>
              <w:right w:val="single" w:sz="4" w:space="0" w:color="auto"/>
            </w:tcBorders>
            <w:shd w:val="clear" w:color="auto" w:fill="auto"/>
            <w:vAlign w:val="center"/>
            <w:hideMark/>
          </w:tcPr>
          <w:p w14:paraId="3FD8014F" w14:textId="6642F534"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75</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0</w:t>
            </w:r>
            <w:r w:rsidR="00214ED2" w:rsidRPr="00FD2D5D">
              <w:rPr>
                <w:rFonts w:ascii="Times New Roman" w:eastAsia="Times New Roman" w:hAnsi="Times New Roman" w:cs="Times New Roman"/>
                <w:color w:val="000000"/>
                <w:sz w:val="18"/>
                <w:szCs w:val="18"/>
                <w:lang w:eastAsia="ro-RO"/>
              </w:rPr>
              <w:t>0</w:t>
            </w:r>
          </w:p>
        </w:tc>
      </w:tr>
      <w:tr w:rsidR="001625C3" w:rsidRPr="00FD2D5D" w14:paraId="496D7B77" w14:textId="77777777" w:rsidTr="00803311">
        <w:trPr>
          <w:trHeight w:val="300"/>
        </w:trPr>
        <w:tc>
          <w:tcPr>
            <w:tcW w:w="1129" w:type="pct"/>
            <w:tcBorders>
              <w:top w:val="nil"/>
              <w:left w:val="single" w:sz="4" w:space="0" w:color="auto"/>
              <w:bottom w:val="single" w:sz="4" w:space="0" w:color="auto"/>
              <w:right w:val="single" w:sz="4" w:space="0" w:color="auto"/>
            </w:tcBorders>
            <w:shd w:val="clear" w:color="auto" w:fill="auto"/>
            <w:vAlign w:val="center"/>
            <w:hideMark/>
          </w:tcPr>
          <w:p w14:paraId="73F42B4C" w14:textId="77777777" w:rsidR="001625C3" w:rsidRPr="00FD2D5D" w:rsidRDefault="001625C3" w:rsidP="001625C3">
            <w:pPr>
              <w:spacing w:after="0" w:line="240" w:lineRule="auto"/>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Macedonia de Nord</w:t>
            </w:r>
          </w:p>
        </w:tc>
        <w:tc>
          <w:tcPr>
            <w:tcW w:w="484" w:type="pct"/>
            <w:tcBorders>
              <w:top w:val="nil"/>
              <w:left w:val="nil"/>
              <w:bottom w:val="single" w:sz="4" w:space="0" w:color="auto"/>
              <w:right w:val="single" w:sz="4" w:space="0" w:color="auto"/>
            </w:tcBorders>
            <w:shd w:val="clear" w:color="auto" w:fill="auto"/>
            <w:noWrap/>
            <w:vAlign w:val="center"/>
            <w:hideMark/>
          </w:tcPr>
          <w:p w14:paraId="792DE9DB" w14:textId="6ECC8F78"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34</w:t>
            </w:r>
          </w:p>
        </w:tc>
        <w:tc>
          <w:tcPr>
            <w:tcW w:w="484" w:type="pct"/>
            <w:tcBorders>
              <w:top w:val="nil"/>
              <w:left w:val="nil"/>
              <w:bottom w:val="single" w:sz="4" w:space="0" w:color="auto"/>
              <w:right w:val="single" w:sz="4" w:space="0" w:color="auto"/>
            </w:tcBorders>
            <w:shd w:val="clear" w:color="auto" w:fill="auto"/>
            <w:noWrap/>
            <w:vAlign w:val="center"/>
            <w:hideMark/>
          </w:tcPr>
          <w:p w14:paraId="71718272" w14:textId="43510045"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43</w:t>
            </w:r>
          </w:p>
        </w:tc>
        <w:tc>
          <w:tcPr>
            <w:tcW w:w="484" w:type="pct"/>
            <w:tcBorders>
              <w:top w:val="nil"/>
              <w:left w:val="nil"/>
              <w:bottom w:val="single" w:sz="4" w:space="0" w:color="auto"/>
              <w:right w:val="single" w:sz="4" w:space="0" w:color="auto"/>
            </w:tcBorders>
            <w:shd w:val="clear" w:color="auto" w:fill="auto"/>
            <w:noWrap/>
            <w:vAlign w:val="center"/>
            <w:hideMark/>
          </w:tcPr>
          <w:p w14:paraId="2AA6546A" w14:textId="5D53DF8E"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4</w:t>
            </w:r>
            <w:r w:rsidR="0048189B" w:rsidRPr="00FD2D5D">
              <w:rPr>
                <w:rFonts w:ascii="Times New Roman" w:eastAsia="Times New Roman" w:hAnsi="Times New Roman" w:cs="Times New Roman"/>
                <w:color w:val="000000"/>
                <w:sz w:val="18"/>
                <w:szCs w:val="18"/>
                <w:lang w:eastAsia="ro-RO"/>
              </w:rPr>
              <w:t>0</w:t>
            </w:r>
          </w:p>
        </w:tc>
        <w:tc>
          <w:tcPr>
            <w:tcW w:w="484" w:type="pct"/>
            <w:tcBorders>
              <w:top w:val="nil"/>
              <w:left w:val="nil"/>
              <w:bottom w:val="single" w:sz="4" w:space="0" w:color="auto"/>
              <w:right w:val="single" w:sz="4" w:space="0" w:color="auto"/>
            </w:tcBorders>
            <w:shd w:val="clear" w:color="auto" w:fill="auto"/>
            <w:noWrap/>
            <w:vAlign w:val="center"/>
            <w:hideMark/>
          </w:tcPr>
          <w:p w14:paraId="4A0129DE" w14:textId="75B4320F"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4</w:t>
            </w:r>
            <w:r w:rsidR="0048189B" w:rsidRPr="00FD2D5D">
              <w:rPr>
                <w:rFonts w:ascii="Times New Roman" w:eastAsia="Times New Roman" w:hAnsi="Times New Roman" w:cs="Times New Roman"/>
                <w:color w:val="000000"/>
                <w:sz w:val="18"/>
                <w:szCs w:val="18"/>
                <w:lang w:eastAsia="ro-RO"/>
              </w:rPr>
              <w:t>0</w:t>
            </w:r>
          </w:p>
        </w:tc>
        <w:tc>
          <w:tcPr>
            <w:tcW w:w="484" w:type="pct"/>
            <w:tcBorders>
              <w:top w:val="nil"/>
              <w:left w:val="nil"/>
              <w:bottom w:val="single" w:sz="4" w:space="0" w:color="auto"/>
              <w:right w:val="single" w:sz="4" w:space="0" w:color="auto"/>
            </w:tcBorders>
            <w:shd w:val="clear" w:color="auto" w:fill="auto"/>
            <w:noWrap/>
            <w:vAlign w:val="center"/>
            <w:hideMark/>
          </w:tcPr>
          <w:p w14:paraId="29B00ECE" w14:textId="4BA8FF16"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32</w:t>
            </w:r>
          </w:p>
        </w:tc>
        <w:tc>
          <w:tcPr>
            <w:tcW w:w="484" w:type="pct"/>
            <w:tcBorders>
              <w:top w:val="nil"/>
              <w:left w:val="nil"/>
              <w:bottom w:val="single" w:sz="4" w:space="0" w:color="auto"/>
              <w:right w:val="single" w:sz="4" w:space="0" w:color="auto"/>
            </w:tcBorders>
            <w:shd w:val="clear" w:color="auto" w:fill="auto"/>
            <w:noWrap/>
            <w:vAlign w:val="center"/>
            <w:hideMark/>
          </w:tcPr>
          <w:p w14:paraId="6234B08D" w14:textId="451C06CA"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26</w:t>
            </w:r>
          </w:p>
        </w:tc>
        <w:tc>
          <w:tcPr>
            <w:tcW w:w="484" w:type="pct"/>
            <w:tcBorders>
              <w:top w:val="nil"/>
              <w:left w:val="nil"/>
              <w:bottom w:val="single" w:sz="4" w:space="0" w:color="auto"/>
              <w:right w:val="single" w:sz="4" w:space="0" w:color="auto"/>
            </w:tcBorders>
            <w:shd w:val="clear" w:color="auto" w:fill="auto"/>
            <w:noWrap/>
            <w:vAlign w:val="center"/>
            <w:hideMark/>
          </w:tcPr>
          <w:p w14:paraId="1A660883" w14:textId="4CEDDF35"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24</w:t>
            </w:r>
          </w:p>
        </w:tc>
        <w:tc>
          <w:tcPr>
            <w:tcW w:w="484" w:type="pct"/>
            <w:tcBorders>
              <w:top w:val="nil"/>
              <w:left w:val="nil"/>
              <w:bottom w:val="single" w:sz="4" w:space="0" w:color="auto"/>
              <w:right w:val="single" w:sz="4" w:space="0" w:color="auto"/>
            </w:tcBorders>
            <w:shd w:val="clear" w:color="auto" w:fill="auto"/>
            <w:vAlign w:val="center"/>
            <w:hideMark/>
          </w:tcPr>
          <w:p w14:paraId="576143A8" w14:textId="44C575BF"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29</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4</w:t>
            </w:r>
            <w:r w:rsidR="00214ED2" w:rsidRPr="00FD2D5D">
              <w:rPr>
                <w:rFonts w:ascii="Times New Roman" w:eastAsia="Times New Roman" w:hAnsi="Times New Roman" w:cs="Times New Roman"/>
                <w:color w:val="000000"/>
                <w:sz w:val="18"/>
                <w:szCs w:val="18"/>
                <w:lang w:eastAsia="ro-RO"/>
              </w:rPr>
              <w:t>0</w:t>
            </w:r>
          </w:p>
        </w:tc>
      </w:tr>
      <w:tr w:rsidR="001625C3" w:rsidRPr="00FD2D5D" w14:paraId="6C3BCDBA" w14:textId="77777777" w:rsidTr="00803311">
        <w:trPr>
          <w:trHeight w:val="300"/>
        </w:trPr>
        <w:tc>
          <w:tcPr>
            <w:tcW w:w="1129" w:type="pct"/>
            <w:tcBorders>
              <w:top w:val="nil"/>
              <w:left w:val="single" w:sz="4" w:space="0" w:color="auto"/>
              <w:bottom w:val="single" w:sz="4" w:space="0" w:color="auto"/>
              <w:right w:val="single" w:sz="4" w:space="0" w:color="auto"/>
            </w:tcBorders>
            <w:shd w:val="clear" w:color="auto" w:fill="auto"/>
            <w:vAlign w:val="center"/>
            <w:hideMark/>
          </w:tcPr>
          <w:p w14:paraId="0826729B" w14:textId="77777777" w:rsidR="001625C3" w:rsidRPr="00FD2D5D" w:rsidRDefault="001625C3" w:rsidP="001625C3">
            <w:pPr>
              <w:spacing w:after="0" w:line="240" w:lineRule="auto"/>
              <w:rPr>
                <w:rFonts w:ascii="Times New Roman" w:eastAsia="Times New Roman" w:hAnsi="Times New Roman" w:cs="Times New Roman"/>
                <w:b/>
                <w:bCs/>
                <w:color w:val="000000"/>
                <w:sz w:val="18"/>
                <w:szCs w:val="18"/>
                <w:lang w:eastAsia="ro-RO"/>
              </w:rPr>
            </w:pPr>
            <w:r w:rsidRPr="00FD2D5D">
              <w:rPr>
                <w:rFonts w:ascii="Times New Roman" w:eastAsia="Times New Roman" w:hAnsi="Times New Roman" w:cs="Times New Roman"/>
                <w:b/>
                <w:bCs/>
                <w:color w:val="000000"/>
                <w:sz w:val="18"/>
                <w:szCs w:val="18"/>
                <w:lang w:eastAsia="ro-RO"/>
              </w:rPr>
              <w:t>Republica Moldova</w:t>
            </w:r>
          </w:p>
        </w:tc>
        <w:tc>
          <w:tcPr>
            <w:tcW w:w="484" w:type="pct"/>
            <w:tcBorders>
              <w:top w:val="nil"/>
              <w:left w:val="nil"/>
              <w:bottom w:val="single" w:sz="4" w:space="0" w:color="auto"/>
              <w:right w:val="single" w:sz="4" w:space="0" w:color="auto"/>
            </w:tcBorders>
            <w:shd w:val="clear" w:color="auto" w:fill="auto"/>
            <w:noWrap/>
            <w:vAlign w:val="center"/>
            <w:hideMark/>
          </w:tcPr>
          <w:p w14:paraId="460746C7" w14:textId="053471F7" w:rsidR="001625C3" w:rsidRPr="00FD2D5D" w:rsidRDefault="001625C3" w:rsidP="00803311">
            <w:pPr>
              <w:spacing w:after="0" w:line="240" w:lineRule="auto"/>
              <w:jc w:val="center"/>
              <w:rPr>
                <w:rFonts w:ascii="Times New Roman" w:eastAsia="Times New Roman" w:hAnsi="Times New Roman" w:cs="Times New Roman"/>
                <w:b/>
                <w:bCs/>
                <w:color w:val="000000"/>
                <w:sz w:val="18"/>
                <w:szCs w:val="18"/>
                <w:lang w:eastAsia="ro-RO"/>
              </w:rPr>
            </w:pPr>
            <w:r w:rsidRPr="00FD2D5D">
              <w:rPr>
                <w:rFonts w:ascii="Times New Roman" w:eastAsia="Times New Roman" w:hAnsi="Times New Roman" w:cs="Times New Roman"/>
                <w:b/>
                <w:bCs/>
                <w:color w:val="000000"/>
                <w:sz w:val="18"/>
                <w:szCs w:val="18"/>
                <w:lang w:eastAsia="ro-RO"/>
              </w:rPr>
              <w:t>1</w:t>
            </w:r>
            <w:r w:rsidR="00803311" w:rsidRPr="00FD2D5D">
              <w:rPr>
                <w:rFonts w:ascii="Times New Roman" w:eastAsia="Times New Roman" w:hAnsi="Times New Roman" w:cs="Times New Roman"/>
                <w:b/>
                <w:bCs/>
                <w:color w:val="000000"/>
                <w:sz w:val="18"/>
                <w:szCs w:val="18"/>
                <w:lang w:eastAsia="ro-RO"/>
              </w:rPr>
              <w:t>,</w:t>
            </w:r>
            <w:r w:rsidRPr="00FD2D5D">
              <w:rPr>
                <w:rFonts w:ascii="Times New Roman" w:eastAsia="Times New Roman" w:hAnsi="Times New Roman" w:cs="Times New Roman"/>
                <w:b/>
                <w:bCs/>
                <w:color w:val="000000"/>
                <w:sz w:val="18"/>
                <w:szCs w:val="18"/>
                <w:lang w:eastAsia="ro-RO"/>
              </w:rPr>
              <w:t>33</w:t>
            </w:r>
          </w:p>
        </w:tc>
        <w:tc>
          <w:tcPr>
            <w:tcW w:w="484" w:type="pct"/>
            <w:tcBorders>
              <w:top w:val="nil"/>
              <w:left w:val="nil"/>
              <w:bottom w:val="single" w:sz="4" w:space="0" w:color="auto"/>
              <w:right w:val="single" w:sz="4" w:space="0" w:color="auto"/>
            </w:tcBorders>
            <w:shd w:val="clear" w:color="auto" w:fill="auto"/>
            <w:noWrap/>
            <w:vAlign w:val="center"/>
            <w:hideMark/>
          </w:tcPr>
          <w:p w14:paraId="2033090D" w14:textId="77EB2DD0" w:rsidR="001625C3" w:rsidRPr="00FD2D5D" w:rsidRDefault="001625C3" w:rsidP="00803311">
            <w:pPr>
              <w:spacing w:after="0" w:line="240" w:lineRule="auto"/>
              <w:jc w:val="center"/>
              <w:rPr>
                <w:rFonts w:ascii="Times New Roman" w:eastAsia="Times New Roman" w:hAnsi="Times New Roman" w:cs="Times New Roman"/>
                <w:b/>
                <w:bCs/>
                <w:color w:val="000000"/>
                <w:sz w:val="18"/>
                <w:szCs w:val="18"/>
                <w:lang w:eastAsia="ro-RO"/>
              </w:rPr>
            </w:pPr>
            <w:r w:rsidRPr="00FD2D5D">
              <w:rPr>
                <w:rFonts w:ascii="Times New Roman" w:eastAsia="Times New Roman" w:hAnsi="Times New Roman" w:cs="Times New Roman"/>
                <w:b/>
                <w:bCs/>
                <w:color w:val="000000"/>
                <w:sz w:val="18"/>
                <w:szCs w:val="18"/>
                <w:lang w:eastAsia="ro-RO"/>
              </w:rPr>
              <w:t>1</w:t>
            </w:r>
            <w:r w:rsidR="00803311" w:rsidRPr="00FD2D5D">
              <w:rPr>
                <w:rFonts w:ascii="Times New Roman" w:eastAsia="Times New Roman" w:hAnsi="Times New Roman" w:cs="Times New Roman"/>
                <w:b/>
                <w:bCs/>
                <w:color w:val="000000"/>
                <w:sz w:val="18"/>
                <w:szCs w:val="18"/>
                <w:lang w:eastAsia="ro-RO"/>
              </w:rPr>
              <w:t>,</w:t>
            </w:r>
            <w:r w:rsidRPr="00FD2D5D">
              <w:rPr>
                <w:rFonts w:ascii="Times New Roman" w:eastAsia="Times New Roman" w:hAnsi="Times New Roman" w:cs="Times New Roman"/>
                <w:b/>
                <w:bCs/>
                <w:color w:val="000000"/>
                <w:sz w:val="18"/>
                <w:szCs w:val="18"/>
                <w:lang w:eastAsia="ro-RO"/>
              </w:rPr>
              <w:t>06</w:t>
            </w:r>
          </w:p>
        </w:tc>
        <w:tc>
          <w:tcPr>
            <w:tcW w:w="484" w:type="pct"/>
            <w:tcBorders>
              <w:top w:val="nil"/>
              <w:left w:val="nil"/>
              <w:bottom w:val="single" w:sz="4" w:space="0" w:color="auto"/>
              <w:right w:val="single" w:sz="4" w:space="0" w:color="auto"/>
            </w:tcBorders>
            <w:shd w:val="clear" w:color="auto" w:fill="auto"/>
            <w:noWrap/>
            <w:vAlign w:val="center"/>
            <w:hideMark/>
          </w:tcPr>
          <w:p w14:paraId="60EEF982" w14:textId="637A04BE" w:rsidR="001625C3" w:rsidRPr="00FD2D5D" w:rsidRDefault="001625C3" w:rsidP="00803311">
            <w:pPr>
              <w:spacing w:after="0" w:line="240" w:lineRule="auto"/>
              <w:jc w:val="center"/>
              <w:rPr>
                <w:rFonts w:ascii="Times New Roman" w:eastAsia="Times New Roman" w:hAnsi="Times New Roman" w:cs="Times New Roman"/>
                <w:b/>
                <w:bCs/>
                <w:color w:val="000000"/>
                <w:sz w:val="18"/>
                <w:szCs w:val="18"/>
                <w:lang w:eastAsia="ro-RO"/>
              </w:rPr>
            </w:pPr>
            <w:r w:rsidRPr="00FD2D5D">
              <w:rPr>
                <w:rFonts w:ascii="Times New Roman" w:eastAsia="Times New Roman" w:hAnsi="Times New Roman" w:cs="Times New Roman"/>
                <w:b/>
                <w:bCs/>
                <w:color w:val="000000"/>
                <w:sz w:val="18"/>
                <w:szCs w:val="18"/>
                <w:lang w:eastAsia="ro-RO"/>
              </w:rPr>
              <w:t>0</w:t>
            </w:r>
            <w:r w:rsidR="00803311" w:rsidRPr="00FD2D5D">
              <w:rPr>
                <w:rFonts w:ascii="Times New Roman" w:eastAsia="Times New Roman" w:hAnsi="Times New Roman" w:cs="Times New Roman"/>
                <w:b/>
                <w:bCs/>
                <w:color w:val="000000"/>
                <w:sz w:val="18"/>
                <w:szCs w:val="18"/>
                <w:lang w:eastAsia="ro-RO"/>
              </w:rPr>
              <w:t>,</w:t>
            </w:r>
            <w:r w:rsidRPr="00FD2D5D">
              <w:rPr>
                <w:rFonts w:ascii="Times New Roman" w:eastAsia="Times New Roman" w:hAnsi="Times New Roman" w:cs="Times New Roman"/>
                <w:b/>
                <w:bCs/>
                <w:color w:val="000000"/>
                <w:sz w:val="18"/>
                <w:szCs w:val="18"/>
                <w:lang w:eastAsia="ro-RO"/>
              </w:rPr>
              <w:t>74</w:t>
            </w:r>
          </w:p>
        </w:tc>
        <w:tc>
          <w:tcPr>
            <w:tcW w:w="484" w:type="pct"/>
            <w:tcBorders>
              <w:top w:val="nil"/>
              <w:left w:val="nil"/>
              <w:bottom w:val="single" w:sz="4" w:space="0" w:color="auto"/>
              <w:right w:val="single" w:sz="4" w:space="0" w:color="auto"/>
            </w:tcBorders>
            <w:shd w:val="clear" w:color="auto" w:fill="auto"/>
            <w:noWrap/>
            <w:vAlign w:val="center"/>
            <w:hideMark/>
          </w:tcPr>
          <w:p w14:paraId="4AE6DC7F" w14:textId="4C2E43A1" w:rsidR="001625C3" w:rsidRPr="00FD2D5D" w:rsidRDefault="001625C3" w:rsidP="00803311">
            <w:pPr>
              <w:spacing w:after="0" w:line="240" w:lineRule="auto"/>
              <w:jc w:val="center"/>
              <w:rPr>
                <w:rFonts w:ascii="Times New Roman" w:eastAsia="Times New Roman" w:hAnsi="Times New Roman" w:cs="Times New Roman"/>
                <w:b/>
                <w:bCs/>
                <w:color w:val="000000"/>
                <w:sz w:val="18"/>
                <w:szCs w:val="18"/>
                <w:lang w:eastAsia="ro-RO"/>
              </w:rPr>
            </w:pPr>
            <w:r w:rsidRPr="00FD2D5D">
              <w:rPr>
                <w:rFonts w:ascii="Times New Roman" w:eastAsia="Times New Roman" w:hAnsi="Times New Roman" w:cs="Times New Roman"/>
                <w:b/>
                <w:bCs/>
                <w:color w:val="000000"/>
                <w:sz w:val="18"/>
                <w:szCs w:val="18"/>
                <w:lang w:eastAsia="ro-RO"/>
              </w:rPr>
              <w:t>0</w:t>
            </w:r>
            <w:r w:rsidR="00803311" w:rsidRPr="00FD2D5D">
              <w:rPr>
                <w:rFonts w:ascii="Times New Roman" w:eastAsia="Times New Roman" w:hAnsi="Times New Roman" w:cs="Times New Roman"/>
                <w:b/>
                <w:bCs/>
                <w:color w:val="000000"/>
                <w:sz w:val="18"/>
                <w:szCs w:val="18"/>
                <w:lang w:eastAsia="ro-RO"/>
              </w:rPr>
              <w:t>,</w:t>
            </w:r>
            <w:r w:rsidRPr="00FD2D5D">
              <w:rPr>
                <w:rFonts w:ascii="Times New Roman" w:eastAsia="Times New Roman" w:hAnsi="Times New Roman" w:cs="Times New Roman"/>
                <w:b/>
                <w:bCs/>
                <w:color w:val="000000"/>
                <w:sz w:val="18"/>
                <w:szCs w:val="18"/>
                <w:lang w:eastAsia="ro-RO"/>
              </w:rPr>
              <w:t>64</w:t>
            </w:r>
          </w:p>
        </w:tc>
        <w:tc>
          <w:tcPr>
            <w:tcW w:w="484" w:type="pct"/>
            <w:tcBorders>
              <w:top w:val="nil"/>
              <w:left w:val="nil"/>
              <w:bottom w:val="single" w:sz="4" w:space="0" w:color="auto"/>
              <w:right w:val="single" w:sz="4" w:space="0" w:color="auto"/>
            </w:tcBorders>
            <w:shd w:val="clear" w:color="auto" w:fill="auto"/>
            <w:noWrap/>
            <w:vAlign w:val="center"/>
            <w:hideMark/>
          </w:tcPr>
          <w:p w14:paraId="15A5E009" w14:textId="6C8A115D" w:rsidR="001625C3" w:rsidRPr="00FD2D5D" w:rsidRDefault="001625C3" w:rsidP="00803311">
            <w:pPr>
              <w:spacing w:after="0" w:line="240" w:lineRule="auto"/>
              <w:jc w:val="center"/>
              <w:rPr>
                <w:rFonts w:ascii="Times New Roman" w:eastAsia="Times New Roman" w:hAnsi="Times New Roman" w:cs="Times New Roman"/>
                <w:b/>
                <w:bCs/>
                <w:color w:val="000000"/>
                <w:sz w:val="18"/>
                <w:szCs w:val="18"/>
                <w:lang w:eastAsia="ro-RO"/>
              </w:rPr>
            </w:pPr>
            <w:r w:rsidRPr="00FD2D5D">
              <w:rPr>
                <w:rFonts w:ascii="Times New Roman" w:eastAsia="Times New Roman" w:hAnsi="Times New Roman" w:cs="Times New Roman"/>
                <w:b/>
                <w:bCs/>
                <w:color w:val="000000"/>
                <w:sz w:val="18"/>
                <w:szCs w:val="18"/>
                <w:lang w:eastAsia="ro-RO"/>
              </w:rPr>
              <w:t>0</w:t>
            </w:r>
            <w:r w:rsidR="00803311" w:rsidRPr="00FD2D5D">
              <w:rPr>
                <w:rFonts w:ascii="Times New Roman" w:eastAsia="Times New Roman" w:hAnsi="Times New Roman" w:cs="Times New Roman"/>
                <w:b/>
                <w:bCs/>
                <w:color w:val="000000"/>
                <w:sz w:val="18"/>
                <w:szCs w:val="18"/>
                <w:lang w:eastAsia="ro-RO"/>
              </w:rPr>
              <w:t>,</w:t>
            </w:r>
            <w:r w:rsidRPr="00FD2D5D">
              <w:rPr>
                <w:rFonts w:ascii="Times New Roman" w:eastAsia="Times New Roman" w:hAnsi="Times New Roman" w:cs="Times New Roman"/>
                <w:b/>
                <w:bCs/>
                <w:color w:val="000000"/>
                <w:sz w:val="18"/>
                <w:szCs w:val="18"/>
                <w:lang w:eastAsia="ro-RO"/>
              </w:rPr>
              <w:t>58</w:t>
            </w:r>
          </w:p>
        </w:tc>
        <w:tc>
          <w:tcPr>
            <w:tcW w:w="484" w:type="pct"/>
            <w:tcBorders>
              <w:top w:val="nil"/>
              <w:left w:val="nil"/>
              <w:bottom w:val="single" w:sz="4" w:space="0" w:color="auto"/>
              <w:right w:val="single" w:sz="4" w:space="0" w:color="auto"/>
            </w:tcBorders>
            <w:shd w:val="clear" w:color="auto" w:fill="auto"/>
            <w:noWrap/>
            <w:vAlign w:val="center"/>
            <w:hideMark/>
          </w:tcPr>
          <w:p w14:paraId="17908254" w14:textId="45003A8F" w:rsidR="001625C3" w:rsidRPr="00FD2D5D" w:rsidRDefault="001625C3" w:rsidP="00803311">
            <w:pPr>
              <w:spacing w:after="0" w:line="240" w:lineRule="auto"/>
              <w:jc w:val="center"/>
              <w:rPr>
                <w:rFonts w:ascii="Times New Roman" w:eastAsia="Times New Roman" w:hAnsi="Times New Roman" w:cs="Times New Roman"/>
                <w:b/>
                <w:bCs/>
                <w:color w:val="000000"/>
                <w:sz w:val="18"/>
                <w:szCs w:val="18"/>
                <w:lang w:eastAsia="ro-RO"/>
              </w:rPr>
            </w:pPr>
            <w:r w:rsidRPr="00FD2D5D">
              <w:rPr>
                <w:rFonts w:ascii="Times New Roman" w:eastAsia="Times New Roman" w:hAnsi="Times New Roman" w:cs="Times New Roman"/>
                <w:b/>
                <w:bCs/>
                <w:color w:val="000000"/>
                <w:sz w:val="18"/>
                <w:szCs w:val="18"/>
                <w:lang w:eastAsia="ro-RO"/>
              </w:rPr>
              <w:t>0</w:t>
            </w:r>
            <w:r w:rsidR="00803311" w:rsidRPr="00FD2D5D">
              <w:rPr>
                <w:rFonts w:ascii="Times New Roman" w:eastAsia="Times New Roman" w:hAnsi="Times New Roman" w:cs="Times New Roman"/>
                <w:b/>
                <w:bCs/>
                <w:color w:val="000000"/>
                <w:sz w:val="18"/>
                <w:szCs w:val="18"/>
                <w:lang w:eastAsia="ro-RO"/>
              </w:rPr>
              <w:t>,</w:t>
            </w:r>
            <w:r w:rsidRPr="00FD2D5D">
              <w:rPr>
                <w:rFonts w:ascii="Times New Roman" w:eastAsia="Times New Roman" w:hAnsi="Times New Roman" w:cs="Times New Roman"/>
                <w:b/>
                <w:bCs/>
                <w:color w:val="000000"/>
                <w:sz w:val="18"/>
                <w:szCs w:val="18"/>
                <w:lang w:eastAsia="ro-RO"/>
              </w:rPr>
              <w:t>48</w:t>
            </w:r>
          </w:p>
        </w:tc>
        <w:tc>
          <w:tcPr>
            <w:tcW w:w="484" w:type="pct"/>
            <w:tcBorders>
              <w:top w:val="nil"/>
              <w:left w:val="nil"/>
              <w:bottom w:val="single" w:sz="4" w:space="0" w:color="auto"/>
              <w:right w:val="single" w:sz="4" w:space="0" w:color="auto"/>
            </w:tcBorders>
            <w:shd w:val="clear" w:color="auto" w:fill="auto"/>
            <w:noWrap/>
            <w:vAlign w:val="center"/>
            <w:hideMark/>
          </w:tcPr>
          <w:p w14:paraId="1DE487D1" w14:textId="28AD28A3" w:rsidR="001625C3" w:rsidRPr="00FD2D5D" w:rsidRDefault="001625C3" w:rsidP="00803311">
            <w:pPr>
              <w:spacing w:after="0" w:line="240" w:lineRule="auto"/>
              <w:jc w:val="center"/>
              <w:rPr>
                <w:rFonts w:ascii="Times New Roman" w:eastAsia="Times New Roman" w:hAnsi="Times New Roman" w:cs="Times New Roman"/>
                <w:b/>
                <w:bCs/>
                <w:color w:val="000000"/>
                <w:sz w:val="18"/>
                <w:szCs w:val="18"/>
                <w:lang w:eastAsia="ro-RO"/>
              </w:rPr>
            </w:pPr>
            <w:r w:rsidRPr="00FD2D5D">
              <w:rPr>
                <w:rFonts w:ascii="Times New Roman" w:eastAsia="Times New Roman" w:hAnsi="Times New Roman" w:cs="Times New Roman"/>
                <w:b/>
                <w:bCs/>
                <w:color w:val="000000"/>
                <w:sz w:val="18"/>
                <w:szCs w:val="18"/>
                <w:lang w:eastAsia="ro-RO"/>
              </w:rPr>
              <w:t>0</w:t>
            </w:r>
            <w:r w:rsidR="00803311" w:rsidRPr="00FD2D5D">
              <w:rPr>
                <w:rFonts w:ascii="Times New Roman" w:eastAsia="Times New Roman" w:hAnsi="Times New Roman" w:cs="Times New Roman"/>
                <w:b/>
                <w:bCs/>
                <w:color w:val="000000"/>
                <w:sz w:val="18"/>
                <w:szCs w:val="18"/>
                <w:lang w:eastAsia="ro-RO"/>
              </w:rPr>
              <w:t>,</w:t>
            </w:r>
            <w:r w:rsidRPr="00FD2D5D">
              <w:rPr>
                <w:rFonts w:ascii="Times New Roman" w:eastAsia="Times New Roman" w:hAnsi="Times New Roman" w:cs="Times New Roman"/>
                <w:b/>
                <w:bCs/>
                <w:color w:val="000000"/>
                <w:sz w:val="18"/>
                <w:szCs w:val="18"/>
                <w:lang w:eastAsia="ro-RO"/>
              </w:rPr>
              <w:t>46</w:t>
            </w:r>
          </w:p>
        </w:tc>
        <w:tc>
          <w:tcPr>
            <w:tcW w:w="484" w:type="pct"/>
            <w:tcBorders>
              <w:top w:val="nil"/>
              <w:left w:val="nil"/>
              <w:bottom w:val="single" w:sz="4" w:space="0" w:color="auto"/>
              <w:right w:val="single" w:sz="4" w:space="0" w:color="auto"/>
            </w:tcBorders>
            <w:shd w:val="clear" w:color="auto" w:fill="auto"/>
            <w:vAlign w:val="center"/>
            <w:hideMark/>
          </w:tcPr>
          <w:p w14:paraId="633B1259" w14:textId="500E043D" w:rsidR="001625C3" w:rsidRPr="00FD2D5D" w:rsidRDefault="001625C3" w:rsidP="00803311">
            <w:pPr>
              <w:spacing w:after="0" w:line="240" w:lineRule="auto"/>
              <w:jc w:val="center"/>
              <w:rPr>
                <w:rFonts w:ascii="Times New Roman" w:eastAsia="Times New Roman" w:hAnsi="Times New Roman" w:cs="Times New Roman"/>
                <w:b/>
                <w:bCs/>
                <w:color w:val="000000"/>
                <w:sz w:val="18"/>
                <w:szCs w:val="18"/>
                <w:lang w:eastAsia="ro-RO"/>
              </w:rPr>
            </w:pPr>
            <w:r w:rsidRPr="00FD2D5D">
              <w:rPr>
                <w:rFonts w:ascii="Times New Roman" w:eastAsia="Times New Roman" w:hAnsi="Times New Roman" w:cs="Times New Roman"/>
                <w:b/>
                <w:bCs/>
                <w:color w:val="000000"/>
                <w:sz w:val="18"/>
                <w:szCs w:val="18"/>
                <w:lang w:eastAsia="ro-RO"/>
              </w:rPr>
              <w:t>65</w:t>
            </w:r>
            <w:r w:rsidR="00803311" w:rsidRPr="00FD2D5D">
              <w:rPr>
                <w:rFonts w:ascii="Times New Roman" w:eastAsia="Times New Roman" w:hAnsi="Times New Roman" w:cs="Times New Roman"/>
                <w:b/>
                <w:bCs/>
                <w:color w:val="000000"/>
                <w:sz w:val="18"/>
                <w:szCs w:val="18"/>
                <w:lang w:eastAsia="ro-RO"/>
              </w:rPr>
              <w:t>,</w:t>
            </w:r>
            <w:r w:rsidRPr="00FD2D5D">
              <w:rPr>
                <w:rFonts w:ascii="Times New Roman" w:eastAsia="Times New Roman" w:hAnsi="Times New Roman" w:cs="Times New Roman"/>
                <w:b/>
                <w:bCs/>
                <w:color w:val="000000"/>
                <w:sz w:val="18"/>
                <w:szCs w:val="18"/>
                <w:lang w:eastAsia="ro-RO"/>
              </w:rPr>
              <w:t>4</w:t>
            </w:r>
            <w:r w:rsidR="00214ED2" w:rsidRPr="00FD2D5D">
              <w:rPr>
                <w:rFonts w:ascii="Times New Roman" w:eastAsia="Times New Roman" w:hAnsi="Times New Roman" w:cs="Times New Roman"/>
                <w:b/>
                <w:bCs/>
                <w:color w:val="000000"/>
                <w:sz w:val="18"/>
                <w:szCs w:val="18"/>
                <w:lang w:eastAsia="ro-RO"/>
              </w:rPr>
              <w:t>0</w:t>
            </w:r>
          </w:p>
        </w:tc>
      </w:tr>
      <w:tr w:rsidR="001625C3" w:rsidRPr="00FD2D5D" w14:paraId="49175231" w14:textId="77777777" w:rsidTr="00803311">
        <w:trPr>
          <w:trHeight w:val="300"/>
        </w:trPr>
        <w:tc>
          <w:tcPr>
            <w:tcW w:w="1129" w:type="pct"/>
            <w:tcBorders>
              <w:top w:val="nil"/>
              <w:left w:val="single" w:sz="4" w:space="0" w:color="auto"/>
              <w:bottom w:val="single" w:sz="4" w:space="0" w:color="auto"/>
              <w:right w:val="single" w:sz="4" w:space="0" w:color="auto"/>
            </w:tcBorders>
            <w:shd w:val="clear" w:color="auto" w:fill="auto"/>
            <w:vAlign w:val="center"/>
            <w:hideMark/>
          </w:tcPr>
          <w:p w14:paraId="4D5039E7" w14:textId="77777777" w:rsidR="001625C3" w:rsidRPr="00FD2D5D" w:rsidRDefault="001625C3" w:rsidP="001625C3">
            <w:pPr>
              <w:spacing w:after="0" w:line="240" w:lineRule="auto"/>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România</w:t>
            </w:r>
          </w:p>
        </w:tc>
        <w:tc>
          <w:tcPr>
            <w:tcW w:w="484" w:type="pct"/>
            <w:tcBorders>
              <w:top w:val="nil"/>
              <w:left w:val="nil"/>
              <w:bottom w:val="single" w:sz="4" w:space="0" w:color="auto"/>
              <w:right w:val="single" w:sz="4" w:space="0" w:color="auto"/>
            </w:tcBorders>
            <w:shd w:val="clear" w:color="auto" w:fill="auto"/>
            <w:noWrap/>
            <w:vAlign w:val="center"/>
            <w:hideMark/>
          </w:tcPr>
          <w:p w14:paraId="19CA2AF6" w14:textId="4BFAAAB0"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54</w:t>
            </w:r>
          </w:p>
        </w:tc>
        <w:tc>
          <w:tcPr>
            <w:tcW w:w="484" w:type="pct"/>
            <w:tcBorders>
              <w:top w:val="nil"/>
              <w:left w:val="nil"/>
              <w:bottom w:val="single" w:sz="4" w:space="0" w:color="auto"/>
              <w:right w:val="single" w:sz="4" w:space="0" w:color="auto"/>
            </w:tcBorders>
            <w:shd w:val="clear" w:color="auto" w:fill="auto"/>
            <w:noWrap/>
            <w:vAlign w:val="center"/>
            <w:hideMark/>
          </w:tcPr>
          <w:p w14:paraId="7BDEE340" w14:textId="5A7398F8"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45</w:t>
            </w:r>
          </w:p>
        </w:tc>
        <w:tc>
          <w:tcPr>
            <w:tcW w:w="484" w:type="pct"/>
            <w:tcBorders>
              <w:top w:val="nil"/>
              <w:left w:val="nil"/>
              <w:bottom w:val="single" w:sz="4" w:space="0" w:color="auto"/>
              <w:right w:val="single" w:sz="4" w:space="0" w:color="auto"/>
            </w:tcBorders>
            <w:shd w:val="clear" w:color="auto" w:fill="auto"/>
            <w:noWrap/>
            <w:vAlign w:val="center"/>
            <w:hideMark/>
          </w:tcPr>
          <w:p w14:paraId="30C0FDD2" w14:textId="2F0F973F"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36</w:t>
            </w:r>
          </w:p>
        </w:tc>
        <w:tc>
          <w:tcPr>
            <w:tcW w:w="484" w:type="pct"/>
            <w:tcBorders>
              <w:top w:val="nil"/>
              <w:left w:val="nil"/>
              <w:bottom w:val="single" w:sz="4" w:space="0" w:color="auto"/>
              <w:right w:val="single" w:sz="4" w:space="0" w:color="auto"/>
            </w:tcBorders>
            <w:shd w:val="clear" w:color="auto" w:fill="auto"/>
            <w:noWrap/>
            <w:vAlign w:val="center"/>
            <w:hideMark/>
          </w:tcPr>
          <w:p w14:paraId="76D62698" w14:textId="5B41B86E"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29</w:t>
            </w:r>
          </w:p>
        </w:tc>
        <w:tc>
          <w:tcPr>
            <w:tcW w:w="484" w:type="pct"/>
            <w:tcBorders>
              <w:top w:val="nil"/>
              <w:left w:val="nil"/>
              <w:bottom w:val="single" w:sz="4" w:space="0" w:color="auto"/>
              <w:right w:val="single" w:sz="4" w:space="0" w:color="auto"/>
            </w:tcBorders>
            <w:shd w:val="clear" w:color="auto" w:fill="auto"/>
            <w:noWrap/>
            <w:vAlign w:val="center"/>
            <w:hideMark/>
          </w:tcPr>
          <w:p w14:paraId="10939619" w14:textId="42E00346"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23</w:t>
            </w:r>
          </w:p>
        </w:tc>
        <w:tc>
          <w:tcPr>
            <w:tcW w:w="484" w:type="pct"/>
            <w:tcBorders>
              <w:top w:val="nil"/>
              <w:left w:val="nil"/>
              <w:bottom w:val="single" w:sz="4" w:space="0" w:color="auto"/>
              <w:right w:val="single" w:sz="4" w:space="0" w:color="auto"/>
            </w:tcBorders>
            <w:shd w:val="clear" w:color="auto" w:fill="auto"/>
            <w:noWrap/>
            <w:vAlign w:val="center"/>
            <w:hideMark/>
          </w:tcPr>
          <w:p w14:paraId="08F200BF" w14:textId="0B220F68"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18</w:t>
            </w:r>
          </w:p>
        </w:tc>
        <w:tc>
          <w:tcPr>
            <w:tcW w:w="484" w:type="pct"/>
            <w:tcBorders>
              <w:top w:val="nil"/>
              <w:left w:val="nil"/>
              <w:bottom w:val="single" w:sz="4" w:space="0" w:color="auto"/>
              <w:right w:val="single" w:sz="4" w:space="0" w:color="auto"/>
            </w:tcBorders>
            <w:shd w:val="clear" w:color="auto" w:fill="auto"/>
            <w:noWrap/>
            <w:vAlign w:val="center"/>
            <w:hideMark/>
          </w:tcPr>
          <w:p w14:paraId="471353B0" w14:textId="3DD2A151"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16</w:t>
            </w:r>
          </w:p>
        </w:tc>
        <w:tc>
          <w:tcPr>
            <w:tcW w:w="484" w:type="pct"/>
            <w:tcBorders>
              <w:top w:val="nil"/>
              <w:left w:val="nil"/>
              <w:bottom w:val="single" w:sz="4" w:space="0" w:color="auto"/>
              <w:right w:val="single" w:sz="4" w:space="0" w:color="auto"/>
            </w:tcBorders>
            <w:shd w:val="clear" w:color="auto" w:fill="auto"/>
            <w:vAlign w:val="center"/>
            <w:hideMark/>
          </w:tcPr>
          <w:p w14:paraId="4B7E5889" w14:textId="686A460B"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70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4</w:t>
            </w:r>
            <w:r w:rsidR="00214ED2" w:rsidRPr="00FD2D5D">
              <w:rPr>
                <w:rFonts w:ascii="Times New Roman" w:eastAsia="Times New Roman" w:hAnsi="Times New Roman" w:cs="Times New Roman"/>
                <w:color w:val="000000"/>
                <w:sz w:val="18"/>
                <w:szCs w:val="18"/>
                <w:lang w:eastAsia="ro-RO"/>
              </w:rPr>
              <w:t>0</w:t>
            </w:r>
          </w:p>
        </w:tc>
      </w:tr>
      <w:tr w:rsidR="001625C3" w:rsidRPr="00FD2D5D" w14:paraId="110AB437" w14:textId="77777777" w:rsidTr="00803311">
        <w:trPr>
          <w:trHeight w:val="300"/>
        </w:trPr>
        <w:tc>
          <w:tcPr>
            <w:tcW w:w="1129" w:type="pct"/>
            <w:tcBorders>
              <w:top w:val="nil"/>
              <w:left w:val="single" w:sz="4" w:space="0" w:color="auto"/>
              <w:bottom w:val="single" w:sz="4" w:space="0" w:color="auto"/>
              <w:right w:val="single" w:sz="4" w:space="0" w:color="auto"/>
            </w:tcBorders>
            <w:shd w:val="clear" w:color="auto" w:fill="auto"/>
            <w:vAlign w:val="center"/>
            <w:hideMark/>
          </w:tcPr>
          <w:p w14:paraId="1EB8F426" w14:textId="645BA3EC" w:rsidR="001625C3" w:rsidRPr="00FD2D5D" w:rsidRDefault="00FD2D5D" w:rsidP="001625C3">
            <w:pPr>
              <w:spacing w:after="0" w:line="240" w:lineRule="auto"/>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Federația</w:t>
            </w:r>
            <w:r w:rsidR="001625C3" w:rsidRPr="00FD2D5D">
              <w:rPr>
                <w:rFonts w:ascii="Times New Roman" w:eastAsia="Times New Roman" w:hAnsi="Times New Roman" w:cs="Times New Roman"/>
                <w:color w:val="000000"/>
                <w:sz w:val="18"/>
                <w:szCs w:val="18"/>
                <w:lang w:eastAsia="ro-RO"/>
              </w:rPr>
              <w:t xml:space="preserve"> Rusă</w:t>
            </w:r>
          </w:p>
        </w:tc>
        <w:tc>
          <w:tcPr>
            <w:tcW w:w="484" w:type="pct"/>
            <w:tcBorders>
              <w:top w:val="nil"/>
              <w:left w:val="nil"/>
              <w:bottom w:val="single" w:sz="4" w:space="0" w:color="auto"/>
              <w:right w:val="single" w:sz="4" w:space="0" w:color="auto"/>
            </w:tcBorders>
            <w:shd w:val="clear" w:color="auto" w:fill="auto"/>
            <w:noWrap/>
            <w:vAlign w:val="center"/>
            <w:hideMark/>
          </w:tcPr>
          <w:p w14:paraId="387B212F" w14:textId="0A950CB8"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75</w:t>
            </w:r>
          </w:p>
        </w:tc>
        <w:tc>
          <w:tcPr>
            <w:tcW w:w="484" w:type="pct"/>
            <w:tcBorders>
              <w:top w:val="nil"/>
              <w:left w:val="nil"/>
              <w:bottom w:val="single" w:sz="4" w:space="0" w:color="auto"/>
              <w:right w:val="single" w:sz="4" w:space="0" w:color="auto"/>
            </w:tcBorders>
            <w:shd w:val="clear" w:color="auto" w:fill="auto"/>
            <w:noWrap/>
            <w:vAlign w:val="center"/>
            <w:hideMark/>
          </w:tcPr>
          <w:p w14:paraId="66B4D792" w14:textId="423FDB99"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88</w:t>
            </w:r>
          </w:p>
        </w:tc>
        <w:tc>
          <w:tcPr>
            <w:tcW w:w="484" w:type="pct"/>
            <w:tcBorders>
              <w:top w:val="nil"/>
              <w:left w:val="nil"/>
              <w:bottom w:val="single" w:sz="4" w:space="0" w:color="auto"/>
              <w:right w:val="single" w:sz="4" w:space="0" w:color="auto"/>
            </w:tcBorders>
            <w:shd w:val="clear" w:color="auto" w:fill="auto"/>
            <w:noWrap/>
            <w:vAlign w:val="center"/>
            <w:hideMark/>
          </w:tcPr>
          <w:p w14:paraId="42BEF187" w14:textId="519E1FC1"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79</w:t>
            </w:r>
          </w:p>
        </w:tc>
        <w:tc>
          <w:tcPr>
            <w:tcW w:w="484" w:type="pct"/>
            <w:tcBorders>
              <w:top w:val="nil"/>
              <w:left w:val="nil"/>
              <w:bottom w:val="single" w:sz="4" w:space="0" w:color="auto"/>
              <w:right w:val="single" w:sz="4" w:space="0" w:color="auto"/>
            </w:tcBorders>
            <w:shd w:val="clear" w:color="auto" w:fill="auto"/>
            <w:noWrap/>
            <w:vAlign w:val="center"/>
            <w:hideMark/>
          </w:tcPr>
          <w:p w14:paraId="32449AB1" w14:textId="2137B836"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62</w:t>
            </w:r>
          </w:p>
        </w:tc>
        <w:tc>
          <w:tcPr>
            <w:tcW w:w="484" w:type="pct"/>
            <w:tcBorders>
              <w:top w:val="nil"/>
              <w:left w:val="nil"/>
              <w:bottom w:val="single" w:sz="4" w:space="0" w:color="auto"/>
              <w:right w:val="single" w:sz="4" w:space="0" w:color="auto"/>
            </w:tcBorders>
            <w:shd w:val="clear" w:color="auto" w:fill="auto"/>
            <w:noWrap/>
            <w:vAlign w:val="center"/>
            <w:hideMark/>
          </w:tcPr>
          <w:p w14:paraId="0CEF3931" w14:textId="070CE4C2"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55</w:t>
            </w:r>
          </w:p>
        </w:tc>
        <w:tc>
          <w:tcPr>
            <w:tcW w:w="484" w:type="pct"/>
            <w:tcBorders>
              <w:top w:val="nil"/>
              <w:left w:val="nil"/>
              <w:bottom w:val="single" w:sz="4" w:space="0" w:color="auto"/>
              <w:right w:val="single" w:sz="4" w:space="0" w:color="auto"/>
            </w:tcBorders>
            <w:shd w:val="clear" w:color="auto" w:fill="auto"/>
            <w:noWrap/>
            <w:vAlign w:val="center"/>
            <w:hideMark/>
          </w:tcPr>
          <w:p w14:paraId="5071CBD1" w14:textId="54CD05CC"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51</w:t>
            </w:r>
          </w:p>
        </w:tc>
        <w:tc>
          <w:tcPr>
            <w:tcW w:w="484" w:type="pct"/>
            <w:tcBorders>
              <w:top w:val="nil"/>
              <w:left w:val="nil"/>
              <w:bottom w:val="single" w:sz="4" w:space="0" w:color="auto"/>
              <w:right w:val="single" w:sz="4" w:space="0" w:color="auto"/>
            </w:tcBorders>
            <w:shd w:val="clear" w:color="auto" w:fill="auto"/>
            <w:noWrap/>
            <w:vAlign w:val="center"/>
            <w:hideMark/>
          </w:tcPr>
          <w:p w14:paraId="38A4E18D" w14:textId="189FC6A9"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53</w:t>
            </w:r>
          </w:p>
        </w:tc>
        <w:tc>
          <w:tcPr>
            <w:tcW w:w="484" w:type="pct"/>
            <w:tcBorders>
              <w:top w:val="nil"/>
              <w:left w:val="nil"/>
              <w:bottom w:val="single" w:sz="4" w:space="0" w:color="auto"/>
              <w:right w:val="single" w:sz="4" w:space="0" w:color="auto"/>
            </w:tcBorders>
            <w:shd w:val="clear" w:color="auto" w:fill="auto"/>
            <w:vAlign w:val="center"/>
            <w:hideMark/>
          </w:tcPr>
          <w:p w14:paraId="286DA2C9" w14:textId="315D6EA4"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29</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3</w:t>
            </w:r>
            <w:r w:rsidR="00214ED2" w:rsidRPr="00FD2D5D">
              <w:rPr>
                <w:rFonts w:ascii="Times New Roman" w:eastAsia="Times New Roman" w:hAnsi="Times New Roman" w:cs="Times New Roman"/>
                <w:color w:val="000000"/>
                <w:sz w:val="18"/>
                <w:szCs w:val="18"/>
                <w:lang w:eastAsia="ro-RO"/>
              </w:rPr>
              <w:t>0</w:t>
            </w:r>
          </w:p>
        </w:tc>
      </w:tr>
      <w:tr w:rsidR="001625C3" w:rsidRPr="00FD2D5D" w14:paraId="069DED60" w14:textId="77777777" w:rsidTr="00803311">
        <w:trPr>
          <w:trHeight w:val="300"/>
        </w:trPr>
        <w:tc>
          <w:tcPr>
            <w:tcW w:w="11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B0687C" w14:textId="77777777" w:rsidR="001625C3" w:rsidRPr="00FD2D5D" w:rsidRDefault="001625C3" w:rsidP="001625C3">
            <w:pPr>
              <w:spacing w:after="0" w:line="240" w:lineRule="auto"/>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Ucraina</w:t>
            </w:r>
          </w:p>
        </w:tc>
        <w:tc>
          <w:tcPr>
            <w:tcW w:w="484" w:type="pct"/>
            <w:tcBorders>
              <w:top w:val="single" w:sz="4" w:space="0" w:color="auto"/>
              <w:left w:val="nil"/>
              <w:bottom w:val="single" w:sz="4" w:space="0" w:color="auto"/>
              <w:right w:val="single" w:sz="4" w:space="0" w:color="auto"/>
            </w:tcBorders>
            <w:shd w:val="clear" w:color="auto" w:fill="auto"/>
            <w:noWrap/>
            <w:vAlign w:val="center"/>
            <w:hideMark/>
          </w:tcPr>
          <w:p w14:paraId="24A55A54" w14:textId="43137309"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1</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63</w:t>
            </w:r>
          </w:p>
        </w:tc>
        <w:tc>
          <w:tcPr>
            <w:tcW w:w="484" w:type="pct"/>
            <w:tcBorders>
              <w:top w:val="single" w:sz="4" w:space="0" w:color="auto"/>
              <w:left w:val="nil"/>
              <w:bottom w:val="single" w:sz="4" w:space="0" w:color="auto"/>
              <w:right w:val="single" w:sz="4" w:space="0" w:color="auto"/>
            </w:tcBorders>
            <w:shd w:val="clear" w:color="auto" w:fill="auto"/>
            <w:noWrap/>
            <w:vAlign w:val="center"/>
            <w:hideMark/>
          </w:tcPr>
          <w:p w14:paraId="768716F6" w14:textId="5C14EB92"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2</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21</w:t>
            </w:r>
          </w:p>
        </w:tc>
        <w:tc>
          <w:tcPr>
            <w:tcW w:w="484" w:type="pct"/>
            <w:tcBorders>
              <w:top w:val="single" w:sz="4" w:space="0" w:color="auto"/>
              <w:left w:val="nil"/>
              <w:bottom w:val="single" w:sz="4" w:space="0" w:color="auto"/>
              <w:right w:val="single" w:sz="4" w:space="0" w:color="auto"/>
            </w:tcBorders>
            <w:shd w:val="clear" w:color="auto" w:fill="auto"/>
            <w:noWrap/>
            <w:vAlign w:val="center"/>
            <w:hideMark/>
          </w:tcPr>
          <w:p w14:paraId="3788E264" w14:textId="31875C15"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1</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99</w:t>
            </w:r>
          </w:p>
        </w:tc>
        <w:tc>
          <w:tcPr>
            <w:tcW w:w="484" w:type="pct"/>
            <w:tcBorders>
              <w:top w:val="single" w:sz="4" w:space="0" w:color="auto"/>
              <w:left w:val="nil"/>
              <w:bottom w:val="single" w:sz="4" w:space="0" w:color="auto"/>
              <w:right w:val="single" w:sz="4" w:space="0" w:color="auto"/>
            </w:tcBorders>
            <w:shd w:val="clear" w:color="auto" w:fill="auto"/>
            <w:noWrap/>
            <w:vAlign w:val="center"/>
            <w:hideMark/>
          </w:tcPr>
          <w:p w14:paraId="1961D618" w14:textId="464C28A5"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1</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45</w:t>
            </w:r>
          </w:p>
        </w:tc>
        <w:tc>
          <w:tcPr>
            <w:tcW w:w="484" w:type="pct"/>
            <w:tcBorders>
              <w:top w:val="single" w:sz="4" w:space="0" w:color="auto"/>
              <w:left w:val="nil"/>
              <w:bottom w:val="single" w:sz="4" w:space="0" w:color="auto"/>
              <w:right w:val="single" w:sz="4" w:space="0" w:color="auto"/>
            </w:tcBorders>
            <w:shd w:val="clear" w:color="auto" w:fill="auto"/>
            <w:noWrap/>
            <w:vAlign w:val="center"/>
            <w:hideMark/>
          </w:tcPr>
          <w:p w14:paraId="595F204C" w14:textId="116B52CB"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1</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3</w:t>
            </w:r>
            <w:r w:rsidR="0048189B" w:rsidRPr="00FD2D5D">
              <w:rPr>
                <w:rFonts w:ascii="Times New Roman" w:eastAsia="Times New Roman" w:hAnsi="Times New Roman" w:cs="Times New Roman"/>
                <w:color w:val="000000"/>
                <w:sz w:val="18"/>
                <w:szCs w:val="18"/>
                <w:lang w:eastAsia="ro-RO"/>
              </w:rPr>
              <w:t>0</w:t>
            </w:r>
          </w:p>
        </w:tc>
        <w:tc>
          <w:tcPr>
            <w:tcW w:w="484" w:type="pct"/>
            <w:tcBorders>
              <w:top w:val="single" w:sz="4" w:space="0" w:color="auto"/>
              <w:left w:val="nil"/>
              <w:bottom w:val="single" w:sz="4" w:space="0" w:color="auto"/>
              <w:right w:val="single" w:sz="4" w:space="0" w:color="auto"/>
            </w:tcBorders>
            <w:shd w:val="clear" w:color="auto" w:fill="auto"/>
            <w:noWrap/>
            <w:vAlign w:val="center"/>
            <w:hideMark/>
          </w:tcPr>
          <w:p w14:paraId="3166EBB0" w14:textId="4E7EE47A"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1</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02</w:t>
            </w:r>
          </w:p>
        </w:tc>
        <w:tc>
          <w:tcPr>
            <w:tcW w:w="484" w:type="pct"/>
            <w:tcBorders>
              <w:top w:val="single" w:sz="4" w:space="0" w:color="auto"/>
              <w:left w:val="nil"/>
              <w:bottom w:val="single" w:sz="4" w:space="0" w:color="auto"/>
              <w:right w:val="single" w:sz="4" w:space="0" w:color="auto"/>
            </w:tcBorders>
            <w:shd w:val="clear" w:color="auto" w:fill="auto"/>
            <w:noWrap/>
            <w:vAlign w:val="center"/>
            <w:hideMark/>
          </w:tcPr>
          <w:p w14:paraId="546C7DE0" w14:textId="038DF01A"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0</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95</w:t>
            </w:r>
          </w:p>
        </w:tc>
        <w:tc>
          <w:tcPr>
            <w:tcW w:w="484" w:type="pct"/>
            <w:tcBorders>
              <w:top w:val="single" w:sz="4" w:space="0" w:color="auto"/>
              <w:left w:val="nil"/>
              <w:bottom w:val="single" w:sz="4" w:space="0" w:color="auto"/>
              <w:right w:val="single" w:sz="4" w:space="0" w:color="auto"/>
            </w:tcBorders>
            <w:shd w:val="clear" w:color="auto" w:fill="auto"/>
            <w:vAlign w:val="center"/>
            <w:hideMark/>
          </w:tcPr>
          <w:p w14:paraId="6125EA64" w14:textId="4B630902" w:rsidR="001625C3" w:rsidRPr="00FD2D5D" w:rsidRDefault="001625C3"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eastAsia="Times New Roman" w:hAnsi="Times New Roman" w:cs="Times New Roman"/>
                <w:color w:val="000000"/>
                <w:sz w:val="18"/>
                <w:szCs w:val="18"/>
                <w:lang w:eastAsia="ro-RO"/>
              </w:rPr>
              <w:t>41</w:t>
            </w:r>
            <w:r w:rsidR="00803311" w:rsidRPr="00FD2D5D">
              <w:rPr>
                <w:rFonts w:ascii="Times New Roman" w:eastAsia="Times New Roman" w:hAnsi="Times New Roman" w:cs="Times New Roman"/>
                <w:color w:val="000000"/>
                <w:sz w:val="18"/>
                <w:szCs w:val="18"/>
                <w:lang w:eastAsia="ro-RO"/>
              </w:rPr>
              <w:t>,</w:t>
            </w:r>
            <w:r w:rsidRPr="00FD2D5D">
              <w:rPr>
                <w:rFonts w:ascii="Times New Roman" w:eastAsia="Times New Roman" w:hAnsi="Times New Roman" w:cs="Times New Roman"/>
                <w:color w:val="000000"/>
                <w:sz w:val="18"/>
                <w:szCs w:val="18"/>
                <w:lang w:eastAsia="ro-RO"/>
              </w:rPr>
              <w:t>7</w:t>
            </w:r>
            <w:r w:rsidR="00214ED2" w:rsidRPr="00FD2D5D">
              <w:rPr>
                <w:rFonts w:ascii="Times New Roman" w:eastAsia="Times New Roman" w:hAnsi="Times New Roman" w:cs="Times New Roman"/>
                <w:color w:val="000000"/>
                <w:sz w:val="18"/>
                <w:szCs w:val="18"/>
                <w:lang w:eastAsia="ro-RO"/>
              </w:rPr>
              <w:t>0</w:t>
            </w:r>
          </w:p>
        </w:tc>
      </w:tr>
      <w:tr w:rsidR="00BF05CD" w:rsidRPr="00FD2D5D" w14:paraId="5A7E01BB" w14:textId="77777777" w:rsidTr="00803311">
        <w:trPr>
          <w:trHeight w:val="300"/>
        </w:trPr>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73A836B1" w14:textId="77777777" w:rsidR="00BF05CD" w:rsidRPr="00FD2D5D" w:rsidRDefault="00BF05CD">
            <w:pPr>
              <w:spacing w:after="0" w:line="240" w:lineRule="auto"/>
              <w:rPr>
                <w:rFonts w:ascii="Times New Roman" w:eastAsia="Times New Roman" w:hAnsi="Times New Roman" w:cs="Times New Roman"/>
                <w:color w:val="000000"/>
                <w:sz w:val="18"/>
                <w:szCs w:val="18"/>
                <w:lang w:eastAsia="ro-RO"/>
              </w:rPr>
            </w:pPr>
            <w:r w:rsidRPr="00FD2D5D">
              <w:rPr>
                <w:rFonts w:ascii="Times New Roman" w:hAnsi="Times New Roman" w:cs="Times New Roman"/>
                <w:sz w:val="18"/>
                <w:szCs w:val="18"/>
              </w:rPr>
              <w:t>UE</w:t>
            </w:r>
          </w:p>
        </w:tc>
        <w:tc>
          <w:tcPr>
            <w:tcW w:w="484" w:type="pct"/>
            <w:tcBorders>
              <w:top w:val="single" w:sz="4" w:space="0" w:color="auto"/>
              <w:left w:val="nil"/>
              <w:bottom w:val="single" w:sz="4" w:space="0" w:color="auto"/>
              <w:right w:val="single" w:sz="4" w:space="0" w:color="auto"/>
            </w:tcBorders>
            <w:shd w:val="clear" w:color="auto" w:fill="auto"/>
            <w:noWrap/>
            <w:vAlign w:val="center"/>
          </w:tcPr>
          <w:p w14:paraId="174714B2" w14:textId="6F726851" w:rsidR="00BF05CD" w:rsidRPr="00FD2D5D" w:rsidRDefault="00BF05CD"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hAnsi="Times New Roman" w:cs="Times New Roman"/>
                <w:sz w:val="18"/>
                <w:szCs w:val="18"/>
              </w:rPr>
              <w:t>0</w:t>
            </w:r>
            <w:r w:rsidR="00803311" w:rsidRPr="00FD2D5D">
              <w:rPr>
                <w:rFonts w:ascii="Times New Roman" w:hAnsi="Times New Roman" w:cs="Times New Roman"/>
                <w:sz w:val="18"/>
                <w:szCs w:val="18"/>
              </w:rPr>
              <w:t>,</w:t>
            </w:r>
            <w:r w:rsidRPr="00FD2D5D">
              <w:rPr>
                <w:rFonts w:ascii="Times New Roman" w:hAnsi="Times New Roman" w:cs="Times New Roman"/>
                <w:sz w:val="18"/>
                <w:szCs w:val="18"/>
              </w:rPr>
              <w:t>15</w:t>
            </w:r>
          </w:p>
        </w:tc>
        <w:tc>
          <w:tcPr>
            <w:tcW w:w="484" w:type="pct"/>
            <w:tcBorders>
              <w:top w:val="single" w:sz="4" w:space="0" w:color="auto"/>
              <w:left w:val="nil"/>
              <w:bottom w:val="single" w:sz="4" w:space="0" w:color="auto"/>
              <w:right w:val="single" w:sz="4" w:space="0" w:color="auto"/>
            </w:tcBorders>
            <w:shd w:val="clear" w:color="auto" w:fill="auto"/>
            <w:noWrap/>
            <w:vAlign w:val="center"/>
          </w:tcPr>
          <w:p w14:paraId="1CF1B5D3" w14:textId="3C932291" w:rsidR="00BF05CD" w:rsidRPr="00FD2D5D" w:rsidRDefault="00BF05CD"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hAnsi="Times New Roman" w:cs="Times New Roman"/>
                <w:sz w:val="18"/>
                <w:szCs w:val="18"/>
              </w:rPr>
              <w:t>0</w:t>
            </w:r>
            <w:r w:rsidR="00803311" w:rsidRPr="00FD2D5D">
              <w:rPr>
                <w:rFonts w:ascii="Times New Roman" w:hAnsi="Times New Roman" w:cs="Times New Roman"/>
                <w:sz w:val="18"/>
                <w:szCs w:val="18"/>
              </w:rPr>
              <w:t>,</w:t>
            </w:r>
            <w:r w:rsidRPr="00FD2D5D">
              <w:rPr>
                <w:rFonts w:ascii="Times New Roman" w:hAnsi="Times New Roman" w:cs="Times New Roman"/>
                <w:sz w:val="18"/>
                <w:szCs w:val="18"/>
              </w:rPr>
              <w:t>14</w:t>
            </w:r>
          </w:p>
        </w:tc>
        <w:tc>
          <w:tcPr>
            <w:tcW w:w="484" w:type="pct"/>
            <w:tcBorders>
              <w:top w:val="single" w:sz="4" w:space="0" w:color="auto"/>
              <w:left w:val="nil"/>
              <w:bottom w:val="single" w:sz="4" w:space="0" w:color="auto"/>
              <w:right w:val="single" w:sz="4" w:space="0" w:color="auto"/>
            </w:tcBorders>
            <w:shd w:val="clear" w:color="auto" w:fill="auto"/>
            <w:noWrap/>
            <w:vAlign w:val="center"/>
          </w:tcPr>
          <w:p w14:paraId="7FD92C3A" w14:textId="23C70C77" w:rsidR="00BF05CD" w:rsidRPr="00FD2D5D" w:rsidRDefault="00BF05CD"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hAnsi="Times New Roman" w:cs="Times New Roman"/>
                <w:sz w:val="18"/>
                <w:szCs w:val="18"/>
              </w:rPr>
              <w:t>0</w:t>
            </w:r>
            <w:r w:rsidR="00803311" w:rsidRPr="00FD2D5D">
              <w:rPr>
                <w:rFonts w:ascii="Times New Roman" w:hAnsi="Times New Roman" w:cs="Times New Roman"/>
                <w:sz w:val="18"/>
                <w:szCs w:val="18"/>
              </w:rPr>
              <w:t>,</w:t>
            </w:r>
            <w:r w:rsidRPr="00FD2D5D">
              <w:rPr>
                <w:rFonts w:ascii="Times New Roman" w:hAnsi="Times New Roman" w:cs="Times New Roman"/>
                <w:sz w:val="18"/>
                <w:szCs w:val="18"/>
              </w:rPr>
              <w:t>13</w:t>
            </w:r>
          </w:p>
        </w:tc>
        <w:tc>
          <w:tcPr>
            <w:tcW w:w="484" w:type="pct"/>
            <w:tcBorders>
              <w:top w:val="single" w:sz="4" w:space="0" w:color="auto"/>
              <w:left w:val="nil"/>
              <w:bottom w:val="single" w:sz="4" w:space="0" w:color="auto"/>
              <w:right w:val="single" w:sz="4" w:space="0" w:color="auto"/>
            </w:tcBorders>
            <w:shd w:val="clear" w:color="auto" w:fill="auto"/>
            <w:noWrap/>
            <w:vAlign w:val="center"/>
          </w:tcPr>
          <w:p w14:paraId="49829F56" w14:textId="020306D6" w:rsidR="00BF05CD" w:rsidRPr="00FD2D5D" w:rsidRDefault="00BF05CD"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hAnsi="Times New Roman" w:cs="Times New Roman"/>
                <w:sz w:val="18"/>
                <w:szCs w:val="18"/>
              </w:rPr>
              <w:t>0</w:t>
            </w:r>
            <w:r w:rsidR="00803311" w:rsidRPr="00FD2D5D">
              <w:rPr>
                <w:rFonts w:ascii="Times New Roman" w:hAnsi="Times New Roman" w:cs="Times New Roman"/>
                <w:sz w:val="18"/>
                <w:szCs w:val="18"/>
              </w:rPr>
              <w:t>,</w:t>
            </w:r>
            <w:r w:rsidRPr="00FD2D5D">
              <w:rPr>
                <w:rFonts w:ascii="Times New Roman" w:hAnsi="Times New Roman" w:cs="Times New Roman"/>
                <w:sz w:val="18"/>
                <w:szCs w:val="18"/>
              </w:rPr>
              <w:t>12</w:t>
            </w:r>
          </w:p>
        </w:tc>
        <w:tc>
          <w:tcPr>
            <w:tcW w:w="484" w:type="pct"/>
            <w:tcBorders>
              <w:top w:val="single" w:sz="4" w:space="0" w:color="auto"/>
              <w:left w:val="nil"/>
              <w:bottom w:val="single" w:sz="4" w:space="0" w:color="auto"/>
              <w:right w:val="single" w:sz="4" w:space="0" w:color="auto"/>
            </w:tcBorders>
            <w:shd w:val="clear" w:color="auto" w:fill="auto"/>
            <w:noWrap/>
            <w:vAlign w:val="center"/>
          </w:tcPr>
          <w:p w14:paraId="3327803B" w14:textId="695EBD46" w:rsidR="00BF05CD" w:rsidRPr="00FD2D5D" w:rsidRDefault="00BF05CD"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hAnsi="Times New Roman" w:cs="Times New Roman"/>
                <w:sz w:val="18"/>
                <w:szCs w:val="18"/>
              </w:rPr>
              <w:t>0</w:t>
            </w:r>
            <w:r w:rsidR="00803311" w:rsidRPr="00FD2D5D">
              <w:rPr>
                <w:rFonts w:ascii="Times New Roman" w:hAnsi="Times New Roman" w:cs="Times New Roman"/>
                <w:sz w:val="18"/>
                <w:szCs w:val="18"/>
              </w:rPr>
              <w:t>,</w:t>
            </w:r>
            <w:r w:rsidRPr="00FD2D5D">
              <w:rPr>
                <w:rFonts w:ascii="Times New Roman" w:hAnsi="Times New Roman" w:cs="Times New Roman"/>
                <w:sz w:val="18"/>
                <w:szCs w:val="18"/>
              </w:rPr>
              <w:t>11</w:t>
            </w:r>
          </w:p>
        </w:tc>
        <w:tc>
          <w:tcPr>
            <w:tcW w:w="484" w:type="pct"/>
            <w:tcBorders>
              <w:top w:val="single" w:sz="4" w:space="0" w:color="auto"/>
              <w:left w:val="nil"/>
              <w:bottom w:val="single" w:sz="4" w:space="0" w:color="auto"/>
              <w:right w:val="single" w:sz="4" w:space="0" w:color="auto"/>
            </w:tcBorders>
            <w:shd w:val="clear" w:color="auto" w:fill="auto"/>
            <w:noWrap/>
            <w:vAlign w:val="center"/>
          </w:tcPr>
          <w:p w14:paraId="0D6F370C" w14:textId="2E1FB4E4" w:rsidR="00BF05CD" w:rsidRPr="00FD2D5D" w:rsidRDefault="00BF05CD"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hAnsi="Times New Roman" w:cs="Times New Roman"/>
                <w:sz w:val="18"/>
                <w:szCs w:val="18"/>
              </w:rPr>
              <w:t>0</w:t>
            </w:r>
            <w:r w:rsidR="00803311" w:rsidRPr="00FD2D5D">
              <w:rPr>
                <w:rFonts w:ascii="Times New Roman" w:hAnsi="Times New Roman" w:cs="Times New Roman"/>
                <w:sz w:val="18"/>
                <w:szCs w:val="18"/>
              </w:rPr>
              <w:t>,</w:t>
            </w:r>
            <w:r w:rsidRPr="00FD2D5D">
              <w:rPr>
                <w:rFonts w:ascii="Times New Roman" w:hAnsi="Times New Roman" w:cs="Times New Roman"/>
                <w:sz w:val="18"/>
                <w:szCs w:val="18"/>
              </w:rPr>
              <w:t>1</w:t>
            </w:r>
            <w:r w:rsidR="0048189B" w:rsidRPr="00FD2D5D">
              <w:rPr>
                <w:rFonts w:ascii="Times New Roman" w:hAnsi="Times New Roman" w:cs="Times New Roman"/>
                <w:sz w:val="18"/>
                <w:szCs w:val="18"/>
              </w:rPr>
              <w:t>0</w:t>
            </w:r>
          </w:p>
        </w:tc>
        <w:tc>
          <w:tcPr>
            <w:tcW w:w="484" w:type="pct"/>
            <w:tcBorders>
              <w:top w:val="single" w:sz="4" w:space="0" w:color="auto"/>
              <w:left w:val="nil"/>
              <w:bottom w:val="single" w:sz="4" w:space="0" w:color="auto"/>
              <w:right w:val="single" w:sz="4" w:space="0" w:color="auto"/>
            </w:tcBorders>
            <w:shd w:val="clear" w:color="auto" w:fill="auto"/>
            <w:noWrap/>
            <w:vAlign w:val="center"/>
          </w:tcPr>
          <w:p w14:paraId="7E9F7224" w14:textId="5399C828" w:rsidR="00BF05CD" w:rsidRPr="00FD2D5D" w:rsidRDefault="00BF05CD"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hAnsi="Times New Roman" w:cs="Times New Roman"/>
                <w:sz w:val="18"/>
                <w:szCs w:val="18"/>
              </w:rPr>
              <w:t>0</w:t>
            </w:r>
            <w:r w:rsidR="00803311" w:rsidRPr="00FD2D5D">
              <w:rPr>
                <w:rFonts w:ascii="Times New Roman" w:hAnsi="Times New Roman" w:cs="Times New Roman"/>
                <w:sz w:val="18"/>
                <w:szCs w:val="18"/>
              </w:rPr>
              <w:t>,</w:t>
            </w:r>
            <w:r w:rsidRPr="00FD2D5D">
              <w:rPr>
                <w:rFonts w:ascii="Times New Roman" w:hAnsi="Times New Roman" w:cs="Times New Roman"/>
                <w:sz w:val="18"/>
                <w:szCs w:val="18"/>
              </w:rPr>
              <w:t>08</w:t>
            </w:r>
          </w:p>
        </w:tc>
        <w:tc>
          <w:tcPr>
            <w:tcW w:w="484" w:type="pct"/>
            <w:tcBorders>
              <w:top w:val="single" w:sz="4" w:space="0" w:color="auto"/>
              <w:left w:val="nil"/>
              <w:bottom w:val="single" w:sz="4" w:space="0" w:color="auto"/>
              <w:right w:val="single" w:sz="4" w:space="0" w:color="auto"/>
            </w:tcBorders>
            <w:shd w:val="clear" w:color="auto" w:fill="auto"/>
            <w:vAlign w:val="center"/>
          </w:tcPr>
          <w:p w14:paraId="45EAC46A" w14:textId="29916F2E" w:rsidR="00BF05CD" w:rsidRPr="00FD2D5D" w:rsidRDefault="00BF05CD" w:rsidP="00803311">
            <w:pPr>
              <w:spacing w:after="0" w:line="240" w:lineRule="auto"/>
              <w:jc w:val="center"/>
              <w:rPr>
                <w:rFonts w:ascii="Times New Roman" w:eastAsia="Times New Roman" w:hAnsi="Times New Roman" w:cs="Times New Roman"/>
                <w:color w:val="000000"/>
                <w:sz w:val="18"/>
                <w:szCs w:val="18"/>
                <w:lang w:eastAsia="ro-RO"/>
              </w:rPr>
            </w:pPr>
            <w:r w:rsidRPr="00FD2D5D">
              <w:rPr>
                <w:rFonts w:ascii="Times New Roman" w:hAnsi="Times New Roman" w:cs="Times New Roman"/>
                <w:sz w:val="18"/>
                <w:szCs w:val="18"/>
              </w:rPr>
              <w:t>47</w:t>
            </w:r>
            <w:r w:rsidR="00803311" w:rsidRPr="00FD2D5D">
              <w:rPr>
                <w:rFonts w:ascii="Times New Roman" w:hAnsi="Times New Roman" w:cs="Times New Roman"/>
                <w:sz w:val="18"/>
                <w:szCs w:val="18"/>
              </w:rPr>
              <w:t>,</w:t>
            </w:r>
            <w:r w:rsidRPr="00FD2D5D">
              <w:rPr>
                <w:rFonts w:ascii="Times New Roman" w:hAnsi="Times New Roman" w:cs="Times New Roman"/>
                <w:sz w:val="18"/>
                <w:szCs w:val="18"/>
              </w:rPr>
              <w:t>0</w:t>
            </w:r>
            <w:r w:rsidR="00214ED2" w:rsidRPr="00FD2D5D">
              <w:rPr>
                <w:rFonts w:ascii="Times New Roman" w:hAnsi="Times New Roman" w:cs="Times New Roman"/>
                <w:sz w:val="18"/>
                <w:szCs w:val="18"/>
              </w:rPr>
              <w:t>0</w:t>
            </w:r>
          </w:p>
        </w:tc>
      </w:tr>
    </w:tbl>
    <w:p w14:paraId="0AF09A31" w14:textId="3B85196A" w:rsidR="006364B2" w:rsidRPr="00FD2D5D" w:rsidRDefault="00403E3C" w:rsidP="00803311">
      <w:pPr>
        <w:spacing w:before="120" w:after="120" w:line="240" w:lineRule="auto"/>
        <w:jc w:val="center"/>
        <w:outlineLvl w:val="2"/>
        <w:rPr>
          <w:rFonts w:ascii="Times New Roman" w:eastAsia="Times New Roman" w:hAnsi="Times New Roman" w:cs="Times New Roman"/>
          <w:b/>
          <w:bCs/>
          <w:sz w:val="24"/>
          <w:szCs w:val="24"/>
          <w:lang w:eastAsia="ru-RU"/>
        </w:rPr>
      </w:pPr>
      <w:r w:rsidRPr="00FD2D5D">
        <w:rPr>
          <w:rFonts w:ascii="Times New Roman" w:eastAsia="Times New Roman" w:hAnsi="Times New Roman" w:cs="Times New Roman"/>
          <w:b/>
          <w:bCs/>
          <w:color w:val="000000"/>
          <w:sz w:val="24"/>
          <w:szCs w:val="24"/>
          <w:lang w:eastAsia="ru-RU"/>
        </w:rPr>
        <w:t>2.2</w:t>
      </w:r>
      <w:r w:rsidR="00FB699F" w:rsidRPr="00FD2D5D">
        <w:rPr>
          <w:rFonts w:ascii="Times New Roman" w:eastAsia="Times New Roman" w:hAnsi="Times New Roman" w:cs="Times New Roman"/>
          <w:b/>
          <w:bCs/>
          <w:color w:val="000000"/>
          <w:sz w:val="24"/>
          <w:szCs w:val="24"/>
          <w:lang w:eastAsia="ru-RU"/>
        </w:rPr>
        <w:t xml:space="preserve">. </w:t>
      </w:r>
      <w:r w:rsidR="00FD2D5D" w:rsidRPr="00FD2D5D">
        <w:rPr>
          <w:rFonts w:ascii="Times New Roman" w:eastAsia="Times New Roman" w:hAnsi="Times New Roman" w:cs="Times New Roman"/>
          <w:b/>
          <w:bCs/>
          <w:color w:val="000000"/>
          <w:sz w:val="24"/>
          <w:szCs w:val="24"/>
          <w:lang w:eastAsia="ru-RU"/>
        </w:rPr>
        <w:t>Contribuția</w:t>
      </w:r>
      <w:r w:rsidR="006364B2" w:rsidRPr="00FD2D5D">
        <w:rPr>
          <w:rFonts w:ascii="Times New Roman" w:eastAsia="Times New Roman" w:hAnsi="Times New Roman" w:cs="Times New Roman"/>
          <w:b/>
          <w:bCs/>
          <w:color w:val="000000"/>
          <w:sz w:val="24"/>
          <w:szCs w:val="24"/>
          <w:lang w:eastAsia="ru-RU"/>
        </w:rPr>
        <w:t xml:space="preserve"> sectoarelor </w:t>
      </w:r>
      <w:r w:rsidR="00C872B7">
        <w:rPr>
          <w:rFonts w:ascii="Times New Roman" w:eastAsia="Times New Roman" w:hAnsi="Times New Roman" w:cs="Times New Roman"/>
          <w:b/>
          <w:bCs/>
          <w:color w:val="000000"/>
          <w:sz w:val="24"/>
          <w:szCs w:val="24"/>
          <w:lang w:eastAsia="ru-RU"/>
        </w:rPr>
        <w:t xml:space="preserve">în procesul de </w:t>
      </w:r>
      <w:r w:rsidR="006364B2" w:rsidRPr="00FD2D5D">
        <w:rPr>
          <w:rFonts w:ascii="Times New Roman" w:eastAsia="Times New Roman" w:hAnsi="Times New Roman" w:cs="Times New Roman"/>
          <w:b/>
          <w:bCs/>
          <w:color w:val="000000"/>
          <w:sz w:val="24"/>
          <w:szCs w:val="24"/>
          <w:lang w:eastAsia="ru-RU"/>
        </w:rPr>
        <w:t>dezvoltare cu emisii reduse</w:t>
      </w:r>
      <w:r w:rsidR="007B531A" w:rsidRPr="00FD2D5D">
        <w:rPr>
          <w:rFonts w:ascii="Times New Roman" w:eastAsia="Times New Roman" w:hAnsi="Times New Roman" w:cs="Times New Roman"/>
          <w:b/>
          <w:bCs/>
          <w:color w:val="000000"/>
          <w:sz w:val="24"/>
          <w:szCs w:val="24"/>
          <w:lang w:eastAsia="ru-RU"/>
        </w:rPr>
        <w:t xml:space="preserve"> </w:t>
      </w:r>
      <w:r w:rsidR="00FD2D5D" w:rsidRPr="00FD2D5D">
        <w:rPr>
          <w:rFonts w:ascii="Times New Roman" w:eastAsia="Times New Roman" w:hAnsi="Times New Roman" w:cs="Times New Roman"/>
          <w:b/>
          <w:bCs/>
          <w:color w:val="000000"/>
          <w:sz w:val="24"/>
          <w:szCs w:val="24"/>
          <w:lang w:eastAsia="ru-RU"/>
        </w:rPr>
        <w:t>și</w:t>
      </w:r>
      <w:r w:rsidR="006364B2" w:rsidRPr="00FD2D5D">
        <w:rPr>
          <w:rFonts w:ascii="Times New Roman" w:eastAsia="Times New Roman" w:hAnsi="Times New Roman" w:cs="Times New Roman"/>
          <w:b/>
          <w:bCs/>
          <w:color w:val="000000"/>
          <w:sz w:val="24"/>
          <w:szCs w:val="24"/>
          <w:lang w:eastAsia="ru-RU"/>
        </w:rPr>
        <w:t xml:space="preserve"> problemele identificate</w:t>
      </w:r>
      <w:r w:rsidR="00A549B6" w:rsidRPr="00FD2D5D">
        <w:rPr>
          <w:rFonts w:ascii="Times New Roman" w:eastAsia="Times New Roman" w:hAnsi="Times New Roman" w:cs="Times New Roman"/>
          <w:b/>
          <w:bCs/>
          <w:color w:val="000000"/>
          <w:sz w:val="24"/>
          <w:szCs w:val="24"/>
          <w:lang w:eastAsia="ru-RU"/>
        </w:rPr>
        <w:t xml:space="preserve"> </w:t>
      </w:r>
    </w:p>
    <w:p w14:paraId="4B57F8C8" w14:textId="18F8EC3D" w:rsidR="006364B2" w:rsidRPr="00FD2D5D" w:rsidRDefault="006364B2" w:rsidP="006364B2">
      <w:pPr>
        <w:spacing w:after="0" w:line="240" w:lineRule="auto"/>
        <w:jc w:val="center"/>
        <w:outlineLvl w:val="2"/>
        <w:rPr>
          <w:rFonts w:ascii="Times New Roman" w:eastAsia="Times New Roman" w:hAnsi="Times New Roman" w:cs="Times New Roman"/>
          <w:b/>
          <w:bCs/>
          <w:color w:val="000000"/>
          <w:sz w:val="24"/>
          <w:szCs w:val="24"/>
          <w:lang w:eastAsia="ru-RU"/>
        </w:rPr>
      </w:pPr>
      <w:r w:rsidRPr="00FD2D5D">
        <w:rPr>
          <w:rFonts w:ascii="Times New Roman" w:eastAsia="Times New Roman" w:hAnsi="Times New Roman" w:cs="Times New Roman"/>
          <w:b/>
          <w:bCs/>
          <w:color w:val="000000"/>
          <w:sz w:val="24"/>
          <w:szCs w:val="24"/>
          <w:lang w:eastAsia="ru-RU"/>
        </w:rPr>
        <w:t>2.</w:t>
      </w:r>
      <w:r w:rsidR="00403E3C" w:rsidRPr="00FD2D5D">
        <w:rPr>
          <w:rFonts w:ascii="Times New Roman" w:eastAsia="Times New Roman" w:hAnsi="Times New Roman" w:cs="Times New Roman"/>
          <w:b/>
          <w:bCs/>
          <w:color w:val="000000"/>
          <w:sz w:val="24"/>
          <w:szCs w:val="24"/>
          <w:lang w:eastAsia="ru-RU"/>
        </w:rPr>
        <w:t>2.</w:t>
      </w:r>
      <w:r w:rsidRPr="00FD2D5D">
        <w:rPr>
          <w:rFonts w:ascii="Times New Roman" w:eastAsia="Times New Roman" w:hAnsi="Times New Roman" w:cs="Times New Roman"/>
          <w:b/>
          <w:bCs/>
          <w:color w:val="000000"/>
          <w:sz w:val="24"/>
          <w:szCs w:val="24"/>
          <w:lang w:eastAsia="ru-RU"/>
        </w:rPr>
        <w:t xml:space="preserve">1. </w:t>
      </w:r>
      <w:r w:rsidR="00FD2D5D" w:rsidRPr="00FD2D5D">
        <w:rPr>
          <w:rFonts w:ascii="Times New Roman" w:eastAsia="Times New Roman" w:hAnsi="Times New Roman" w:cs="Times New Roman"/>
          <w:b/>
          <w:bCs/>
          <w:color w:val="000000"/>
          <w:sz w:val="24"/>
          <w:szCs w:val="24"/>
          <w:lang w:eastAsia="ru-RU"/>
        </w:rPr>
        <w:t>Contribuția</w:t>
      </w:r>
      <w:r w:rsidRPr="00FD2D5D">
        <w:rPr>
          <w:rFonts w:ascii="Times New Roman" w:eastAsia="Times New Roman" w:hAnsi="Times New Roman" w:cs="Times New Roman"/>
          <w:b/>
          <w:bCs/>
          <w:color w:val="000000"/>
          <w:sz w:val="24"/>
          <w:szCs w:val="24"/>
          <w:lang w:eastAsia="ru-RU"/>
        </w:rPr>
        <w:t xml:space="preserve"> </w:t>
      </w:r>
      <w:r w:rsidRPr="00FD2D5D">
        <w:rPr>
          <w:rFonts w:ascii="Times New Roman" w:eastAsia="Times New Roman" w:hAnsi="Times New Roman" w:cs="Times New Roman"/>
          <w:b/>
          <w:bCs/>
          <w:iCs/>
          <w:color w:val="000000"/>
          <w:sz w:val="24"/>
          <w:szCs w:val="24"/>
          <w:lang w:eastAsia="ru-RU"/>
        </w:rPr>
        <w:t>sectorului</w:t>
      </w:r>
      <w:r w:rsidRPr="00FD2D5D">
        <w:rPr>
          <w:rFonts w:ascii="Times New Roman" w:eastAsia="Times New Roman" w:hAnsi="Times New Roman" w:cs="Times New Roman"/>
          <w:b/>
          <w:bCs/>
          <w:i/>
          <w:color w:val="000000"/>
          <w:sz w:val="24"/>
          <w:szCs w:val="24"/>
          <w:lang w:eastAsia="ru-RU"/>
        </w:rPr>
        <w:t xml:space="preserve"> energetic</w:t>
      </w:r>
      <w:r w:rsidRPr="00FD2D5D">
        <w:rPr>
          <w:rFonts w:ascii="Times New Roman" w:eastAsia="Times New Roman" w:hAnsi="Times New Roman" w:cs="Times New Roman"/>
          <w:b/>
          <w:bCs/>
          <w:color w:val="000000"/>
          <w:sz w:val="24"/>
          <w:szCs w:val="24"/>
          <w:lang w:eastAsia="ru-RU"/>
        </w:rPr>
        <w:t xml:space="preserve"> la dezvoltarea cu emisii </w:t>
      </w:r>
    </w:p>
    <w:p w14:paraId="08EFE63A" w14:textId="2951DBDC" w:rsidR="006364B2" w:rsidRPr="00FD2D5D" w:rsidRDefault="006364B2" w:rsidP="001F2F2D">
      <w:pPr>
        <w:spacing w:after="120" w:line="240" w:lineRule="auto"/>
        <w:jc w:val="center"/>
        <w:outlineLvl w:val="2"/>
        <w:rPr>
          <w:rFonts w:ascii="Times New Roman" w:eastAsia="Times New Roman" w:hAnsi="Times New Roman" w:cs="Times New Roman"/>
          <w:b/>
          <w:bCs/>
          <w:color w:val="000000"/>
          <w:sz w:val="24"/>
          <w:szCs w:val="24"/>
          <w:lang w:eastAsia="ru-RU"/>
        </w:rPr>
      </w:pPr>
      <w:r w:rsidRPr="00FD2D5D">
        <w:rPr>
          <w:rFonts w:ascii="Times New Roman" w:eastAsia="Times New Roman" w:hAnsi="Times New Roman" w:cs="Times New Roman"/>
          <w:b/>
          <w:bCs/>
          <w:color w:val="000000"/>
          <w:sz w:val="24"/>
          <w:szCs w:val="24"/>
          <w:lang w:eastAsia="ru-RU"/>
        </w:rPr>
        <w:t xml:space="preserve">reduse </w:t>
      </w:r>
      <w:r w:rsidR="00FD2D5D" w:rsidRPr="00FD2D5D">
        <w:rPr>
          <w:rFonts w:ascii="Times New Roman" w:eastAsia="Times New Roman" w:hAnsi="Times New Roman" w:cs="Times New Roman"/>
          <w:b/>
          <w:bCs/>
          <w:color w:val="000000"/>
          <w:sz w:val="24"/>
          <w:szCs w:val="24"/>
          <w:lang w:eastAsia="ru-RU"/>
        </w:rPr>
        <w:t>și</w:t>
      </w:r>
      <w:r w:rsidRPr="00FD2D5D">
        <w:rPr>
          <w:rFonts w:ascii="Times New Roman" w:eastAsia="Times New Roman" w:hAnsi="Times New Roman" w:cs="Times New Roman"/>
          <w:b/>
          <w:bCs/>
          <w:color w:val="000000"/>
          <w:sz w:val="24"/>
          <w:szCs w:val="24"/>
          <w:lang w:eastAsia="ru-RU"/>
        </w:rPr>
        <w:t xml:space="preserve"> problemele identificate în acest sector</w:t>
      </w:r>
    </w:p>
    <w:p w14:paraId="7660032D" w14:textId="4F591EC9" w:rsidR="006364B2" w:rsidRPr="00FD2D5D" w:rsidRDefault="00E13B78" w:rsidP="001F2F2D">
      <w:pPr>
        <w:spacing w:after="120" w:line="240" w:lineRule="auto"/>
        <w:ind w:firstLine="720"/>
        <w:jc w:val="both"/>
        <w:rPr>
          <w:rFonts w:ascii="Times New Roman" w:eastAsia="Times New Roman" w:hAnsi="Times New Roman" w:cs="Times New Roman"/>
          <w:sz w:val="24"/>
          <w:szCs w:val="24"/>
          <w:lang w:eastAsia="ru-RU"/>
        </w:rPr>
      </w:pPr>
      <w:r w:rsidRPr="00FD2D5D">
        <w:rPr>
          <w:rFonts w:ascii="Times New Roman" w:eastAsia="Times New Roman" w:hAnsi="Times New Roman" w:cs="Times New Roman"/>
          <w:color w:val="000000"/>
          <w:sz w:val="24"/>
          <w:szCs w:val="24"/>
          <w:shd w:val="clear" w:color="auto" w:fill="FFFFFF"/>
          <w:lang w:eastAsia="ru-RU"/>
        </w:rPr>
        <w:t>5</w:t>
      </w:r>
      <w:r w:rsidR="006364B2" w:rsidRPr="00FD2D5D">
        <w:rPr>
          <w:rFonts w:ascii="Times New Roman" w:eastAsia="Times New Roman" w:hAnsi="Times New Roman" w:cs="Times New Roman"/>
          <w:color w:val="000000"/>
          <w:sz w:val="24"/>
          <w:szCs w:val="24"/>
          <w:shd w:val="clear" w:color="auto" w:fill="FFFFFF"/>
          <w:lang w:eastAsia="ru-RU"/>
        </w:rPr>
        <w:t xml:space="preserve">. Sectorul energetic este ramura de bază a economiei </w:t>
      </w:r>
      <w:r w:rsidR="00FD2D5D" w:rsidRPr="00FD2D5D">
        <w:rPr>
          <w:rFonts w:ascii="Times New Roman" w:eastAsia="Times New Roman" w:hAnsi="Times New Roman" w:cs="Times New Roman"/>
          <w:color w:val="000000"/>
          <w:sz w:val="24"/>
          <w:szCs w:val="24"/>
          <w:shd w:val="clear" w:color="auto" w:fill="FFFFFF"/>
          <w:lang w:eastAsia="ru-RU"/>
        </w:rPr>
        <w:t>naționale</w:t>
      </w:r>
      <w:r w:rsidR="006364B2" w:rsidRPr="00FD2D5D">
        <w:rPr>
          <w:rFonts w:ascii="Times New Roman" w:eastAsia="Times New Roman" w:hAnsi="Times New Roman" w:cs="Times New Roman"/>
          <w:color w:val="000000"/>
          <w:sz w:val="24"/>
          <w:szCs w:val="24"/>
          <w:shd w:val="clear" w:color="auto" w:fill="FFFFFF"/>
          <w:lang w:eastAsia="ru-RU"/>
        </w:rPr>
        <w:t xml:space="preserve"> </w:t>
      </w:r>
      <w:r w:rsidR="00FD2D5D" w:rsidRPr="00FD2D5D">
        <w:rPr>
          <w:rFonts w:ascii="Times New Roman" w:eastAsia="Times New Roman" w:hAnsi="Times New Roman" w:cs="Times New Roman"/>
          <w:color w:val="000000"/>
          <w:sz w:val="24"/>
          <w:szCs w:val="24"/>
          <w:shd w:val="clear" w:color="auto" w:fill="FFFFFF"/>
          <w:lang w:eastAsia="ru-RU"/>
        </w:rPr>
        <w:t>și</w:t>
      </w:r>
      <w:r w:rsidR="006364B2" w:rsidRPr="00FD2D5D">
        <w:rPr>
          <w:rFonts w:ascii="Times New Roman" w:eastAsia="Times New Roman" w:hAnsi="Times New Roman" w:cs="Times New Roman"/>
          <w:color w:val="000000"/>
          <w:sz w:val="24"/>
          <w:szCs w:val="24"/>
          <w:shd w:val="clear" w:color="auto" w:fill="FFFFFF"/>
          <w:lang w:eastAsia="ru-RU"/>
        </w:rPr>
        <w:t xml:space="preserve"> aceasta impune </w:t>
      </w:r>
      <w:r w:rsidR="003B13DE" w:rsidRPr="00FD2D5D">
        <w:rPr>
          <w:rFonts w:ascii="Times New Roman" w:eastAsia="Times New Roman" w:hAnsi="Times New Roman" w:cs="Times New Roman"/>
          <w:color w:val="000000"/>
          <w:sz w:val="24"/>
          <w:szCs w:val="24"/>
          <w:shd w:val="clear" w:color="auto" w:fill="FFFFFF"/>
          <w:lang w:eastAsia="ru-RU"/>
        </w:rPr>
        <w:t xml:space="preserve">disponibilitatea </w:t>
      </w:r>
      <w:r w:rsidR="006364B2" w:rsidRPr="00FD2D5D">
        <w:rPr>
          <w:rFonts w:ascii="Times New Roman" w:eastAsia="Times New Roman" w:hAnsi="Times New Roman" w:cs="Times New Roman"/>
          <w:color w:val="000000"/>
          <w:sz w:val="24"/>
          <w:szCs w:val="24"/>
          <w:shd w:val="clear" w:color="auto" w:fill="FFFFFF"/>
          <w:lang w:eastAsia="ru-RU"/>
        </w:rPr>
        <w:t xml:space="preserve">unei </w:t>
      </w:r>
      <w:r w:rsidR="00FD2D5D" w:rsidRPr="00FD2D5D">
        <w:rPr>
          <w:rFonts w:ascii="Times New Roman" w:eastAsia="Times New Roman" w:hAnsi="Times New Roman" w:cs="Times New Roman"/>
          <w:color w:val="000000"/>
          <w:sz w:val="24"/>
          <w:szCs w:val="24"/>
          <w:shd w:val="clear" w:color="auto" w:fill="FFFFFF"/>
          <w:lang w:eastAsia="ru-RU"/>
        </w:rPr>
        <w:t>securități</w:t>
      </w:r>
      <w:r w:rsidR="006364B2" w:rsidRPr="00FD2D5D">
        <w:rPr>
          <w:rFonts w:ascii="Times New Roman" w:eastAsia="Times New Roman" w:hAnsi="Times New Roman" w:cs="Times New Roman"/>
          <w:color w:val="000000"/>
          <w:sz w:val="24"/>
          <w:szCs w:val="24"/>
          <w:shd w:val="clear" w:color="auto" w:fill="FFFFFF"/>
          <w:lang w:eastAsia="ru-RU"/>
        </w:rPr>
        <w:t xml:space="preserve"> energetice înalte. Sistemul energetic al Republicii Moldova are următoarele puncte slabe:</w:t>
      </w:r>
    </w:p>
    <w:p w14:paraId="5C66D9D2" w14:textId="5539C9C6" w:rsidR="006364B2" w:rsidRPr="00FD2D5D" w:rsidRDefault="006364B2" w:rsidP="006364B2">
      <w:pPr>
        <w:spacing w:after="0" w:line="240" w:lineRule="auto"/>
        <w:ind w:firstLine="720"/>
        <w:jc w:val="both"/>
        <w:rPr>
          <w:rFonts w:ascii="Times New Roman" w:eastAsia="Times New Roman" w:hAnsi="Times New Roman" w:cs="Times New Roman"/>
          <w:sz w:val="24"/>
          <w:szCs w:val="24"/>
          <w:lang w:eastAsia="ru-RU"/>
        </w:rPr>
      </w:pPr>
      <w:r w:rsidRPr="00FD2D5D">
        <w:rPr>
          <w:rFonts w:ascii="Times New Roman" w:eastAsia="Times New Roman" w:hAnsi="Times New Roman" w:cs="Times New Roman"/>
          <w:color w:val="000000"/>
          <w:sz w:val="24"/>
          <w:szCs w:val="24"/>
          <w:lang w:eastAsia="ru-RU"/>
        </w:rPr>
        <w:t xml:space="preserve">1) propriile resurse de combustibili fosili </w:t>
      </w:r>
      <w:r w:rsidR="00FD2D5D" w:rsidRPr="00FD2D5D">
        <w:rPr>
          <w:rFonts w:ascii="Times New Roman" w:eastAsia="Times New Roman" w:hAnsi="Times New Roman" w:cs="Times New Roman"/>
          <w:color w:val="000000"/>
          <w:sz w:val="24"/>
          <w:szCs w:val="24"/>
          <w:lang w:eastAsia="ru-RU"/>
        </w:rPr>
        <w:t>și</w:t>
      </w:r>
      <w:r w:rsidRPr="00FD2D5D">
        <w:rPr>
          <w:rFonts w:ascii="Times New Roman" w:eastAsia="Times New Roman" w:hAnsi="Times New Roman" w:cs="Times New Roman"/>
          <w:color w:val="000000"/>
          <w:sz w:val="24"/>
          <w:szCs w:val="24"/>
          <w:lang w:eastAsia="ru-RU"/>
        </w:rPr>
        <w:t xml:space="preserve"> </w:t>
      </w:r>
      <w:proofErr w:type="spellStart"/>
      <w:r w:rsidRPr="00FD2D5D">
        <w:rPr>
          <w:rFonts w:ascii="Times New Roman" w:eastAsia="Times New Roman" w:hAnsi="Times New Roman" w:cs="Times New Roman"/>
          <w:color w:val="000000"/>
          <w:sz w:val="24"/>
          <w:szCs w:val="24"/>
          <w:lang w:eastAsia="ru-RU"/>
        </w:rPr>
        <w:t>hidro</w:t>
      </w:r>
      <w:proofErr w:type="spellEnd"/>
      <w:r w:rsidRPr="00FD2D5D">
        <w:rPr>
          <w:rFonts w:ascii="Times New Roman" w:eastAsia="Times New Roman" w:hAnsi="Times New Roman" w:cs="Times New Roman"/>
          <w:color w:val="000000"/>
          <w:sz w:val="24"/>
          <w:szCs w:val="24"/>
          <w:lang w:eastAsia="ru-RU"/>
        </w:rPr>
        <w:t xml:space="preserve"> </w:t>
      </w:r>
      <w:proofErr w:type="spellStart"/>
      <w:r w:rsidRPr="00FD2D5D">
        <w:rPr>
          <w:rFonts w:ascii="Times New Roman" w:eastAsia="Times New Roman" w:hAnsi="Times New Roman" w:cs="Times New Roman"/>
          <w:color w:val="000000"/>
          <w:sz w:val="24"/>
          <w:szCs w:val="24"/>
          <w:lang w:eastAsia="ru-RU"/>
        </w:rPr>
        <w:t>sînt</w:t>
      </w:r>
      <w:proofErr w:type="spellEnd"/>
      <w:r w:rsidRPr="00FD2D5D">
        <w:rPr>
          <w:rFonts w:ascii="Times New Roman" w:eastAsia="Times New Roman" w:hAnsi="Times New Roman" w:cs="Times New Roman"/>
          <w:color w:val="000000"/>
          <w:sz w:val="24"/>
          <w:szCs w:val="24"/>
          <w:lang w:eastAsia="ru-RU"/>
        </w:rPr>
        <w:t xml:space="preserve"> nesemnificative, fapt care impune importul </w:t>
      </w:r>
      <w:proofErr w:type="spellStart"/>
      <w:r w:rsidRPr="00FD2D5D">
        <w:rPr>
          <w:rFonts w:ascii="Times New Roman" w:eastAsia="Times New Roman" w:hAnsi="Times New Roman" w:cs="Times New Roman"/>
          <w:color w:val="000000"/>
          <w:sz w:val="24"/>
          <w:szCs w:val="24"/>
          <w:lang w:eastAsia="ru-RU"/>
        </w:rPr>
        <w:t>pînă</w:t>
      </w:r>
      <w:proofErr w:type="spellEnd"/>
      <w:r w:rsidRPr="00FD2D5D">
        <w:rPr>
          <w:rFonts w:ascii="Times New Roman" w:eastAsia="Times New Roman" w:hAnsi="Times New Roman" w:cs="Times New Roman"/>
          <w:color w:val="000000"/>
          <w:sz w:val="24"/>
          <w:szCs w:val="24"/>
          <w:lang w:eastAsia="ru-RU"/>
        </w:rPr>
        <w:t xml:space="preserve"> la </w:t>
      </w:r>
      <w:r w:rsidR="00E4633E" w:rsidRPr="00FD2D5D">
        <w:rPr>
          <w:rFonts w:ascii="Times New Roman" w:eastAsia="Times New Roman" w:hAnsi="Times New Roman" w:cs="Times New Roman"/>
          <w:color w:val="000000"/>
          <w:sz w:val="24"/>
          <w:szCs w:val="24"/>
          <w:lang w:eastAsia="ru-RU"/>
        </w:rPr>
        <w:t>77</w:t>
      </w:r>
      <w:r w:rsidRPr="00FD2D5D">
        <w:rPr>
          <w:rFonts w:ascii="Times New Roman" w:eastAsia="Times New Roman" w:hAnsi="Times New Roman" w:cs="Times New Roman"/>
          <w:color w:val="000000"/>
          <w:sz w:val="24"/>
          <w:szCs w:val="24"/>
          <w:lang w:eastAsia="ru-RU"/>
        </w:rPr>
        <w:t>%</w:t>
      </w:r>
      <w:r w:rsidR="003B13DE" w:rsidRPr="00FD2D5D">
        <w:rPr>
          <w:rStyle w:val="Referinnotdesubsol"/>
          <w:rFonts w:ascii="Times New Roman" w:eastAsia="Times New Roman" w:hAnsi="Times New Roman" w:cs="Times New Roman"/>
          <w:color w:val="000000"/>
          <w:sz w:val="24"/>
          <w:szCs w:val="24"/>
          <w:lang w:eastAsia="ru-RU"/>
        </w:rPr>
        <w:footnoteReference w:id="2"/>
      </w:r>
      <w:r w:rsidRPr="00FD2D5D">
        <w:rPr>
          <w:rFonts w:ascii="Times New Roman" w:eastAsia="Times New Roman" w:hAnsi="Times New Roman" w:cs="Times New Roman"/>
          <w:color w:val="000000"/>
          <w:sz w:val="24"/>
          <w:szCs w:val="24"/>
          <w:lang w:eastAsia="ru-RU"/>
        </w:rPr>
        <w:t xml:space="preserve"> din resursele energetice necesare;</w:t>
      </w:r>
    </w:p>
    <w:p w14:paraId="70BF2C85" w14:textId="08FD975E" w:rsidR="006364B2" w:rsidRPr="00FD2D5D" w:rsidRDefault="006364B2" w:rsidP="006364B2">
      <w:pPr>
        <w:spacing w:after="0" w:line="240" w:lineRule="auto"/>
        <w:ind w:firstLine="720"/>
        <w:jc w:val="both"/>
        <w:rPr>
          <w:rFonts w:ascii="Times New Roman" w:eastAsia="Times New Roman" w:hAnsi="Times New Roman" w:cs="Times New Roman"/>
          <w:sz w:val="24"/>
          <w:szCs w:val="24"/>
          <w:lang w:eastAsia="ru-RU"/>
        </w:rPr>
      </w:pPr>
      <w:r w:rsidRPr="00FD2D5D">
        <w:rPr>
          <w:rFonts w:ascii="Times New Roman" w:eastAsia="Times New Roman" w:hAnsi="Times New Roman" w:cs="Times New Roman"/>
          <w:color w:val="000000"/>
          <w:sz w:val="24"/>
          <w:szCs w:val="24"/>
          <w:lang w:eastAsia="ru-RU"/>
        </w:rPr>
        <w:t xml:space="preserve">2) în </w:t>
      </w:r>
      <w:proofErr w:type="spellStart"/>
      <w:r w:rsidRPr="00FD2D5D">
        <w:rPr>
          <w:rFonts w:ascii="Times New Roman" w:eastAsia="Times New Roman" w:hAnsi="Times New Roman" w:cs="Times New Roman"/>
          <w:color w:val="000000"/>
          <w:sz w:val="24"/>
          <w:szCs w:val="24"/>
          <w:lang w:eastAsia="ru-RU"/>
        </w:rPr>
        <w:t>balanţa</w:t>
      </w:r>
      <w:proofErr w:type="spellEnd"/>
      <w:r w:rsidRPr="00FD2D5D">
        <w:rPr>
          <w:rFonts w:ascii="Times New Roman" w:eastAsia="Times New Roman" w:hAnsi="Times New Roman" w:cs="Times New Roman"/>
          <w:color w:val="000000"/>
          <w:sz w:val="24"/>
          <w:szCs w:val="24"/>
          <w:lang w:eastAsia="ru-RU"/>
        </w:rPr>
        <w:t xml:space="preserve"> energetică a </w:t>
      </w:r>
      <w:r w:rsidR="00BA395F" w:rsidRPr="00FD2D5D">
        <w:rPr>
          <w:rFonts w:ascii="Times New Roman" w:eastAsia="Times New Roman" w:hAnsi="Times New Roman" w:cs="Times New Roman"/>
          <w:color w:val="000000"/>
          <w:sz w:val="24"/>
          <w:szCs w:val="24"/>
          <w:lang w:eastAsia="ru-RU"/>
        </w:rPr>
        <w:t>țării</w:t>
      </w:r>
      <w:r w:rsidRPr="00FD2D5D">
        <w:rPr>
          <w:rFonts w:ascii="Times New Roman" w:eastAsia="Times New Roman" w:hAnsi="Times New Roman" w:cs="Times New Roman"/>
          <w:color w:val="000000"/>
          <w:sz w:val="24"/>
          <w:szCs w:val="24"/>
          <w:lang w:eastAsia="ru-RU"/>
        </w:rPr>
        <w:t>, gazelor naturale</w:t>
      </w:r>
      <w:r w:rsidR="003B13DE" w:rsidRPr="00FD2D5D">
        <w:t xml:space="preserve"> </w:t>
      </w:r>
      <w:r w:rsidR="003B13DE" w:rsidRPr="00FD2D5D">
        <w:rPr>
          <w:rFonts w:ascii="Times New Roman" w:eastAsia="Times New Roman" w:hAnsi="Times New Roman" w:cs="Times New Roman"/>
          <w:color w:val="000000"/>
          <w:sz w:val="24"/>
          <w:szCs w:val="24"/>
          <w:lang w:eastAsia="ru-RU"/>
        </w:rPr>
        <w:t>le revine</w:t>
      </w:r>
      <w:r w:rsidR="003B13DE" w:rsidRPr="00FD2D5D">
        <w:t xml:space="preserve"> </w:t>
      </w:r>
      <w:r w:rsidR="003B13DE" w:rsidRPr="00FD2D5D">
        <w:rPr>
          <w:rFonts w:ascii="Times New Roman" w:eastAsia="Times New Roman" w:hAnsi="Times New Roman" w:cs="Times New Roman"/>
          <w:color w:val="000000"/>
          <w:sz w:val="24"/>
          <w:szCs w:val="24"/>
          <w:lang w:eastAsia="ru-RU"/>
        </w:rPr>
        <w:t>circa 30%, acestea fiind</w:t>
      </w:r>
      <w:r w:rsidR="00B566C6" w:rsidRPr="00FD2D5D">
        <w:rPr>
          <w:rFonts w:ascii="Times New Roman" w:eastAsia="Times New Roman" w:hAnsi="Times New Roman" w:cs="Times New Roman"/>
          <w:color w:val="000000"/>
          <w:sz w:val="24"/>
          <w:szCs w:val="24"/>
          <w:lang w:eastAsia="ru-RU"/>
        </w:rPr>
        <w:t xml:space="preserve"> </w:t>
      </w:r>
      <w:r w:rsidRPr="00FD2D5D">
        <w:rPr>
          <w:rFonts w:ascii="Times New Roman" w:eastAsia="Times New Roman" w:hAnsi="Times New Roman" w:cs="Times New Roman"/>
          <w:color w:val="000000"/>
          <w:sz w:val="24"/>
          <w:szCs w:val="24"/>
          <w:lang w:eastAsia="ru-RU"/>
        </w:rPr>
        <w:t>importate de la un singur furnizor („</w:t>
      </w:r>
      <w:proofErr w:type="spellStart"/>
      <w:r w:rsidRPr="00FD2D5D">
        <w:rPr>
          <w:rFonts w:ascii="Times New Roman" w:eastAsia="Times New Roman" w:hAnsi="Times New Roman" w:cs="Times New Roman"/>
          <w:color w:val="000000"/>
          <w:sz w:val="24"/>
          <w:szCs w:val="24"/>
          <w:lang w:eastAsia="ru-RU"/>
        </w:rPr>
        <w:t>Gazprom</w:t>
      </w:r>
      <w:proofErr w:type="spellEnd"/>
      <w:r w:rsidRPr="00FD2D5D">
        <w:rPr>
          <w:rFonts w:ascii="Times New Roman" w:eastAsia="Times New Roman" w:hAnsi="Times New Roman" w:cs="Times New Roman"/>
          <w:color w:val="000000"/>
          <w:sz w:val="24"/>
          <w:szCs w:val="24"/>
          <w:lang w:eastAsia="ru-RU"/>
        </w:rPr>
        <w:t xml:space="preserve">”, </w:t>
      </w:r>
      <w:proofErr w:type="spellStart"/>
      <w:r w:rsidRPr="00FD2D5D">
        <w:rPr>
          <w:rFonts w:ascii="Times New Roman" w:eastAsia="Times New Roman" w:hAnsi="Times New Roman" w:cs="Times New Roman"/>
          <w:color w:val="000000"/>
          <w:sz w:val="24"/>
          <w:szCs w:val="24"/>
          <w:lang w:eastAsia="ru-RU"/>
        </w:rPr>
        <w:t>Federaţia</w:t>
      </w:r>
      <w:proofErr w:type="spellEnd"/>
      <w:r w:rsidRPr="00FD2D5D">
        <w:rPr>
          <w:rFonts w:ascii="Times New Roman" w:eastAsia="Times New Roman" w:hAnsi="Times New Roman" w:cs="Times New Roman"/>
          <w:color w:val="000000"/>
          <w:sz w:val="24"/>
          <w:szCs w:val="24"/>
          <w:lang w:eastAsia="ru-RU"/>
        </w:rPr>
        <w:t xml:space="preserve"> Rusă);</w:t>
      </w:r>
    </w:p>
    <w:p w14:paraId="711BE559" w14:textId="7C2CD7A3" w:rsidR="006364B2" w:rsidRPr="00FD2D5D" w:rsidRDefault="006364B2" w:rsidP="006364B2">
      <w:pPr>
        <w:spacing w:after="0" w:line="240" w:lineRule="auto"/>
        <w:ind w:firstLine="720"/>
        <w:jc w:val="both"/>
        <w:rPr>
          <w:rFonts w:ascii="Times New Roman" w:eastAsia="Times New Roman" w:hAnsi="Times New Roman" w:cs="Times New Roman"/>
          <w:sz w:val="24"/>
          <w:szCs w:val="24"/>
          <w:lang w:eastAsia="ru-RU"/>
        </w:rPr>
      </w:pPr>
      <w:r w:rsidRPr="00FD2D5D">
        <w:rPr>
          <w:rFonts w:ascii="Times New Roman" w:eastAsia="Times New Roman" w:hAnsi="Times New Roman" w:cs="Times New Roman"/>
          <w:color w:val="000000"/>
          <w:sz w:val="24"/>
          <w:szCs w:val="24"/>
          <w:lang w:eastAsia="ru-RU"/>
        </w:rPr>
        <w:t>3) circa 8</w:t>
      </w:r>
      <w:r w:rsidR="00205503" w:rsidRPr="00FD2D5D">
        <w:rPr>
          <w:rFonts w:ascii="Times New Roman" w:eastAsia="Times New Roman" w:hAnsi="Times New Roman" w:cs="Times New Roman"/>
          <w:color w:val="000000"/>
          <w:sz w:val="24"/>
          <w:szCs w:val="24"/>
          <w:lang w:eastAsia="ru-RU"/>
        </w:rPr>
        <w:t>1</w:t>
      </w:r>
      <w:r w:rsidRPr="00FD2D5D">
        <w:rPr>
          <w:rFonts w:ascii="Times New Roman" w:eastAsia="Times New Roman" w:hAnsi="Times New Roman" w:cs="Times New Roman"/>
          <w:color w:val="000000"/>
          <w:sz w:val="24"/>
          <w:szCs w:val="24"/>
          <w:lang w:eastAsia="ru-RU"/>
        </w:rPr>
        <w:t xml:space="preserve">% din cererea de energie a teritoriului de pe malul drept al </w:t>
      </w:r>
      <w:r w:rsidR="00C872B7">
        <w:rPr>
          <w:rFonts w:ascii="Times New Roman" w:eastAsia="Times New Roman" w:hAnsi="Times New Roman" w:cs="Times New Roman"/>
          <w:color w:val="000000"/>
          <w:sz w:val="24"/>
          <w:szCs w:val="24"/>
          <w:lang w:eastAsia="ru-RU"/>
        </w:rPr>
        <w:t xml:space="preserve">fluviului </w:t>
      </w:r>
      <w:r w:rsidRPr="00FD2D5D">
        <w:rPr>
          <w:rFonts w:ascii="Times New Roman" w:eastAsia="Times New Roman" w:hAnsi="Times New Roman" w:cs="Times New Roman"/>
          <w:color w:val="000000"/>
          <w:sz w:val="24"/>
          <w:szCs w:val="24"/>
          <w:lang w:eastAsia="ru-RU"/>
        </w:rPr>
        <w:t>Nistru este asigurată din afara acestuia;</w:t>
      </w:r>
    </w:p>
    <w:p w14:paraId="563A6B10" w14:textId="5F598A24" w:rsidR="006364B2" w:rsidRPr="00FD2D5D" w:rsidRDefault="006364B2" w:rsidP="006364B2">
      <w:pPr>
        <w:spacing w:after="0" w:line="240" w:lineRule="auto"/>
        <w:ind w:firstLine="720"/>
        <w:jc w:val="both"/>
        <w:rPr>
          <w:rFonts w:ascii="Times New Roman" w:eastAsia="Times New Roman" w:hAnsi="Times New Roman" w:cs="Times New Roman"/>
          <w:sz w:val="24"/>
          <w:szCs w:val="24"/>
          <w:lang w:eastAsia="ru-RU"/>
        </w:rPr>
      </w:pPr>
      <w:r w:rsidRPr="00FD2D5D">
        <w:rPr>
          <w:rFonts w:ascii="Times New Roman" w:eastAsia="Times New Roman" w:hAnsi="Times New Roman" w:cs="Times New Roman"/>
          <w:color w:val="000000"/>
          <w:sz w:val="24"/>
          <w:szCs w:val="24"/>
          <w:lang w:eastAsia="ru-RU"/>
        </w:rPr>
        <w:t xml:space="preserve">4) aproape 70-75% din echipamentul energetic </w:t>
      </w:r>
      <w:r w:rsidR="006D0231" w:rsidRPr="00FD2D5D">
        <w:rPr>
          <w:rFonts w:ascii="Times New Roman" w:eastAsia="Times New Roman" w:hAnsi="Times New Roman" w:cs="Times New Roman"/>
          <w:color w:val="000000"/>
          <w:sz w:val="24"/>
          <w:szCs w:val="24"/>
          <w:lang w:eastAsia="ru-RU"/>
        </w:rPr>
        <w:t xml:space="preserve">este moral </w:t>
      </w:r>
      <w:proofErr w:type="spellStart"/>
      <w:r w:rsidR="006D0231" w:rsidRPr="00FD2D5D">
        <w:rPr>
          <w:rFonts w:ascii="Times New Roman" w:eastAsia="Times New Roman" w:hAnsi="Times New Roman" w:cs="Times New Roman"/>
          <w:color w:val="000000"/>
          <w:sz w:val="24"/>
          <w:szCs w:val="24"/>
          <w:lang w:eastAsia="ru-RU"/>
        </w:rPr>
        <w:t>depăşit</w:t>
      </w:r>
      <w:proofErr w:type="spellEnd"/>
      <w:r w:rsidR="006D0231" w:rsidRPr="00FD2D5D">
        <w:rPr>
          <w:rFonts w:ascii="Times New Roman" w:eastAsia="Times New Roman" w:hAnsi="Times New Roman" w:cs="Times New Roman"/>
          <w:color w:val="000000"/>
          <w:sz w:val="24"/>
          <w:szCs w:val="24"/>
          <w:lang w:eastAsia="ru-RU"/>
        </w:rPr>
        <w:t xml:space="preserve"> </w:t>
      </w:r>
      <w:proofErr w:type="spellStart"/>
      <w:r w:rsidR="006D0231" w:rsidRPr="00FD2D5D">
        <w:rPr>
          <w:rFonts w:ascii="Times New Roman" w:eastAsia="Times New Roman" w:hAnsi="Times New Roman" w:cs="Times New Roman"/>
          <w:color w:val="000000"/>
          <w:sz w:val="24"/>
          <w:szCs w:val="24"/>
          <w:lang w:eastAsia="ru-RU"/>
        </w:rPr>
        <w:t>şi</w:t>
      </w:r>
      <w:proofErr w:type="spellEnd"/>
      <w:r w:rsidR="006D0231" w:rsidRPr="00FD2D5D">
        <w:rPr>
          <w:rFonts w:ascii="Times New Roman" w:eastAsia="Times New Roman" w:hAnsi="Times New Roman" w:cs="Times New Roman"/>
          <w:color w:val="000000"/>
          <w:sz w:val="24"/>
          <w:szCs w:val="24"/>
          <w:lang w:eastAsia="ru-RU"/>
        </w:rPr>
        <w:t xml:space="preserve"> deja </w:t>
      </w:r>
      <w:r w:rsidR="003C7373">
        <w:rPr>
          <w:rFonts w:ascii="Times New Roman" w:eastAsia="Times New Roman" w:hAnsi="Times New Roman" w:cs="Times New Roman"/>
          <w:color w:val="000000"/>
          <w:sz w:val="24"/>
          <w:szCs w:val="24"/>
          <w:lang w:eastAsia="ru-RU"/>
        </w:rPr>
        <w:t>uzat</w:t>
      </w:r>
      <w:r w:rsidRPr="00FD2D5D">
        <w:rPr>
          <w:rFonts w:ascii="Times New Roman" w:eastAsia="Times New Roman" w:hAnsi="Times New Roman" w:cs="Times New Roman"/>
          <w:color w:val="000000"/>
          <w:sz w:val="24"/>
          <w:szCs w:val="24"/>
          <w:lang w:eastAsia="ru-RU"/>
        </w:rPr>
        <w:t>;</w:t>
      </w:r>
    </w:p>
    <w:p w14:paraId="1A2A15AA" w14:textId="1405EB1D" w:rsidR="006364B2" w:rsidRPr="00FD2D5D" w:rsidRDefault="006364B2" w:rsidP="006364B2">
      <w:pPr>
        <w:spacing w:after="0" w:line="240" w:lineRule="auto"/>
        <w:ind w:firstLine="720"/>
        <w:jc w:val="both"/>
        <w:rPr>
          <w:rFonts w:ascii="Times New Roman" w:eastAsia="Times New Roman" w:hAnsi="Times New Roman" w:cs="Times New Roman"/>
          <w:sz w:val="24"/>
          <w:szCs w:val="24"/>
          <w:lang w:eastAsia="ru-RU"/>
        </w:rPr>
      </w:pPr>
      <w:r w:rsidRPr="00FD2D5D">
        <w:rPr>
          <w:rFonts w:ascii="Times New Roman" w:eastAsia="Times New Roman" w:hAnsi="Times New Roman" w:cs="Times New Roman"/>
          <w:color w:val="000000"/>
          <w:sz w:val="24"/>
          <w:szCs w:val="24"/>
          <w:lang w:eastAsia="ru-RU"/>
        </w:rPr>
        <w:t>5) i</w:t>
      </w:r>
      <w:r w:rsidRPr="00FD2D5D">
        <w:rPr>
          <w:rFonts w:ascii="Times New Roman" w:eastAsia="Times New Roman" w:hAnsi="Times New Roman" w:cs="Times New Roman"/>
          <w:bCs/>
          <w:iCs/>
          <w:sz w:val="24"/>
          <w:szCs w:val="24"/>
          <w:lang w:eastAsia="ru-RU"/>
        </w:rPr>
        <w:t xml:space="preserve">ntensitate energetică </w:t>
      </w:r>
      <w:r w:rsidR="003C7373">
        <w:rPr>
          <w:rFonts w:ascii="Times New Roman" w:eastAsia="Times New Roman" w:hAnsi="Times New Roman" w:cs="Times New Roman"/>
          <w:bCs/>
          <w:iCs/>
          <w:sz w:val="24"/>
          <w:szCs w:val="24"/>
          <w:lang w:eastAsia="ru-RU"/>
        </w:rPr>
        <w:t>sporită</w:t>
      </w:r>
      <w:r w:rsidRPr="00FD2D5D">
        <w:rPr>
          <w:rFonts w:ascii="Times New Roman" w:eastAsia="Times New Roman" w:hAnsi="Times New Roman" w:cs="Times New Roman"/>
          <w:bCs/>
          <w:iCs/>
          <w:sz w:val="24"/>
          <w:szCs w:val="24"/>
          <w:lang w:eastAsia="ru-RU"/>
        </w:rPr>
        <w:t xml:space="preserve"> (aproximativ de </w:t>
      </w:r>
      <w:r w:rsidR="00BF05CD" w:rsidRPr="00FD2D5D">
        <w:rPr>
          <w:rFonts w:ascii="Times New Roman" w:eastAsia="Times New Roman" w:hAnsi="Times New Roman" w:cs="Times New Roman"/>
          <w:bCs/>
          <w:iCs/>
          <w:sz w:val="24"/>
          <w:szCs w:val="24"/>
          <w:lang w:eastAsia="ru-RU"/>
        </w:rPr>
        <w:t>5.75</w:t>
      </w:r>
      <w:r w:rsidR="00BF05CD" w:rsidRPr="00FD2D5D">
        <w:rPr>
          <w:rStyle w:val="Referinnotdesubsol"/>
          <w:rFonts w:ascii="Times New Roman" w:eastAsia="Times New Roman" w:hAnsi="Times New Roman" w:cs="Times New Roman"/>
          <w:bCs/>
          <w:iCs/>
          <w:sz w:val="24"/>
          <w:szCs w:val="24"/>
          <w:lang w:eastAsia="ru-RU"/>
        </w:rPr>
        <w:footnoteReference w:id="3"/>
      </w:r>
      <w:r w:rsidR="00BF05CD" w:rsidRPr="00FD2D5D">
        <w:rPr>
          <w:rFonts w:ascii="Times New Roman" w:eastAsia="Times New Roman" w:hAnsi="Times New Roman" w:cs="Times New Roman"/>
          <w:bCs/>
          <w:iCs/>
          <w:sz w:val="24"/>
          <w:szCs w:val="24"/>
          <w:lang w:eastAsia="ru-RU"/>
        </w:rPr>
        <w:t xml:space="preserve"> </w:t>
      </w:r>
      <w:r w:rsidRPr="00FD2D5D">
        <w:rPr>
          <w:rFonts w:ascii="Times New Roman" w:eastAsia="Times New Roman" w:hAnsi="Times New Roman" w:cs="Times New Roman"/>
          <w:bCs/>
          <w:iCs/>
          <w:sz w:val="24"/>
          <w:szCs w:val="24"/>
          <w:lang w:eastAsia="ru-RU"/>
        </w:rPr>
        <w:t>ori peste media UE</w:t>
      </w:r>
      <w:r w:rsidR="00BF05CD" w:rsidRPr="00FD2D5D">
        <w:rPr>
          <w:rFonts w:ascii="Times New Roman" w:eastAsia="Times New Roman" w:hAnsi="Times New Roman" w:cs="Times New Roman"/>
          <w:bCs/>
          <w:iCs/>
          <w:sz w:val="24"/>
          <w:szCs w:val="24"/>
          <w:lang w:eastAsia="ru-RU"/>
        </w:rPr>
        <w:t>-28, 2018</w:t>
      </w:r>
      <w:r w:rsidRPr="00FD2D5D">
        <w:rPr>
          <w:rFonts w:ascii="Times New Roman" w:eastAsia="Times New Roman" w:hAnsi="Times New Roman" w:cs="Times New Roman"/>
          <w:bCs/>
          <w:iCs/>
          <w:sz w:val="24"/>
          <w:szCs w:val="24"/>
          <w:lang w:eastAsia="ru-RU"/>
        </w:rPr>
        <w:t>)</w:t>
      </w:r>
      <w:r w:rsidRPr="00FD2D5D">
        <w:rPr>
          <w:rFonts w:ascii="Times New Roman" w:eastAsia="Times New Roman" w:hAnsi="Times New Roman" w:cs="Times New Roman"/>
          <w:color w:val="000000"/>
          <w:sz w:val="24"/>
          <w:szCs w:val="24"/>
          <w:lang w:eastAsia="ru-RU"/>
        </w:rPr>
        <w:t>;</w:t>
      </w:r>
    </w:p>
    <w:p w14:paraId="5B8DCDDC" w14:textId="77777777" w:rsidR="006364B2" w:rsidRPr="00FD2D5D" w:rsidRDefault="006364B2" w:rsidP="001F2F2D">
      <w:pPr>
        <w:spacing w:after="120" w:line="240" w:lineRule="auto"/>
        <w:ind w:firstLine="720"/>
        <w:jc w:val="both"/>
        <w:rPr>
          <w:rFonts w:ascii="Times New Roman" w:eastAsia="Times New Roman" w:hAnsi="Times New Roman" w:cs="Times New Roman"/>
          <w:sz w:val="24"/>
          <w:szCs w:val="24"/>
          <w:lang w:eastAsia="ru-RU"/>
        </w:rPr>
      </w:pPr>
      <w:r w:rsidRPr="00FD2D5D">
        <w:rPr>
          <w:rFonts w:ascii="Times New Roman" w:eastAsia="Times New Roman" w:hAnsi="Times New Roman" w:cs="Times New Roman"/>
          <w:color w:val="000000"/>
          <w:sz w:val="24"/>
          <w:szCs w:val="24"/>
          <w:lang w:eastAsia="ru-RU"/>
        </w:rPr>
        <w:t>6) lipsa resurselor financiare proprii pentru dezvoltarea sectorului.</w:t>
      </w:r>
    </w:p>
    <w:p w14:paraId="6A1F461D" w14:textId="64C7BFFC" w:rsidR="004D4B44" w:rsidRPr="00FD2D5D" w:rsidRDefault="00E13B78" w:rsidP="001F2F2D">
      <w:pPr>
        <w:spacing w:after="120" w:line="240" w:lineRule="auto"/>
        <w:ind w:firstLine="720"/>
        <w:jc w:val="both"/>
        <w:rPr>
          <w:rFonts w:ascii="Times New Roman" w:eastAsia="Calibri" w:hAnsi="Times New Roman" w:cs="Times New Roman"/>
          <w:sz w:val="24"/>
          <w:szCs w:val="24"/>
        </w:rPr>
      </w:pPr>
      <w:r w:rsidRPr="00FD2D5D">
        <w:rPr>
          <w:rFonts w:ascii="Times New Roman" w:eastAsia="Times New Roman" w:hAnsi="Times New Roman" w:cs="Times New Roman"/>
          <w:color w:val="000000"/>
          <w:sz w:val="24"/>
          <w:szCs w:val="24"/>
          <w:lang w:eastAsia="ru-RU"/>
        </w:rPr>
        <w:lastRenderedPageBreak/>
        <w:t>6</w:t>
      </w:r>
      <w:r w:rsidR="006364B2" w:rsidRPr="00FD2D5D">
        <w:rPr>
          <w:rFonts w:ascii="Times New Roman" w:eastAsia="Times New Roman" w:hAnsi="Times New Roman" w:cs="Times New Roman"/>
          <w:color w:val="000000"/>
          <w:sz w:val="24"/>
          <w:szCs w:val="24"/>
          <w:lang w:eastAsia="ru-RU"/>
        </w:rPr>
        <w:t>. Lu</w:t>
      </w:r>
      <w:r w:rsidR="006D0231" w:rsidRPr="00FD2D5D">
        <w:rPr>
          <w:rFonts w:ascii="Times New Roman" w:eastAsia="Times New Roman" w:hAnsi="Times New Roman" w:cs="Times New Roman"/>
          <w:color w:val="000000"/>
          <w:sz w:val="24"/>
          <w:szCs w:val="24"/>
          <w:lang w:eastAsia="ru-RU"/>
        </w:rPr>
        <w:t>â</w:t>
      </w:r>
      <w:r w:rsidR="006364B2" w:rsidRPr="00FD2D5D">
        <w:rPr>
          <w:rFonts w:ascii="Times New Roman" w:eastAsia="Times New Roman" w:hAnsi="Times New Roman" w:cs="Times New Roman"/>
          <w:color w:val="000000"/>
          <w:sz w:val="24"/>
          <w:szCs w:val="24"/>
          <w:lang w:eastAsia="ru-RU"/>
        </w:rPr>
        <w:t xml:space="preserve">nd în considerare securitatea energetică redusă, Republica Moldova </w:t>
      </w:r>
      <w:proofErr w:type="spellStart"/>
      <w:r w:rsidR="006364B2" w:rsidRPr="00FD2D5D">
        <w:rPr>
          <w:rFonts w:ascii="Times New Roman" w:eastAsia="Times New Roman" w:hAnsi="Times New Roman" w:cs="Times New Roman"/>
          <w:color w:val="000000"/>
          <w:sz w:val="24"/>
          <w:szCs w:val="24"/>
          <w:lang w:eastAsia="ru-RU"/>
        </w:rPr>
        <w:t>şi</w:t>
      </w:r>
      <w:proofErr w:type="spellEnd"/>
      <w:r w:rsidR="006364B2" w:rsidRPr="00FD2D5D">
        <w:rPr>
          <w:rFonts w:ascii="Times New Roman" w:eastAsia="Times New Roman" w:hAnsi="Times New Roman" w:cs="Times New Roman"/>
          <w:color w:val="000000"/>
          <w:sz w:val="24"/>
          <w:szCs w:val="24"/>
          <w:lang w:eastAsia="ru-RU"/>
        </w:rPr>
        <w:t xml:space="preserve">-a luat angajamentul să </w:t>
      </w:r>
      <w:proofErr w:type="spellStart"/>
      <w:r w:rsidR="006364B2" w:rsidRPr="00FD2D5D">
        <w:rPr>
          <w:rFonts w:ascii="Times New Roman" w:eastAsia="Times New Roman" w:hAnsi="Times New Roman" w:cs="Times New Roman"/>
          <w:color w:val="000000"/>
          <w:sz w:val="24"/>
          <w:szCs w:val="24"/>
          <w:lang w:eastAsia="ru-RU"/>
        </w:rPr>
        <w:t>depăşească</w:t>
      </w:r>
      <w:proofErr w:type="spellEnd"/>
      <w:r w:rsidR="006364B2" w:rsidRPr="00FD2D5D">
        <w:rPr>
          <w:rFonts w:ascii="Times New Roman" w:eastAsia="Times New Roman" w:hAnsi="Times New Roman" w:cs="Times New Roman"/>
          <w:color w:val="000000"/>
          <w:sz w:val="24"/>
          <w:szCs w:val="24"/>
          <w:lang w:eastAsia="ru-RU"/>
        </w:rPr>
        <w:t xml:space="preserve"> provocările existente prin aprobarea politicilor </w:t>
      </w:r>
      <w:r w:rsidR="006D0231" w:rsidRPr="00FD2D5D">
        <w:rPr>
          <w:rFonts w:ascii="Times New Roman" w:eastAsia="Times New Roman" w:hAnsi="Times New Roman" w:cs="Times New Roman"/>
          <w:color w:val="000000"/>
          <w:sz w:val="24"/>
          <w:szCs w:val="24"/>
          <w:lang w:eastAsia="ru-RU"/>
        </w:rPr>
        <w:t>adecvate de dezvoltare</w:t>
      </w:r>
      <w:r w:rsidR="006364B2" w:rsidRPr="00FD2D5D">
        <w:rPr>
          <w:rFonts w:ascii="Times New Roman" w:eastAsia="Times New Roman" w:hAnsi="Times New Roman" w:cs="Times New Roman"/>
          <w:color w:val="000000"/>
          <w:sz w:val="24"/>
          <w:szCs w:val="24"/>
          <w:lang w:eastAsia="ru-RU"/>
        </w:rPr>
        <w:t xml:space="preserve">, </w:t>
      </w:r>
      <w:r w:rsidR="00803311" w:rsidRPr="00FD2D5D">
        <w:rPr>
          <w:rFonts w:ascii="Times New Roman" w:eastAsia="Times New Roman" w:hAnsi="Times New Roman" w:cs="Times New Roman"/>
          <w:color w:val="000000"/>
          <w:sz w:val="24"/>
          <w:szCs w:val="24"/>
          <w:lang w:eastAsia="ru-RU"/>
        </w:rPr>
        <w:t>printre care</w:t>
      </w:r>
      <w:r w:rsidR="006364B2" w:rsidRPr="00FD2D5D">
        <w:rPr>
          <w:rFonts w:ascii="Times New Roman" w:eastAsia="Times New Roman" w:hAnsi="Times New Roman" w:cs="Times New Roman"/>
          <w:color w:val="000000"/>
          <w:sz w:val="24"/>
          <w:szCs w:val="24"/>
          <w:lang w:eastAsia="ru-RU"/>
        </w:rPr>
        <w:t xml:space="preserve"> </w:t>
      </w:r>
      <w:r w:rsidR="006364B2" w:rsidRPr="00FD2D5D">
        <w:rPr>
          <w:rFonts w:ascii="Times New Roman" w:eastAsia="Times New Roman" w:hAnsi="Times New Roman" w:cs="Times New Roman"/>
          <w:color w:val="000000"/>
          <w:sz w:val="24"/>
          <w:szCs w:val="24"/>
          <w:shd w:val="clear" w:color="auto" w:fill="FFFFFF"/>
          <w:lang w:eastAsia="ru-RU"/>
        </w:rPr>
        <w:t xml:space="preserve">Strategia energetică a Republicii Moldova </w:t>
      </w:r>
      <w:proofErr w:type="spellStart"/>
      <w:r w:rsidR="006364B2" w:rsidRPr="00FD2D5D">
        <w:rPr>
          <w:rFonts w:ascii="Times New Roman" w:eastAsia="Times New Roman" w:hAnsi="Times New Roman" w:cs="Times New Roman"/>
          <w:color w:val="000000"/>
          <w:sz w:val="24"/>
          <w:szCs w:val="24"/>
          <w:shd w:val="clear" w:color="auto" w:fill="FFFFFF"/>
          <w:lang w:eastAsia="ru-RU"/>
        </w:rPr>
        <w:t>pînă</w:t>
      </w:r>
      <w:proofErr w:type="spellEnd"/>
      <w:r w:rsidR="006364B2" w:rsidRPr="00FD2D5D">
        <w:rPr>
          <w:rFonts w:ascii="Times New Roman" w:eastAsia="Times New Roman" w:hAnsi="Times New Roman" w:cs="Times New Roman"/>
          <w:color w:val="000000"/>
          <w:sz w:val="24"/>
          <w:szCs w:val="24"/>
          <w:shd w:val="clear" w:color="auto" w:fill="FFFFFF"/>
          <w:lang w:eastAsia="ru-RU"/>
        </w:rPr>
        <w:t xml:space="preserve"> în anul 2030,</w:t>
      </w:r>
      <w:r w:rsidR="003C7373">
        <w:rPr>
          <w:rFonts w:ascii="Times New Roman" w:eastAsia="Times New Roman" w:hAnsi="Times New Roman" w:cs="Times New Roman"/>
          <w:color w:val="000000"/>
          <w:sz w:val="24"/>
          <w:szCs w:val="24"/>
          <w:shd w:val="clear" w:color="auto" w:fill="FFFFFF"/>
          <w:lang w:eastAsia="ru-RU"/>
        </w:rPr>
        <w:t xml:space="preserve"> </w:t>
      </w:r>
      <w:r w:rsidR="00803311" w:rsidRPr="00FD2D5D">
        <w:rPr>
          <w:rFonts w:ascii="Times New Roman" w:eastAsia="Times New Roman" w:hAnsi="Times New Roman" w:cs="Times New Roman"/>
          <w:color w:val="000000"/>
          <w:sz w:val="24"/>
          <w:szCs w:val="24"/>
          <w:shd w:val="clear" w:color="auto" w:fill="FFFFFF"/>
          <w:lang w:eastAsia="ru-RU"/>
        </w:rPr>
        <w:t>HG nr. 102/2013</w:t>
      </w:r>
      <w:r w:rsidR="004D4B44" w:rsidRPr="00FD2D5D">
        <w:rPr>
          <w:rFonts w:ascii="Times New Roman" w:hAnsi="Times New Roman" w:cs="Times New Roman"/>
          <w:color w:val="000000"/>
          <w:sz w:val="24"/>
          <w:szCs w:val="24"/>
          <w:shd w:val="clear" w:color="auto" w:fill="FFFFFF"/>
          <w:lang w:eastAsia="ru-RU"/>
        </w:rPr>
        <w:t>;</w:t>
      </w:r>
      <w:r w:rsidR="006364B2" w:rsidRPr="00FD2D5D">
        <w:rPr>
          <w:rFonts w:ascii="Times New Roman" w:eastAsia="Times New Roman" w:hAnsi="Times New Roman" w:cs="Times New Roman"/>
          <w:color w:val="000000"/>
          <w:sz w:val="24"/>
          <w:szCs w:val="24"/>
          <w:shd w:val="clear" w:color="auto" w:fill="FFFFFF"/>
          <w:lang w:eastAsia="ru-RU"/>
        </w:rPr>
        <w:t xml:space="preserve"> Strategia </w:t>
      </w:r>
      <w:proofErr w:type="spellStart"/>
      <w:r w:rsidR="006364B2" w:rsidRPr="00FD2D5D">
        <w:rPr>
          <w:rFonts w:ascii="Times New Roman" w:eastAsia="Times New Roman" w:hAnsi="Times New Roman" w:cs="Times New Roman"/>
          <w:color w:val="000000"/>
          <w:sz w:val="24"/>
          <w:szCs w:val="24"/>
          <w:shd w:val="clear" w:color="auto" w:fill="FFFFFF"/>
          <w:lang w:eastAsia="ru-RU"/>
        </w:rPr>
        <w:t>naţională</w:t>
      </w:r>
      <w:proofErr w:type="spellEnd"/>
      <w:r w:rsidR="006364B2" w:rsidRPr="00FD2D5D">
        <w:rPr>
          <w:rFonts w:ascii="Times New Roman" w:eastAsia="Times New Roman" w:hAnsi="Times New Roman" w:cs="Times New Roman"/>
          <w:color w:val="000000"/>
          <w:sz w:val="24"/>
          <w:szCs w:val="24"/>
          <w:shd w:val="clear" w:color="auto" w:fill="FFFFFF"/>
          <w:lang w:eastAsia="ru-RU"/>
        </w:rPr>
        <w:t xml:space="preserve"> de dezvoltare „Moldova 20</w:t>
      </w:r>
      <w:r w:rsidR="008B15C8" w:rsidRPr="00FD2D5D">
        <w:rPr>
          <w:rFonts w:ascii="Times New Roman" w:eastAsia="Times New Roman" w:hAnsi="Times New Roman" w:cs="Times New Roman"/>
          <w:color w:val="000000"/>
          <w:sz w:val="24"/>
          <w:szCs w:val="24"/>
          <w:shd w:val="clear" w:color="auto" w:fill="FFFFFF"/>
          <w:lang w:eastAsia="ru-RU"/>
        </w:rPr>
        <w:t>30</w:t>
      </w:r>
      <w:r w:rsidR="006364B2" w:rsidRPr="00FD2D5D">
        <w:rPr>
          <w:rFonts w:ascii="Times New Roman" w:eastAsia="Times New Roman" w:hAnsi="Times New Roman" w:cs="Times New Roman"/>
          <w:color w:val="000000"/>
          <w:sz w:val="24"/>
          <w:szCs w:val="24"/>
          <w:shd w:val="clear" w:color="auto" w:fill="FFFFFF"/>
          <w:lang w:eastAsia="ru-RU"/>
        </w:rPr>
        <w:t xml:space="preserve">”, </w:t>
      </w:r>
      <w:r w:rsidR="008B15C8" w:rsidRPr="00FD2D5D">
        <w:rPr>
          <w:rFonts w:ascii="Times New Roman" w:eastAsia="Times New Roman" w:hAnsi="Times New Roman" w:cs="Times New Roman"/>
          <w:color w:val="000000"/>
          <w:sz w:val="24"/>
          <w:szCs w:val="24"/>
          <w:shd w:val="clear" w:color="auto" w:fill="FFFFFF"/>
          <w:lang w:eastAsia="ru-RU"/>
        </w:rPr>
        <w:t xml:space="preserve">proiectul căreia a fost </w:t>
      </w:r>
      <w:r w:rsidR="006364B2" w:rsidRPr="00FD2D5D">
        <w:rPr>
          <w:rFonts w:ascii="Times New Roman" w:eastAsia="Times New Roman" w:hAnsi="Times New Roman" w:cs="Times New Roman"/>
          <w:color w:val="000000"/>
          <w:sz w:val="24"/>
          <w:szCs w:val="24"/>
          <w:shd w:val="clear" w:color="auto" w:fill="FFFFFF"/>
          <w:lang w:eastAsia="ru-RU"/>
        </w:rPr>
        <w:t>aprobată prin</w:t>
      </w:r>
      <w:r w:rsidR="008B15C8" w:rsidRPr="00FD2D5D">
        <w:rPr>
          <w:rFonts w:ascii="Times New Roman" w:eastAsia="Times New Roman" w:hAnsi="Times New Roman" w:cs="Times New Roman"/>
          <w:color w:val="000000"/>
          <w:sz w:val="24"/>
          <w:szCs w:val="24"/>
          <w:shd w:val="clear" w:color="auto" w:fill="FFFFFF"/>
          <w:lang w:eastAsia="ru-RU"/>
        </w:rPr>
        <w:t xml:space="preserve"> H</w:t>
      </w:r>
      <w:r w:rsidR="00FB699F" w:rsidRPr="00FD2D5D">
        <w:rPr>
          <w:rFonts w:ascii="Times New Roman" w:eastAsia="Times New Roman" w:hAnsi="Times New Roman" w:cs="Times New Roman"/>
          <w:color w:val="000000"/>
          <w:sz w:val="24"/>
          <w:szCs w:val="24"/>
          <w:shd w:val="clear" w:color="auto" w:fill="FFFFFF"/>
          <w:lang w:eastAsia="ru-RU"/>
        </w:rPr>
        <w:t>G</w:t>
      </w:r>
      <w:r w:rsidR="008B15C8" w:rsidRPr="00FD2D5D">
        <w:rPr>
          <w:rFonts w:ascii="Times New Roman" w:eastAsia="Times New Roman" w:hAnsi="Times New Roman" w:cs="Times New Roman"/>
          <w:color w:val="000000"/>
          <w:sz w:val="24"/>
          <w:szCs w:val="24"/>
          <w:shd w:val="clear" w:color="auto" w:fill="FFFFFF"/>
          <w:lang w:eastAsia="ru-RU"/>
        </w:rPr>
        <w:t xml:space="preserve"> </w:t>
      </w:r>
      <w:r w:rsidR="00FB699F" w:rsidRPr="00FD2D5D">
        <w:rPr>
          <w:rFonts w:ascii="Times New Roman" w:eastAsia="Times New Roman" w:hAnsi="Times New Roman" w:cs="Times New Roman"/>
          <w:color w:val="000000"/>
          <w:sz w:val="24"/>
          <w:szCs w:val="24"/>
          <w:shd w:val="clear" w:color="auto" w:fill="FFFFFF"/>
          <w:lang w:eastAsia="ru-RU"/>
        </w:rPr>
        <w:t>n</w:t>
      </w:r>
      <w:r w:rsidR="004D4B44" w:rsidRPr="00FD2D5D">
        <w:rPr>
          <w:rFonts w:ascii="Times New Roman" w:eastAsia="SimSun" w:hAnsi="Times New Roman" w:cs="Times New Roman"/>
          <w:sz w:val="24"/>
          <w:szCs w:val="24"/>
          <w:lang w:eastAsia="nb-NO"/>
        </w:rPr>
        <w:t>r. 377</w:t>
      </w:r>
      <w:r w:rsidR="00FB699F" w:rsidRPr="00FD2D5D">
        <w:rPr>
          <w:rFonts w:ascii="Times New Roman" w:eastAsia="SimSun" w:hAnsi="Times New Roman" w:cs="Times New Roman"/>
          <w:sz w:val="24"/>
          <w:szCs w:val="24"/>
          <w:lang w:eastAsia="nb-NO"/>
        </w:rPr>
        <w:t>/</w:t>
      </w:r>
      <w:r w:rsidR="004D4B44" w:rsidRPr="00FD2D5D">
        <w:rPr>
          <w:rFonts w:ascii="Times New Roman" w:eastAsia="SimSun" w:hAnsi="Times New Roman" w:cs="Times New Roman"/>
          <w:sz w:val="24"/>
          <w:szCs w:val="24"/>
          <w:lang w:eastAsia="nb-NO"/>
        </w:rPr>
        <w:t xml:space="preserve">2020 </w:t>
      </w:r>
      <w:proofErr w:type="spellStart"/>
      <w:r w:rsidR="004D4B44" w:rsidRPr="00FD2D5D">
        <w:rPr>
          <w:rFonts w:ascii="Times New Roman" w:eastAsia="SimSun" w:hAnsi="Times New Roman" w:cs="Times New Roman"/>
          <w:sz w:val="24"/>
          <w:szCs w:val="24"/>
          <w:lang w:eastAsia="nb-NO"/>
        </w:rPr>
        <w:t>şi</w:t>
      </w:r>
      <w:proofErr w:type="spellEnd"/>
      <w:r w:rsidR="004D4B44" w:rsidRPr="00FD2D5D">
        <w:rPr>
          <w:rFonts w:ascii="Times New Roman" w:eastAsia="SimSun" w:hAnsi="Times New Roman" w:cs="Times New Roman"/>
          <w:sz w:val="24"/>
          <w:szCs w:val="24"/>
          <w:lang w:eastAsia="nb-NO"/>
        </w:rPr>
        <w:t xml:space="preserve"> se află în Parlamentul </w:t>
      </w:r>
      <w:proofErr w:type="spellStart"/>
      <w:r w:rsidR="004D4B44" w:rsidRPr="00FD2D5D">
        <w:rPr>
          <w:rFonts w:ascii="Times New Roman" w:eastAsia="SimSun" w:hAnsi="Times New Roman" w:cs="Times New Roman"/>
          <w:sz w:val="24"/>
          <w:szCs w:val="24"/>
          <w:lang w:eastAsia="nb-NO"/>
        </w:rPr>
        <w:t>ţării</w:t>
      </w:r>
      <w:proofErr w:type="spellEnd"/>
      <w:r w:rsidR="004D4B44" w:rsidRPr="00FD2D5D">
        <w:rPr>
          <w:rFonts w:ascii="Times New Roman" w:eastAsia="SimSun" w:hAnsi="Times New Roman" w:cs="Times New Roman"/>
          <w:sz w:val="24"/>
          <w:szCs w:val="24"/>
          <w:lang w:eastAsia="nb-NO"/>
        </w:rPr>
        <w:t xml:space="preserve"> spre aprobare; </w:t>
      </w:r>
      <w:r w:rsidR="004D4B44" w:rsidRPr="00FD2D5D">
        <w:rPr>
          <w:rFonts w:ascii="Times New Roman" w:eastAsia="Times New Roman" w:hAnsi="Times New Roman" w:cs="Times New Roman"/>
          <w:sz w:val="24"/>
          <w:szCs w:val="24"/>
          <w:lang w:eastAsia="ru-RU"/>
        </w:rPr>
        <w:t xml:space="preserve">Legea privind promovarea utilizării energiei din surse regenerabile, </w:t>
      </w:r>
      <w:r w:rsidR="00FB699F" w:rsidRPr="00FD2D5D">
        <w:rPr>
          <w:rFonts w:ascii="Times New Roman" w:eastAsia="Times New Roman" w:hAnsi="Times New Roman" w:cs="Times New Roman"/>
          <w:sz w:val="24"/>
          <w:szCs w:val="24"/>
          <w:lang w:eastAsia="ru-RU"/>
        </w:rPr>
        <w:t>n</w:t>
      </w:r>
      <w:r w:rsidR="004D4B44" w:rsidRPr="00FD2D5D">
        <w:rPr>
          <w:rFonts w:ascii="Times New Roman" w:eastAsia="Times New Roman" w:hAnsi="Times New Roman" w:cs="Times New Roman"/>
          <w:sz w:val="24"/>
          <w:szCs w:val="24"/>
          <w:lang w:eastAsia="ru-RU"/>
        </w:rPr>
        <w:t xml:space="preserve">r.10/2016, </w:t>
      </w:r>
      <w:r w:rsidR="004D4B44" w:rsidRPr="00FD2D5D">
        <w:rPr>
          <w:rFonts w:ascii="Times New Roman" w:eastAsia="Calibri" w:hAnsi="Times New Roman" w:cs="Times New Roman"/>
          <w:sz w:val="24"/>
          <w:szCs w:val="24"/>
        </w:rPr>
        <w:t xml:space="preserve">modificată prin Legea </w:t>
      </w:r>
      <w:r w:rsidR="00FB699F" w:rsidRPr="00FD2D5D">
        <w:rPr>
          <w:rFonts w:ascii="Times New Roman" w:eastAsia="Calibri" w:hAnsi="Times New Roman" w:cs="Times New Roman"/>
          <w:sz w:val="24"/>
          <w:szCs w:val="24"/>
        </w:rPr>
        <w:t>n</w:t>
      </w:r>
      <w:r w:rsidR="004D4B44" w:rsidRPr="00FD2D5D">
        <w:rPr>
          <w:rFonts w:ascii="Times New Roman" w:eastAsia="Calibri" w:hAnsi="Times New Roman" w:cs="Times New Roman"/>
          <w:sz w:val="24"/>
          <w:szCs w:val="24"/>
        </w:rPr>
        <w:t>r.</w:t>
      </w:r>
      <w:r w:rsidR="00803311" w:rsidRPr="00FD2D5D">
        <w:rPr>
          <w:rFonts w:ascii="Times New Roman" w:eastAsia="Calibri" w:hAnsi="Times New Roman" w:cs="Times New Roman"/>
          <w:sz w:val="24"/>
          <w:szCs w:val="24"/>
        </w:rPr>
        <w:t xml:space="preserve"> </w:t>
      </w:r>
      <w:r w:rsidR="004D4B44" w:rsidRPr="00FD2D5D">
        <w:rPr>
          <w:rFonts w:ascii="Times New Roman" w:eastAsia="Calibri" w:hAnsi="Times New Roman" w:cs="Times New Roman"/>
          <w:sz w:val="24"/>
          <w:szCs w:val="24"/>
        </w:rPr>
        <w:t xml:space="preserve">34/2018; Legea cu privire la </w:t>
      </w:r>
      <w:proofErr w:type="spellStart"/>
      <w:r w:rsidR="004D4B44" w:rsidRPr="00FD2D5D">
        <w:rPr>
          <w:rFonts w:ascii="Times New Roman" w:eastAsia="Calibri" w:hAnsi="Times New Roman" w:cs="Times New Roman"/>
          <w:sz w:val="24"/>
          <w:szCs w:val="24"/>
        </w:rPr>
        <w:t>eficienţa</w:t>
      </w:r>
      <w:proofErr w:type="spellEnd"/>
      <w:r w:rsidR="004D4B44" w:rsidRPr="00FD2D5D">
        <w:rPr>
          <w:rFonts w:ascii="Times New Roman" w:eastAsia="Calibri" w:hAnsi="Times New Roman" w:cs="Times New Roman"/>
          <w:sz w:val="24"/>
          <w:szCs w:val="24"/>
        </w:rPr>
        <w:t xml:space="preserve"> energetică, </w:t>
      </w:r>
      <w:r w:rsidR="00FB699F" w:rsidRPr="00FD2D5D">
        <w:rPr>
          <w:rFonts w:ascii="Times New Roman" w:eastAsia="Calibri" w:hAnsi="Times New Roman" w:cs="Times New Roman"/>
          <w:sz w:val="24"/>
          <w:szCs w:val="24"/>
        </w:rPr>
        <w:t>n</w:t>
      </w:r>
      <w:r w:rsidR="004D4B44" w:rsidRPr="00FD2D5D">
        <w:rPr>
          <w:rFonts w:ascii="Times New Roman" w:eastAsia="Calibri" w:hAnsi="Times New Roman" w:cs="Times New Roman"/>
          <w:sz w:val="24"/>
          <w:szCs w:val="24"/>
        </w:rPr>
        <w:t>r.139/2018 etc.</w:t>
      </w:r>
    </w:p>
    <w:p w14:paraId="516F9CD6" w14:textId="77777777" w:rsidR="006364B2" w:rsidRPr="00FD2D5D" w:rsidRDefault="006364B2" w:rsidP="001F2F2D">
      <w:pPr>
        <w:pStyle w:val="Textnotdesubsol"/>
        <w:spacing w:after="120"/>
        <w:ind w:firstLine="0"/>
        <w:rPr>
          <w:sz w:val="24"/>
          <w:szCs w:val="24"/>
          <w:lang w:val="ro-RO" w:eastAsia="ru-RU"/>
        </w:rPr>
      </w:pPr>
      <w:r w:rsidRPr="00FD2D5D">
        <w:rPr>
          <w:color w:val="000000"/>
          <w:sz w:val="24"/>
          <w:szCs w:val="24"/>
          <w:shd w:val="clear" w:color="auto" w:fill="FFFFFF"/>
          <w:lang w:val="ro-RO" w:eastAsia="ru-RU"/>
        </w:rPr>
        <w:t>Documentele enumerate stabilesc următoarele obiective prioritare:</w:t>
      </w:r>
    </w:p>
    <w:p w14:paraId="41E0A405" w14:textId="77777777" w:rsidR="006364B2" w:rsidRPr="00FD2D5D" w:rsidRDefault="006364B2" w:rsidP="003E24C5">
      <w:pPr>
        <w:numPr>
          <w:ilvl w:val="0"/>
          <w:numId w:val="1"/>
        </w:numPr>
        <w:shd w:val="clear" w:color="auto" w:fill="FFFFFF"/>
        <w:tabs>
          <w:tab w:val="left" w:pos="993"/>
        </w:tabs>
        <w:spacing w:after="0" w:line="240" w:lineRule="auto"/>
        <w:ind w:left="0" w:firstLine="709"/>
        <w:contextualSpacing/>
        <w:jc w:val="both"/>
        <w:textAlignment w:val="baseline"/>
        <w:rPr>
          <w:rFonts w:ascii="Times New Roman" w:eastAsia="Times New Roman" w:hAnsi="Times New Roman" w:cs="Times New Roman"/>
          <w:color w:val="000000"/>
          <w:sz w:val="24"/>
          <w:szCs w:val="24"/>
          <w:lang w:eastAsia="ru-RU"/>
        </w:rPr>
      </w:pPr>
      <w:r w:rsidRPr="00FD2D5D">
        <w:rPr>
          <w:rFonts w:ascii="Times New Roman" w:eastAsia="Times New Roman" w:hAnsi="Times New Roman" w:cs="Times New Roman"/>
          <w:color w:val="000000"/>
          <w:sz w:val="24"/>
          <w:szCs w:val="24"/>
          <w:shd w:val="clear" w:color="auto" w:fill="FFFFFF"/>
          <w:lang w:eastAsia="ru-RU"/>
        </w:rPr>
        <w:t>securitatea aprovizionării cu energie;</w:t>
      </w:r>
    </w:p>
    <w:p w14:paraId="62012B55" w14:textId="77777777" w:rsidR="006364B2" w:rsidRPr="00FD2D5D" w:rsidRDefault="006364B2" w:rsidP="003E24C5">
      <w:pPr>
        <w:numPr>
          <w:ilvl w:val="0"/>
          <w:numId w:val="1"/>
        </w:numPr>
        <w:shd w:val="clear" w:color="auto" w:fill="FFFFFF"/>
        <w:tabs>
          <w:tab w:val="left" w:pos="993"/>
        </w:tabs>
        <w:spacing w:after="0" w:line="240" w:lineRule="auto"/>
        <w:ind w:left="0" w:firstLine="709"/>
        <w:contextualSpacing/>
        <w:jc w:val="both"/>
        <w:textAlignment w:val="baseline"/>
        <w:rPr>
          <w:rFonts w:ascii="Times New Roman" w:eastAsia="Times New Roman" w:hAnsi="Times New Roman" w:cs="Times New Roman"/>
          <w:color w:val="000000"/>
          <w:sz w:val="24"/>
          <w:szCs w:val="24"/>
          <w:lang w:eastAsia="ru-RU"/>
        </w:rPr>
      </w:pPr>
      <w:r w:rsidRPr="00FD2D5D">
        <w:rPr>
          <w:rFonts w:ascii="Times New Roman" w:eastAsia="Times New Roman" w:hAnsi="Times New Roman" w:cs="Times New Roman"/>
          <w:color w:val="000000"/>
          <w:sz w:val="24"/>
          <w:szCs w:val="24"/>
          <w:shd w:val="clear" w:color="auto" w:fill="FFFFFF"/>
          <w:lang w:eastAsia="ru-RU"/>
        </w:rPr>
        <w:t xml:space="preserve">promovarea </w:t>
      </w:r>
      <w:proofErr w:type="spellStart"/>
      <w:r w:rsidRPr="00FD2D5D">
        <w:rPr>
          <w:rFonts w:ascii="Times New Roman" w:eastAsia="Times New Roman" w:hAnsi="Times New Roman" w:cs="Times New Roman"/>
          <w:color w:val="000000"/>
          <w:sz w:val="24"/>
          <w:szCs w:val="24"/>
          <w:shd w:val="clear" w:color="auto" w:fill="FFFFFF"/>
          <w:lang w:eastAsia="ru-RU"/>
        </w:rPr>
        <w:t>eficienţei</w:t>
      </w:r>
      <w:proofErr w:type="spellEnd"/>
      <w:r w:rsidRPr="00FD2D5D">
        <w:rPr>
          <w:rFonts w:ascii="Times New Roman" w:eastAsia="Times New Roman" w:hAnsi="Times New Roman" w:cs="Times New Roman"/>
          <w:color w:val="000000"/>
          <w:sz w:val="24"/>
          <w:szCs w:val="24"/>
          <w:shd w:val="clear" w:color="auto" w:fill="FFFFFF"/>
          <w:lang w:eastAsia="ru-RU"/>
        </w:rPr>
        <w:t xml:space="preserve"> energetice</w:t>
      </w:r>
      <w:r w:rsidR="004D4B44" w:rsidRPr="00FD2D5D">
        <w:rPr>
          <w:rFonts w:ascii="Times New Roman" w:eastAsia="Times New Roman" w:hAnsi="Times New Roman" w:cs="Times New Roman"/>
          <w:color w:val="000000"/>
          <w:sz w:val="24"/>
          <w:szCs w:val="24"/>
          <w:shd w:val="clear" w:color="auto" w:fill="FFFFFF"/>
          <w:lang w:eastAsia="ru-RU"/>
        </w:rPr>
        <w:t xml:space="preserve"> </w:t>
      </w:r>
      <w:proofErr w:type="spellStart"/>
      <w:r w:rsidR="004D4B44" w:rsidRPr="00FD2D5D">
        <w:rPr>
          <w:rFonts w:ascii="Times New Roman" w:eastAsia="Times New Roman" w:hAnsi="Times New Roman" w:cs="Times New Roman"/>
          <w:color w:val="000000"/>
          <w:sz w:val="24"/>
          <w:szCs w:val="24"/>
          <w:shd w:val="clear" w:color="auto" w:fill="FFFFFF"/>
          <w:lang w:eastAsia="ru-RU"/>
        </w:rPr>
        <w:t>şi</w:t>
      </w:r>
      <w:proofErr w:type="spellEnd"/>
      <w:r w:rsidR="004D4B44" w:rsidRPr="00FD2D5D">
        <w:rPr>
          <w:rFonts w:ascii="Times New Roman" w:eastAsia="Times New Roman" w:hAnsi="Times New Roman" w:cs="Times New Roman"/>
          <w:color w:val="000000"/>
          <w:sz w:val="24"/>
          <w:szCs w:val="24"/>
          <w:shd w:val="clear" w:color="auto" w:fill="FFFFFF"/>
          <w:lang w:eastAsia="ru-RU"/>
        </w:rPr>
        <w:t xml:space="preserve"> surselor regenerabile de energie</w:t>
      </w:r>
      <w:r w:rsidRPr="00FD2D5D">
        <w:rPr>
          <w:rFonts w:ascii="Times New Roman" w:eastAsia="Times New Roman" w:hAnsi="Times New Roman" w:cs="Times New Roman"/>
          <w:color w:val="000000"/>
          <w:sz w:val="24"/>
          <w:szCs w:val="24"/>
          <w:shd w:val="clear" w:color="auto" w:fill="FFFFFF"/>
          <w:lang w:eastAsia="ru-RU"/>
        </w:rPr>
        <w:t>;</w:t>
      </w:r>
    </w:p>
    <w:p w14:paraId="61E83BB6" w14:textId="77777777" w:rsidR="006364B2" w:rsidRPr="00FD2D5D" w:rsidRDefault="006364B2" w:rsidP="003E24C5">
      <w:pPr>
        <w:numPr>
          <w:ilvl w:val="0"/>
          <w:numId w:val="1"/>
        </w:numPr>
        <w:shd w:val="clear" w:color="auto" w:fill="FFFFFF"/>
        <w:tabs>
          <w:tab w:val="left" w:pos="993"/>
        </w:tabs>
        <w:spacing w:after="0" w:line="240" w:lineRule="auto"/>
        <w:ind w:left="0" w:firstLine="709"/>
        <w:contextualSpacing/>
        <w:jc w:val="both"/>
        <w:textAlignment w:val="baseline"/>
        <w:rPr>
          <w:rFonts w:ascii="Times New Roman" w:eastAsia="Times New Roman" w:hAnsi="Times New Roman" w:cs="Times New Roman"/>
          <w:color w:val="000000"/>
          <w:sz w:val="24"/>
          <w:szCs w:val="24"/>
          <w:lang w:eastAsia="ru-RU"/>
        </w:rPr>
      </w:pPr>
      <w:r w:rsidRPr="00FD2D5D">
        <w:rPr>
          <w:rFonts w:ascii="Times New Roman" w:eastAsia="Times New Roman" w:hAnsi="Times New Roman" w:cs="Times New Roman"/>
          <w:color w:val="000000"/>
          <w:sz w:val="24"/>
          <w:szCs w:val="24"/>
          <w:shd w:val="clear" w:color="auto" w:fill="FFFFFF"/>
          <w:lang w:eastAsia="ru-RU"/>
        </w:rPr>
        <w:t xml:space="preserve">crearea </w:t>
      </w:r>
      <w:proofErr w:type="spellStart"/>
      <w:r w:rsidRPr="00FD2D5D">
        <w:rPr>
          <w:rFonts w:ascii="Times New Roman" w:eastAsia="Times New Roman" w:hAnsi="Times New Roman" w:cs="Times New Roman"/>
          <w:color w:val="000000"/>
          <w:sz w:val="24"/>
          <w:szCs w:val="24"/>
          <w:shd w:val="clear" w:color="auto" w:fill="FFFFFF"/>
          <w:lang w:eastAsia="ru-RU"/>
        </w:rPr>
        <w:t>pieţelor</w:t>
      </w:r>
      <w:proofErr w:type="spellEnd"/>
      <w:r w:rsidRPr="00FD2D5D">
        <w:rPr>
          <w:rFonts w:ascii="Times New Roman" w:eastAsia="Times New Roman" w:hAnsi="Times New Roman" w:cs="Times New Roman"/>
          <w:color w:val="000000"/>
          <w:sz w:val="24"/>
          <w:szCs w:val="24"/>
          <w:shd w:val="clear" w:color="auto" w:fill="FFFFFF"/>
          <w:lang w:eastAsia="ru-RU"/>
        </w:rPr>
        <w:t xml:space="preserve"> competitive </w:t>
      </w:r>
      <w:proofErr w:type="spellStart"/>
      <w:r w:rsidRPr="00FD2D5D">
        <w:rPr>
          <w:rFonts w:ascii="Times New Roman" w:eastAsia="Times New Roman" w:hAnsi="Times New Roman" w:cs="Times New Roman"/>
          <w:color w:val="000000"/>
          <w:sz w:val="24"/>
          <w:szCs w:val="24"/>
          <w:shd w:val="clear" w:color="auto" w:fill="FFFFFF"/>
          <w:lang w:eastAsia="ru-RU"/>
        </w:rPr>
        <w:t>şi</w:t>
      </w:r>
      <w:proofErr w:type="spellEnd"/>
      <w:r w:rsidRPr="00FD2D5D">
        <w:rPr>
          <w:rFonts w:ascii="Times New Roman" w:eastAsia="Times New Roman" w:hAnsi="Times New Roman" w:cs="Times New Roman"/>
          <w:color w:val="000000"/>
          <w:sz w:val="24"/>
          <w:szCs w:val="24"/>
          <w:shd w:val="clear" w:color="auto" w:fill="FFFFFF"/>
          <w:lang w:eastAsia="ru-RU"/>
        </w:rPr>
        <w:t xml:space="preserve"> integrarea lor în </w:t>
      </w:r>
      <w:proofErr w:type="spellStart"/>
      <w:r w:rsidRPr="00FD2D5D">
        <w:rPr>
          <w:rFonts w:ascii="Times New Roman" w:eastAsia="Times New Roman" w:hAnsi="Times New Roman" w:cs="Times New Roman"/>
          <w:color w:val="000000"/>
          <w:sz w:val="24"/>
          <w:szCs w:val="24"/>
          <w:shd w:val="clear" w:color="auto" w:fill="FFFFFF"/>
          <w:lang w:eastAsia="ru-RU"/>
        </w:rPr>
        <w:t>pieţele</w:t>
      </w:r>
      <w:proofErr w:type="spellEnd"/>
      <w:r w:rsidRPr="00FD2D5D">
        <w:rPr>
          <w:rFonts w:ascii="Times New Roman" w:eastAsia="Times New Roman" w:hAnsi="Times New Roman" w:cs="Times New Roman"/>
          <w:color w:val="000000"/>
          <w:sz w:val="24"/>
          <w:szCs w:val="24"/>
          <w:shd w:val="clear" w:color="auto" w:fill="FFFFFF"/>
          <w:lang w:eastAsia="ru-RU"/>
        </w:rPr>
        <w:t xml:space="preserve"> regionale </w:t>
      </w:r>
      <w:proofErr w:type="spellStart"/>
      <w:r w:rsidRPr="00FD2D5D">
        <w:rPr>
          <w:rFonts w:ascii="Times New Roman" w:eastAsia="Times New Roman" w:hAnsi="Times New Roman" w:cs="Times New Roman"/>
          <w:color w:val="000000"/>
          <w:sz w:val="24"/>
          <w:szCs w:val="24"/>
          <w:shd w:val="clear" w:color="auto" w:fill="FFFFFF"/>
          <w:lang w:eastAsia="ru-RU"/>
        </w:rPr>
        <w:t>şi</w:t>
      </w:r>
      <w:proofErr w:type="spellEnd"/>
      <w:r w:rsidRPr="00FD2D5D">
        <w:rPr>
          <w:rFonts w:ascii="Times New Roman" w:eastAsia="Times New Roman" w:hAnsi="Times New Roman" w:cs="Times New Roman"/>
          <w:color w:val="000000"/>
          <w:sz w:val="24"/>
          <w:szCs w:val="24"/>
          <w:shd w:val="clear" w:color="auto" w:fill="FFFFFF"/>
          <w:lang w:eastAsia="ru-RU"/>
        </w:rPr>
        <w:t xml:space="preserve"> europene; </w:t>
      </w:r>
      <w:proofErr w:type="spellStart"/>
      <w:r w:rsidRPr="00FD2D5D">
        <w:rPr>
          <w:rFonts w:ascii="Times New Roman" w:eastAsia="Times New Roman" w:hAnsi="Times New Roman" w:cs="Times New Roman"/>
          <w:color w:val="000000"/>
          <w:sz w:val="24"/>
          <w:szCs w:val="24"/>
          <w:shd w:val="clear" w:color="auto" w:fill="FFFFFF"/>
          <w:lang w:eastAsia="ru-RU"/>
        </w:rPr>
        <w:t>şi</w:t>
      </w:r>
      <w:proofErr w:type="spellEnd"/>
    </w:p>
    <w:p w14:paraId="25479B2C" w14:textId="77777777" w:rsidR="006364B2" w:rsidRPr="00FD2D5D" w:rsidRDefault="006364B2" w:rsidP="003E24C5">
      <w:pPr>
        <w:numPr>
          <w:ilvl w:val="0"/>
          <w:numId w:val="1"/>
        </w:numPr>
        <w:shd w:val="clear" w:color="auto" w:fill="FFFFFF"/>
        <w:tabs>
          <w:tab w:val="left" w:pos="993"/>
        </w:tabs>
        <w:spacing w:after="120" w:line="240" w:lineRule="auto"/>
        <w:ind w:left="0" w:firstLine="706"/>
        <w:jc w:val="both"/>
        <w:textAlignment w:val="baseline"/>
        <w:rPr>
          <w:rFonts w:ascii="Times New Roman" w:eastAsia="Times New Roman" w:hAnsi="Times New Roman" w:cs="Times New Roman"/>
          <w:color w:val="000000"/>
          <w:sz w:val="24"/>
          <w:szCs w:val="24"/>
          <w:lang w:eastAsia="ru-RU"/>
        </w:rPr>
      </w:pPr>
      <w:r w:rsidRPr="00FD2D5D">
        <w:rPr>
          <w:rFonts w:ascii="Times New Roman" w:eastAsia="Times New Roman" w:hAnsi="Times New Roman" w:cs="Times New Roman"/>
          <w:color w:val="000000"/>
          <w:sz w:val="24"/>
          <w:szCs w:val="24"/>
          <w:shd w:val="clear" w:color="auto" w:fill="FFFFFF"/>
          <w:lang w:eastAsia="ru-RU"/>
        </w:rPr>
        <w:t xml:space="preserve">durabilitatea mediului </w:t>
      </w:r>
      <w:proofErr w:type="spellStart"/>
      <w:r w:rsidRPr="00FD2D5D">
        <w:rPr>
          <w:rFonts w:ascii="Times New Roman" w:eastAsia="Times New Roman" w:hAnsi="Times New Roman" w:cs="Times New Roman"/>
          <w:color w:val="000000"/>
          <w:sz w:val="24"/>
          <w:szCs w:val="24"/>
          <w:shd w:val="clear" w:color="auto" w:fill="FFFFFF"/>
          <w:lang w:eastAsia="ru-RU"/>
        </w:rPr>
        <w:t>şi</w:t>
      </w:r>
      <w:proofErr w:type="spellEnd"/>
      <w:r w:rsidRPr="00FD2D5D">
        <w:rPr>
          <w:rFonts w:ascii="Times New Roman" w:eastAsia="Times New Roman" w:hAnsi="Times New Roman" w:cs="Times New Roman"/>
          <w:color w:val="000000"/>
          <w:sz w:val="24"/>
          <w:szCs w:val="24"/>
          <w:shd w:val="clear" w:color="auto" w:fill="FFFFFF"/>
          <w:lang w:eastAsia="ru-RU"/>
        </w:rPr>
        <w:t xml:space="preserve"> combaterea fenomenului schimbărilor climatice.</w:t>
      </w:r>
    </w:p>
    <w:p w14:paraId="182F186B" w14:textId="4C8C9B2D" w:rsidR="006364B2" w:rsidRPr="00FD2D5D" w:rsidRDefault="006364B2" w:rsidP="001F2F2D">
      <w:pPr>
        <w:spacing w:after="0" w:line="240" w:lineRule="auto"/>
        <w:ind w:firstLine="720"/>
        <w:jc w:val="both"/>
        <w:rPr>
          <w:rFonts w:ascii="Times New Roman" w:eastAsia="Times New Roman" w:hAnsi="Times New Roman" w:cs="Times New Roman"/>
          <w:sz w:val="24"/>
          <w:szCs w:val="24"/>
          <w:lang w:eastAsia="ru-RU"/>
        </w:rPr>
      </w:pPr>
      <w:r w:rsidRPr="00FD2D5D">
        <w:rPr>
          <w:rFonts w:ascii="Times New Roman" w:eastAsia="Times New Roman" w:hAnsi="Times New Roman" w:cs="Times New Roman"/>
          <w:color w:val="000000"/>
          <w:sz w:val="24"/>
          <w:szCs w:val="24"/>
          <w:shd w:val="clear" w:color="auto" w:fill="FFFFFF"/>
          <w:lang w:eastAsia="ru-RU"/>
        </w:rPr>
        <w:t>Prezent</w:t>
      </w:r>
      <w:r w:rsidR="00286388" w:rsidRPr="00FD2D5D">
        <w:rPr>
          <w:rFonts w:ascii="Times New Roman" w:eastAsia="Times New Roman" w:hAnsi="Times New Roman" w:cs="Times New Roman"/>
          <w:color w:val="000000"/>
          <w:sz w:val="24"/>
          <w:szCs w:val="24"/>
          <w:shd w:val="clear" w:color="auto" w:fill="FFFFFF"/>
          <w:lang w:eastAsia="ru-RU"/>
        </w:rPr>
        <w:t>ul Program</w:t>
      </w:r>
      <w:r w:rsidRPr="00FD2D5D">
        <w:rPr>
          <w:rFonts w:ascii="Times New Roman" w:eastAsia="Times New Roman" w:hAnsi="Times New Roman" w:cs="Times New Roman"/>
          <w:color w:val="000000"/>
          <w:sz w:val="24"/>
          <w:szCs w:val="24"/>
          <w:shd w:val="clear" w:color="auto" w:fill="FFFFFF"/>
          <w:lang w:eastAsia="ru-RU"/>
        </w:rPr>
        <w:t xml:space="preserve"> prevede valorificarea </w:t>
      </w:r>
      <w:proofErr w:type="spellStart"/>
      <w:r w:rsidRPr="00FD2D5D">
        <w:rPr>
          <w:rFonts w:ascii="Times New Roman" w:eastAsia="Times New Roman" w:hAnsi="Times New Roman" w:cs="Times New Roman"/>
          <w:color w:val="000000"/>
          <w:sz w:val="24"/>
          <w:szCs w:val="24"/>
          <w:shd w:val="clear" w:color="auto" w:fill="FFFFFF"/>
          <w:lang w:eastAsia="ru-RU"/>
        </w:rPr>
        <w:t>potenţialului</w:t>
      </w:r>
      <w:proofErr w:type="spellEnd"/>
      <w:r w:rsidRPr="00FD2D5D">
        <w:rPr>
          <w:rFonts w:ascii="Times New Roman" w:eastAsia="Times New Roman" w:hAnsi="Times New Roman" w:cs="Times New Roman"/>
          <w:color w:val="000000"/>
          <w:sz w:val="24"/>
          <w:szCs w:val="24"/>
          <w:shd w:val="clear" w:color="auto" w:fill="FFFFFF"/>
          <w:lang w:eastAsia="ru-RU"/>
        </w:rPr>
        <w:t xml:space="preserve"> energetic al biomasei, </w:t>
      </w:r>
      <w:r w:rsidR="00AC6C3B" w:rsidRPr="00FD2D5D">
        <w:rPr>
          <w:rFonts w:ascii="Times New Roman" w:eastAsia="Times New Roman" w:hAnsi="Times New Roman" w:cs="Times New Roman"/>
          <w:color w:val="000000"/>
          <w:sz w:val="24"/>
          <w:szCs w:val="24"/>
          <w:shd w:val="clear" w:color="auto" w:fill="FFFFFF"/>
          <w:lang w:eastAsia="ru-RU"/>
        </w:rPr>
        <w:t>eolian</w:t>
      </w:r>
      <w:r w:rsidR="00286388" w:rsidRPr="00FD2D5D">
        <w:rPr>
          <w:rFonts w:ascii="Times New Roman" w:eastAsia="Times New Roman" w:hAnsi="Times New Roman" w:cs="Times New Roman"/>
          <w:color w:val="000000"/>
          <w:sz w:val="24"/>
          <w:szCs w:val="24"/>
          <w:shd w:val="clear" w:color="auto" w:fill="FFFFFF"/>
          <w:lang w:eastAsia="ru-RU"/>
        </w:rPr>
        <w:t xml:space="preserve"> </w:t>
      </w:r>
      <w:proofErr w:type="spellStart"/>
      <w:r w:rsidR="00286388" w:rsidRPr="00FD2D5D">
        <w:rPr>
          <w:rFonts w:ascii="Times New Roman" w:eastAsia="Times New Roman" w:hAnsi="Times New Roman" w:cs="Times New Roman"/>
          <w:color w:val="000000"/>
          <w:sz w:val="24"/>
          <w:szCs w:val="24"/>
          <w:shd w:val="clear" w:color="auto" w:fill="FFFFFF"/>
          <w:lang w:eastAsia="ru-RU"/>
        </w:rPr>
        <w:t>şi</w:t>
      </w:r>
      <w:proofErr w:type="spellEnd"/>
      <w:r w:rsidR="00AC6C3B" w:rsidRPr="00FD2D5D">
        <w:rPr>
          <w:rFonts w:ascii="Times New Roman" w:eastAsia="Times New Roman" w:hAnsi="Times New Roman" w:cs="Times New Roman"/>
          <w:color w:val="000000"/>
          <w:sz w:val="24"/>
          <w:szCs w:val="24"/>
          <w:shd w:val="clear" w:color="auto" w:fill="FFFFFF"/>
          <w:lang w:eastAsia="ru-RU"/>
        </w:rPr>
        <w:t xml:space="preserve"> solar</w:t>
      </w:r>
      <w:r w:rsidRPr="00FD2D5D">
        <w:rPr>
          <w:rFonts w:ascii="Times New Roman" w:eastAsia="Times New Roman" w:hAnsi="Times New Roman" w:cs="Times New Roman"/>
          <w:color w:val="000000"/>
          <w:sz w:val="24"/>
          <w:szCs w:val="24"/>
          <w:shd w:val="clear" w:color="auto" w:fill="FFFFFF"/>
          <w:lang w:eastAsia="ru-RU"/>
        </w:rPr>
        <w:t xml:space="preserve"> prin conversie în energie electrică </w:t>
      </w:r>
      <w:proofErr w:type="spellStart"/>
      <w:r w:rsidRPr="00FD2D5D">
        <w:rPr>
          <w:rFonts w:ascii="Times New Roman" w:eastAsia="Times New Roman" w:hAnsi="Times New Roman" w:cs="Times New Roman"/>
          <w:color w:val="000000"/>
          <w:sz w:val="24"/>
          <w:szCs w:val="24"/>
          <w:shd w:val="clear" w:color="auto" w:fill="FFFFFF"/>
          <w:lang w:eastAsia="ru-RU"/>
        </w:rPr>
        <w:t>şi</w:t>
      </w:r>
      <w:proofErr w:type="spellEnd"/>
      <w:r w:rsidRPr="00FD2D5D">
        <w:rPr>
          <w:rFonts w:ascii="Times New Roman" w:eastAsia="Times New Roman" w:hAnsi="Times New Roman" w:cs="Times New Roman"/>
          <w:color w:val="000000"/>
          <w:sz w:val="24"/>
          <w:szCs w:val="24"/>
          <w:shd w:val="clear" w:color="auto" w:fill="FFFFFF"/>
          <w:lang w:eastAsia="ru-RU"/>
        </w:rPr>
        <w:t xml:space="preserve"> termică, </w:t>
      </w:r>
      <w:r w:rsidR="00AC6C3B" w:rsidRPr="00FD2D5D">
        <w:rPr>
          <w:rFonts w:ascii="Times New Roman" w:eastAsia="Times New Roman" w:hAnsi="Times New Roman" w:cs="Times New Roman"/>
          <w:color w:val="000000"/>
          <w:sz w:val="24"/>
          <w:szCs w:val="24"/>
          <w:shd w:val="clear" w:color="auto" w:fill="FFFFFF"/>
          <w:lang w:eastAsia="ru-RU"/>
        </w:rPr>
        <w:t>iar pe</w:t>
      </w:r>
      <w:r w:rsidRPr="00FD2D5D">
        <w:rPr>
          <w:rFonts w:ascii="Times New Roman" w:eastAsia="Times New Roman" w:hAnsi="Times New Roman" w:cs="Times New Roman"/>
          <w:color w:val="000000"/>
          <w:sz w:val="24"/>
          <w:szCs w:val="24"/>
          <w:shd w:val="clear" w:color="auto" w:fill="FFFFFF"/>
          <w:lang w:eastAsia="ru-RU"/>
        </w:rPr>
        <w:t xml:space="preserve"> viitor, a</w:t>
      </w:r>
      <w:r w:rsidR="00286388" w:rsidRPr="00FD2D5D">
        <w:rPr>
          <w:rFonts w:ascii="Times New Roman" w:eastAsia="Times New Roman" w:hAnsi="Times New Roman" w:cs="Times New Roman"/>
          <w:color w:val="000000"/>
          <w:sz w:val="24"/>
          <w:szCs w:val="24"/>
          <w:shd w:val="clear" w:color="auto" w:fill="FFFFFF"/>
          <w:lang w:eastAsia="ru-RU"/>
        </w:rPr>
        <w:t>l</w:t>
      </w:r>
      <w:r w:rsidRPr="00FD2D5D">
        <w:rPr>
          <w:rFonts w:ascii="Times New Roman" w:eastAsia="Times New Roman" w:hAnsi="Times New Roman" w:cs="Times New Roman"/>
          <w:color w:val="000000"/>
          <w:sz w:val="24"/>
          <w:szCs w:val="24"/>
          <w:shd w:val="clear" w:color="auto" w:fill="FFFFFF"/>
          <w:lang w:eastAsia="ru-RU"/>
        </w:rPr>
        <w:t xml:space="preserve"> unor noi surse de energie.</w:t>
      </w:r>
    </w:p>
    <w:p w14:paraId="61C87F6F" w14:textId="77777777" w:rsidR="006364B2" w:rsidRPr="00FD2D5D" w:rsidRDefault="006364B2" w:rsidP="001F2F2D">
      <w:pPr>
        <w:spacing w:after="120" w:line="240" w:lineRule="auto"/>
        <w:ind w:firstLine="720"/>
        <w:jc w:val="both"/>
        <w:rPr>
          <w:rFonts w:ascii="Times New Roman" w:eastAsia="Times New Roman" w:hAnsi="Times New Roman" w:cs="Times New Roman"/>
          <w:sz w:val="24"/>
          <w:szCs w:val="24"/>
          <w:lang w:eastAsia="ru-RU"/>
        </w:rPr>
      </w:pPr>
      <w:r w:rsidRPr="00FD2D5D">
        <w:rPr>
          <w:rFonts w:ascii="Times New Roman" w:eastAsia="Times New Roman" w:hAnsi="Times New Roman" w:cs="Times New Roman"/>
          <w:color w:val="000000"/>
          <w:sz w:val="24"/>
          <w:szCs w:val="24"/>
          <w:shd w:val="clear" w:color="auto" w:fill="FFFFFF"/>
          <w:lang w:eastAsia="ru-RU"/>
        </w:rPr>
        <w:t xml:space="preserve">În vederea atingerii obiectivelor </w:t>
      </w:r>
      <w:proofErr w:type="spellStart"/>
      <w:r w:rsidRPr="00FD2D5D">
        <w:rPr>
          <w:rFonts w:ascii="Times New Roman" w:eastAsia="Times New Roman" w:hAnsi="Times New Roman" w:cs="Times New Roman"/>
          <w:color w:val="000000"/>
          <w:sz w:val="24"/>
          <w:szCs w:val="24"/>
          <w:shd w:val="clear" w:color="auto" w:fill="FFFFFF"/>
          <w:lang w:eastAsia="ru-RU"/>
        </w:rPr>
        <w:t>menţionate</w:t>
      </w:r>
      <w:proofErr w:type="spellEnd"/>
      <w:r w:rsidRPr="00FD2D5D">
        <w:rPr>
          <w:rFonts w:ascii="Times New Roman" w:eastAsia="Times New Roman" w:hAnsi="Times New Roman" w:cs="Times New Roman"/>
          <w:color w:val="000000"/>
          <w:sz w:val="24"/>
          <w:szCs w:val="24"/>
          <w:shd w:val="clear" w:color="auto" w:fill="FFFFFF"/>
          <w:lang w:eastAsia="ru-RU"/>
        </w:rPr>
        <w:t xml:space="preserve">, cadrul legislativ </w:t>
      </w:r>
      <w:proofErr w:type="spellStart"/>
      <w:r w:rsidRPr="00FD2D5D">
        <w:rPr>
          <w:rFonts w:ascii="Times New Roman" w:eastAsia="Times New Roman" w:hAnsi="Times New Roman" w:cs="Times New Roman"/>
          <w:color w:val="000000"/>
          <w:sz w:val="24"/>
          <w:szCs w:val="24"/>
          <w:shd w:val="clear" w:color="auto" w:fill="FFFFFF"/>
          <w:lang w:eastAsia="ru-RU"/>
        </w:rPr>
        <w:t>şi</w:t>
      </w:r>
      <w:proofErr w:type="spellEnd"/>
      <w:r w:rsidRPr="00FD2D5D">
        <w:rPr>
          <w:rFonts w:ascii="Times New Roman" w:eastAsia="Times New Roman" w:hAnsi="Times New Roman" w:cs="Times New Roman"/>
          <w:color w:val="000000"/>
          <w:sz w:val="24"/>
          <w:szCs w:val="24"/>
          <w:shd w:val="clear" w:color="auto" w:fill="FFFFFF"/>
          <w:lang w:eastAsia="ru-RU"/>
        </w:rPr>
        <w:t xml:space="preserve"> de reglementare existent identifică căile de realizare a scopurilor, responsabilii </w:t>
      </w:r>
      <w:proofErr w:type="spellStart"/>
      <w:r w:rsidRPr="00FD2D5D">
        <w:rPr>
          <w:rFonts w:ascii="Times New Roman" w:eastAsia="Times New Roman" w:hAnsi="Times New Roman" w:cs="Times New Roman"/>
          <w:color w:val="000000"/>
          <w:sz w:val="24"/>
          <w:szCs w:val="24"/>
          <w:shd w:val="clear" w:color="auto" w:fill="FFFFFF"/>
          <w:lang w:eastAsia="ru-RU"/>
        </w:rPr>
        <w:t>şi</w:t>
      </w:r>
      <w:proofErr w:type="spellEnd"/>
      <w:r w:rsidRPr="00FD2D5D">
        <w:rPr>
          <w:rFonts w:ascii="Times New Roman" w:eastAsia="Times New Roman" w:hAnsi="Times New Roman" w:cs="Times New Roman"/>
          <w:color w:val="000000"/>
          <w:sz w:val="24"/>
          <w:szCs w:val="24"/>
          <w:shd w:val="clear" w:color="auto" w:fill="FFFFFF"/>
          <w:lang w:eastAsia="ru-RU"/>
        </w:rPr>
        <w:t xml:space="preserve"> </w:t>
      </w:r>
      <w:proofErr w:type="spellStart"/>
      <w:r w:rsidRPr="00FD2D5D">
        <w:rPr>
          <w:rFonts w:ascii="Times New Roman" w:eastAsia="Times New Roman" w:hAnsi="Times New Roman" w:cs="Times New Roman"/>
          <w:color w:val="000000"/>
          <w:sz w:val="24"/>
          <w:szCs w:val="24"/>
          <w:shd w:val="clear" w:color="auto" w:fill="FFFFFF"/>
          <w:lang w:eastAsia="ru-RU"/>
        </w:rPr>
        <w:t>obligaţiile</w:t>
      </w:r>
      <w:proofErr w:type="spellEnd"/>
      <w:r w:rsidRPr="00FD2D5D">
        <w:rPr>
          <w:rFonts w:ascii="Times New Roman" w:eastAsia="Times New Roman" w:hAnsi="Times New Roman" w:cs="Times New Roman"/>
          <w:color w:val="000000"/>
          <w:sz w:val="24"/>
          <w:szCs w:val="24"/>
          <w:shd w:val="clear" w:color="auto" w:fill="FFFFFF"/>
          <w:lang w:eastAsia="ru-RU"/>
        </w:rPr>
        <w:t xml:space="preserve"> lor în acest sens, regulile </w:t>
      </w:r>
      <w:proofErr w:type="spellStart"/>
      <w:r w:rsidRPr="00FD2D5D">
        <w:rPr>
          <w:rFonts w:ascii="Times New Roman" w:eastAsia="Times New Roman" w:hAnsi="Times New Roman" w:cs="Times New Roman"/>
          <w:color w:val="000000"/>
          <w:sz w:val="24"/>
          <w:szCs w:val="24"/>
          <w:shd w:val="clear" w:color="auto" w:fill="FFFFFF"/>
          <w:lang w:eastAsia="ru-RU"/>
        </w:rPr>
        <w:t>şi</w:t>
      </w:r>
      <w:proofErr w:type="spellEnd"/>
      <w:r w:rsidRPr="00FD2D5D">
        <w:rPr>
          <w:rFonts w:ascii="Times New Roman" w:eastAsia="Times New Roman" w:hAnsi="Times New Roman" w:cs="Times New Roman"/>
          <w:color w:val="000000"/>
          <w:sz w:val="24"/>
          <w:szCs w:val="24"/>
          <w:shd w:val="clear" w:color="auto" w:fill="FFFFFF"/>
          <w:lang w:eastAsia="ru-RU"/>
        </w:rPr>
        <w:t xml:space="preserve"> mecanismele de </w:t>
      </w:r>
      <w:proofErr w:type="spellStart"/>
      <w:r w:rsidRPr="00FD2D5D">
        <w:rPr>
          <w:rFonts w:ascii="Times New Roman" w:eastAsia="Times New Roman" w:hAnsi="Times New Roman" w:cs="Times New Roman"/>
          <w:color w:val="000000"/>
          <w:sz w:val="24"/>
          <w:szCs w:val="24"/>
          <w:shd w:val="clear" w:color="auto" w:fill="FFFFFF"/>
          <w:lang w:eastAsia="ru-RU"/>
        </w:rPr>
        <w:t>influenţă</w:t>
      </w:r>
      <w:proofErr w:type="spellEnd"/>
      <w:r w:rsidRPr="00FD2D5D">
        <w:rPr>
          <w:rFonts w:ascii="Times New Roman" w:eastAsia="Times New Roman" w:hAnsi="Times New Roman" w:cs="Times New Roman"/>
          <w:color w:val="000000"/>
          <w:sz w:val="24"/>
          <w:szCs w:val="24"/>
          <w:shd w:val="clear" w:color="auto" w:fill="FFFFFF"/>
          <w:lang w:eastAsia="ru-RU"/>
        </w:rPr>
        <w:t xml:space="preserve"> în procesul de implementare a măsurilor corespunzătoare, precum </w:t>
      </w:r>
      <w:proofErr w:type="spellStart"/>
      <w:r w:rsidRPr="00FD2D5D">
        <w:rPr>
          <w:rFonts w:ascii="Times New Roman" w:eastAsia="Times New Roman" w:hAnsi="Times New Roman" w:cs="Times New Roman"/>
          <w:color w:val="000000"/>
          <w:sz w:val="24"/>
          <w:szCs w:val="24"/>
          <w:shd w:val="clear" w:color="auto" w:fill="FFFFFF"/>
          <w:lang w:eastAsia="ru-RU"/>
        </w:rPr>
        <w:t>şi</w:t>
      </w:r>
      <w:proofErr w:type="spellEnd"/>
      <w:r w:rsidRPr="00FD2D5D">
        <w:rPr>
          <w:rFonts w:ascii="Times New Roman" w:eastAsia="Times New Roman" w:hAnsi="Times New Roman" w:cs="Times New Roman"/>
          <w:color w:val="000000"/>
          <w:sz w:val="24"/>
          <w:szCs w:val="24"/>
          <w:shd w:val="clear" w:color="auto" w:fill="FFFFFF"/>
          <w:lang w:eastAsia="ru-RU"/>
        </w:rPr>
        <w:t xml:space="preserve"> domeniile prioritare </w:t>
      </w:r>
      <w:proofErr w:type="spellStart"/>
      <w:r w:rsidRPr="00FD2D5D">
        <w:rPr>
          <w:rFonts w:ascii="Times New Roman" w:eastAsia="Times New Roman" w:hAnsi="Times New Roman" w:cs="Times New Roman"/>
          <w:color w:val="000000"/>
          <w:sz w:val="24"/>
          <w:szCs w:val="24"/>
          <w:shd w:val="clear" w:color="auto" w:fill="FFFFFF"/>
          <w:lang w:eastAsia="ru-RU"/>
        </w:rPr>
        <w:t>şi</w:t>
      </w:r>
      <w:proofErr w:type="spellEnd"/>
      <w:r w:rsidRPr="00FD2D5D">
        <w:rPr>
          <w:rFonts w:ascii="Times New Roman" w:eastAsia="Times New Roman" w:hAnsi="Times New Roman" w:cs="Times New Roman"/>
          <w:color w:val="000000"/>
          <w:sz w:val="24"/>
          <w:szCs w:val="24"/>
          <w:shd w:val="clear" w:color="auto" w:fill="FFFFFF"/>
          <w:lang w:eastAsia="ru-RU"/>
        </w:rPr>
        <w:t xml:space="preserve"> </w:t>
      </w:r>
      <w:proofErr w:type="spellStart"/>
      <w:r w:rsidRPr="00FD2D5D">
        <w:rPr>
          <w:rFonts w:ascii="Times New Roman" w:eastAsia="Times New Roman" w:hAnsi="Times New Roman" w:cs="Times New Roman"/>
          <w:color w:val="000000"/>
          <w:sz w:val="24"/>
          <w:szCs w:val="24"/>
          <w:shd w:val="clear" w:color="auto" w:fill="FFFFFF"/>
          <w:lang w:eastAsia="ru-RU"/>
        </w:rPr>
        <w:t>activităţile</w:t>
      </w:r>
      <w:proofErr w:type="spellEnd"/>
      <w:r w:rsidRPr="00FD2D5D">
        <w:rPr>
          <w:rFonts w:ascii="Times New Roman" w:eastAsia="Times New Roman" w:hAnsi="Times New Roman" w:cs="Times New Roman"/>
          <w:color w:val="000000"/>
          <w:sz w:val="24"/>
          <w:szCs w:val="24"/>
          <w:shd w:val="clear" w:color="auto" w:fill="FFFFFF"/>
          <w:lang w:eastAsia="ru-RU"/>
        </w:rPr>
        <w:t xml:space="preserve"> necesare pentru a realiza obiectivele stabilite.</w:t>
      </w:r>
    </w:p>
    <w:p w14:paraId="63CDB8DD" w14:textId="26C7711A" w:rsidR="006364B2" w:rsidRPr="00B80085" w:rsidRDefault="00E13B78" w:rsidP="001F2F2D">
      <w:pPr>
        <w:spacing w:after="120" w:line="240" w:lineRule="auto"/>
        <w:ind w:firstLine="720"/>
        <w:jc w:val="both"/>
        <w:rPr>
          <w:rFonts w:ascii="Times New Roman" w:eastAsia="Times New Roman" w:hAnsi="Times New Roman" w:cs="Times New Roman"/>
          <w:sz w:val="24"/>
          <w:szCs w:val="24"/>
          <w:lang w:val="es-ES" w:eastAsia="ru-RU"/>
        </w:rPr>
      </w:pPr>
      <w:r w:rsidRPr="00FD2D5D">
        <w:rPr>
          <w:rFonts w:ascii="Times New Roman" w:eastAsia="Times New Roman" w:hAnsi="Times New Roman" w:cs="Times New Roman"/>
          <w:color w:val="000000"/>
          <w:sz w:val="24"/>
          <w:szCs w:val="24"/>
          <w:shd w:val="clear" w:color="auto" w:fill="FFFFFF"/>
          <w:lang w:eastAsia="ru-RU"/>
        </w:rPr>
        <w:t>7</w:t>
      </w:r>
      <w:r w:rsidR="006364B2" w:rsidRPr="00FD2D5D">
        <w:rPr>
          <w:rFonts w:ascii="Times New Roman" w:eastAsia="Times New Roman" w:hAnsi="Times New Roman" w:cs="Times New Roman"/>
          <w:color w:val="000000"/>
          <w:sz w:val="24"/>
          <w:szCs w:val="24"/>
          <w:shd w:val="clear" w:color="auto" w:fill="FFFFFF"/>
          <w:lang w:eastAsia="ru-RU"/>
        </w:rPr>
        <w:t xml:space="preserve">. Republica Moldova a întreprins un </w:t>
      </w:r>
      <w:proofErr w:type="spellStart"/>
      <w:r w:rsidR="006364B2" w:rsidRPr="00FD2D5D">
        <w:rPr>
          <w:rFonts w:ascii="Times New Roman" w:eastAsia="Times New Roman" w:hAnsi="Times New Roman" w:cs="Times New Roman"/>
          <w:color w:val="000000"/>
          <w:sz w:val="24"/>
          <w:szCs w:val="24"/>
          <w:shd w:val="clear" w:color="auto" w:fill="FFFFFF"/>
          <w:lang w:eastAsia="ru-RU"/>
        </w:rPr>
        <w:t>şir</w:t>
      </w:r>
      <w:proofErr w:type="spellEnd"/>
      <w:r w:rsidR="006364B2" w:rsidRPr="00FD2D5D">
        <w:rPr>
          <w:rFonts w:ascii="Times New Roman" w:eastAsia="Times New Roman" w:hAnsi="Times New Roman" w:cs="Times New Roman"/>
          <w:color w:val="000000"/>
          <w:sz w:val="24"/>
          <w:szCs w:val="24"/>
          <w:shd w:val="clear" w:color="auto" w:fill="FFFFFF"/>
          <w:lang w:eastAsia="ru-RU"/>
        </w:rPr>
        <w:t xml:space="preserve"> de măsuri în vederea implementării acquis-ului UE privind energia electrică, inclusiv prin adoptarea Legii nr. 107 din 27 mai 2016 cu privire la energia electrică. </w:t>
      </w:r>
      <w:proofErr w:type="spellStart"/>
      <w:r w:rsidR="006364B2" w:rsidRPr="00FD2D5D">
        <w:rPr>
          <w:rFonts w:ascii="Times New Roman" w:eastAsia="Times New Roman" w:hAnsi="Times New Roman" w:cs="Times New Roman"/>
          <w:color w:val="000000"/>
          <w:sz w:val="24"/>
          <w:szCs w:val="24"/>
          <w:shd w:val="clear" w:color="auto" w:fill="FFFFFF"/>
          <w:lang w:eastAsia="ru-RU"/>
        </w:rPr>
        <w:t>Activităţile</w:t>
      </w:r>
      <w:proofErr w:type="spellEnd"/>
      <w:r w:rsidR="006364B2" w:rsidRPr="00FD2D5D">
        <w:rPr>
          <w:rFonts w:ascii="Times New Roman" w:eastAsia="Times New Roman" w:hAnsi="Times New Roman" w:cs="Times New Roman"/>
          <w:color w:val="000000"/>
          <w:sz w:val="24"/>
          <w:szCs w:val="24"/>
          <w:shd w:val="clear" w:color="auto" w:fill="FFFFFF"/>
          <w:lang w:eastAsia="ru-RU"/>
        </w:rPr>
        <w:t xml:space="preserve"> sistemelor de transport </w:t>
      </w:r>
      <w:proofErr w:type="spellStart"/>
      <w:r w:rsidR="006364B2" w:rsidRPr="00FD2D5D">
        <w:rPr>
          <w:rFonts w:ascii="Times New Roman" w:eastAsia="Times New Roman" w:hAnsi="Times New Roman" w:cs="Times New Roman"/>
          <w:color w:val="000000"/>
          <w:sz w:val="24"/>
          <w:szCs w:val="24"/>
          <w:shd w:val="clear" w:color="auto" w:fill="FFFFFF"/>
          <w:lang w:eastAsia="ru-RU"/>
        </w:rPr>
        <w:t>şi</w:t>
      </w:r>
      <w:proofErr w:type="spellEnd"/>
      <w:r w:rsidR="006364B2" w:rsidRPr="00FD2D5D">
        <w:rPr>
          <w:rFonts w:ascii="Times New Roman" w:eastAsia="Times New Roman" w:hAnsi="Times New Roman" w:cs="Times New Roman"/>
          <w:color w:val="000000"/>
          <w:sz w:val="24"/>
          <w:szCs w:val="24"/>
          <w:shd w:val="clear" w:color="auto" w:fill="FFFFFF"/>
          <w:lang w:eastAsia="ru-RU"/>
        </w:rPr>
        <w:t xml:space="preserve"> de </w:t>
      </w:r>
      <w:proofErr w:type="spellStart"/>
      <w:r w:rsidR="006364B2" w:rsidRPr="00FD2D5D">
        <w:rPr>
          <w:rFonts w:ascii="Times New Roman" w:eastAsia="Times New Roman" w:hAnsi="Times New Roman" w:cs="Times New Roman"/>
          <w:color w:val="000000"/>
          <w:sz w:val="24"/>
          <w:szCs w:val="24"/>
          <w:shd w:val="clear" w:color="auto" w:fill="FFFFFF"/>
          <w:lang w:eastAsia="ru-RU"/>
        </w:rPr>
        <w:t>distribuţie</w:t>
      </w:r>
      <w:proofErr w:type="spellEnd"/>
      <w:r w:rsidR="006364B2" w:rsidRPr="00FD2D5D">
        <w:rPr>
          <w:rFonts w:ascii="Times New Roman" w:eastAsia="Times New Roman" w:hAnsi="Times New Roman" w:cs="Times New Roman"/>
          <w:color w:val="000000"/>
          <w:sz w:val="24"/>
          <w:szCs w:val="24"/>
          <w:shd w:val="clear" w:color="auto" w:fill="FFFFFF"/>
          <w:lang w:eastAsia="ru-RU"/>
        </w:rPr>
        <w:t xml:space="preserve"> a energiei electrice au fost separate în mod legal de </w:t>
      </w:r>
      <w:proofErr w:type="spellStart"/>
      <w:r w:rsidR="006364B2" w:rsidRPr="00FD2D5D">
        <w:rPr>
          <w:rFonts w:ascii="Times New Roman" w:eastAsia="Times New Roman" w:hAnsi="Times New Roman" w:cs="Times New Roman"/>
          <w:color w:val="000000"/>
          <w:sz w:val="24"/>
          <w:szCs w:val="24"/>
          <w:shd w:val="clear" w:color="auto" w:fill="FFFFFF"/>
          <w:lang w:eastAsia="ru-RU"/>
        </w:rPr>
        <w:t>activităţile</w:t>
      </w:r>
      <w:proofErr w:type="spellEnd"/>
      <w:r w:rsidR="006364B2" w:rsidRPr="00FD2D5D">
        <w:rPr>
          <w:rFonts w:ascii="Times New Roman" w:eastAsia="Times New Roman" w:hAnsi="Times New Roman" w:cs="Times New Roman"/>
          <w:color w:val="000000"/>
          <w:sz w:val="24"/>
          <w:szCs w:val="24"/>
          <w:shd w:val="clear" w:color="auto" w:fill="FFFFFF"/>
          <w:lang w:eastAsia="ru-RU"/>
        </w:rPr>
        <w:t xml:space="preserve"> de generare </w:t>
      </w:r>
      <w:proofErr w:type="spellStart"/>
      <w:r w:rsidR="006364B2" w:rsidRPr="00FD2D5D">
        <w:rPr>
          <w:rFonts w:ascii="Times New Roman" w:eastAsia="Times New Roman" w:hAnsi="Times New Roman" w:cs="Times New Roman"/>
          <w:color w:val="000000"/>
          <w:sz w:val="24"/>
          <w:szCs w:val="24"/>
          <w:shd w:val="clear" w:color="auto" w:fill="FFFFFF"/>
          <w:lang w:eastAsia="ru-RU"/>
        </w:rPr>
        <w:t>şi</w:t>
      </w:r>
      <w:proofErr w:type="spellEnd"/>
      <w:r w:rsidR="006364B2" w:rsidRPr="00FD2D5D">
        <w:rPr>
          <w:rFonts w:ascii="Times New Roman" w:eastAsia="Times New Roman" w:hAnsi="Times New Roman" w:cs="Times New Roman"/>
          <w:color w:val="000000"/>
          <w:sz w:val="24"/>
          <w:szCs w:val="24"/>
          <w:shd w:val="clear" w:color="auto" w:fill="FFFFFF"/>
          <w:lang w:eastAsia="ru-RU"/>
        </w:rPr>
        <w:t xml:space="preserve"> furnizare. Graficul de deschidere a </w:t>
      </w:r>
      <w:proofErr w:type="spellStart"/>
      <w:r w:rsidR="006364B2" w:rsidRPr="00FD2D5D">
        <w:rPr>
          <w:rFonts w:ascii="Times New Roman" w:eastAsia="Times New Roman" w:hAnsi="Times New Roman" w:cs="Times New Roman"/>
          <w:color w:val="000000"/>
          <w:sz w:val="24"/>
          <w:szCs w:val="24"/>
          <w:shd w:val="clear" w:color="auto" w:fill="FFFFFF"/>
          <w:lang w:eastAsia="ru-RU"/>
        </w:rPr>
        <w:t>pieţei</w:t>
      </w:r>
      <w:proofErr w:type="spellEnd"/>
      <w:r w:rsidR="006364B2" w:rsidRPr="00FD2D5D">
        <w:rPr>
          <w:rFonts w:ascii="Times New Roman" w:eastAsia="Times New Roman" w:hAnsi="Times New Roman" w:cs="Times New Roman"/>
          <w:color w:val="000000"/>
          <w:sz w:val="24"/>
          <w:szCs w:val="24"/>
          <w:shd w:val="clear" w:color="auto" w:fill="FFFFFF"/>
          <w:lang w:eastAsia="ru-RU"/>
        </w:rPr>
        <w:t xml:space="preserve"> de energie electrică a fost transpus în </w:t>
      </w:r>
      <w:proofErr w:type="spellStart"/>
      <w:r w:rsidR="006364B2" w:rsidRPr="00FD2D5D">
        <w:rPr>
          <w:rFonts w:ascii="Times New Roman" w:eastAsia="Times New Roman" w:hAnsi="Times New Roman" w:cs="Times New Roman"/>
          <w:color w:val="000000"/>
          <w:sz w:val="24"/>
          <w:szCs w:val="24"/>
          <w:shd w:val="clear" w:color="auto" w:fill="FFFFFF"/>
          <w:lang w:eastAsia="ru-RU"/>
        </w:rPr>
        <w:t>legislaţia</w:t>
      </w:r>
      <w:proofErr w:type="spellEnd"/>
      <w:r w:rsidR="006364B2" w:rsidRPr="00FD2D5D">
        <w:rPr>
          <w:rFonts w:ascii="Times New Roman" w:eastAsia="Times New Roman" w:hAnsi="Times New Roman" w:cs="Times New Roman"/>
          <w:color w:val="000000"/>
          <w:sz w:val="24"/>
          <w:szCs w:val="24"/>
          <w:shd w:val="clear" w:color="auto" w:fill="FFFFFF"/>
          <w:lang w:eastAsia="ru-RU"/>
        </w:rPr>
        <w:t xml:space="preserve"> </w:t>
      </w:r>
      <w:proofErr w:type="spellStart"/>
      <w:r w:rsidR="006364B2" w:rsidRPr="00FD2D5D">
        <w:rPr>
          <w:rFonts w:ascii="Times New Roman" w:eastAsia="Times New Roman" w:hAnsi="Times New Roman" w:cs="Times New Roman"/>
          <w:color w:val="000000"/>
          <w:sz w:val="24"/>
          <w:szCs w:val="24"/>
          <w:shd w:val="clear" w:color="auto" w:fill="FFFFFF"/>
          <w:lang w:eastAsia="ru-RU"/>
        </w:rPr>
        <w:t>naţională</w:t>
      </w:r>
      <w:proofErr w:type="spellEnd"/>
      <w:r w:rsidR="006364B2" w:rsidRPr="00FD2D5D">
        <w:rPr>
          <w:rFonts w:ascii="Times New Roman" w:eastAsia="Times New Roman" w:hAnsi="Times New Roman" w:cs="Times New Roman"/>
          <w:color w:val="000000"/>
          <w:sz w:val="24"/>
          <w:szCs w:val="24"/>
          <w:shd w:val="clear" w:color="auto" w:fill="FFFFFF"/>
          <w:lang w:eastAsia="ru-RU"/>
        </w:rPr>
        <w:t xml:space="preserve">. </w:t>
      </w:r>
      <w:r w:rsidR="00DD2AE0" w:rsidRPr="00FD2D5D">
        <w:rPr>
          <w:rFonts w:ascii="Times New Roman" w:eastAsia="Times New Roman" w:hAnsi="Times New Roman" w:cs="Times New Roman"/>
          <w:color w:val="000000"/>
          <w:sz w:val="24"/>
          <w:szCs w:val="24"/>
          <w:shd w:val="clear" w:color="auto" w:fill="FFFFFF"/>
          <w:lang w:eastAsia="ru-RU"/>
        </w:rPr>
        <w:t>Î</w:t>
      </w:r>
      <w:r w:rsidR="006364B2" w:rsidRPr="00FD2D5D">
        <w:rPr>
          <w:rFonts w:ascii="Times New Roman" w:eastAsia="Times New Roman" w:hAnsi="Times New Roman" w:cs="Times New Roman"/>
          <w:color w:val="000000"/>
          <w:sz w:val="24"/>
          <w:szCs w:val="24"/>
          <w:shd w:val="clear" w:color="auto" w:fill="FFFFFF"/>
          <w:lang w:eastAsia="ru-RU"/>
        </w:rPr>
        <w:t xml:space="preserve">n prezent </w:t>
      </w:r>
      <w:r w:rsidR="00DD2AE0" w:rsidRPr="00FD2D5D">
        <w:rPr>
          <w:rFonts w:ascii="Times New Roman" w:eastAsia="Times New Roman" w:hAnsi="Times New Roman" w:cs="Times New Roman"/>
          <w:color w:val="000000"/>
          <w:sz w:val="24"/>
          <w:szCs w:val="24"/>
          <w:shd w:val="clear" w:color="auto" w:fill="FFFFFF"/>
          <w:lang w:eastAsia="ru-RU"/>
        </w:rPr>
        <w:t xml:space="preserve">Republica Moldova </w:t>
      </w:r>
      <w:r w:rsidR="006364B2" w:rsidRPr="00FD2D5D">
        <w:rPr>
          <w:rFonts w:ascii="Times New Roman" w:eastAsia="Times New Roman" w:hAnsi="Times New Roman" w:cs="Times New Roman"/>
          <w:color w:val="000000"/>
          <w:sz w:val="24"/>
          <w:szCs w:val="24"/>
          <w:shd w:val="clear" w:color="auto" w:fill="FFFFFF"/>
          <w:lang w:eastAsia="ru-RU"/>
        </w:rPr>
        <w:t xml:space="preserve">se află în </w:t>
      </w:r>
      <w:r w:rsidR="006364B2" w:rsidRPr="002079F5">
        <w:rPr>
          <w:rFonts w:ascii="Times New Roman" w:eastAsia="Times New Roman" w:hAnsi="Times New Roman" w:cs="Times New Roman"/>
          <w:color w:val="000000"/>
          <w:sz w:val="24"/>
          <w:szCs w:val="24"/>
          <w:shd w:val="clear" w:color="auto" w:fill="FFFFFF"/>
          <w:lang w:eastAsia="ru-RU"/>
        </w:rPr>
        <w:t>proces de implementare a a</w:t>
      </w:r>
      <w:r w:rsidR="006364B2" w:rsidRPr="00911B25">
        <w:rPr>
          <w:rFonts w:ascii="Times New Roman" w:eastAsia="Times New Roman" w:hAnsi="Times New Roman" w:cs="Times New Roman"/>
          <w:color w:val="000000"/>
          <w:sz w:val="24"/>
          <w:szCs w:val="24"/>
          <w:shd w:val="clear" w:color="auto" w:fill="FFFFFF"/>
          <w:lang w:eastAsia="ru-RU"/>
        </w:rPr>
        <w:t xml:space="preserve">ngajamentelor conform tratatului </w:t>
      </w:r>
      <w:r w:rsidR="00DD2AE0" w:rsidRPr="00911B25">
        <w:rPr>
          <w:rFonts w:ascii="Times New Roman" w:eastAsia="Times New Roman" w:hAnsi="Times New Roman" w:cs="Times New Roman"/>
          <w:color w:val="000000"/>
          <w:sz w:val="24"/>
          <w:szCs w:val="24"/>
          <w:shd w:val="clear" w:color="auto" w:fill="FFFFFF"/>
          <w:lang w:eastAsia="ru-RU"/>
        </w:rPr>
        <w:t>de aderare la Comunitatea Energetică</w:t>
      </w:r>
      <w:r w:rsidR="009F2819" w:rsidRPr="00816EAD">
        <w:rPr>
          <w:rFonts w:ascii="Times New Roman" w:eastAsia="Times New Roman" w:hAnsi="Times New Roman" w:cs="Times New Roman"/>
          <w:color w:val="000000"/>
          <w:sz w:val="24"/>
          <w:szCs w:val="24"/>
          <w:shd w:val="clear" w:color="auto" w:fill="FFFFFF"/>
          <w:lang w:eastAsia="ru-RU"/>
        </w:rPr>
        <w:t xml:space="preserve"> (CE)</w:t>
      </w:r>
      <w:r w:rsidR="006364B2" w:rsidRPr="00816EAD">
        <w:rPr>
          <w:rFonts w:ascii="Times New Roman" w:eastAsia="Times New Roman" w:hAnsi="Times New Roman" w:cs="Times New Roman"/>
          <w:color w:val="000000"/>
          <w:sz w:val="24"/>
          <w:szCs w:val="24"/>
          <w:shd w:val="clear" w:color="auto" w:fill="FFFFFF"/>
          <w:lang w:eastAsia="ru-RU"/>
        </w:rPr>
        <w:t>.</w:t>
      </w:r>
      <w:r w:rsidR="00DD2AE0" w:rsidRPr="00816EAD">
        <w:rPr>
          <w:rFonts w:ascii="Times New Roman" w:eastAsia="Times New Roman" w:hAnsi="Times New Roman" w:cs="Times New Roman"/>
          <w:color w:val="000000"/>
          <w:sz w:val="24"/>
          <w:szCs w:val="24"/>
          <w:shd w:val="clear" w:color="auto" w:fill="FFFFFF"/>
          <w:lang w:eastAsia="ru-RU"/>
        </w:rPr>
        <w:t xml:space="preserve"> Recent au fost</w:t>
      </w:r>
      <w:r w:rsidR="00DD2AE0" w:rsidRPr="002079F5">
        <w:rPr>
          <w:rFonts w:ascii="Times New Roman" w:hAnsi="Times New Roman" w:cs="Times New Roman"/>
          <w:sz w:val="24"/>
          <w:szCs w:val="24"/>
        </w:rPr>
        <w:t xml:space="preserve"> actualizate </w:t>
      </w:r>
      <w:r w:rsidR="00DD2AE0" w:rsidRPr="002079F5">
        <w:rPr>
          <w:rFonts w:ascii="Times New Roman" w:eastAsia="Times New Roman" w:hAnsi="Times New Roman" w:cs="Times New Roman"/>
          <w:color w:val="000000"/>
          <w:sz w:val="24"/>
          <w:szCs w:val="24"/>
          <w:shd w:val="clear" w:color="auto" w:fill="FFFFFF"/>
          <w:lang w:eastAsia="ru-RU"/>
        </w:rPr>
        <w:t>Regulile pieței energiei electrice, aprobate prin Hotărârea Consiliului de administrație al ANRE nr. 283/2020</w:t>
      </w:r>
      <w:r w:rsidR="009F2819" w:rsidRPr="002079F5">
        <w:rPr>
          <w:rFonts w:ascii="Times New Roman" w:eastAsia="Times New Roman" w:hAnsi="Times New Roman" w:cs="Times New Roman"/>
          <w:color w:val="000000"/>
          <w:sz w:val="24"/>
          <w:szCs w:val="24"/>
          <w:shd w:val="clear" w:color="auto" w:fill="FFFFFF"/>
          <w:lang w:eastAsia="ru-RU"/>
        </w:rPr>
        <w:t>, care</w:t>
      </w:r>
      <w:r w:rsidR="00DD2AE0" w:rsidRPr="002079F5">
        <w:rPr>
          <w:rFonts w:ascii="Times New Roman" w:eastAsia="Times New Roman" w:hAnsi="Times New Roman" w:cs="Times New Roman"/>
          <w:color w:val="000000"/>
          <w:sz w:val="24"/>
          <w:szCs w:val="24"/>
          <w:shd w:val="clear" w:color="auto" w:fill="FFFFFF"/>
          <w:lang w:eastAsia="ru-RU"/>
        </w:rPr>
        <w:t xml:space="preserve"> </w:t>
      </w:r>
      <w:r w:rsidR="009F2819" w:rsidRPr="002079F5">
        <w:rPr>
          <w:rFonts w:ascii="Times New Roman" w:eastAsia="Times New Roman" w:hAnsi="Times New Roman" w:cs="Times New Roman"/>
          <w:color w:val="000000"/>
          <w:sz w:val="24"/>
          <w:szCs w:val="24"/>
          <w:shd w:val="clear" w:color="auto" w:fill="FFFFFF"/>
          <w:lang w:eastAsia="ru-RU"/>
        </w:rPr>
        <w:t>au ca obiective promovarea concurenței pe piața energiei electrice, relații</w:t>
      </w:r>
      <w:r w:rsidR="00AC6C3B" w:rsidRPr="00911B25">
        <w:rPr>
          <w:rFonts w:ascii="Times New Roman" w:eastAsia="Times New Roman" w:hAnsi="Times New Roman" w:cs="Times New Roman"/>
          <w:color w:val="000000"/>
          <w:sz w:val="24"/>
          <w:szCs w:val="24"/>
          <w:shd w:val="clear" w:color="auto" w:fill="FFFFFF"/>
          <w:lang w:eastAsia="ru-RU"/>
        </w:rPr>
        <w:t>lor</w:t>
      </w:r>
      <w:r w:rsidR="009F2819" w:rsidRPr="00911B25">
        <w:rPr>
          <w:rFonts w:ascii="Times New Roman" w:eastAsia="Times New Roman" w:hAnsi="Times New Roman" w:cs="Times New Roman"/>
          <w:color w:val="000000"/>
          <w:sz w:val="24"/>
          <w:szCs w:val="24"/>
          <w:shd w:val="clear" w:color="auto" w:fill="FFFFFF"/>
          <w:lang w:eastAsia="ru-RU"/>
        </w:rPr>
        <w:t xml:space="preserve"> transparente dintre participanții pieței energiei electrice întru asigurarea consumatorilor finali cu energie electrică la prețuri competitive. La moment, drept răspuns la Recomandarea CE nr. 2018/01/MC-ENC, se afl</w:t>
      </w:r>
      <w:r w:rsidR="009F2819" w:rsidRPr="00816EAD">
        <w:rPr>
          <w:rFonts w:ascii="Times New Roman" w:eastAsia="Times New Roman" w:hAnsi="Times New Roman" w:cs="Times New Roman"/>
          <w:color w:val="000000"/>
          <w:sz w:val="24"/>
          <w:szCs w:val="24"/>
          <w:shd w:val="clear" w:color="auto" w:fill="FFFFFF"/>
          <w:lang w:eastAsia="ru-RU"/>
        </w:rPr>
        <w:t xml:space="preserve">ă în proces de elaborare </w:t>
      </w:r>
      <w:proofErr w:type="spellStart"/>
      <w:r w:rsidR="009F2819" w:rsidRPr="00816EAD">
        <w:rPr>
          <w:rFonts w:ascii="Times New Roman" w:eastAsia="Times New Roman" w:hAnsi="Times New Roman" w:cs="Times New Roman"/>
          <w:color w:val="000000"/>
          <w:sz w:val="24"/>
          <w:szCs w:val="24"/>
          <w:shd w:val="clear" w:color="auto" w:fill="FFFFFF"/>
          <w:lang w:eastAsia="ru-RU"/>
        </w:rPr>
        <w:t>şi</w:t>
      </w:r>
      <w:proofErr w:type="spellEnd"/>
      <w:r w:rsidR="009F2819" w:rsidRPr="00816EAD">
        <w:rPr>
          <w:rFonts w:ascii="Times New Roman" w:eastAsia="Times New Roman" w:hAnsi="Times New Roman" w:cs="Times New Roman"/>
          <w:color w:val="000000"/>
          <w:sz w:val="24"/>
          <w:szCs w:val="24"/>
          <w:shd w:val="clear" w:color="auto" w:fill="FFFFFF"/>
          <w:lang w:eastAsia="ru-RU"/>
        </w:rPr>
        <w:t xml:space="preserve"> aprobare Planul </w:t>
      </w:r>
      <w:proofErr w:type="spellStart"/>
      <w:r w:rsidR="009F2819" w:rsidRPr="00816EAD">
        <w:rPr>
          <w:rFonts w:ascii="Times New Roman" w:eastAsia="Times New Roman" w:hAnsi="Times New Roman" w:cs="Times New Roman"/>
          <w:color w:val="000000"/>
          <w:sz w:val="24"/>
          <w:szCs w:val="24"/>
          <w:shd w:val="clear" w:color="auto" w:fill="FFFFFF"/>
          <w:lang w:eastAsia="ru-RU"/>
        </w:rPr>
        <w:t>Naţional</w:t>
      </w:r>
      <w:proofErr w:type="spellEnd"/>
      <w:r w:rsidR="009F2819" w:rsidRPr="00816EAD">
        <w:rPr>
          <w:rFonts w:ascii="Times New Roman" w:eastAsia="Times New Roman" w:hAnsi="Times New Roman" w:cs="Times New Roman"/>
          <w:color w:val="000000"/>
          <w:sz w:val="24"/>
          <w:szCs w:val="24"/>
          <w:shd w:val="clear" w:color="auto" w:fill="FFFFFF"/>
          <w:lang w:eastAsia="ru-RU"/>
        </w:rPr>
        <w:t xml:space="preserve"> privind energia </w:t>
      </w:r>
      <w:proofErr w:type="spellStart"/>
      <w:r w:rsidR="009F2819" w:rsidRPr="00816EAD">
        <w:rPr>
          <w:rFonts w:ascii="Times New Roman" w:eastAsia="Times New Roman" w:hAnsi="Times New Roman" w:cs="Times New Roman"/>
          <w:color w:val="000000"/>
          <w:sz w:val="24"/>
          <w:szCs w:val="24"/>
          <w:shd w:val="clear" w:color="auto" w:fill="FFFFFF"/>
          <w:lang w:eastAsia="ru-RU"/>
        </w:rPr>
        <w:t>şi</w:t>
      </w:r>
      <w:proofErr w:type="spellEnd"/>
      <w:r w:rsidR="009F2819" w:rsidRPr="00816EAD">
        <w:rPr>
          <w:rFonts w:ascii="Times New Roman" w:eastAsia="Times New Roman" w:hAnsi="Times New Roman" w:cs="Times New Roman"/>
          <w:color w:val="000000"/>
          <w:sz w:val="24"/>
          <w:szCs w:val="24"/>
          <w:shd w:val="clear" w:color="auto" w:fill="FFFFFF"/>
          <w:lang w:eastAsia="ru-RU"/>
        </w:rPr>
        <w:t xml:space="preserve"> clima până în anul 2030.</w:t>
      </w:r>
    </w:p>
    <w:p w14:paraId="6639D392" w14:textId="4929FCB1" w:rsidR="006364B2" w:rsidRPr="00FD2D5D" w:rsidRDefault="005B77BB" w:rsidP="001F2F2D">
      <w:pPr>
        <w:spacing w:after="120" w:line="240" w:lineRule="auto"/>
        <w:jc w:val="both"/>
        <w:rPr>
          <w:rFonts w:ascii="Times New Roman" w:eastAsia="Times New Roman" w:hAnsi="Times New Roman" w:cs="Times New Roman"/>
          <w:sz w:val="24"/>
          <w:szCs w:val="24"/>
          <w:lang w:eastAsia="ru-RU"/>
        </w:rPr>
      </w:pPr>
      <w:r w:rsidRPr="00FD2D5D">
        <w:rPr>
          <w:rFonts w:ascii="Times New Roman" w:eastAsia="Times New Roman" w:hAnsi="Times New Roman" w:cs="Times New Roman"/>
          <w:bCs/>
          <w:sz w:val="24"/>
          <w:szCs w:val="24"/>
          <w:lang w:eastAsia="ru-RU"/>
        </w:rPr>
        <w:t xml:space="preserve">Metodologia de determinare a tarifelor fixe </w:t>
      </w:r>
      <w:proofErr w:type="spellStart"/>
      <w:r w:rsidRPr="00FD2D5D">
        <w:rPr>
          <w:rFonts w:ascii="Times New Roman" w:eastAsia="Times New Roman" w:hAnsi="Times New Roman" w:cs="Times New Roman"/>
          <w:bCs/>
          <w:sz w:val="24"/>
          <w:szCs w:val="24"/>
          <w:lang w:eastAsia="ru-RU"/>
        </w:rPr>
        <w:t>şi</w:t>
      </w:r>
      <w:proofErr w:type="spellEnd"/>
      <w:r w:rsidRPr="00FD2D5D">
        <w:rPr>
          <w:rFonts w:ascii="Times New Roman" w:eastAsia="Times New Roman" w:hAnsi="Times New Roman" w:cs="Times New Roman"/>
          <w:bCs/>
          <w:sz w:val="24"/>
          <w:szCs w:val="24"/>
          <w:lang w:eastAsia="ru-RU"/>
        </w:rPr>
        <w:t xml:space="preserve"> a prețurilor la energia electrică produsă de producătorii eligibili din surse regenerabile de energie,</w:t>
      </w:r>
      <w:r w:rsidR="00B566C6" w:rsidRPr="00FD2D5D">
        <w:rPr>
          <w:rFonts w:ascii="Times New Roman" w:eastAsia="Times New Roman" w:hAnsi="Times New Roman" w:cs="Times New Roman"/>
          <w:bCs/>
          <w:sz w:val="24"/>
          <w:szCs w:val="24"/>
          <w:lang w:eastAsia="ru-RU"/>
        </w:rPr>
        <w:t xml:space="preserve"> </w:t>
      </w:r>
      <w:r w:rsidRPr="00FD2D5D">
        <w:rPr>
          <w:rFonts w:ascii="Times New Roman" w:eastAsia="Times New Roman" w:hAnsi="Times New Roman" w:cs="Times New Roman"/>
          <w:bCs/>
          <w:sz w:val="24"/>
          <w:szCs w:val="24"/>
        </w:rPr>
        <w:t xml:space="preserve">aprobată prin </w:t>
      </w:r>
      <w:r w:rsidRPr="00FD2D5D">
        <w:rPr>
          <w:rFonts w:ascii="Times New Roman" w:eastAsia="Times New Roman" w:hAnsi="Times New Roman" w:cs="Times New Roman"/>
          <w:bCs/>
          <w:color w:val="333333"/>
          <w:sz w:val="24"/>
          <w:szCs w:val="24"/>
          <w:lang w:eastAsia="ru-RU"/>
        </w:rPr>
        <w:t>Hotărârea Consiliului de administrație al ANRE n</w:t>
      </w:r>
      <w:r w:rsidRPr="00FD2D5D">
        <w:rPr>
          <w:rFonts w:ascii="Times New Roman" w:eastAsia="Times New Roman" w:hAnsi="Times New Roman" w:cs="Times New Roman"/>
          <w:color w:val="333333"/>
          <w:sz w:val="24"/>
          <w:szCs w:val="24"/>
          <w:lang w:eastAsia="ru-RU"/>
        </w:rPr>
        <w:t xml:space="preserve">r. 375/2017 </w:t>
      </w:r>
      <w:proofErr w:type="spellStart"/>
      <w:r w:rsidRPr="00FD2D5D">
        <w:rPr>
          <w:rFonts w:ascii="Times New Roman" w:eastAsia="Times New Roman" w:hAnsi="Times New Roman" w:cs="Times New Roman"/>
          <w:sz w:val="24"/>
          <w:szCs w:val="24"/>
          <w:lang w:eastAsia="ru-RU"/>
        </w:rPr>
        <w:t>stabileşte</w:t>
      </w:r>
      <w:proofErr w:type="spellEnd"/>
      <w:r w:rsidRPr="00FD2D5D">
        <w:rPr>
          <w:rFonts w:ascii="Times New Roman" w:eastAsia="Times New Roman" w:hAnsi="Times New Roman" w:cs="Times New Roman"/>
          <w:sz w:val="24"/>
          <w:szCs w:val="24"/>
          <w:lang w:eastAsia="ru-RU"/>
        </w:rPr>
        <w:t xml:space="preserve"> principiile și modul de determinare a prețurilor plafon și tarifelor fixe la energia electrică produsă din surse regenerabile de energie de către producătorii eligibili, modalitatea</w:t>
      </w:r>
      <w:r w:rsidR="00B566C6" w:rsidRPr="00FD2D5D">
        <w:rPr>
          <w:rFonts w:ascii="Times New Roman" w:eastAsia="Times New Roman" w:hAnsi="Times New Roman" w:cs="Times New Roman"/>
          <w:sz w:val="24"/>
          <w:szCs w:val="24"/>
          <w:lang w:eastAsia="ru-RU"/>
        </w:rPr>
        <w:t xml:space="preserve"> </w:t>
      </w:r>
      <w:r w:rsidRPr="00FD2D5D">
        <w:rPr>
          <w:rFonts w:ascii="Times New Roman" w:eastAsia="Times New Roman" w:hAnsi="Times New Roman" w:cs="Times New Roman"/>
          <w:sz w:val="24"/>
          <w:szCs w:val="24"/>
          <w:lang w:eastAsia="ru-RU"/>
        </w:rPr>
        <w:t xml:space="preserve">de ajustare a tarifelor fixe </w:t>
      </w:r>
      <w:proofErr w:type="spellStart"/>
      <w:r w:rsidRPr="00FD2D5D">
        <w:rPr>
          <w:rFonts w:ascii="Times New Roman" w:eastAsia="Times New Roman" w:hAnsi="Times New Roman" w:cs="Times New Roman"/>
          <w:sz w:val="24"/>
          <w:szCs w:val="24"/>
          <w:lang w:eastAsia="ru-RU"/>
        </w:rPr>
        <w:t>şi</w:t>
      </w:r>
      <w:proofErr w:type="spellEnd"/>
      <w:r w:rsidRPr="00FD2D5D">
        <w:rPr>
          <w:rFonts w:ascii="Times New Roman" w:eastAsia="Times New Roman" w:hAnsi="Times New Roman" w:cs="Times New Roman"/>
          <w:sz w:val="24"/>
          <w:szCs w:val="24"/>
          <w:lang w:eastAsia="ru-RU"/>
        </w:rPr>
        <w:t xml:space="preserve"> a </w:t>
      </w:r>
      <w:proofErr w:type="spellStart"/>
      <w:r w:rsidRPr="00FD2D5D">
        <w:rPr>
          <w:rFonts w:ascii="Times New Roman" w:eastAsia="Times New Roman" w:hAnsi="Times New Roman" w:cs="Times New Roman"/>
          <w:sz w:val="24"/>
          <w:szCs w:val="24"/>
          <w:lang w:eastAsia="ru-RU"/>
        </w:rPr>
        <w:t>preţurilor</w:t>
      </w:r>
      <w:proofErr w:type="spellEnd"/>
      <w:r w:rsidRPr="00FD2D5D">
        <w:rPr>
          <w:rFonts w:ascii="Times New Roman" w:eastAsia="Times New Roman" w:hAnsi="Times New Roman" w:cs="Times New Roman"/>
          <w:sz w:val="24"/>
          <w:szCs w:val="24"/>
          <w:lang w:eastAsia="ru-RU"/>
        </w:rPr>
        <w:t xml:space="preserve"> la energia electrică produsă din surse regenerabile, implementarea căruia va rezulta în aplicarea schemelor de sprijin pentru producerea energiei electrice din surse regenerabile, promovarea utilizării energiei din surse regenerabile, promovarea </w:t>
      </w:r>
      <w:proofErr w:type="spellStart"/>
      <w:r w:rsidRPr="00FD2D5D">
        <w:rPr>
          <w:rFonts w:ascii="Times New Roman" w:eastAsia="Times New Roman" w:hAnsi="Times New Roman" w:cs="Times New Roman"/>
          <w:sz w:val="24"/>
          <w:szCs w:val="24"/>
          <w:lang w:eastAsia="ru-RU"/>
        </w:rPr>
        <w:t>investiţiilor</w:t>
      </w:r>
      <w:proofErr w:type="spellEnd"/>
      <w:r w:rsidRPr="00FD2D5D">
        <w:rPr>
          <w:rFonts w:ascii="Times New Roman" w:eastAsia="Times New Roman" w:hAnsi="Times New Roman" w:cs="Times New Roman"/>
          <w:sz w:val="24"/>
          <w:szCs w:val="24"/>
          <w:lang w:eastAsia="ru-RU"/>
        </w:rPr>
        <w:t xml:space="preserve"> eficiente în </w:t>
      </w:r>
      <w:proofErr w:type="spellStart"/>
      <w:r w:rsidRPr="00FD2D5D">
        <w:rPr>
          <w:rFonts w:ascii="Times New Roman" w:eastAsia="Times New Roman" w:hAnsi="Times New Roman" w:cs="Times New Roman"/>
          <w:sz w:val="24"/>
          <w:szCs w:val="24"/>
          <w:lang w:eastAsia="ru-RU"/>
        </w:rPr>
        <w:t>capacităţi</w:t>
      </w:r>
      <w:proofErr w:type="spellEnd"/>
      <w:r w:rsidRPr="00FD2D5D">
        <w:rPr>
          <w:rFonts w:ascii="Times New Roman" w:eastAsia="Times New Roman" w:hAnsi="Times New Roman" w:cs="Times New Roman"/>
          <w:sz w:val="24"/>
          <w:szCs w:val="24"/>
          <w:lang w:eastAsia="ru-RU"/>
        </w:rPr>
        <w:t xml:space="preserve"> de producere a energiei electrice din surse regenerabile și asigurarea transparenței în procesul de determinare, aprobare și ajustare a </w:t>
      </w:r>
      <w:proofErr w:type="spellStart"/>
      <w:r w:rsidRPr="00FD2D5D">
        <w:rPr>
          <w:rFonts w:ascii="Times New Roman" w:eastAsia="Times New Roman" w:hAnsi="Times New Roman" w:cs="Times New Roman"/>
          <w:sz w:val="24"/>
          <w:szCs w:val="24"/>
          <w:lang w:eastAsia="ru-RU"/>
        </w:rPr>
        <w:t>preţurilor</w:t>
      </w:r>
      <w:proofErr w:type="spellEnd"/>
      <w:r w:rsidRPr="00FD2D5D">
        <w:rPr>
          <w:rFonts w:ascii="Times New Roman" w:eastAsia="Times New Roman" w:hAnsi="Times New Roman" w:cs="Times New Roman"/>
          <w:sz w:val="24"/>
          <w:szCs w:val="24"/>
          <w:lang w:eastAsia="ru-RU"/>
        </w:rPr>
        <w:t xml:space="preserve"> </w:t>
      </w:r>
      <w:proofErr w:type="spellStart"/>
      <w:r w:rsidRPr="00FD2D5D">
        <w:rPr>
          <w:rFonts w:ascii="Times New Roman" w:eastAsia="Times New Roman" w:hAnsi="Times New Roman" w:cs="Times New Roman"/>
          <w:sz w:val="24"/>
          <w:szCs w:val="24"/>
          <w:lang w:eastAsia="ru-RU"/>
        </w:rPr>
        <w:t>şi</w:t>
      </w:r>
      <w:proofErr w:type="spellEnd"/>
      <w:r w:rsidRPr="00FD2D5D">
        <w:rPr>
          <w:rFonts w:ascii="Times New Roman" w:eastAsia="Times New Roman" w:hAnsi="Times New Roman" w:cs="Times New Roman"/>
          <w:sz w:val="24"/>
          <w:szCs w:val="24"/>
          <w:lang w:eastAsia="ru-RU"/>
        </w:rPr>
        <w:t xml:space="preserve"> a tarifelor fixe pentru energia electrică produsă din surse regenerabile de către producătorii eligibili.</w:t>
      </w:r>
    </w:p>
    <w:p w14:paraId="21FDB58E" w14:textId="608F2C78" w:rsidR="005B77BB" w:rsidRPr="00FD2D5D" w:rsidRDefault="005B77BB" w:rsidP="001F2F2D">
      <w:pPr>
        <w:spacing w:after="120" w:line="240" w:lineRule="auto"/>
        <w:ind w:firstLine="720"/>
        <w:jc w:val="both"/>
        <w:rPr>
          <w:rFonts w:ascii="Times New Roman" w:eastAsia="Calibri" w:hAnsi="Times New Roman" w:cs="Times New Roman"/>
          <w:sz w:val="24"/>
          <w:szCs w:val="24"/>
        </w:rPr>
      </w:pPr>
      <w:r w:rsidRPr="00FD2D5D">
        <w:rPr>
          <w:rFonts w:ascii="Times New Roman" w:eastAsia="Calibri" w:hAnsi="Times New Roman" w:cs="Times New Roman"/>
          <w:sz w:val="24"/>
          <w:szCs w:val="24"/>
        </w:rPr>
        <w:t xml:space="preserve">Planul național de acțiuni în domeniul eficienței energetice pentru anii 2019-2021, HG Nr.698/2019 </w:t>
      </w:r>
      <w:proofErr w:type="spellStart"/>
      <w:r w:rsidRPr="00FD2D5D">
        <w:rPr>
          <w:rFonts w:ascii="Times New Roman" w:eastAsia="Calibri" w:hAnsi="Times New Roman" w:cs="Times New Roman"/>
          <w:sz w:val="24"/>
          <w:szCs w:val="24"/>
        </w:rPr>
        <w:t>stabileşte</w:t>
      </w:r>
      <w:proofErr w:type="spellEnd"/>
      <w:r w:rsidRPr="00FD2D5D">
        <w:rPr>
          <w:rFonts w:ascii="Times New Roman" w:eastAsia="Calibri" w:hAnsi="Times New Roman" w:cs="Times New Roman"/>
          <w:sz w:val="24"/>
          <w:szCs w:val="24"/>
        </w:rPr>
        <w:t xml:space="preserve"> pentru perioada 2019-2021 reducerea emisiilor: în sectorul rezidențial cu cca 67,55 kt</w:t>
      </w:r>
      <w:r w:rsidR="00214ED2" w:rsidRPr="00FD2D5D">
        <w:rPr>
          <w:rFonts w:ascii="Times New Roman" w:eastAsia="Calibri" w:hAnsi="Times New Roman" w:cs="Times New Roman"/>
          <w:sz w:val="24"/>
          <w:szCs w:val="24"/>
        </w:rPr>
        <w:t xml:space="preserve"> </w:t>
      </w:r>
      <w:r w:rsidRPr="00FD2D5D">
        <w:rPr>
          <w:rFonts w:ascii="Times New Roman" w:eastAsia="Calibri" w:hAnsi="Times New Roman" w:cs="Times New Roman"/>
          <w:sz w:val="24"/>
          <w:szCs w:val="24"/>
        </w:rPr>
        <w:t>CO</w:t>
      </w:r>
      <w:r w:rsidRPr="00FD2D5D">
        <w:rPr>
          <w:rFonts w:ascii="Times New Roman" w:eastAsia="Calibri" w:hAnsi="Times New Roman" w:cs="Times New Roman"/>
          <w:sz w:val="24"/>
          <w:szCs w:val="24"/>
          <w:vertAlign w:val="subscript"/>
        </w:rPr>
        <w:t>2</w:t>
      </w:r>
      <w:r w:rsidRPr="00FD2D5D">
        <w:rPr>
          <w:rFonts w:ascii="Times New Roman" w:eastAsia="Calibri" w:hAnsi="Times New Roman" w:cs="Times New Roman"/>
          <w:sz w:val="24"/>
          <w:szCs w:val="24"/>
        </w:rPr>
        <w:t>, în sectorul public – cu 68,96 kt</w:t>
      </w:r>
      <w:r w:rsidR="00214ED2" w:rsidRPr="00FD2D5D">
        <w:rPr>
          <w:rFonts w:ascii="Times New Roman" w:eastAsia="Calibri" w:hAnsi="Times New Roman" w:cs="Times New Roman"/>
          <w:sz w:val="24"/>
          <w:szCs w:val="24"/>
        </w:rPr>
        <w:t xml:space="preserve"> </w:t>
      </w:r>
      <w:r w:rsidRPr="00FD2D5D">
        <w:rPr>
          <w:rFonts w:ascii="Times New Roman" w:eastAsia="Calibri" w:hAnsi="Times New Roman" w:cs="Times New Roman"/>
          <w:sz w:val="24"/>
          <w:szCs w:val="24"/>
        </w:rPr>
        <w:t>CO</w:t>
      </w:r>
      <w:r w:rsidRPr="00FD2D5D">
        <w:rPr>
          <w:rFonts w:ascii="Times New Roman" w:eastAsia="Calibri" w:hAnsi="Times New Roman" w:cs="Times New Roman"/>
          <w:sz w:val="24"/>
          <w:szCs w:val="24"/>
          <w:vertAlign w:val="subscript"/>
        </w:rPr>
        <w:t>2</w:t>
      </w:r>
      <w:r w:rsidRPr="00FD2D5D">
        <w:rPr>
          <w:rFonts w:ascii="Times New Roman" w:eastAsia="Calibri" w:hAnsi="Times New Roman" w:cs="Times New Roman"/>
          <w:sz w:val="24"/>
          <w:szCs w:val="24"/>
        </w:rPr>
        <w:t>, în sistemul de alimentare centralizată cu energie termică – cu 13,88 kt</w:t>
      </w:r>
      <w:r w:rsidR="00214ED2" w:rsidRPr="00FD2D5D">
        <w:rPr>
          <w:rFonts w:ascii="Times New Roman" w:eastAsia="Calibri" w:hAnsi="Times New Roman" w:cs="Times New Roman"/>
          <w:sz w:val="24"/>
          <w:szCs w:val="24"/>
        </w:rPr>
        <w:t xml:space="preserve"> </w:t>
      </w:r>
      <w:r w:rsidRPr="00FD2D5D">
        <w:rPr>
          <w:rFonts w:ascii="Times New Roman" w:eastAsia="Calibri" w:hAnsi="Times New Roman" w:cs="Times New Roman"/>
          <w:sz w:val="24"/>
          <w:szCs w:val="24"/>
        </w:rPr>
        <w:t>CO</w:t>
      </w:r>
      <w:r w:rsidRPr="00FD2D5D">
        <w:rPr>
          <w:rFonts w:ascii="Times New Roman" w:eastAsia="Calibri" w:hAnsi="Times New Roman" w:cs="Times New Roman"/>
          <w:sz w:val="24"/>
          <w:szCs w:val="24"/>
          <w:vertAlign w:val="subscript"/>
        </w:rPr>
        <w:t>2</w:t>
      </w:r>
      <w:r w:rsidRPr="00FD2D5D">
        <w:rPr>
          <w:rFonts w:ascii="Times New Roman" w:eastAsia="Calibri" w:hAnsi="Times New Roman" w:cs="Times New Roman"/>
          <w:sz w:val="24"/>
          <w:szCs w:val="24"/>
        </w:rPr>
        <w:t>, către anul 2021 atingându-se o economie de energie de 22,57</w:t>
      </w:r>
      <w:r w:rsidR="00E349F9" w:rsidRPr="00FD2D5D">
        <w:rPr>
          <w:rFonts w:ascii="Times New Roman" w:eastAsia="Calibri" w:hAnsi="Times New Roman" w:cs="Times New Roman"/>
          <w:sz w:val="24"/>
          <w:szCs w:val="24"/>
        </w:rPr>
        <w:t xml:space="preserve"> </w:t>
      </w:r>
      <w:proofErr w:type="spellStart"/>
      <w:r w:rsidRPr="00FD2D5D">
        <w:rPr>
          <w:rFonts w:ascii="Times New Roman" w:eastAsia="Calibri" w:hAnsi="Times New Roman" w:cs="Times New Roman"/>
          <w:sz w:val="24"/>
          <w:szCs w:val="24"/>
        </w:rPr>
        <w:t>ktep</w:t>
      </w:r>
      <w:proofErr w:type="spellEnd"/>
      <w:r w:rsidRPr="00FD2D5D">
        <w:rPr>
          <w:rFonts w:ascii="Times New Roman" w:eastAsia="Calibri" w:hAnsi="Times New Roman" w:cs="Times New Roman"/>
          <w:sz w:val="24"/>
          <w:szCs w:val="24"/>
        </w:rPr>
        <w:t>.</w:t>
      </w:r>
    </w:p>
    <w:p w14:paraId="0DD936B7" w14:textId="77777777" w:rsidR="006364B2" w:rsidRPr="00FD2D5D" w:rsidRDefault="006364B2" w:rsidP="001F2F2D">
      <w:pPr>
        <w:spacing w:after="0" w:line="240" w:lineRule="auto"/>
        <w:ind w:firstLine="720"/>
        <w:jc w:val="both"/>
        <w:rPr>
          <w:rFonts w:ascii="Times New Roman" w:eastAsia="Times New Roman" w:hAnsi="Times New Roman" w:cs="Times New Roman"/>
          <w:sz w:val="24"/>
          <w:szCs w:val="24"/>
          <w:lang w:eastAsia="ru-RU"/>
        </w:rPr>
      </w:pPr>
      <w:r w:rsidRPr="00FD2D5D">
        <w:rPr>
          <w:rFonts w:ascii="Times New Roman" w:eastAsia="Times New Roman" w:hAnsi="Times New Roman" w:cs="Times New Roman"/>
          <w:color w:val="000000"/>
          <w:sz w:val="24"/>
          <w:szCs w:val="24"/>
          <w:shd w:val="clear" w:color="auto" w:fill="FFFFFF"/>
          <w:lang w:eastAsia="ru-RU"/>
        </w:rPr>
        <w:t xml:space="preserve">Toate instrumentele </w:t>
      </w:r>
      <w:proofErr w:type="spellStart"/>
      <w:r w:rsidRPr="00FD2D5D">
        <w:rPr>
          <w:rFonts w:ascii="Times New Roman" w:eastAsia="Times New Roman" w:hAnsi="Times New Roman" w:cs="Times New Roman"/>
          <w:color w:val="000000"/>
          <w:sz w:val="24"/>
          <w:szCs w:val="24"/>
          <w:shd w:val="clear" w:color="auto" w:fill="FFFFFF"/>
          <w:lang w:eastAsia="ru-RU"/>
        </w:rPr>
        <w:t>şi</w:t>
      </w:r>
      <w:proofErr w:type="spellEnd"/>
      <w:r w:rsidRPr="00FD2D5D">
        <w:rPr>
          <w:rFonts w:ascii="Times New Roman" w:eastAsia="Times New Roman" w:hAnsi="Times New Roman" w:cs="Times New Roman"/>
          <w:color w:val="000000"/>
          <w:sz w:val="24"/>
          <w:szCs w:val="24"/>
          <w:shd w:val="clear" w:color="auto" w:fill="FFFFFF"/>
          <w:lang w:eastAsia="ru-RU"/>
        </w:rPr>
        <w:t xml:space="preserve"> măsurile </w:t>
      </w:r>
      <w:proofErr w:type="spellStart"/>
      <w:r w:rsidRPr="00FD2D5D">
        <w:rPr>
          <w:rFonts w:ascii="Times New Roman" w:eastAsia="Times New Roman" w:hAnsi="Times New Roman" w:cs="Times New Roman"/>
          <w:color w:val="000000"/>
          <w:sz w:val="24"/>
          <w:szCs w:val="24"/>
          <w:shd w:val="clear" w:color="auto" w:fill="FFFFFF"/>
          <w:lang w:eastAsia="ru-RU"/>
        </w:rPr>
        <w:t>menţionate</w:t>
      </w:r>
      <w:proofErr w:type="spellEnd"/>
      <w:r w:rsidRPr="00FD2D5D">
        <w:rPr>
          <w:rFonts w:ascii="Times New Roman" w:eastAsia="Times New Roman" w:hAnsi="Times New Roman" w:cs="Times New Roman"/>
          <w:color w:val="000000"/>
          <w:sz w:val="24"/>
          <w:szCs w:val="24"/>
          <w:shd w:val="clear" w:color="auto" w:fill="FFFFFF"/>
          <w:lang w:eastAsia="ru-RU"/>
        </w:rPr>
        <w:t xml:space="preserve"> mai sus contribuie la dezvoltarea surselor de generare, a </w:t>
      </w:r>
      <w:proofErr w:type="spellStart"/>
      <w:r w:rsidRPr="00FD2D5D">
        <w:rPr>
          <w:rFonts w:ascii="Times New Roman" w:eastAsia="Times New Roman" w:hAnsi="Times New Roman" w:cs="Times New Roman"/>
          <w:color w:val="000000"/>
          <w:sz w:val="24"/>
          <w:szCs w:val="24"/>
          <w:shd w:val="clear" w:color="auto" w:fill="FFFFFF"/>
          <w:lang w:eastAsia="ru-RU"/>
        </w:rPr>
        <w:t>reţelelor</w:t>
      </w:r>
      <w:proofErr w:type="spellEnd"/>
      <w:r w:rsidRPr="00FD2D5D">
        <w:rPr>
          <w:rFonts w:ascii="Times New Roman" w:eastAsia="Times New Roman" w:hAnsi="Times New Roman" w:cs="Times New Roman"/>
          <w:color w:val="000000"/>
          <w:sz w:val="24"/>
          <w:szCs w:val="24"/>
          <w:shd w:val="clear" w:color="auto" w:fill="FFFFFF"/>
          <w:lang w:eastAsia="ru-RU"/>
        </w:rPr>
        <w:t xml:space="preserve"> electrice de transport </w:t>
      </w:r>
      <w:proofErr w:type="spellStart"/>
      <w:r w:rsidRPr="00FD2D5D">
        <w:rPr>
          <w:rFonts w:ascii="Times New Roman" w:eastAsia="Times New Roman" w:hAnsi="Times New Roman" w:cs="Times New Roman"/>
          <w:color w:val="000000"/>
          <w:sz w:val="24"/>
          <w:szCs w:val="24"/>
          <w:shd w:val="clear" w:color="auto" w:fill="FFFFFF"/>
          <w:lang w:eastAsia="ru-RU"/>
        </w:rPr>
        <w:t>şi</w:t>
      </w:r>
      <w:proofErr w:type="spellEnd"/>
      <w:r w:rsidRPr="00FD2D5D">
        <w:rPr>
          <w:rFonts w:ascii="Times New Roman" w:eastAsia="Times New Roman" w:hAnsi="Times New Roman" w:cs="Times New Roman"/>
          <w:color w:val="000000"/>
          <w:sz w:val="24"/>
          <w:szCs w:val="24"/>
          <w:shd w:val="clear" w:color="auto" w:fill="FFFFFF"/>
          <w:lang w:eastAsia="ru-RU"/>
        </w:rPr>
        <w:t xml:space="preserve"> a celor de </w:t>
      </w:r>
      <w:proofErr w:type="spellStart"/>
      <w:r w:rsidRPr="00FD2D5D">
        <w:rPr>
          <w:rFonts w:ascii="Times New Roman" w:eastAsia="Times New Roman" w:hAnsi="Times New Roman" w:cs="Times New Roman"/>
          <w:color w:val="000000"/>
          <w:sz w:val="24"/>
          <w:szCs w:val="24"/>
          <w:shd w:val="clear" w:color="auto" w:fill="FFFFFF"/>
          <w:lang w:eastAsia="ru-RU"/>
        </w:rPr>
        <w:t>distribuţie</w:t>
      </w:r>
      <w:proofErr w:type="spellEnd"/>
      <w:r w:rsidRPr="00FD2D5D">
        <w:rPr>
          <w:rFonts w:ascii="Times New Roman" w:eastAsia="Times New Roman" w:hAnsi="Times New Roman" w:cs="Times New Roman"/>
          <w:color w:val="000000"/>
          <w:sz w:val="24"/>
          <w:szCs w:val="24"/>
          <w:shd w:val="clear" w:color="auto" w:fill="FFFFFF"/>
          <w:lang w:eastAsia="ru-RU"/>
        </w:rPr>
        <w:t xml:space="preserve"> în modul cel mai eficient, fiind corelate cu disponibilitatea resurselor de capital </w:t>
      </w:r>
      <w:proofErr w:type="spellStart"/>
      <w:r w:rsidRPr="00FD2D5D">
        <w:rPr>
          <w:rFonts w:ascii="Times New Roman" w:eastAsia="Times New Roman" w:hAnsi="Times New Roman" w:cs="Times New Roman"/>
          <w:color w:val="000000"/>
          <w:sz w:val="24"/>
          <w:szCs w:val="24"/>
          <w:shd w:val="clear" w:color="auto" w:fill="FFFFFF"/>
          <w:lang w:eastAsia="ru-RU"/>
        </w:rPr>
        <w:t>şi</w:t>
      </w:r>
      <w:proofErr w:type="spellEnd"/>
      <w:r w:rsidRPr="00FD2D5D">
        <w:rPr>
          <w:rFonts w:ascii="Times New Roman" w:eastAsia="Times New Roman" w:hAnsi="Times New Roman" w:cs="Times New Roman"/>
          <w:color w:val="000000"/>
          <w:sz w:val="24"/>
          <w:szCs w:val="24"/>
          <w:shd w:val="clear" w:color="auto" w:fill="FFFFFF"/>
          <w:lang w:eastAsia="ru-RU"/>
        </w:rPr>
        <w:t xml:space="preserve"> a investitorilor.</w:t>
      </w:r>
    </w:p>
    <w:p w14:paraId="6114C9A5" w14:textId="77777777" w:rsidR="006364B2" w:rsidRPr="00FD2D5D" w:rsidRDefault="006364B2" w:rsidP="001F2F2D">
      <w:pPr>
        <w:spacing w:after="0" w:line="240" w:lineRule="auto"/>
        <w:ind w:firstLine="720"/>
        <w:jc w:val="both"/>
        <w:rPr>
          <w:rFonts w:ascii="Times New Roman" w:eastAsia="Times New Roman" w:hAnsi="Times New Roman" w:cs="Times New Roman"/>
          <w:sz w:val="24"/>
          <w:szCs w:val="24"/>
          <w:lang w:eastAsia="ru-RU"/>
        </w:rPr>
      </w:pPr>
      <w:r w:rsidRPr="00FD2D5D">
        <w:rPr>
          <w:rFonts w:ascii="Times New Roman" w:eastAsia="Times New Roman" w:hAnsi="Times New Roman" w:cs="Times New Roman"/>
          <w:color w:val="000000"/>
          <w:sz w:val="24"/>
          <w:szCs w:val="24"/>
          <w:shd w:val="clear" w:color="auto" w:fill="FFFFFF"/>
          <w:lang w:eastAsia="ru-RU"/>
        </w:rPr>
        <w:lastRenderedPageBreak/>
        <w:t xml:space="preserve">Un cadru transparent, bine dezvoltat </w:t>
      </w:r>
      <w:proofErr w:type="spellStart"/>
      <w:r w:rsidRPr="00FD2D5D">
        <w:rPr>
          <w:rFonts w:ascii="Times New Roman" w:eastAsia="Times New Roman" w:hAnsi="Times New Roman" w:cs="Times New Roman"/>
          <w:color w:val="000000"/>
          <w:sz w:val="24"/>
          <w:szCs w:val="24"/>
          <w:shd w:val="clear" w:color="auto" w:fill="FFFFFF"/>
          <w:lang w:eastAsia="ru-RU"/>
        </w:rPr>
        <w:t>şi</w:t>
      </w:r>
      <w:proofErr w:type="spellEnd"/>
      <w:r w:rsidRPr="00FD2D5D">
        <w:rPr>
          <w:rFonts w:ascii="Times New Roman" w:eastAsia="Times New Roman" w:hAnsi="Times New Roman" w:cs="Times New Roman"/>
          <w:color w:val="000000"/>
          <w:sz w:val="24"/>
          <w:szCs w:val="24"/>
          <w:shd w:val="clear" w:color="auto" w:fill="FFFFFF"/>
          <w:lang w:eastAsia="ru-RU"/>
        </w:rPr>
        <w:t xml:space="preserve"> bazat pe legile </w:t>
      </w:r>
      <w:proofErr w:type="spellStart"/>
      <w:r w:rsidRPr="00FD2D5D">
        <w:rPr>
          <w:rFonts w:ascii="Times New Roman" w:eastAsia="Times New Roman" w:hAnsi="Times New Roman" w:cs="Times New Roman"/>
          <w:color w:val="000000"/>
          <w:sz w:val="24"/>
          <w:szCs w:val="24"/>
          <w:shd w:val="clear" w:color="auto" w:fill="FFFFFF"/>
          <w:lang w:eastAsia="ru-RU"/>
        </w:rPr>
        <w:t>pieţei</w:t>
      </w:r>
      <w:proofErr w:type="spellEnd"/>
      <w:r w:rsidRPr="00FD2D5D">
        <w:rPr>
          <w:rFonts w:ascii="Times New Roman" w:eastAsia="Times New Roman" w:hAnsi="Times New Roman" w:cs="Times New Roman"/>
          <w:color w:val="000000"/>
          <w:sz w:val="24"/>
          <w:szCs w:val="24"/>
          <w:shd w:val="clear" w:color="auto" w:fill="FFFFFF"/>
          <w:lang w:eastAsia="ru-RU"/>
        </w:rPr>
        <w:t xml:space="preserve"> pentru sectorul energetic va crea </w:t>
      </w:r>
      <w:proofErr w:type="spellStart"/>
      <w:r w:rsidRPr="00FD2D5D">
        <w:rPr>
          <w:rFonts w:ascii="Times New Roman" w:eastAsia="Times New Roman" w:hAnsi="Times New Roman" w:cs="Times New Roman"/>
          <w:color w:val="000000"/>
          <w:sz w:val="24"/>
          <w:szCs w:val="24"/>
          <w:shd w:val="clear" w:color="auto" w:fill="FFFFFF"/>
          <w:lang w:eastAsia="ru-RU"/>
        </w:rPr>
        <w:t>condiţii</w:t>
      </w:r>
      <w:proofErr w:type="spellEnd"/>
      <w:r w:rsidRPr="00FD2D5D">
        <w:rPr>
          <w:rFonts w:ascii="Times New Roman" w:eastAsia="Times New Roman" w:hAnsi="Times New Roman" w:cs="Times New Roman"/>
          <w:color w:val="000000"/>
          <w:sz w:val="24"/>
          <w:szCs w:val="24"/>
          <w:shd w:val="clear" w:color="auto" w:fill="FFFFFF"/>
          <w:lang w:eastAsia="ru-RU"/>
        </w:rPr>
        <w:t xml:space="preserve"> favorabile pentru investitori în sectorul energetic </w:t>
      </w:r>
      <w:proofErr w:type="spellStart"/>
      <w:r w:rsidRPr="00FD2D5D">
        <w:rPr>
          <w:rFonts w:ascii="Times New Roman" w:eastAsia="Times New Roman" w:hAnsi="Times New Roman" w:cs="Times New Roman"/>
          <w:color w:val="000000"/>
          <w:sz w:val="24"/>
          <w:szCs w:val="24"/>
          <w:shd w:val="clear" w:color="auto" w:fill="FFFFFF"/>
          <w:lang w:eastAsia="ru-RU"/>
        </w:rPr>
        <w:t>şi</w:t>
      </w:r>
      <w:proofErr w:type="spellEnd"/>
      <w:r w:rsidRPr="00FD2D5D">
        <w:rPr>
          <w:rFonts w:ascii="Times New Roman" w:eastAsia="Times New Roman" w:hAnsi="Times New Roman" w:cs="Times New Roman"/>
          <w:color w:val="000000"/>
          <w:sz w:val="24"/>
          <w:szCs w:val="24"/>
          <w:shd w:val="clear" w:color="auto" w:fill="FFFFFF"/>
          <w:lang w:eastAsia="ru-RU"/>
        </w:rPr>
        <w:t xml:space="preserve"> va adapta politicile de </w:t>
      </w:r>
      <w:proofErr w:type="spellStart"/>
      <w:r w:rsidRPr="00FD2D5D">
        <w:rPr>
          <w:rFonts w:ascii="Times New Roman" w:eastAsia="Times New Roman" w:hAnsi="Times New Roman" w:cs="Times New Roman"/>
          <w:color w:val="000000"/>
          <w:sz w:val="24"/>
          <w:szCs w:val="24"/>
          <w:shd w:val="clear" w:color="auto" w:fill="FFFFFF"/>
          <w:lang w:eastAsia="ru-RU"/>
        </w:rPr>
        <w:t>protecţie</w:t>
      </w:r>
      <w:proofErr w:type="spellEnd"/>
      <w:r w:rsidRPr="00FD2D5D">
        <w:rPr>
          <w:rFonts w:ascii="Times New Roman" w:eastAsia="Times New Roman" w:hAnsi="Times New Roman" w:cs="Times New Roman"/>
          <w:color w:val="000000"/>
          <w:sz w:val="24"/>
          <w:szCs w:val="24"/>
          <w:shd w:val="clear" w:color="auto" w:fill="FFFFFF"/>
          <w:lang w:eastAsia="ru-RU"/>
        </w:rPr>
        <w:t xml:space="preserve"> a mediului bazate pe principiul de </w:t>
      </w:r>
      <w:proofErr w:type="spellStart"/>
      <w:r w:rsidRPr="00FD2D5D">
        <w:rPr>
          <w:rFonts w:ascii="Times New Roman" w:eastAsia="Times New Roman" w:hAnsi="Times New Roman" w:cs="Times New Roman"/>
          <w:color w:val="000000"/>
          <w:sz w:val="24"/>
          <w:szCs w:val="24"/>
          <w:shd w:val="clear" w:color="auto" w:fill="FFFFFF"/>
          <w:lang w:eastAsia="ru-RU"/>
        </w:rPr>
        <w:t>piaţă</w:t>
      </w:r>
      <w:proofErr w:type="spellEnd"/>
      <w:r w:rsidRPr="00FD2D5D">
        <w:rPr>
          <w:rFonts w:ascii="Times New Roman" w:eastAsia="Times New Roman" w:hAnsi="Times New Roman" w:cs="Times New Roman"/>
          <w:color w:val="000000"/>
          <w:sz w:val="24"/>
          <w:szCs w:val="24"/>
          <w:shd w:val="clear" w:color="auto" w:fill="FFFFFF"/>
          <w:lang w:eastAsia="ru-RU"/>
        </w:rPr>
        <w:t>.</w:t>
      </w:r>
    </w:p>
    <w:p w14:paraId="75889D7F" w14:textId="0C94A24C" w:rsidR="006364B2" w:rsidRPr="00FD2D5D" w:rsidRDefault="00583E3D" w:rsidP="001F2F2D">
      <w:pPr>
        <w:spacing w:after="0" w:line="240" w:lineRule="auto"/>
        <w:ind w:firstLine="720"/>
        <w:jc w:val="both"/>
        <w:rPr>
          <w:rFonts w:ascii="Times New Roman" w:eastAsia="Times New Roman" w:hAnsi="Times New Roman" w:cs="Times New Roman"/>
          <w:sz w:val="24"/>
          <w:szCs w:val="24"/>
          <w:lang w:eastAsia="ru-RU"/>
        </w:rPr>
      </w:pPr>
      <w:r w:rsidRPr="00FD2D5D">
        <w:rPr>
          <w:rFonts w:ascii="Times New Roman" w:eastAsia="Times New Roman" w:hAnsi="Times New Roman" w:cs="Times New Roman"/>
          <w:color w:val="000000"/>
          <w:sz w:val="24"/>
          <w:szCs w:val="24"/>
          <w:shd w:val="clear" w:color="auto" w:fill="FFFFFF"/>
          <w:lang w:eastAsia="ru-RU"/>
        </w:rPr>
        <w:t>Creată în</w:t>
      </w:r>
      <w:r w:rsidR="006364B2" w:rsidRPr="00FD2D5D">
        <w:rPr>
          <w:rFonts w:ascii="Times New Roman" w:eastAsia="Times New Roman" w:hAnsi="Times New Roman" w:cs="Times New Roman"/>
          <w:color w:val="000000"/>
          <w:sz w:val="24"/>
          <w:szCs w:val="24"/>
          <w:shd w:val="clear" w:color="auto" w:fill="FFFFFF"/>
          <w:lang w:eastAsia="ru-RU"/>
        </w:rPr>
        <w:t xml:space="preserve"> perioada 2010-2012</w:t>
      </w:r>
      <w:r w:rsidRPr="00FD2D5D">
        <w:rPr>
          <w:rFonts w:ascii="Times New Roman" w:eastAsia="Times New Roman" w:hAnsi="Times New Roman" w:cs="Times New Roman"/>
          <w:color w:val="000000"/>
          <w:sz w:val="24"/>
          <w:szCs w:val="24"/>
          <w:shd w:val="clear" w:color="auto" w:fill="FFFFFF"/>
          <w:lang w:eastAsia="ru-RU"/>
        </w:rPr>
        <w:t>,</w:t>
      </w:r>
      <w:r w:rsidR="006364B2" w:rsidRPr="00FD2D5D">
        <w:rPr>
          <w:rFonts w:ascii="Times New Roman" w:eastAsia="Times New Roman" w:hAnsi="Times New Roman" w:cs="Times New Roman"/>
          <w:color w:val="000000"/>
          <w:sz w:val="24"/>
          <w:szCs w:val="24"/>
          <w:shd w:val="clear" w:color="auto" w:fill="FFFFFF"/>
          <w:lang w:eastAsia="ru-RU"/>
        </w:rPr>
        <w:t xml:space="preserve"> </w:t>
      </w:r>
      <w:proofErr w:type="spellStart"/>
      <w:r w:rsidR="006364B2" w:rsidRPr="00FD2D5D">
        <w:rPr>
          <w:rFonts w:ascii="Times New Roman" w:eastAsia="Times New Roman" w:hAnsi="Times New Roman" w:cs="Times New Roman"/>
          <w:color w:val="000000"/>
          <w:sz w:val="24"/>
          <w:szCs w:val="24"/>
          <w:shd w:val="clear" w:color="auto" w:fill="FFFFFF"/>
          <w:lang w:eastAsia="ru-RU"/>
        </w:rPr>
        <w:t>Agenţia</w:t>
      </w:r>
      <w:proofErr w:type="spellEnd"/>
      <w:r w:rsidR="006364B2" w:rsidRPr="00FD2D5D">
        <w:rPr>
          <w:rFonts w:ascii="Times New Roman" w:eastAsia="Times New Roman" w:hAnsi="Times New Roman" w:cs="Times New Roman"/>
          <w:color w:val="000000"/>
          <w:sz w:val="24"/>
          <w:szCs w:val="24"/>
          <w:shd w:val="clear" w:color="auto" w:fill="FFFFFF"/>
          <w:lang w:eastAsia="ru-RU"/>
        </w:rPr>
        <w:t xml:space="preserve"> pentru </w:t>
      </w:r>
      <w:proofErr w:type="spellStart"/>
      <w:r w:rsidR="006364B2" w:rsidRPr="00FD2D5D">
        <w:rPr>
          <w:rFonts w:ascii="Times New Roman" w:eastAsia="Times New Roman" w:hAnsi="Times New Roman" w:cs="Times New Roman"/>
          <w:color w:val="000000"/>
          <w:sz w:val="24"/>
          <w:szCs w:val="24"/>
          <w:shd w:val="clear" w:color="auto" w:fill="FFFFFF"/>
          <w:lang w:eastAsia="ru-RU"/>
        </w:rPr>
        <w:t>Eficienţă</w:t>
      </w:r>
      <w:proofErr w:type="spellEnd"/>
      <w:r w:rsidR="006364B2" w:rsidRPr="00FD2D5D">
        <w:rPr>
          <w:rFonts w:ascii="Times New Roman" w:eastAsia="Times New Roman" w:hAnsi="Times New Roman" w:cs="Times New Roman"/>
          <w:color w:val="000000"/>
          <w:sz w:val="24"/>
          <w:szCs w:val="24"/>
          <w:shd w:val="clear" w:color="auto" w:fill="FFFFFF"/>
          <w:lang w:eastAsia="ru-RU"/>
        </w:rPr>
        <w:t xml:space="preserve"> Energetică </w:t>
      </w:r>
      <w:r w:rsidRPr="00FD2D5D">
        <w:rPr>
          <w:rFonts w:ascii="Times New Roman" w:eastAsia="Times New Roman" w:hAnsi="Times New Roman" w:cs="Times New Roman"/>
          <w:color w:val="000000"/>
          <w:sz w:val="24"/>
          <w:szCs w:val="24"/>
          <w:shd w:val="clear" w:color="auto" w:fill="FFFFFF"/>
          <w:lang w:eastAsia="ru-RU"/>
        </w:rPr>
        <w:t>are misiunea de a implementa politica de stat în domeniul eficienței energetice, performanței energetice a clădirilor, precum și valorific</w:t>
      </w:r>
      <w:r w:rsidR="00286388" w:rsidRPr="00FD2D5D">
        <w:rPr>
          <w:rFonts w:ascii="Times New Roman" w:eastAsia="Times New Roman" w:hAnsi="Times New Roman" w:cs="Times New Roman"/>
          <w:color w:val="000000"/>
          <w:sz w:val="24"/>
          <w:szCs w:val="24"/>
          <w:shd w:val="clear" w:color="auto" w:fill="FFFFFF"/>
          <w:lang w:eastAsia="ru-RU"/>
        </w:rPr>
        <w:t>a</w:t>
      </w:r>
      <w:r w:rsidRPr="00FD2D5D">
        <w:rPr>
          <w:rFonts w:ascii="Times New Roman" w:eastAsia="Times New Roman" w:hAnsi="Times New Roman" w:cs="Times New Roman"/>
          <w:color w:val="000000"/>
          <w:sz w:val="24"/>
          <w:szCs w:val="24"/>
          <w:shd w:val="clear" w:color="auto" w:fill="FFFFFF"/>
          <w:lang w:eastAsia="ru-RU"/>
        </w:rPr>
        <w:t xml:space="preserve"> sursel</w:t>
      </w:r>
      <w:r w:rsidR="00286388" w:rsidRPr="00FD2D5D">
        <w:rPr>
          <w:rFonts w:ascii="Times New Roman" w:eastAsia="Times New Roman" w:hAnsi="Times New Roman" w:cs="Times New Roman"/>
          <w:color w:val="000000"/>
          <w:sz w:val="24"/>
          <w:szCs w:val="24"/>
          <w:shd w:val="clear" w:color="auto" w:fill="FFFFFF"/>
          <w:lang w:eastAsia="ru-RU"/>
        </w:rPr>
        <w:t>e</w:t>
      </w:r>
      <w:r w:rsidRPr="00FD2D5D">
        <w:rPr>
          <w:rFonts w:ascii="Times New Roman" w:eastAsia="Times New Roman" w:hAnsi="Times New Roman" w:cs="Times New Roman"/>
          <w:color w:val="000000"/>
          <w:sz w:val="24"/>
          <w:szCs w:val="24"/>
          <w:shd w:val="clear" w:color="auto" w:fill="FFFFFF"/>
          <w:lang w:eastAsia="ru-RU"/>
        </w:rPr>
        <w:t xml:space="preserve"> de energie regenerabilă, inclusiv prin atragerea și gestionarea resurselor financiare în vederea finanțării proiectelor în domeniile respective într-un mod durabil din punctul de vedere al mediului înconjurător </w:t>
      </w:r>
      <w:proofErr w:type="spellStart"/>
      <w:r w:rsidRPr="00FD2D5D">
        <w:rPr>
          <w:rFonts w:ascii="Times New Roman" w:eastAsia="Times New Roman" w:hAnsi="Times New Roman" w:cs="Times New Roman"/>
          <w:color w:val="000000"/>
          <w:sz w:val="24"/>
          <w:szCs w:val="24"/>
          <w:shd w:val="clear" w:color="auto" w:fill="FFFFFF"/>
          <w:lang w:eastAsia="ru-RU"/>
        </w:rPr>
        <w:t>şi</w:t>
      </w:r>
      <w:proofErr w:type="spellEnd"/>
      <w:r w:rsidRPr="00FD2D5D">
        <w:rPr>
          <w:rFonts w:ascii="Times New Roman" w:eastAsia="Times New Roman" w:hAnsi="Times New Roman" w:cs="Times New Roman"/>
          <w:color w:val="000000"/>
          <w:sz w:val="24"/>
          <w:szCs w:val="24"/>
          <w:shd w:val="clear" w:color="auto" w:fill="FFFFFF"/>
          <w:lang w:eastAsia="ru-RU"/>
        </w:rPr>
        <w:t xml:space="preserve"> al schimbărilor climatice</w:t>
      </w:r>
      <w:r w:rsidR="006364B2" w:rsidRPr="00FD2D5D">
        <w:rPr>
          <w:rFonts w:ascii="Times New Roman" w:eastAsia="Times New Roman" w:hAnsi="Times New Roman" w:cs="Times New Roman"/>
          <w:color w:val="000000"/>
          <w:sz w:val="24"/>
          <w:szCs w:val="24"/>
          <w:shd w:val="clear" w:color="auto" w:fill="FFFFFF"/>
          <w:lang w:eastAsia="ru-RU"/>
        </w:rPr>
        <w:t>.</w:t>
      </w:r>
    </w:p>
    <w:p w14:paraId="150F1A2F" w14:textId="77777777" w:rsidR="006364B2" w:rsidRPr="00FD2D5D" w:rsidRDefault="006364B2" w:rsidP="001F2F2D">
      <w:pPr>
        <w:spacing w:after="120"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FD2D5D">
        <w:rPr>
          <w:rFonts w:ascii="Times New Roman" w:eastAsia="Times New Roman" w:hAnsi="Times New Roman" w:cs="Times New Roman"/>
          <w:color w:val="000000"/>
          <w:sz w:val="24"/>
          <w:szCs w:val="24"/>
          <w:shd w:val="clear" w:color="auto" w:fill="FFFFFF"/>
          <w:lang w:eastAsia="ru-RU"/>
        </w:rPr>
        <w:t xml:space="preserve">Astfel, accentul a fost pus pe dezvoltarea unui cadru legislativ </w:t>
      </w:r>
      <w:proofErr w:type="spellStart"/>
      <w:r w:rsidRPr="00FD2D5D">
        <w:rPr>
          <w:rFonts w:ascii="Times New Roman" w:eastAsia="Times New Roman" w:hAnsi="Times New Roman" w:cs="Times New Roman"/>
          <w:color w:val="000000"/>
          <w:sz w:val="24"/>
          <w:szCs w:val="24"/>
          <w:shd w:val="clear" w:color="auto" w:fill="FFFFFF"/>
          <w:lang w:eastAsia="ru-RU"/>
        </w:rPr>
        <w:t>şi</w:t>
      </w:r>
      <w:proofErr w:type="spellEnd"/>
      <w:r w:rsidRPr="00FD2D5D">
        <w:rPr>
          <w:rFonts w:ascii="Times New Roman" w:eastAsia="Times New Roman" w:hAnsi="Times New Roman" w:cs="Times New Roman"/>
          <w:color w:val="000000"/>
          <w:sz w:val="24"/>
          <w:szCs w:val="24"/>
          <w:shd w:val="clear" w:color="auto" w:fill="FFFFFF"/>
          <w:lang w:eastAsia="ru-RU"/>
        </w:rPr>
        <w:t xml:space="preserve"> de reglementare modern </w:t>
      </w:r>
      <w:proofErr w:type="spellStart"/>
      <w:r w:rsidRPr="00FD2D5D">
        <w:rPr>
          <w:rFonts w:ascii="Times New Roman" w:eastAsia="Times New Roman" w:hAnsi="Times New Roman" w:cs="Times New Roman"/>
          <w:color w:val="000000"/>
          <w:sz w:val="24"/>
          <w:szCs w:val="24"/>
          <w:shd w:val="clear" w:color="auto" w:fill="FFFFFF"/>
          <w:lang w:eastAsia="ru-RU"/>
        </w:rPr>
        <w:t>şi</w:t>
      </w:r>
      <w:proofErr w:type="spellEnd"/>
      <w:r w:rsidRPr="00FD2D5D">
        <w:rPr>
          <w:rFonts w:ascii="Times New Roman" w:eastAsia="Times New Roman" w:hAnsi="Times New Roman" w:cs="Times New Roman"/>
          <w:color w:val="000000"/>
          <w:sz w:val="24"/>
          <w:szCs w:val="24"/>
          <w:shd w:val="clear" w:color="auto" w:fill="FFFFFF"/>
          <w:lang w:eastAsia="ru-RU"/>
        </w:rPr>
        <w:t xml:space="preserve"> cuprinzător. Un mediu previzibil </w:t>
      </w:r>
      <w:proofErr w:type="spellStart"/>
      <w:r w:rsidRPr="00FD2D5D">
        <w:rPr>
          <w:rFonts w:ascii="Times New Roman" w:eastAsia="Times New Roman" w:hAnsi="Times New Roman" w:cs="Times New Roman"/>
          <w:color w:val="000000"/>
          <w:sz w:val="24"/>
          <w:szCs w:val="24"/>
          <w:shd w:val="clear" w:color="auto" w:fill="FFFFFF"/>
          <w:lang w:eastAsia="ru-RU"/>
        </w:rPr>
        <w:t>şi</w:t>
      </w:r>
      <w:proofErr w:type="spellEnd"/>
      <w:r w:rsidRPr="00FD2D5D">
        <w:rPr>
          <w:rFonts w:ascii="Times New Roman" w:eastAsia="Times New Roman" w:hAnsi="Times New Roman" w:cs="Times New Roman"/>
          <w:color w:val="000000"/>
          <w:sz w:val="24"/>
          <w:szCs w:val="24"/>
          <w:shd w:val="clear" w:color="auto" w:fill="FFFFFF"/>
          <w:lang w:eastAsia="ru-RU"/>
        </w:rPr>
        <w:t xml:space="preserve"> favorabil pentru </w:t>
      </w:r>
      <w:proofErr w:type="spellStart"/>
      <w:r w:rsidRPr="00FD2D5D">
        <w:rPr>
          <w:rFonts w:ascii="Times New Roman" w:eastAsia="Times New Roman" w:hAnsi="Times New Roman" w:cs="Times New Roman"/>
          <w:color w:val="000000"/>
          <w:sz w:val="24"/>
          <w:szCs w:val="24"/>
          <w:shd w:val="clear" w:color="auto" w:fill="FFFFFF"/>
          <w:lang w:eastAsia="ru-RU"/>
        </w:rPr>
        <w:t>investiţii</w:t>
      </w:r>
      <w:proofErr w:type="spellEnd"/>
      <w:r w:rsidRPr="00FD2D5D">
        <w:rPr>
          <w:rFonts w:ascii="Times New Roman" w:eastAsia="Times New Roman" w:hAnsi="Times New Roman" w:cs="Times New Roman"/>
          <w:color w:val="000000"/>
          <w:sz w:val="24"/>
          <w:szCs w:val="24"/>
          <w:shd w:val="clear" w:color="auto" w:fill="FFFFFF"/>
          <w:lang w:eastAsia="ru-RU"/>
        </w:rPr>
        <w:t xml:space="preserve"> reduce riscul perceput de investitori </w:t>
      </w:r>
      <w:proofErr w:type="spellStart"/>
      <w:r w:rsidRPr="00FD2D5D">
        <w:rPr>
          <w:rFonts w:ascii="Times New Roman" w:eastAsia="Times New Roman" w:hAnsi="Times New Roman" w:cs="Times New Roman"/>
          <w:color w:val="000000"/>
          <w:sz w:val="24"/>
          <w:szCs w:val="24"/>
          <w:shd w:val="clear" w:color="auto" w:fill="FFFFFF"/>
          <w:lang w:eastAsia="ru-RU"/>
        </w:rPr>
        <w:t>şi</w:t>
      </w:r>
      <w:proofErr w:type="spellEnd"/>
      <w:r w:rsidRPr="00FD2D5D">
        <w:rPr>
          <w:rFonts w:ascii="Times New Roman" w:eastAsia="Times New Roman" w:hAnsi="Times New Roman" w:cs="Times New Roman"/>
          <w:color w:val="000000"/>
          <w:sz w:val="24"/>
          <w:szCs w:val="24"/>
          <w:shd w:val="clear" w:color="auto" w:fill="FFFFFF"/>
          <w:lang w:eastAsia="ru-RU"/>
        </w:rPr>
        <w:t xml:space="preserve"> atrage capital în sectorul energetic, toate acestea fiind o </w:t>
      </w:r>
      <w:proofErr w:type="spellStart"/>
      <w:r w:rsidRPr="00FD2D5D">
        <w:rPr>
          <w:rFonts w:ascii="Times New Roman" w:eastAsia="Times New Roman" w:hAnsi="Times New Roman" w:cs="Times New Roman"/>
          <w:color w:val="000000"/>
          <w:sz w:val="24"/>
          <w:szCs w:val="24"/>
          <w:shd w:val="clear" w:color="auto" w:fill="FFFFFF"/>
          <w:lang w:eastAsia="ru-RU"/>
        </w:rPr>
        <w:t>condiţie</w:t>
      </w:r>
      <w:proofErr w:type="spellEnd"/>
      <w:r w:rsidRPr="00FD2D5D">
        <w:rPr>
          <w:rFonts w:ascii="Times New Roman" w:eastAsia="Times New Roman" w:hAnsi="Times New Roman" w:cs="Times New Roman"/>
          <w:color w:val="000000"/>
          <w:sz w:val="24"/>
          <w:szCs w:val="24"/>
          <w:shd w:val="clear" w:color="auto" w:fill="FFFFFF"/>
          <w:lang w:eastAsia="ru-RU"/>
        </w:rPr>
        <w:t xml:space="preserve"> prealabilă pentru modernizarea continuă a sectorului </w:t>
      </w:r>
      <w:proofErr w:type="spellStart"/>
      <w:r w:rsidRPr="00FD2D5D">
        <w:rPr>
          <w:rFonts w:ascii="Times New Roman" w:eastAsia="Times New Roman" w:hAnsi="Times New Roman" w:cs="Times New Roman"/>
          <w:color w:val="000000"/>
          <w:sz w:val="24"/>
          <w:szCs w:val="24"/>
          <w:shd w:val="clear" w:color="auto" w:fill="FFFFFF"/>
          <w:lang w:eastAsia="ru-RU"/>
        </w:rPr>
        <w:t>şi</w:t>
      </w:r>
      <w:proofErr w:type="spellEnd"/>
      <w:r w:rsidRPr="00FD2D5D">
        <w:rPr>
          <w:rFonts w:ascii="Times New Roman" w:eastAsia="Times New Roman" w:hAnsi="Times New Roman" w:cs="Times New Roman"/>
          <w:color w:val="000000"/>
          <w:sz w:val="24"/>
          <w:szCs w:val="24"/>
          <w:shd w:val="clear" w:color="auto" w:fill="FFFFFF"/>
          <w:lang w:eastAsia="ru-RU"/>
        </w:rPr>
        <w:t xml:space="preserve"> dezvoltarea cu emisii reduse de carbon.</w:t>
      </w:r>
    </w:p>
    <w:p w14:paraId="7F6C3917" w14:textId="77777777" w:rsidR="006364B2" w:rsidRPr="00FD2D5D" w:rsidRDefault="006364B2" w:rsidP="00286388">
      <w:pPr>
        <w:spacing w:before="120" w:after="120" w:line="240" w:lineRule="auto"/>
        <w:ind w:firstLine="720"/>
        <w:jc w:val="both"/>
        <w:rPr>
          <w:rFonts w:ascii="Times New Roman" w:eastAsia="Times New Roman" w:hAnsi="Times New Roman" w:cs="Times New Roman"/>
          <w:b/>
          <w:color w:val="000000"/>
          <w:sz w:val="24"/>
          <w:szCs w:val="24"/>
          <w:shd w:val="clear" w:color="auto" w:fill="FFFFFF"/>
          <w:lang w:eastAsia="ru-RU"/>
        </w:rPr>
      </w:pPr>
      <w:r w:rsidRPr="00FD2D5D">
        <w:rPr>
          <w:rFonts w:ascii="Times New Roman" w:eastAsia="Times New Roman" w:hAnsi="Times New Roman" w:cs="Times New Roman"/>
          <w:b/>
          <w:color w:val="000000"/>
          <w:sz w:val="24"/>
          <w:szCs w:val="24"/>
          <w:shd w:val="clear" w:color="auto" w:fill="FFFFFF"/>
          <w:lang w:eastAsia="ru-RU"/>
        </w:rPr>
        <w:t xml:space="preserve">Problemele </w:t>
      </w:r>
      <w:proofErr w:type="spellStart"/>
      <w:r w:rsidRPr="00FD2D5D">
        <w:rPr>
          <w:rFonts w:ascii="Times New Roman" w:eastAsia="Times New Roman" w:hAnsi="Times New Roman" w:cs="Times New Roman"/>
          <w:b/>
          <w:color w:val="000000"/>
          <w:sz w:val="24"/>
          <w:szCs w:val="24"/>
          <w:shd w:val="clear" w:color="auto" w:fill="FFFFFF"/>
          <w:lang w:eastAsia="ru-RU"/>
        </w:rPr>
        <w:t>evidenţiate</w:t>
      </w:r>
      <w:proofErr w:type="spellEnd"/>
      <w:r w:rsidRPr="00FD2D5D">
        <w:rPr>
          <w:rFonts w:ascii="Times New Roman" w:eastAsia="Times New Roman" w:hAnsi="Times New Roman" w:cs="Times New Roman"/>
          <w:b/>
          <w:color w:val="000000"/>
          <w:sz w:val="24"/>
          <w:szCs w:val="24"/>
          <w:shd w:val="clear" w:color="auto" w:fill="FFFFFF"/>
          <w:lang w:eastAsia="ru-RU"/>
        </w:rPr>
        <w:t>:</w:t>
      </w:r>
    </w:p>
    <w:p w14:paraId="75D71426" w14:textId="4E61025F" w:rsidR="006364B2" w:rsidRPr="00FD2D5D" w:rsidRDefault="006364B2" w:rsidP="003E24C5">
      <w:pPr>
        <w:pStyle w:val="Listparagraf"/>
        <w:numPr>
          <w:ilvl w:val="0"/>
          <w:numId w:val="15"/>
        </w:numPr>
        <w:tabs>
          <w:tab w:val="left" w:pos="1134"/>
        </w:tabs>
        <w:spacing w:after="0" w:line="240" w:lineRule="auto"/>
        <w:jc w:val="both"/>
        <w:rPr>
          <w:rFonts w:ascii="Times New Roman" w:eastAsia="Times New Roman" w:hAnsi="Times New Roman" w:cs="Times New Roman"/>
          <w:sz w:val="24"/>
          <w:szCs w:val="24"/>
          <w:lang w:eastAsia="ru-RU"/>
        </w:rPr>
      </w:pPr>
      <w:proofErr w:type="spellStart"/>
      <w:r w:rsidRPr="00FD2D5D">
        <w:rPr>
          <w:rFonts w:ascii="Times New Roman" w:eastAsia="Times New Roman" w:hAnsi="Times New Roman" w:cs="Times New Roman"/>
          <w:sz w:val="24"/>
          <w:szCs w:val="24"/>
          <w:shd w:val="clear" w:color="auto" w:fill="FFFFFF"/>
          <w:lang w:eastAsia="ru-RU"/>
        </w:rPr>
        <w:t>Deşi</w:t>
      </w:r>
      <w:proofErr w:type="spellEnd"/>
      <w:r w:rsidRPr="00FD2D5D">
        <w:rPr>
          <w:rFonts w:ascii="Times New Roman" w:eastAsia="Times New Roman" w:hAnsi="Times New Roman" w:cs="Times New Roman"/>
          <w:sz w:val="24"/>
          <w:szCs w:val="24"/>
          <w:shd w:val="clear" w:color="auto" w:fill="FFFFFF"/>
          <w:lang w:eastAsia="ru-RU"/>
        </w:rPr>
        <w:t xml:space="preserve"> atragerea </w:t>
      </w:r>
      <w:proofErr w:type="spellStart"/>
      <w:r w:rsidRPr="00FD2D5D">
        <w:rPr>
          <w:rFonts w:ascii="Times New Roman" w:eastAsia="Times New Roman" w:hAnsi="Times New Roman" w:cs="Times New Roman"/>
          <w:sz w:val="24"/>
          <w:szCs w:val="24"/>
          <w:shd w:val="clear" w:color="auto" w:fill="FFFFFF"/>
          <w:lang w:eastAsia="ru-RU"/>
        </w:rPr>
        <w:t>investiţiilor</w:t>
      </w:r>
      <w:proofErr w:type="spellEnd"/>
      <w:r w:rsidRPr="00FD2D5D">
        <w:rPr>
          <w:rFonts w:ascii="Times New Roman" w:eastAsia="Times New Roman" w:hAnsi="Times New Roman" w:cs="Times New Roman"/>
          <w:sz w:val="24"/>
          <w:szCs w:val="24"/>
          <w:shd w:val="clear" w:color="auto" w:fill="FFFFFF"/>
          <w:lang w:eastAsia="ru-RU"/>
        </w:rPr>
        <w:t xml:space="preserve"> în sectorul energetic este o prioritate a Guvernului de mai mult timp, lipsa unui cadru de reglementare adecvat, capacitatea de plată redusă a consumatorilor</w:t>
      </w:r>
      <w:r w:rsidR="00E72318" w:rsidRPr="00FD2D5D">
        <w:rPr>
          <w:rFonts w:ascii="Times New Roman" w:eastAsia="Times New Roman" w:hAnsi="Times New Roman" w:cs="Times New Roman"/>
          <w:sz w:val="24"/>
          <w:szCs w:val="24"/>
          <w:shd w:val="clear" w:color="auto" w:fill="FFFFFF"/>
          <w:lang w:eastAsia="ru-RU"/>
        </w:rPr>
        <w:t xml:space="preserve"> (în special a persoanelor vârstnice, în localitățile rurale, unde predomină femeile)</w:t>
      </w:r>
      <w:r w:rsidRPr="00FD2D5D">
        <w:rPr>
          <w:rFonts w:ascii="Times New Roman" w:eastAsia="Times New Roman" w:hAnsi="Times New Roman" w:cs="Times New Roman"/>
          <w:sz w:val="24"/>
          <w:szCs w:val="24"/>
          <w:shd w:val="clear" w:color="auto" w:fill="FFFFFF"/>
          <w:lang w:eastAsia="ru-RU"/>
        </w:rPr>
        <w:t xml:space="preserve"> </w:t>
      </w:r>
      <w:proofErr w:type="spellStart"/>
      <w:r w:rsidRPr="00FD2D5D">
        <w:rPr>
          <w:rFonts w:ascii="Times New Roman" w:eastAsia="Times New Roman" w:hAnsi="Times New Roman" w:cs="Times New Roman"/>
          <w:sz w:val="24"/>
          <w:szCs w:val="24"/>
          <w:shd w:val="clear" w:color="auto" w:fill="FFFFFF"/>
          <w:lang w:eastAsia="ru-RU"/>
        </w:rPr>
        <w:t>şi</w:t>
      </w:r>
      <w:proofErr w:type="spellEnd"/>
      <w:r w:rsidRPr="00FD2D5D">
        <w:rPr>
          <w:rFonts w:ascii="Times New Roman" w:eastAsia="Times New Roman" w:hAnsi="Times New Roman" w:cs="Times New Roman"/>
          <w:sz w:val="24"/>
          <w:szCs w:val="24"/>
          <w:shd w:val="clear" w:color="auto" w:fill="FFFFFF"/>
          <w:lang w:eastAsia="ru-RU"/>
        </w:rPr>
        <w:t xml:space="preserve"> costul relativ înalt al capitalului în Republica Moldova au făcut </w:t>
      </w:r>
      <w:proofErr w:type="spellStart"/>
      <w:r w:rsidRPr="00FD2D5D">
        <w:rPr>
          <w:rFonts w:ascii="Times New Roman" w:eastAsia="Times New Roman" w:hAnsi="Times New Roman" w:cs="Times New Roman"/>
          <w:sz w:val="24"/>
          <w:szCs w:val="24"/>
          <w:shd w:val="clear" w:color="auto" w:fill="FFFFFF"/>
          <w:lang w:eastAsia="ru-RU"/>
        </w:rPr>
        <w:t>investiţiile</w:t>
      </w:r>
      <w:proofErr w:type="spellEnd"/>
      <w:r w:rsidRPr="00FD2D5D">
        <w:rPr>
          <w:rFonts w:ascii="Times New Roman" w:eastAsia="Times New Roman" w:hAnsi="Times New Roman" w:cs="Times New Roman"/>
          <w:sz w:val="24"/>
          <w:szCs w:val="24"/>
          <w:shd w:val="clear" w:color="auto" w:fill="FFFFFF"/>
          <w:lang w:eastAsia="ru-RU"/>
        </w:rPr>
        <w:t xml:space="preserve"> dificile de realizat sau foarte scumpe.</w:t>
      </w:r>
      <w:r w:rsidRPr="00FD2D5D">
        <w:rPr>
          <w:rFonts w:ascii="Times New Roman" w:eastAsia="Times New Roman" w:hAnsi="Times New Roman" w:cs="Times New Roman"/>
          <w:sz w:val="24"/>
          <w:szCs w:val="24"/>
          <w:lang w:eastAsia="ru-RU"/>
        </w:rPr>
        <w:t xml:space="preserve"> </w:t>
      </w:r>
      <w:r w:rsidRPr="00FD2D5D">
        <w:rPr>
          <w:rFonts w:ascii="Times New Roman" w:eastAsia="Times New Roman" w:hAnsi="Times New Roman" w:cs="Times New Roman"/>
          <w:sz w:val="24"/>
          <w:szCs w:val="24"/>
          <w:shd w:val="clear" w:color="auto" w:fill="FFFFFF"/>
          <w:lang w:eastAsia="ru-RU"/>
        </w:rPr>
        <w:t xml:space="preserve">Astfel, </w:t>
      </w:r>
      <w:proofErr w:type="spellStart"/>
      <w:r w:rsidRPr="00FD2D5D">
        <w:rPr>
          <w:rFonts w:ascii="Times New Roman" w:eastAsia="Times New Roman" w:hAnsi="Times New Roman" w:cs="Times New Roman"/>
          <w:sz w:val="24"/>
          <w:szCs w:val="24"/>
          <w:shd w:val="clear" w:color="auto" w:fill="FFFFFF"/>
          <w:lang w:eastAsia="ru-RU"/>
        </w:rPr>
        <w:t>finanţarea</w:t>
      </w:r>
      <w:proofErr w:type="spellEnd"/>
      <w:r w:rsidRPr="00FD2D5D">
        <w:rPr>
          <w:rFonts w:ascii="Times New Roman" w:eastAsia="Times New Roman" w:hAnsi="Times New Roman" w:cs="Times New Roman"/>
          <w:sz w:val="24"/>
          <w:szCs w:val="24"/>
          <w:shd w:val="clear" w:color="auto" w:fill="FFFFFF"/>
          <w:lang w:eastAsia="ru-RU"/>
        </w:rPr>
        <w:t xml:space="preserve"> insuficientă limitează majorarea </w:t>
      </w:r>
      <w:proofErr w:type="spellStart"/>
      <w:r w:rsidRPr="00FD2D5D">
        <w:rPr>
          <w:rFonts w:ascii="Times New Roman" w:eastAsia="Times New Roman" w:hAnsi="Times New Roman" w:cs="Times New Roman"/>
          <w:sz w:val="24"/>
          <w:szCs w:val="24"/>
          <w:shd w:val="clear" w:color="auto" w:fill="FFFFFF"/>
          <w:lang w:eastAsia="ru-RU"/>
        </w:rPr>
        <w:t>eficienţei</w:t>
      </w:r>
      <w:proofErr w:type="spellEnd"/>
      <w:r w:rsidRPr="00FD2D5D">
        <w:rPr>
          <w:rFonts w:ascii="Times New Roman" w:eastAsia="Times New Roman" w:hAnsi="Times New Roman" w:cs="Times New Roman"/>
          <w:sz w:val="24"/>
          <w:szCs w:val="24"/>
          <w:shd w:val="clear" w:color="auto" w:fill="FFFFFF"/>
          <w:lang w:eastAsia="ru-RU"/>
        </w:rPr>
        <w:t xml:space="preserve"> energetice în tot </w:t>
      </w:r>
      <w:proofErr w:type="spellStart"/>
      <w:r w:rsidRPr="00FD2D5D">
        <w:rPr>
          <w:rFonts w:ascii="Times New Roman" w:eastAsia="Times New Roman" w:hAnsi="Times New Roman" w:cs="Times New Roman"/>
          <w:sz w:val="24"/>
          <w:szCs w:val="24"/>
          <w:shd w:val="clear" w:color="auto" w:fill="FFFFFF"/>
          <w:lang w:eastAsia="ru-RU"/>
        </w:rPr>
        <w:t>lanţul</w:t>
      </w:r>
      <w:proofErr w:type="spellEnd"/>
      <w:r w:rsidRPr="00FD2D5D">
        <w:rPr>
          <w:rFonts w:ascii="Times New Roman" w:eastAsia="Times New Roman" w:hAnsi="Times New Roman" w:cs="Times New Roman"/>
          <w:sz w:val="24"/>
          <w:szCs w:val="24"/>
          <w:shd w:val="clear" w:color="auto" w:fill="FFFFFF"/>
          <w:lang w:eastAsia="ru-RU"/>
        </w:rPr>
        <w:t xml:space="preserve"> de producere, transport, </w:t>
      </w:r>
      <w:proofErr w:type="spellStart"/>
      <w:r w:rsidRPr="00FD2D5D">
        <w:rPr>
          <w:rFonts w:ascii="Times New Roman" w:eastAsia="Times New Roman" w:hAnsi="Times New Roman" w:cs="Times New Roman"/>
          <w:sz w:val="24"/>
          <w:szCs w:val="24"/>
          <w:shd w:val="clear" w:color="auto" w:fill="FFFFFF"/>
          <w:lang w:eastAsia="ru-RU"/>
        </w:rPr>
        <w:t>distribuţie</w:t>
      </w:r>
      <w:proofErr w:type="spellEnd"/>
      <w:r w:rsidRPr="00FD2D5D">
        <w:rPr>
          <w:rFonts w:ascii="Times New Roman" w:eastAsia="Times New Roman" w:hAnsi="Times New Roman" w:cs="Times New Roman"/>
          <w:sz w:val="24"/>
          <w:szCs w:val="24"/>
          <w:shd w:val="clear" w:color="auto" w:fill="FFFFFF"/>
          <w:lang w:eastAsia="ru-RU"/>
        </w:rPr>
        <w:t xml:space="preserve"> </w:t>
      </w:r>
      <w:proofErr w:type="spellStart"/>
      <w:r w:rsidRPr="00FD2D5D">
        <w:rPr>
          <w:rFonts w:ascii="Times New Roman" w:eastAsia="Times New Roman" w:hAnsi="Times New Roman" w:cs="Times New Roman"/>
          <w:sz w:val="24"/>
          <w:szCs w:val="24"/>
          <w:shd w:val="clear" w:color="auto" w:fill="FFFFFF"/>
          <w:lang w:eastAsia="ru-RU"/>
        </w:rPr>
        <w:t>şi</w:t>
      </w:r>
      <w:proofErr w:type="spellEnd"/>
      <w:r w:rsidRPr="00FD2D5D">
        <w:rPr>
          <w:rFonts w:ascii="Times New Roman" w:eastAsia="Times New Roman" w:hAnsi="Times New Roman" w:cs="Times New Roman"/>
          <w:sz w:val="24"/>
          <w:szCs w:val="24"/>
          <w:shd w:val="clear" w:color="auto" w:fill="FFFFFF"/>
          <w:lang w:eastAsia="ru-RU"/>
        </w:rPr>
        <w:t xml:space="preserve"> consum al energiei. </w:t>
      </w:r>
      <w:r w:rsidR="00F6625F" w:rsidRPr="00FD2D5D">
        <w:rPr>
          <w:rFonts w:ascii="Times New Roman" w:eastAsia="Times New Roman" w:hAnsi="Times New Roman" w:cs="Times New Roman"/>
          <w:sz w:val="24"/>
          <w:szCs w:val="24"/>
          <w:shd w:val="clear" w:color="auto" w:fill="FFFFFF"/>
          <w:lang w:eastAsia="ru-RU"/>
        </w:rPr>
        <w:t xml:space="preserve">Conform Tab. 2.3, intensitatea energetică a Republicii Moldova este de 5,7 ori mai mare decât media UE. </w:t>
      </w:r>
      <w:r w:rsidRPr="00FD2D5D">
        <w:rPr>
          <w:rFonts w:ascii="Times New Roman" w:eastAsia="Times New Roman" w:hAnsi="Times New Roman" w:cs="Times New Roman"/>
          <w:sz w:val="24"/>
          <w:szCs w:val="24"/>
          <w:shd w:val="clear" w:color="auto" w:fill="FFFFFF"/>
          <w:lang w:eastAsia="ru-RU"/>
        </w:rPr>
        <w:t xml:space="preserve">Totodată, majoritatea măsurilor orientate spre reducerea emisiilor de gaze cu efect de seră necesită </w:t>
      </w:r>
      <w:proofErr w:type="spellStart"/>
      <w:r w:rsidRPr="00FD2D5D">
        <w:rPr>
          <w:rFonts w:ascii="Times New Roman" w:eastAsia="Times New Roman" w:hAnsi="Times New Roman" w:cs="Times New Roman"/>
          <w:sz w:val="24"/>
          <w:szCs w:val="24"/>
          <w:shd w:val="clear" w:color="auto" w:fill="FFFFFF"/>
          <w:lang w:eastAsia="ru-RU"/>
        </w:rPr>
        <w:t>investiţii</w:t>
      </w:r>
      <w:proofErr w:type="spellEnd"/>
      <w:r w:rsidRPr="00FD2D5D">
        <w:rPr>
          <w:rFonts w:ascii="Times New Roman" w:eastAsia="Times New Roman" w:hAnsi="Times New Roman" w:cs="Times New Roman"/>
          <w:sz w:val="24"/>
          <w:szCs w:val="24"/>
          <w:shd w:val="clear" w:color="auto" w:fill="FFFFFF"/>
          <w:lang w:eastAsia="ru-RU"/>
        </w:rPr>
        <w:t xml:space="preserve">, care determină </w:t>
      </w:r>
      <w:proofErr w:type="spellStart"/>
      <w:r w:rsidRPr="00FD2D5D">
        <w:rPr>
          <w:rFonts w:ascii="Times New Roman" w:eastAsia="Times New Roman" w:hAnsi="Times New Roman" w:cs="Times New Roman"/>
          <w:sz w:val="24"/>
          <w:szCs w:val="24"/>
          <w:shd w:val="clear" w:color="auto" w:fill="FFFFFF"/>
          <w:lang w:eastAsia="ru-RU"/>
        </w:rPr>
        <w:t>creşterea</w:t>
      </w:r>
      <w:proofErr w:type="spellEnd"/>
      <w:r w:rsidRPr="00FD2D5D">
        <w:rPr>
          <w:rFonts w:ascii="Times New Roman" w:eastAsia="Times New Roman" w:hAnsi="Times New Roman" w:cs="Times New Roman"/>
          <w:sz w:val="24"/>
          <w:szCs w:val="24"/>
          <w:shd w:val="clear" w:color="auto" w:fill="FFFFFF"/>
          <w:lang w:eastAsia="ru-RU"/>
        </w:rPr>
        <w:t xml:space="preserve"> </w:t>
      </w:r>
      <w:proofErr w:type="spellStart"/>
      <w:r w:rsidRPr="00FD2D5D">
        <w:rPr>
          <w:rFonts w:ascii="Times New Roman" w:eastAsia="Times New Roman" w:hAnsi="Times New Roman" w:cs="Times New Roman"/>
          <w:sz w:val="24"/>
          <w:szCs w:val="24"/>
          <w:shd w:val="clear" w:color="auto" w:fill="FFFFFF"/>
          <w:lang w:eastAsia="ru-RU"/>
        </w:rPr>
        <w:t>preţurilor</w:t>
      </w:r>
      <w:proofErr w:type="spellEnd"/>
      <w:r w:rsidRPr="00FD2D5D">
        <w:rPr>
          <w:rFonts w:ascii="Times New Roman" w:eastAsia="Times New Roman" w:hAnsi="Times New Roman" w:cs="Times New Roman"/>
          <w:sz w:val="24"/>
          <w:szCs w:val="24"/>
          <w:shd w:val="clear" w:color="auto" w:fill="FFFFFF"/>
          <w:lang w:eastAsia="ru-RU"/>
        </w:rPr>
        <w:t xml:space="preserve"> la resursele energetice, ceea ce nu asigură durabilitate economiei.</w:t>
      </w:r>
    </w:p>
    <w:p w14:paraId="572CEC1E" w14:textId="1F558C92" w:rsidR="006364B2" w:rsidRPr="00FD2D5D" w:rsidRDefault="006364B2" w:rsidP="003E24C5">
      <w:pPr>
        <w:pStyle w:val="Listparagraf"/>
        <w:numPr>
          <w:ilvl w:val="0"/>
          <w:numId w:val="15"/>
        </w:numPr>
        <w:tabs>
          <w:tab w:val="left" w:pos="1134"/>
        </w:tabs>
        <w:spacing w:after="0" w:line="240" w:lineRule="auto"/>
        <w:jc w:val="both"/>
        <w:rPr>
          <w:rFonts w:ascii="Times New Roman" w:eastAsia="Times New Roman" w:hAnsi="Times New Roman" w:cs="Times New Roman"/>
          <w:sz w:val="24"/>
          <w:szCs w:val="24"/>
          <w:lang w:eastAsia="ru-RU"/>
        </w:rPr>
      </w:pPr>
      <w:r w:rsidRPr="00FD2D5D">
        <w:rPr>
          <w:rFonts w:ascii="Times New Roman" w:eastAsia="Times New Roman" w:hAnsi="Times New Roman" w:cs="Times New Roman"/>
          <w:sz w:val="24"/>
          <w:szCs w:val="24"/>
          <w:shd w:val="clear" w:color="auto" w:fill="FFFFFF"/>
          <w:lang w:eastAsia="ru-RU"/>
        </w:rPr>
        <w:t>Disponibilitatea unor surse de generare a energiei electrice</w:t>
      </w:r>
      <w:r w:rsidRPr="00FD2D5D">
        <w:rPr>
          <w:rFonts w:ascii="Times New Roman" w:eastAsia="Times New Roman" w:hAnsi="Times New Roman" w:cs="Times New Roman"/>
          <w:sz w:val="24"/>
          <w:szCs w:val="24"/>
          <w:lang w:eastAsia="ru-RU"/>
        </w:rPr>
        <w:t xml:space="preserve"> </w:t>
      </w:r>
      <w:r w:rsidRPr="00FD2D5D">
        <w:rPr>
          <w:rFonts w:ascii="Times New Roman" w:eastAsia="Times New Roman" w:hAnsi="Times New Roman" w:cs="Times New Roman"/>
          <w:sz w:val="24"/>
          <w:szCs w:val="24"/>
          <w:shd w:val="clear" w:color="auto" w:fill="FFFFFF"/>
          <w:lang w:eastAsia="ru-RU"/>
        </w:rPr>
        <w:t xml:space="preserve">(Ucraina </w:t>
      </w:r>
      <w:proofErr w:type="spellStart"/>
      <w:r w:rsidRPr="00FD2D5D">
        <w:rPr>
          <w:rFonts w:ascii="Times New Roman" w:eastAsia="Times New Roman" w:hAnsi="Times New Roman" w:cs="Times New Roman"/>
          <w:sz w:val="24"/>
          <w:szCs w:val="24"/>
          <w:shd w:val="clear" w:color="auto" w:fill="FFFFFF"/>
          <w:lang w:eastAsia="ru-RU"/>
        </w:rPr>
        <w:t>şi</w:t>
      </w:r>
      <w:proofErr w:type="spellEnd"/>
      <w:r w:rsidRPr="00FD2D5D">
        <w:rPr>
          <w:rFonts w:ascii="Times New Roman" w:eastAsia="Times New Roman" w:hAnsi="Times New Roman" w:cs="Times New Roman"/>
          <w:sz w:val="24"/>
          <w:szCs w:val="24"/>
          <w:shd w:val="clear" w:color="auto" w:fill="FFFFFF"/>
          <w:lang w:eastAsia="ru-RU"/>
        </w:rPr>
        <w:t xml:space="preserve"> Centrala Termoelectrică Moldovenească) care produc energie la </w:t>
      </w:r>
      <w:proofErr w:type="spellStart"/>
      <w:r w:rsidRPr="00FD2D5D">
        <w:rPr>
          <w:rFonts w:ascii="Times New Roman" w:eastAsia="Times New Roman" w:hAnsi="Times New Roman" w:cs="Times New Roman"/>
          <w:sz w:val="24"/>
          <w:szCs w:val="24"/>
          <w:shd w:val="clear" w:color="auto" w:fill="FFFFFF"/>
          <w:lang w:eastAsia="ru-RU"/>
        </w:rPr>
        <w:t>preţuri</w:t>
      </w:r>
      <w:proofErr w:type="spellEnd"/>
      <w:r w:rsidRPr="00FD2D5D">
        <w:rPr>
          <w:rFonts w:ascii="Times New Roman" w:eastAsia="Times New Roman" w:hAnsi="Times New Roman" w:cs="Times New Roman"/>
          <w:sz w:val="24"/>
          <w:szCs w:val="24"/>
          <w:shd w:val="clear" w:color="auto" w:fill="FFFFFF"/>
          <w:lang w:eastAsia="ru-RU"/>
        </w:rPr>
        <w:t xml:space="preserve"> mai mici </w:t>
      </w:r>
      <w:proofErr w:type="spellStart"/>
      <w:r w:rsidRPr="00FD2D5D">
        <w:rPr>
          <w:rFonts w:ascii="Times New Roman" w:eastAsia="Times New Roman" w:hAnsi="Times New Roman" w:cs="Times New Roman"/>
          <w:sz w:val="24"/>
          <w:szCs w:val="24"/>
          <w:shd w:val="clear" w:color="auto" w:fill="FFFFFF"/>
          <w:lang w:eastAsia="ru-RU"/>
        </w:rPr>
        <w:t>decît</w:t>
      </w:r>
      <w:proofErr w:type="spellEnd"/>
      <w:r w:rsidRPr="00FD2D5D">
        <w:rPr>
          <w:rFonts w:ascii="Times New Roman" w:eastAsia="Times New Roman" w:hAnsi="Times New Roman" w:cs="Times New Roman"/>
          <w:sz w:val="24"/>
          <w:szCs w:val="24"/>
          <w:shd w:val="clear" w:color="auto" w:fill="FFFFFF"/>
          <w:lang w:eastAsia="ru-RU"/>
        </w:rPr>
        <w:t xml:space="preserve"> o </w:t>
      </w:r>
      <w:proofErr w:type="spellStart"/>
      <w:r w:rsidRPr="00FD2D5D">
        <w:rPr>
          <w:rFonts w:ascii="Times New Roman" w:eastAsia="Times New Roman" w:hAnsi="Times New Roman" w:cs="Times New Roman"/>
          <w:sz w:val="24"/>
          <w:szCs w:val="24"/>
          <w:shd w:val="clear" w:color="auto" w:fill="FFFFFF"/>
          <w:lang w:eastAsia="ru-RU"/>
        </w:rPr>
        <w:t>instalaţie</w:t>
      </w:r>
      <w:proofErr w:type="spellEnd"/>
      <w:r w:rsidRPr="00FD2D5D">
        <w:rPr>
          <w:rFonts w:ascii="Times New Roman" w:eastAsia="Times New Roman" w:hAnsi="Times New Roman" w:cs="Times New Roman"/>
          <w:sz w:val="24"/>
          <w:szCs w:val="24"/>
          <w:shd w:val="clear" w:color="auto" w:fill="FFFFFF"/>
          <w:lang w:eastAsia="ru-RU"/>
        </w:rPr>
        <w:t xml:space="preserve"> nouă limitează interesul investitorilor pentru </w:t>
      </w:r>
      <w:proofErr w:type="spellStart"/>
      <w:r w:rsidRPr="00FD2D5D">
        <w:rPr>
          <w:rFonts w:ascii="Times New Roman" w:eastAsia="Times New Roman" w:hAnsi="Times New Roman" w:cs="Times New Roman"/>
          <w:sz w:val="24"/>
          <w:szCs w:val="24"/>
          <w:shd w:val="clear" w:color="auto" w:fill="FFFFFF"/>
          <w:lang w:eastAsia="ru-RU"/>
        </w:rPr>
        <w:t>construcţia</w:t>
      </w:r>
      <w:proofErr w:type="spellEnd"/>
      <w:r w:rsidRPr="00FD2D5D">
        <w:rPr>
          <w:rFonts w:ascii="Times New Roman" w:eastAsia="Times New Roman" w:hAnsi="Times New Roman" w:cs="Times New Roman"/>
          <w:sz w:val="24"/>
          <w:szCs w:val="24"/>
          <w:shd w:val="clear" w:color="auto" w:fill="FFFFFF"/>
          <w:lang w:eastAsia="ru-RU"/>
        </w:rPr>
        <w:t xml:space="preserve"> de noi centrale electrice în </w:t>
      </w:r>
      <w:proofErr w:type="spellStart"/>
      <w:r w:rsidRPr="00FD2D5D">
        <w:rPr>
          <w:rFonts w:ascii="Times New Roman" w:eastAsia="Times New Roman" w:hAnsi="Times New Roman" w:cs="Times New Roman"/>
          <w:sz w:val="24"/>
          <w:szCs w:val="24"/>
          <w:shd w:val="clear" w:color="auto" w:fill="FFFFFF"/>
          <w:lang w:eastAsia="ru-RU"/>
        </w:rPr>
        <w:t>ţară</w:t>
      </w:r>
      <w:proofErr w:type="spellEnd"/>
      <w:r w:rsidRPr="00FD2D5D">
        <w:rPr>
          <w:rFonts w:ascii="Times New Roman" w:eastAsia="Times New Roman" w:hAnsi="Times New Roman" w:cs="Times New Roman"/>
          <w:sz w:val="24"/>
          <w:szCs w:val="24"/>
          <w:shd w:val="clear" w:color="auto" w:fill="FFFFFF"/>
          <w:lang w:eastAsia="ru-RU"/>
        </w:rPr>
        <w:t>.</w:t>
      </w:r>
    </w:p>
    <w:p w14:paraId="561D3771" w14:textId="4C2290E4" w:rsidR="004E37D6" w:rsidRPr="00FD2D5D" w:rsidRDefault="006364B2" w:rsidP="003E24C5">
      <w:pPr>
        <w:pStyle w:val="Listparagraf"/>
        <w:numPr>
          <w:ilvl w:val="0"/>
          <w:numId w:val="15"/>
        </w:numPr>
        <w:tabs>
          <w:tab w:val="left" w:pos="1134"/>
        </w:tabs>
        <w:spacing w:after="120" w:line="240" w:lineRule="auto"/>
        <w:jc w:val="both"/>
        <w:rPr>
          <w:rFonts w:ascii="Times New Roman" w:eastAsia="Times New Roman" w:hAnsi="Times New Roman" w:cs="Times New Roman"/>
          <w:sz w:val="24"/>
          <w:szCs w:val="24"/>
          <w:lang w:eastAsia="ru-RU"/>
        </w:rPr>
      </w:pPr>
      <w:r w:rsidRPr="00FD2D5D">
        <w:rPr>
          <w:rFonts w:ascii="Times New Roman" w:eastAsia="Times New Roman" w:hAnsi="Times New Roman" w:cs="Times New Roman"/>
          <w:sz w:val="24"/>
          <w:szCs w:val="24"/>
          <w:shd w:val="clear" w:color="auto" w:fill="FFFFFF"/>
          <w:lang w:eastAsia="ru-RU"/>
        </w:rPr>
        <w:t xml:space="preserve">Cadrul legal favorabil pentru dezvoltarea surselor regenerabile este creat, </w:t>
      </w:r>
      <w:r w:rsidR="00F6625F" w:rsidRPr="00FD2D5D">
        <w:rPr>
          <w:rFonts w:ascii="Times New Roman" w:eastAsia="Times New Roman" w:hAnsi="Times New Roman" w:cs="Times New Roman"/>
          <w:sz w:val="24"/>
          <w:szCs w:val="24"/>
          <w:shd w:val="clear" w:color="auto" w:fill="FFFFFF"/>
          <w:lang w:eastAsia="ru-RU"/>
        </w:rPr>
        <w:t xml:space="preserve">însă </w:t>
      </w:r>
      <w:proofErr w:type="spellStart"/>
      <w:r w:rsidR="00F6625F" w:rsidRPr="00FD2D5D">
        <w:rPr>
          <w:rFonts w:ascii="Times New Roman" w:eastAsia="Times New Roman" w:hAnsi="Times New Roman" w:cs="Times New Roman"/>
          <w:sz w:val="24"/>
          <w:szCs w:val="24"/>
          <w:shd w:val="clear" w:color="auto" w:fill="FFFFFF"/>
          <w:lang w:eastAsia="ru-RU"/>
        </w:rPr>
        <w:t>licitaţia</w:t>
      </w:r>
      <w:proofErr w:type="spellEnd"/>
      <w:r w:rsidR="00F6625F" w:rsidRPr="00FD2D5D">
        <w:rPr>
          <w:rFonts w:ascii="Times New Roman" w:eastAsia="Times New Roman" w:hAnsi="Times New Roman" w:cs="Times New Roman"/>
          <w:sz w:val="24"/>
          <w:szCs w:val="24"/>
          <w:shd w:val="clear" w:color="auto" w:fill="FFFFFF"/>
          <w:lang w:eastAsia="ru-RU"/>
        </w:rPr>
        <w:t xml:space="preserve"> pentru </w:t>
      </w:r>
      <w:proofErr w:type="spellStart"/>
      <w:r w:rsidR="00F6625F" w:rsidRPr="00FD2D5D">
        <w:rPr>
          <w:rFonts w:ascii="Times New Roman" w:eastAsia="Times New Roman" w:hAnsi="Times New Roman" w:cs="Times New Roman"/>
          <w:sz w:val="24"/>
          <w:szCs w:val="24"/>
          <w:shd w:val="clear" w:color="auto" w:fill="FFFFFF"/>
          <w:lang w:eastAsia="ru-RU"/>
        </w:rPr>
        <w:t>construcţia</w:t>
      </w:r>
      <w:proofErr w:type="spellEnd"/>
      <w:r w:rsidR="00F6625F" w:rsidRPr="00FD2D5D">
        <w:rPr>
          <w:rFonts w:ascii="Times New Roman" w:eastAsia="Times New Roman" w:hAnsi="Times New Roman" w:cs="Times New Roman"/>
          <w:sz w:val="24"/>
          <w:szCs w:val="24"/>
          <w:shd w:val="clear" w:color="auto" w:fill="FFFFFF"/>
          <w:lang w:eastAsia="ru-RU"/>
        </w:rPr>
        <w:t xml:space="preserve"> de noi </w:t>
      </w:r>
      <w:proofErr w:type="spellStart"/>
      <w:r w:rsidR="00F6625F" w:rsidRPr="00FD2D5D">
        <w:rPr>
          <w:rFonts w:ascii="Times New Roman" w:eastAsia="Times New Roman" w:hAnsi="Times New Roman" w:cs="Times New Roman"/>
          <w:sz w:val="24"/>
          <w:szCs w:val="24"/>
          <w:shd w:val="clear" w:color="auto" w:fill="FFFFFF"/>
          <w:lang w:eastAsia="ru-RU"/>
        </w:rPr>
        <w:t>capacităţi</w:t>
      </w:r>
      <w:proofErr w:type="spellEnd"/>
      <w:r w:rsidR="00F6625F" w:rsidRPr="00FD2D5D">
        <w:rPr>
          <w:rFonts w:ascii="Times New Roman" w:eastAsia="Times New Roman" w:hAnsi="Times New Roman" w:cs="Times New Roman"/>
          <w:sz w:val="24"/>
          <w:szCs w:val="24"/>
          <w:shd w:val="clear" w:color="auto" w:fill="FFFFFF"/>
          <w:lang w:eastAsia="ru-RU"/>
        </w:rPr>
        <w:t xml:space="preserve"> nu a fost lansată până în prezent. </w:t>
      </w:r>
      <w:r w:rsidRPr="00FD2D5D">
        <w:rPr>
          <w:rFonts w:ascii="Times New Roman" w:eastAsia="Times New Roman" w:hAnsi="Times New Roman" w:cs="Times New Roman"/>
          <w:sz w:val="24"/>
          <w:szCs w:val="24"/>
          <w:shd w:val="clear" w:color="auto" w:fill="FFFFFF"/>
          <w:lang w:eastAsia="ru-RU"/>
        </w:rPr>
        <w:t xml:space="preserve">Drept urmare, </w:t>
      </w:r>
      <w:r w:rsidR="00F6625F" w:rsidRPr="00FD2D5D">
        <w:rPr>
          <w:rFonts w:ascii="Times New Roman" w:eastAsia="Times New Roman" w:hAnsi="Times New Roman" w:cs="Times New Roman"/>
          <w:sz w:val="24"/>
          <w:szCs w:val="24"/>
          <w:shd w:val="clear" w:color="auto" w:fill="FFFFFF"/>
          <w:lang w:eastAsia="ru-RU"/>
        </w:rPr>
        <w:t>rămâne încă incertă</w:t>
      </w:r>
      <w:r w:rsidRPr="00FD2D5D">
        <w:rPr>
          <w:rFonts w:ascii="Times New Roman" w:eastAsia="Times New Roman" w:hAnsi="Times New Roman" w:cs="Times New Roman"/>
          <w:sz w:val="24"/>
          <w:szCs w:val="24"/>
          <w:shd w:val="clear" w:color="auto" w:fill="FFFFFF"/>
          <w:lang w:eastAsia="ru-RU"/>
        </w:rPr>
        <w:t xml:space="preserve"> realizarea obiectivelor expuse în documentele strategice ale statului la capitolul promovarea surselor de energie regenerabilă.</w:t>
      </w:r>
      <w:r w:rsidRPr="00FD2D5D">
        <w:rPr>
          <w:rFonts w:ascii="Times New Roman" w:eastAsia="Times New Roman" w:hAnsi="Times New Roman" w:cs="Times New Roman"/>
          <w:sz w:val="24"/>
          <w:szCs w:val="24"/>
          <w:lang w:eastAsia="ru-RU"/>
        </w:rPr>
        <w:t xml:space="preserve"> </w:t>
      </w:r>
      <w:r w:rsidRPr="00FD2D5D">
        <w:rPr>
          <w:rFonts w:ascii="Times New Roman" w:eastAsia="Times New Roman" w:hAnsi="Times New Roman" w:cs="Times New Roman"/>
          <w:sz w:val="24"/>
          <w:szCs w:val="24"/>
          <w:shd w:val="clear" w:color="auto" w:fill="FFFFFF"/>
          <w:lang w:eastAsia="ru-RU"/>
        </w:rPr>
        <w:t xml:space="preserve">Costurile mari ale tehnologiilor de energie regenerabilă </w:t>
      </w:r>
      <w:proofErr w:type="spellStart"/>
      <w:r w:rsidRPr="00FD2D5D">
        <w:rPr>
          <w:rFonts w:ascii="Times New Roman" w:eastAsia="Times New Roman" w:hAnsi="Times New Roman" w:cs="Times New Roman"/>
          <w:sz w:val="24"/>
          <w:szCs w:val="24"/>
          <w:shd w:val="clear" w:color="auto" w:fill="FFFFFF"/>
          <w:lang w:eastAsia="ru-RU"/>
        </w:rPr>
        <w:t>şi</w:t>
      </w:r>
      <w:proofErr w:type="spellEnd"/>
      <w:r w:rsidRPr="00FD2D5D">
        <w:rPr>
          <w:rFonts w:ascii="Times New Roman" w:eastAsia="Times New Roman" w:hAnsi="Times New Roman" w:cs="Times New Roman"/>
          <w:sz w:val="24"/>
          <w:szCs w:val="24"/>
          <w:shd w:val="clear" w:color="auto" w:fill="FFFFFF"/>
          <w:lang w:eastAsia="ru-RU"/>
        </w:rPr>
        <w:t xml:space="preserve"> </w:t>
      </w:r>
      <w:r w:rsidR="00F6625F" w:rsidRPr="00FD2D5D">
        <w:rPr>
          <w:rFonts w:ascii="Times New Roman" w:eastAsia="Times New Roman" w:hAnsi="Times New Roman" w:cs="Times New Roman"/>
          <w:sz w:val="24"/>
          <w:szCs w:val="24"/>
          <w:shd w:val="clear" w:color="auto" w:fill="FFFFFF"/>
          <w:lang w:eastAsia="ru-RU"/>
        </w:rPr>
        <w:t>capacitatea de plată redusă a consumatorilor de energie electrică</w:t>
      </w:r>
      <w:r w:rsidRPr="00FD2D5D">
        <w:rPr>
          <w:rFonts w:ascii="Times New Roman" w:eastAsia="Times New Roman" w:hAnsi="Times New Roman" w:cs="Times New Roman"/>
          <w:sz w:val="24"/>
          <w:szCs w:val="24"/>
          <w:shd w:val="clear" w:color="auto" w:fill="FFFFFF"/>
          <w:lang w:eastAsia="ru-RU"/>
        </w:rPr>
        <w:t xml:space="preserve"> reprezintă obstacole majore în calea extinderii surselor de energie regenerabilă în Republica Moldova. </w:t>
      </w:r>
      <w:r w:rsidR="00F6625F" w:rsidRPr="00FD2D5D">
        <w:rPr>
          <w:rFonts w:ascii="Times New Roman" w:eastAsia="Times New Roman" w:hAnsi="Times New Roman" w:cs="Times New Roman"/>
          <w:sz w:val="24"/>
          <w:szCs w:val="24"/>
          <w:shd w:val="clear" w:color="auto" w:fill="FFFFFF"/>
          <w:lang w:eastAsia="ru-RU"/>
        </w:rPr>
        <w:t xml:space="preserve">Rata sărăciei absolute în anul 2019 a constituit 25,2%, în </w:t>
      </w:r>
      <w:proofErr w:type="spellStart"/>
      <w:r w:rsidR="00F6625F" w:rsidRPr="00FD2D5D">
        <w:rPr>
          <w:rFonts w:ascii="Times New Roman" w:eastAsia="Times New Roman" w:hAnsi="Times New Roman" w:cs="Times New Roman"/>
          <w:sz w:val="24"/>
          <w:szCs w:val="24"/>
          <w:shd w:val="clear" w:color="auto" w:fill="FFFFFF"/>
          <w:lang w:eastAsia="ru-RU"/>
        </w:rPr>
        <w:t>creştere</w:t>
      </w:r>
      <w:proofErr w:type="spellEnd"/>
      <w:r w:rsidR="00F6625F" w:rsidRPr="00FD2D5D">
        <w:rPr>
          <w:rFonts w:ascii="Times New Roman" w:eastAsia="Times New Roman" w:hAnsi="Times New Roman" w:cs="Times New Roman"/>
          <w:sz w:val="24"/>
          <w:szCs w:val="24"/>
          <w:shd w:val="clear" w:color="auto" w:fill="FFFFFF"/>
          <w:lang w:eastAsia="ru-RU"/>
        </w:rPr>
        <w:t xml:space="preserve"> </w:t>
      </w:r>
      <w:proofErr w:type="spellStart"/>
      <w:r w:rsidR="00F6625F" w:rsidRPr="00FD2D5D">
        <w:rPr>
          <w:rFonts w:ascii="Times New Roman" w:eastAsia="Times New Roman" w:hAnsi="Times New Roman" w:cs="Times New Roman"/>
          <w:sz w:val="24"/>
          <w:szCs w:val="24"/>
          <w:shd w:val="clear" w:color="auto" w:fill="FFFFFF"/>
          <w:lang w:eastAsia="ru-RU"/>
        </w:rPr>
        <w:t>faţă</w:t>
      </w:r>
      <w:proofErr w:type="spellEnd"/>
      <w:r w:rsidR="00F6625F" w:rsidRPr="00FD2D5D">
        <w:rPr>
          <w:rFonts w:ascii="Times New Roman" w:eastAsia="Times New Roman" w:hAnsi="Times New Roman" w:cs="Times New Roman"/>
          <w:sz w:val="24"/>
          <w:szCs w:val="24"/>
          <w:shd w:val="clear" w:color="auto" w:fill="FFFFFF"/>
          <w:lang w:eastAsia="ru-RU"/>
        </w:rPr>
        <w:t xml:space="preserve"> de anul 2018 (23%)</w:t>
      </w:r>
      <w:r w:rsidR="00E72318" w:rsidRPr="00FD2D5D">
        <w:rPr>
          <w:rFonts w:ascii="Times New Roman" w:eastAsia="Times New Roman" w:hAnsi="Times New Roman" w:cs="Times New Roman"/>
          <w:sz w:val="24"/>
          <w:szCs w:val="24"/>
          <w:shd w:val="clear" w:color="auto" w:fill="FFFFFF"/>
          <w:lang w:eastAsia="ru-RU"/>
        </w:rPr>
        <w:t xml:space="preserve">, afectând </w:t>
      </w:r>
      <w:r w:rsidR="00434D55" w:rsidRPr="00FD2D5D">
        <w:rPr>
          <w:rFonts w:ascii="Times New Roman" w:eastAsia="Times New Roman" w:hAnsi="Times New Roman" w:cs="Times New Roman"/>
          <w:sz w:val="24"/>
          <w:szCs w:val="24"/>
          <w:shd w:val="clear" w:color="auto" w:fill="FFFFFF"/>
          <w:lang w:eastAsia="ru-RU"/>
        </w:rPr>
        <w:t xml:space="preserve">mai semnificativ populația rurală, în special vârstnicii </w:t>
      </w:r>
      <w:r w:rsidR="00F41290" w:rsidRPr="00FD2D5D">
        <w:rPr>
          <w:rFonts w:ascii="Times New Roman" w:eastAsia="Times New Roman" w:hAnsi="Times New Roman" w:cs="Times New Roman"/>
          <w:sz w:val="24"/>
          <w:szCs w:val="24"/>
          <w:shd w:val="clear" w:color="auto" w:fill="FFFFFF"/>
          <w:lang w:eastAsia="ru-RU"/>
        </w:rPr>
        <w:t>(38,1%)</w:t>
      </w:r>
      <w:r w:rsidR="00F41290" w:rsidRPr="00FD2D5D">
        <w:rPr>
          <w:rStyle w:val="Referinnotdesubsol"/>
          <w:rFonts w:ascii="Times New Roman" w:eastAsia="Times New Roman" w:hAnsi="Times New Roman" w:cs="Times New Roman"/>
          <w:sz w:val="24"/>
          <w:szCs w:val="24"/>
          <w:shd w:val="clear" w:color="auto" w:fill="FFFFFF"/>
          <w:lang w:eastAsia="ru-RU"/>
        </w:rPr>
        <w:footnoteReference w:id="4"/>
      </w:r>
      <w:r w:rsidR="00F6625F" w:rsidRPr="00FD2D5D">
        <w:rPr>
          <w:rFonts w:ascii="Times New Roman" w:eastAsia="Times New Roman" w:hAnsi="Times New Roman" w:cs="Times New Roman"/>
          <w:sz w:val="24"/>
          <w:szCs w:val="24"/>
          <w:shd w:val="clear" w:color="auto" w:fill="FFFFFF"/>
          <w:lang w:eastAsia="ru-RU"/>
        </w:rPr>
        <w:t xml:space="preserve">. </w:t>
      </w:r>
      <w:r w:rsidR="00660FBD" w:rsidRPr="00FD2D5D">
        <w:rPr>
          <w:rFonts w:ascii="Times New Roman" w:eastAsia="Times New Roman" w:hAnsi="Times New Roman" w:cs="Times New Roman"/>
          <w:sz w:val="24"/>
          <w:szCs w:val="24"/>
          <w:shd w:val="clear" w:color="auto" w:fill="FFFFFF"/>
          <w:lang w:eastAsia="ru-RU"/>
        </w:rPr>
        <w:t xml:space="preserve">Din cauza secetelor frecvente, a devenit problematică </w:t>
      </w:r>
      <w:r w:rsidRPr="00FD2D5D">
        <w:rPr>
          <w:rFonts w:ascii="Times New Roman" w:eastAsia="Times New Roman" w:hAnsi="Times New Roman" w:cs="Times New Roman"/>
          <w:sz w:val="24"/>
          <w:szCs w:val="24"/>
          <w:shd w:val="clear" w:color="auto" w:fill="FFFFFF"/>
          <w:lang w:eastAsia="ru-RU"/>
        </w:rPr>
        <w:t>utilizarea biomasei pentru producerea energiei termice în zonele rurale</w:t>
      </w:r>
      <w:r w:rsidR="00660FBD" w:rsidRPr="00FD2D5D">
        <w:rPr>
          <w:rFonts w:ascii="Times New Roman" w:eastAsia="Times New Roman" w:hAnsi="Times New Roman" w:cs="Times New Roman"/>
          <w:sz w:val="24"/>
          <w:szCs w:val="24"/>
          <w:shd w:val="clear" w:color="auto" w:fill="FFFFFF"/>
          <w:lang w:eastAsia="ru-RU"/>
        </w:rPr>
        <w:t>.</w:t>
      </w:r>
    </w:p>
    <w:p w14:paraId="32F374C0" w14:textId="3D3FDD65" w:rsidR="006364B2" w:rsidRPr="00FD2D5D" w:rsidRDefault="006364B2" w:rsidP="003E24C5">
      <w:pPr>
        <w:pStyle w:val="Listparagraf"/>
        <w:numPr>
          <w:ilvl w:val="0"/>
          <w:numId w:val="15"/>
        </w:numPr>
        <w:tabs>
          <w:tab w:val="left" w:pos="1134"/>
        </w:tabs>
        <w:spacing w:after="120" w:line="240" w:lineRule="auto"/>
        <w:jc w:val="both"/>
        <w:rPr>
          <w:rFonts w:ascii="Times New Roman" w:eastAsia="Times New Roman" w:hAnsi="Times New Roman" w:cs="Times New Roman"/>
          <w:sz w:val="24"/>
          <w:szCs w:val="24"/>
          <w:lang w:eastAsia="ru-RU"/>
        </w:rPr>
      </w:pPr>
      <w:r w:rsidRPr="00FD2D5D">
        <w:rPr>
          <w:rFonts w:ascii="Times New Roman" w:eastAsia="Times New Roman" w:hAnsi="Times New Roman" w:cs="Times New Roman"/>
          <w:sz w:val="24"/>
          <w:szCs w:val="24"/>
          <w:lang w:eastAsia="ru-RU"/>
        </w:rPr>
        <w:t xml:space="preserve">Odată cu </w:t>
      </w:r>
      <w:r w:rsidR="00086427" w:rsidRPr="00FD2D5D">
        <w:rPr>
          <w:rFonts w:ascii="Times New Roman" w:eastAsia="Times New Roman" w:hAnsi="Times New Roman" w:cs="Times New Roman"/>
          <w:sz w:val="24"/>
          <w:szCs w:val="24"/>
          <w:lang w:eastAsia="ru-RU"/>
        </w:rPr>
        <w:t xml:space="preserve">semnarea Acordului de asociere dintre Republica Moldova </w:t>
      </w:r>
      <w:proofErr w:type="spellStart"/>
      <w:r w:rsidR="00086427" w:rsidRPr="00FD2D5D">
        <w:rPr>
          <w:rFonts w:ascii="Times New Roman" w:eastAsia="Times New Roman" w:hAnsi="Times New Roman" w:cs="Times New Roman"/>
          <w:sz w:val="24"/>
          <w:szCs w:val="24"/>
          <w:lang w:eastAsia="ru-RU"/>
        </w:rPr>
        <w:t>şi</w:t>
      </w:r>
      <w:proofErr w:type="spellEnd"/>
      <w:r w:rsidR="00086427" w:rsidRPr="00FD2D5D">
        <w:rPr>
          <w:rFonts w:ascii="Times New Roman" w:eastAsia="Times New Roman" w:hAnsi="Times New Roman" w:cs="Times New Roman"/>
          <w:sz w:val="24"/>
          <w:szCs w:val="24"/>
          <w:lang w:eastAsia="ru-RU"/>
        </w:rPr>
        <w:t xml:space="preserve"> Uniunea Europeană</w:t>
      </w:r>
      <w:r w:rsidRPr="00FD2D5D">
        <w:rPr>
          <w:rFonts w:ascii="Times New Roman" w:eastAsia="Times New Roman" w:hAnsi="Times New Roman" w:cs="Times New Roman"/>
          <w:sz w:val="24"/>
          <w:szCs w:val="24"/>
          <w:lang w:eastAsia="ru-RU"/>
        </w:rPr>
        <w:t xml:space="preserve">, </w:t>
      </w:r>
      <w:proofErr w:type="spellStart"/>
      <w:r w:rsidRPr="00FD2D5D">
        <w:rPr>
          <w:rFonts w:ascii="Times New Roman" w:eastAsia="Times New Roman" w:hAnsi="Times New Roman" w:cs="Times New Roman"/>
          <w:sz w:val="24"/>
          <w:szCs w:val="24"/>
          <w:lang w:eastAsia="ru-RU"/>
        </w:rPr>
        <w:t>ţara</w:t>
      </w:r>
      <w:proofErr w:type="spellEnd"/>
      <w:r w:rsidRPr="00FD2D5D">
        <w:rPr>
          <w:rFonts w:ascii="Times New Roman" w:eastAsia="Times New Roman" w:hAnsi="Times New Roman" w:cs="Times New Roman"/>
          <w:sz w:val="24"/>
          <w:szCs w:val="24"/>
          <w:lang w:eastAsia="ru-RU"/>
        </w:rPr>
        <w:t xml:space="preserve"> noastră </w:t>
      </w:r>
      <w:r w:rsidR="00660FBD" w:rsidRPr="00FD2D5D">
        <w:rPr>
          <w:rFonts w:ascii="Times New Roman" w:eastAsia="Times New Roman" w:hAnsi="Times New Roman" w:cs="Times New Roman"/>
          <w:sz w:val="24"/>
          <w:szCs w:val="24"/>
          <w:lang w:eastAsia="ru-RU"/>
        </w:rPr>
        <w:t>miza mult pe aderarea</w:t>
      </w:r>
      <w:r w:rsidR="00086427" w:rsidRPr="00FD2D5D">
        <w:rPr>
          <w:rFonts w:ascii="Times New Roman" w:eastAsia="Times New Roman" w:hAnsi="Times New Roman" w:cs="Times New Roman"/>
          <w:sz w:val="24"/>
          <w:szCs w:val="24"/>
          <w:lang w:eastAsia="ru-RU"/>
        </w:rPr>
        <w:t xml:space="preserve"> ulterioară a</w:t>
      </w:r>
      <w:r w:rsidR="00660FBD" w:rsidRPr="00FD2D5D">
        <w:rPr>
          <w:rFonts w:ascii="Times New Roman" w:eastAsia="Times New Roman" w:hAnsi="Times New Roman" w:cs="Times New Roman"/>
          <w:sz w:val="24"/>
          <w:szCs w:val="24"/>
          <w:lang w:eastAsia="ru-RU"/>
        </w:rPr>
        <w:t xml:space="preserve"> </w:t>
      </w:r>
      <w:proofErr w:type="spellStart"/>
      <w:r w:rsidR="00660FBD" w:rsidRPr="00FD2D5D">
        <w:rPr>
          <w:rFonts w:ascii="Times New Roman" w:eastAsia="Times New Roman" w:hAnsi="Times New Roman" w:cs="Times New Roman"/>
          <w:sz w:val="24"/>
          <w:szCs w:val="24"/>
          <w:lang w:eastAsia="ru-RU"/>
        </w:rPr>
        <w:t>ţării</w:t>
      </w:r>
      <w:proofErr w:type="spellEnd"/>
      <w:r w:rsidR="00660FBD" w:rsidRPr="00FD2D5D">
        <w:rPr>
          <w:rFonts w:ascii="Times New Roman" w:eastAsia="Times New Roman" w:hAnsi="Times New Roman" w:cs="Times New Roman"/>
          <w:sz w:val="24"/>
          <w:szCs w:val="24"/>
          <w:lang w:eastAsia="ru-RU"/>
        </w:rPr>
        <w:t xml:space="preserve"> la </w:t>
      </w:r>
      <w:proofErr w:type="spellStart"/>
      <w:r w:rsidR="00660FBD" w:rsidRPr="00FD2D5D">
        <w:rPr>
          <w:rFonts w:ascii="Times New Roman" w:eastAsia="Times New Roman" w:hAnsi="Times New Roman" w:cs="Times New Roman"/>
          <w:sz w:val="24"/>
          <w:szCs w:val="24"/>
          <w:lang w:eastAsia="ru-RU"/>
        </w:rPr>
        <w:t>piaţa</w:t>
      </w:r>
      <w:proofErr w:type="spellEnd"/>
      <w:r w:rsidR="00660FBD" w:rsidRPr="00FD2D5D">
        <w:rPr>
          <w:rFonts w:ascii="Times New Roman" w:eastAsia="Times New Roman" w:hAnsi="Times New Roman" w:cs="Times New Roman"/>
          <w:sz w:val="24"/>
          <w:szCs w:val="24"/>
          <w:lang w:eastAsia="ru-RU"/>
        </w:rPr>
        <w:t xml:space="preserve"> de carbon a UE, pe care </w:t>
      </w:r>
      <w:proofErr w:type="spellStart"/>
      <w:r w:rsidR="00660FBD" w:rsidRPr="00FD2D5D">
        <w:rPr>
          <w:rFonts w:ascii="Times New Roman" w:eastAsia="Times New Roman" w:hAnsi="Times New Roman" w:cs="Times New Roman"/>
          <w:sz w:val="24"/>
          <w:szCs w:val="24"/>
          <w:lang w:eastAsia="ru-RU"/>
        </w:rPr>
        <w:t>ţara</w:t>
      </w:r>
      <w:proofErr w:type="spellEnd"/>
      <w:r w:rsidR="00660FBD" w:rsidRPr="00FD2D5D">
        <w:rPr>
          <w:rFonts w:ascii="Times New Roman" w:eastAsia="Times New Roman" w:hAnsi="Times New Roman" w:cs="Times New Roman"/>
          <w:sz w:val="24"/>
          <w:szCs w:val="24"/>
          <w:lang w:eastAsia="ru-RU"/>
        </w:rPr>
        <w:t xml:space="preserve"> ar fi putut </w:t>
      </w:r>
      <w:proofErr w:type="spellStart"/>
      <w:r w:rsidR="00660FBD" w:rsidRPr="00FD2D5D">
        <w:rPr>
          <w:rFonts w:ascii="Times New Roman" w:eastAsia="Times New Roman" w:hAnsi="Times New Roman" w:cs="Times New Roman"/>
          <w:sz w:val="24"/>
          <w:szCs w:val="24"/>
          <w:lang w:eastAsia="ru-RU"/>
        </w:rPr>
        <w:t>tranzacţiona</w:t>
      </w:r>
      <w:proofErr w:type="spellEnd"/>
      <w:r w:rsidR="00660FBD" w:rsidRPr="00FD2D5D">
        <w:rPr>
          <w:rFonts w:ascii="Times New Roman" w:eastAsia="Times New Roman" w:hAnsi="Times New Roman" w:cs="Times New Roman"/>
          <w:sz w:val="24"/>
          <w:szCs w:val="24"/>
          <w:lang w:eastAsia="ru-RU"/>
        </w:rPr>
        <w:t xml:space="preserve"> reducerile de emisii </w:t>
      </w:r>
      <w:r w:rsidR="00CB4AF2" w:rsidRPr="00FD2D5D">
        <w:rPr>
          <w:rFonts w:ascii="Times New Roman" w:eastAsia="Times New Roman" w:hAnsi="Times New Roman" w:cs="Times New Roman"/>
          <w:sz w:val="24"/>
          <w:szCs w:val="24"/>
          <w:lang w:eastAsia="ru-RU"/>
        </w:rPr>
        <w:t>create</w:t>
      </w:r>
      <w:r w:rsidR="00660FBD" w:rsidRPr="00FD2D5D">
        <w:rPr>
          <w:rFonts w:ascii="Times New Roman" w:eastAsia="Times New Roman" w:hAnsi="Times New Roman" w:cs="Times New Roman"/>
          <w:sz w:val="24"/>
          <w:szCs w:val="24"/>
          <w:lang w:eastAsia="ru-RU"/>
        </w:rPr>
        <w:t xml:space="preserve"> pe teritoriul său. Analizele ulterioare efectuate, însă, au arătat că costurile interne de gestionare a mecanismului de comercializare a reducerilor de carbon </w:t>
      </w:r>
      <w:proofErr w:type="spellStart"/>
      <w:r w:rsidR="00660FBD" w:rsidRPr="00FD2D5D">
        <w:rPr>
          <w:rFonts w:ascii="Times New Roman" w:eastAsia="Times New Roman" w:hAnsi="Times New Roman" w:cs="Times New Roman"/>
          <w:sz w:val="24"/>
          <w:szCs w:val="24"/>
          <w:lang w:eastAsia="ru-RU"/>
        </w:rPr>
        <w:t>depăşesc</w:t>
      </w:r>
      <w:proofErr w:type="spellEnd"/>
      <w:r w:rsidR="00660FBD" w:rsidRPr="00FD2D5D">
        <w:rPr>
          <w:rFonts w:ascii="Times New Roman" w:eastAsia="Times New Roman" w:hAnsi="Times New Roman" w:cs="Times New Roman"/>
          <w:sz w:val="24"/>
          <w:szCs w:val="24"/>
          <w:lang w:eastAsia="ru-RU"/>
        </w:rPr>
        <w:t xml:space="preserve"> efectul de pe urma comercializării în cauză. Drept urmare, Republica Moldova urmează să evalueze oportunitatea </w:t>
      </w:r>
      <w:proofErr w:type="spellStart"/>
      <w:r w:rsidR="00660FBD" w:rsidRPr="00FD2D5D">
        <w:rPr>
          <w:rFonts w:ascii="Times New Roman" w:eastAsia="Times New Roman" w:hAnsi="Times New Roman" w:cs="Times New Roman"/>
          <w:sz w:val="24"/>
          <w:szCs w:val="24"/>
          <w:lang w:eastAsia="ru-RU"/>
        </w:rPr>
        <w:t>iniţierii</w:t>
      </w:r>
      <w:proofErr w:type="spellEnd"/>
      <w:r w:rsidR="00660FBD" w:rsidRPr="00FD2D5D">
        <w:rPr>
          <w:rFonts w:ascii="Times New Roman" w:eastAsia="Times New Roman" w:hAnsi="Times New Roman" w:cs="Times New Roman"/>
          <w:sz w:val="24"/>
          <w:szCs w:val="24"/>
          <w:lang w:eastAsia="ru-RU"/>
        </w:rPr>
        <w:t xml:space="preserve"> unor negocieri cu Uniunea Europeană în vederea </w:t>
      </w:r>
      <w:proofErr w:type="spellStart"/>
      <w:r w:rsidR="00660FBD" w:rsidRPr="00FD2D5D">
        <w:rPr>
          <w:rFonts w:ascii="Times New Roman" w:eastAsia="Times New Roman" w:hAnsi="Times New Roman" w:cs="Times New Roman"/>
          <w:sz w:val="24"/>
          <w:szCs w:val="24"/>
          <w:lang w:eastAsia="ru-RU"/>
        </w:rPr>
        <w:t>depăşirii</w:t>
      </w:r>
      <w:proofErr w:type="spellEnd"/>
      <w:r w:rsidR="00660FBD" w:rsidRPr="00FD2D5D">
        <w:rPr>
          <w:rFonts w:ascii="Times New Roman" w:eastAsia="Times New Roman" w:hAnsi="Times New Roman" w:cs="Times New Roman"/>
          <w:sz w:val="24"/>
          <w:szCs w:val="24"/>
          <w:lang w:eastAsia="ru-RU"/>
        </w:rPr>
        <w:t xml:space="preserve"> problemei </w:t>
      </w:r>
      <w:r w:rsidR="00CB4AF2" w:rsidRPr="00FD2D5D">
        <w:rPr>
          <w:rFonts w:ascii="Times New Roman" w:eastAsia="Times New Roman" w:hAnsi="Times New Roman" w:cs="Times New Roman"/>
          <w:sz w:val="24"/>
          <w:szCs w:val="24"/>
          <w:lang w:eastAsia="ru-RU"/>
        </w:rPr>
        <w:t>date.</w:t>
      </w:r>
    </w:p>
    <w:p w14:paraId="40D2A8EA" w14:textId="07CF835A" w:rsidR="006364B2" w:rsidRPr="00FD2D5D" w:rsidRDefault="006364B2" w:rsidP="001F2F2D">
      <w:pPr>
        <w:spacing w:after="120" w:line="240" w:lineRule="auto"/>
        <w:ind w:firstLine="720"/>
        <w:jc w:val="both"/>
        <w:outlineLvl w:val="2"/>
        <w:rPr>
          <w:rFonts w:ascii="Times New Roman" w:eastAsia="Times New Roman" w:hAnsi="Times New Roman" w:cs="Times New Roman"/>
          <w:b/>
          <w:bCs/>
          <w:sz w:val="24"/>
          <w:szCs w:val="24"/>
          <w:lang w:eastAsia="ru-RU"/>
        </w:rPr>
      </w:pPr>
      <w:r w:rsidRPr="00FD2D5D">
        <w:rPr>
          <w:rFonts w:ascii="Times New Roman" w:eastAsia="Times New Roman" w:hAnsi="Times New Roman" w:cs="Times New Roman"/>
          <w:b/>
          <w:bCs/>
          <w:color w:val="000000"/>
          <w:sz w:val="24"/>
          <w:szCs w:val="24"/>
          <w:lang w:eastAsia="ru-RU"/>
        </w:rPr>
        <w:t>2.2.</w:t>
      </w:r>
      <w:r w:rsidR="00403E3C" w:rsidRPr="00FD2D5D">
        <w:rPr>
          <w:rFonts w:ascii="Times New Roman" w:eastAsia="Times New Roman" w:hAnsi="Times New Roman" w:cs="Times New Roman"/>
          <w:b/>
          <w:bCs/>
          <w:color w:val="000000"/>
          <w:sz w:val="24"/>
          <w:szCs w:val="24"/>
          <w:lang w:eastAsia="ru-RU"/>
        </w:rPr>
        <w:t>2.</w:t>
      </w:r>
      <w:r w:rsidRPr="00FD2D5D">
        <w:rPr>
          <w:rFonts w:ascii="Times New Roman" w:eastAsia="Times New Roman" w:hAnsi="Times New Roman" w:cs="Times New Roman"/>
          <w:b/>
          <w:bCs/>
          <w:color w:val="000000"/>
          <w:sz w:val="24"/>
          <w:szCs w:val="24"/>
          <w:lang w:eastAsia="ru-RU"/>
        </w:rPr>
        <w:t xml:space="preserve"> </w:t>
      </w:r>
      <w:proofErr w:type="spellStart"/>
      <w:r w:rsidRPr="00FD2D5D">
        <w:rPr>
          <w:rFonts w:ascii="Times New Roman" w:eastAsia="Times New Roman" w:hAnsi="Times New Roman" w:cs="Times New Roman"/>
          <w:b/>
          <w:bCs/>
          <w:color w:val="000000"/>
          <w:sz w:val="24"/>
          <w:szCs w:val="24"/>
          <w:lang w:eastAsia="ru-RU"/>
        </w:rPr>
        <w:t>Contribuţia</w:t>
      </w:r>
      <w:proofErr w:type="spellEnd"/>
      <w:r w:rsidRPr="00FD2D5D">
        <w:rPr>
          <w:rFonts w:ascii="Times New Roman" w:eastAsia="Times New Roman" w:hAnsi="Times New Roman" w:cs="Times New Roman"/>
          <w:b/>
          <w:bCs/>
          <w:color w:val="000000"/>
          <w:sz w:val="24"/>
          <w:szCs w:val="24"/>
          <w:lang w:eastAsia="ru-RU"/>
        </w:rPr>
        <w:t xml:space="preserve"> </w:t>
      </w:r>
      <w:r w:rsidRPr="00FD2D5D">
        <w:rPr>
          <w:rFonts w:ascii="Times New Roman" w:eastAsia="Times New Roman" w:hAnsi="Times New Roman" w:cs="Times New Roman"/>
          <w:b/>
          <w:bCs/>
          <w:iCs/>
          <w:color w:val="000000"/>
          <w:sz w:val="24"/>
          <w:szCs w:val="24"/>
          <w:lang w:eastAsia="ru-RU"/>
        </w:rPr>
        <w:t xml:space="preserve">sectorului </w:t>
      </w:r>
      <w:r w:rsidRPr="00FD2D5D">
        <w:rPr>
          <w:rFonts w:ascii="Times New Roman" w:eastAsia="Times New Roman" w:hAnsi="Times New Roman" w:cs="Times New Roman"/>
          <w:b/>
          <w:bCs/>
          <w:i/>
          <w:color w:val="000000"/>
          <w:sz w:val="24"/>
          <w:szCs w:val="24"/>
          <w:lang w:eastAsia="ru-RU"/>
        </w:rPr>
        <w:t xml:space="preserve">transporturi </w:t>
      </w:r>
      <w:r w:rsidRPr="00FD2D5D">
        <w:rPr>
          <w:rFonts w:ascii="Times New Roman" w:eastAsia="Times New Roman" w:hAnsi="Times New Roman" w:cs="Times New Roman"/>
          <w:b/>
          <w:bCs/>
          <w:color w:val="000000"/>
          <w:sz w:val="24"/>
          <w:szCs w:val="24"/>
          <w:lang w:eastAsia="ru-RU"/>
        </w:rPr>
        <w:t xml:space="preserve">la dezvoltarea cu emisii reduse </w:t>
      </w:r>
      <w:proofErr w:type="spellStart"/>
      <w:r w:rsidRPr="00FD2D5D">
        <w:rPr>
          <w:rFonts w:ascii="Times New Roman" w:eastAsia="Times New Roman" w:hAnsi="Times New Roman" w:cs="Times New Roman"/>
          <w:b/>
          <w:bCs/>
          <w:color w:val="000000"/>
          <w:sz w:val="24"/>
          <w:szCs w:val="24"/>
          <w:lang w:eastAsia="ru-RU"/>
        </w:rPr>
        <w:t>şi</w:t>
      </w:r>
      <w:proofErr w:type="spellEnd"/>
      <w:r w:rsidRPr="00FD2D5D">
        <w:rPr>
          <w:rFonts w:ascii="Times New Roman" w:eastAsia="Times New Roman" w:hAnsi="Times New Roman" w:cs="Times New Roman"/>
          <w:b/>
          <w:bCs/>
          <w:color w:val="000000"/>
          <w:sz w:val="24"/>
          <w:szCs w:val="24"/>
          <w:lang w:eastAsia="ru-RU"/>
        </w:rPr>
        <w:t xml:space="preserve"> problemele identificate în acest sector</w:t>
      </w:r>
    </w:p>
    <w:p w14:paraId="6CA6F791" w14:textId="21551AD7" w:rsidR="006364B2" w:rsidRPr="00FD2D5D" w:rsidRDefault="00E13B78" w:rsidP="001F2F2D">
      <w:pPr>
        <w:spacing w:after="120" w:line="240" w:lineRule="auto"/>
        <w:ind w:firstLine="720"/>
        <w:jc w:val="both"/>
        <w:rPr>
          <w:rFonts w:ascii="Times New Roman" w:eastAsia="Times New Roman" w:hAnsi="Times New Roman" w:cs="Times New Roman"/>
          <w:sz w:val="24"/>
          <w:szCs w:val="24"/>
          <w:lang w:eastAsia="ru-RU"/>
        </w:rPr>
      </w:pPr>
      <w:r w:rsidRPr="00FD2D5D">
        <w:rPr>
          <w:rFonts w:ascii="Times New Roman" w:eastAsia="Times New Roman" w:hAnsi="Times New Roman" w:cs="Times New Roman"/>
          <w:color w:val="000000"/>
          <w:sz w:val="24"/>
          <w:szCs w:val="24"/>
          <w:shd w:val="clear" w:color="auto" w:fill="FFFFFF"/>
          <w:lang w:eastAsia="ru-RU"/>
        </w:rPr>
        <w:t>8</w:t>
      </w:r>
      <w:r w:rsidR="006364B2" w:rsidRPr="00FD2D5D">
        <w:rPr>
          <w:rFonts w:ascii="Times New Roman" w:eastAsia="Times New Roman" w:hAnsi="Times New Roman" w:cs="Times New Roman"/>
          <w:color w:val="000000"/>
          <w:sz w:val="24"/>
          <w:szCs w:val="24"/>
          <w:shd w:val="clear" w:color="auto" w:fill="FFFFFF"/>
          <w:lang w:eastAsia="ru-RU"/>
        </w:rPr>
        <w:t xml:space="preserve">. Obiectivele în domeniul reducerii emisiilor de gaze cu efect de seră în sectorul transporturi </w:t>
      </w:r>
      <w:proofErr w:type="spellStart"/>
      <w:r w:rsidR="006364B2" w:rsidRPr="00FD2D5D">
        <w:rPr>
          <w:rFonts w:ascii="Times New Roman" w:eastAsia="Times New Roman" w:hAnsi="Times New Roman" w:cs="Times New Roman"/>
          <w:color w:val="000000"/>
          <w:sz w:val="24"/>
          <w:szCs w:val="24"/>
          <w:shd w:val="clear" w:color="auto" w:fill="FFFFFF"/>
          <w:lang w:eastAsia="ru-RU"/>
        </w:rPr>
        <w:t>sînt</w:t>
      </w:r>
      <w:proofErr w:type="spellEnd"/>
      <w:r w:rsidR="006364B2" w:rsidRPr="00FD2D5D">
        <w:rPr>
          <w:rFonts w:ascii="Times New Roman" w:eastAsia="Times New Roman" w:hAnsi="Times New Roman" w:cs="Times New Roman"/>
          <w:color w:val="000000"/>
          <w:sz w:val="24"/>
          <w:szCs w:val="24"/>
          <w:shd w:val="clear" w:color="auto" w:fill="FFFFFF"/>
          <w:lang w:eastAsia="ru-RU"/>
        </w:rPr>
        <w:t xml:space="preserve"> stabilite în Strategia energetică a Republicii Moldova </w:t>
      </w:r>
      <w:proofErr w:type="spellStart"/>
      <w:r w:rsidR="006364B2" w:rsidRPr="00FD2D5D">
        <w:rPr>
          <w:rFonts w:ascii="Times New Roman" w:eastAsia="Times New Roman" w:hAnsi="Times New Roman" w:cs="Times New Roman"/>
          <w:color w:val="000000"/>
          <w:sz w:val="24"/>
          <w:szCs w:val="24"/>
          <w:shd w:val="clear" w:color="auto" w:fill="FFFFFF"/>
          <w:lang w:eastAsia="ru-RU"/>
        </w:rPr>
        <w:t>pînă</w:t>
      </w:r>
      <w:proofErr w:type="spellEnd"/>
      <w:r w:rsidR="006364B2" w:rsidRPr="00FD2D5D">
        <w:rPr>
          <w:rFonts w:ascii="Times New Roman" w:eastAsia="Times New Roman" w:hAnsi="Times New Roman" w:cs="Times New Roman"/>
          <w:color w:val="000000"/>
          <w:sz w:val="24"/>
          <w:szCs w:val="24"/>
          <w:shd w:val="clear" w:color="auto" w:fill="FFFFFF"/>
          <w:lang w:eastAsia="ru-RU"/>
        </w:rPr>
        <w:t xml:space="preserve"> în anul 2030.</w:t>
      </w:r>
      <w:r w:rsidR="00E70219" w:rsidRPr="00FD2D5D">
        <w:rPr>
          <w:rFonts w:ascii="Times New Roman" w:eastAsia="Times New Roman" w:hAnsi="Times New Roman" w:cs="Times New Roman"/>
          <w:color w:val="000000"/>
          <w:sz w:val="24"/>
          <w:szCs w:val="24"/>
          <w:shd w:val="clear" w:color="auto" w:fill="FFFFFF"/>
          <w:lang w:eastAsia="ru-RU"/>
        </w:rPr>
        <w:t xml:space="preserve"> </w:t>
      </w:r>
      <w:r w:rsidR="00086427" w:rsidRPr="00FD2D5D">
        <w:rPr>
          <w:rFonts w:ascii="Times New Roman" w:eastAsia="Times New Roman" w:hAnsi="Times New Roman" w:cs="Times New Roman"/>
          <w:color w:val="000000"/>
          <w:sz w:val="24"/>
          <w:szCs w:val="24"/>
          <w:shd w:val="clear" w:color="auto" w:fill="FFFFFF"/>
          <w:lang w:eastAsia="ru-RU"/>
        </w:rPr>
        <w:lastRenderedPageBreak/>
        <w:t>C</w:t>
      </w:r>
      <w:r w:rsidR="006364B2" w:rsidRPr="00FD2D5D">
        <w:rPr>
          <w:rFonts w:ascii="Times New Roman" w:eastAsia="Times New Roman" w:hAnsi="Times New Roman" w:cs="Times New Roman"/>
          <w:color w:val="000000"/>
          <w:sz w:val="24"/>
          <w:szCs w:val="24"/>
          <w:shd w:val="clear" w:color="auto" w:fill="FFFFFF"/>
          <w:lang w:eastAsia="ru-RU"/>
        </w:rPr>
        <w:t xml:space="preserve">onform </w:t>
      </w:r>
      <w:r w:rsidR="00086427" w:rsidRPr="00FD2D5D">
        <w:rPr>
          <w:rFonts w:ascii="Times New Roman" w:eastAsia="Times New Roman" w:hAnsi="Times New Roman" w:cs="Times New Roman"/>
          <w:color w:val="000000"/>
          <w:sz w:val="24"/>
          <w:szCs w:val="24"/>
          <w:shd w:val="clear" w:color="auto" w:fill="FFFFFF"/>
          <w:lang w:eastAsia="ru-RU"/>
        </w:rPr>
        <w:t>acesteia</w:t>
      </w:r>
      <w:r w:rsidR="006364B2" w:rsidRPr="00FD2D5D">
        <w:rPr>
          <w:rFonts w:ascii="Times New Roman" w:eastAsia="Times New Roman" w:hAnsi="Times New Roman" w:cs="Times New Roman"/>
          <w:color w:val="000000"/>
          <w:sz w:val="24"/>
          <w:szCs w:val="24"/>
          <w:shd w:val="clear" w:color="auto" w:fill="FFFFFF"/>
          <w:lang w:eastAsia="ru-RU"/>
        </w:rPr>
        <w:t xml:space="preserve">, următoarele tipuri de </w:t>
      </w:r>
      <w:proofErr w:type="spellStart"/>
      <w:r w:rsidR="006364B2" w:rsidRPr="00FD2D5D">
        <w:rPr>
          <w:rFonts w:ascii="Times New Roman" w:eastAsia="Times New Roman" w:hAnsi="Times New Roman" w:cs="Times New Roman"/>
          <w:color w:val="000000"/>
          <w:sz w:val="24"/>
          <w:szCs w:val="24"/>
          <w:shd w:val="clear" w:color="auto" w:fill="FFFFFF"/>
          <w:lang w:eastAsia="ru-RU"/>
        </w:rPr>
        <w:t>activităţi</w:t>
      </w:r>
      <w:proofErr w:type="spellEnd"/>
      <w:r w:rsidR="006364B2" w:rsidRPr="00FD2D5D">
        <w:rPr>
          <w:rFonts w:ascii="Times New Roman" w:eastAsia="Times New Roman" w:hAnsi="Times New Roman" w:cs="Times New Roman"/>
          <w:color w:val="000000"/>
          <w:sz w:val="24"/>
          <w:szCs w:val="24"/>
          <w:shd w:val="clear" w:color="auto" w:fill="FFFFFF"/>
          <w:lang w:eastAsia="ru-RU"/>
        </w:rPr>
        <w:t xml:space="preserve"> </w:t>
      </w:r>
      <w:proofErr w:type="spellStart"/>
      <w:r w:rsidR="006364B2" w:rsidRPr="00FD2D5D">
        <w:rPr>
          <w:rFonts w:ascii="Times New Roman" w:eastAsia="Times New Roman" w:hAnsi="Times New Roman" w:cs="Times New Roman"/>
          <w:color w:val="000000"/>
          <w:sz w:val="24"/>
          <w:szCs w:val="24"/>
          <w:shd w:val="clear" w:color="auto" w:fill="FFFFFF"/>
          <w:lang w:eastAsia="ru-RU"/>
        </w:rPr>
        <w:t>sînt</w:t>
      </w:r>
      <w:proofErr w:type="spellEnd"/>
      <w:r w:rsidR="006364B2" w:rsidRPr="00FD2D5D">
        <w:rPr>
          <w:rFonts w:ascii="Times New Roman" w:eastAsia="Times New Roman" w:hAnsi="Times New Roman" w:cs="Times New Roman"/>
          <w:color w:val="000000"/>
          <w:sz w:val="24"/>
          <w:szCs w:val="24"/>
          <w:shd w:val="clear" w:color="auto" w:fill="FFFFFF"/>
          <w:lang w:eastAsia="ru-RU"/>
        </w:rPr>
        <w:t xml:space="preserve"> prioritare pe termen scurt </w:t>
      </w:r>
      <w:proofErr w:type="spellStart"/>
      <w:r w:rsidR="006364B2" w:rsidRPr="00FD2D5D">
        <w:rPr>
          <w:rFonts w:ascii="Times New Roman" w:eastAsia="Times New Roman" w:hAnsi="Times New Roman" w:cs="Times New Roman"/>
          <w:color w:val="000000"/>
          <w:sz w:val="24"/>
          <w:szCs w:val="24"/>
          <w:shd w:val="clear" w:color="auto" w:fill="FFFFFF"/>
          <w:lang w:eastAsia="ru-RU"/>
        </w:rPr>
        <w:t>şi</w:t>
      </w:r>
      <w:proofErr w:type="spellEnd"/>
      <w:r w:rsidR="006364B2" w:rsidRPr="00FD2D5D">
        <w:rPr>
          <w:rFonts w:ascii="Times New Roman" w:eastAsia="Times New Roman" w:hAnsi="Times New Roman" w:cs="Times New Roman"/>
          <w:color w:val="000000"/>
          <w:sz w:val="24"/>
          <w:szCs w:val="24"/>
          <w:shd w:val="clear" w:color="auto" w:fill="FFFFFF"/>
          <w:lang w:eastAsia="ru-RU"/>
        </w:rPr>
        <w:t xml:space="preserve"> mediu în reducerea impactului sectorului transport asupra mediului:</w:t>
      </w:r>
    </w:p>
    <w:p w14:paraId="55AD3CCB" w14:textId="1D3E6056" w:rsidR="00AD0351" w:rsidRDefault="006364B2" w:rsidP="006364B2">
      <w:pPr>
        <w:spacing w:after="0"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FD2D5D">
        <w:rPr>
          <w:rFonts w:ascii="Times New Roman" w:eastAsia="Times New Roman" w:hAnsi="Times New Roman" w:cs="Times New Roman"/>
          <w:color w:val="000000"/>
          <w:sz w:val="24"/>
          <w:szCs w:val="24"/>
          <w:shd w:val="clear" w:color="auto" w:fill="FFFFFF"/>
          <w:lang w:eastAsia="ru-RU"/>
        </w:rPr>
        <w:t xml:space="preserve">1) </w:t>
      </w:r>
      <w:r w:rsidR="00AD0351" w:rsidRPr="00AD0351">
        <w:rPr>
          <w:rFonts w:ascii="Times New Roman" w:eastAsia="Times New Roman" w:hAnsi="Times New Roman" w:cs="Times New Roman"/>
          <w:color w:val="000000"/>
          <w:sz w:val="24"/>
          <w:szCs w:val="24"/>
          <w:shd w:val="clear" w:color="auto" w:fill="FFFFFF"/>
          <w:lang w:eastAsia="ru-RU"/>
        </w:rPr>
        <w:t xml:space="preserve">încurajarea utilizării mijloacelor de transport ecologic pure </w:t>
      </w:r>
      <w:proofErr w:type="spellStart"/>
      <w:r w:rsidR="00AD0351" w:rsidRPr="00AD0351">
        <w:rPr>
          <w:rFonts w:ascii="Times New Roman" w:eastAsia="Times New Roman" w:hAnsi="Times New Roman" w:cs="Times New Roman"/>
          <w:color w:val="000000"/>
          <w:sz w:val="24"/>
          <w:szCs w:val="24"/>
          <w:shd w:val="clear" w:color="auto" w:fill="FFFFFF"/>
          <w:lang w:eastAsia="ru-RU"/>
        </w:rPr>
        <w:t>şi</w:t>
      </w:r>
      <w:proofErr w:type="spellEnd"/>
      <w:r w:rsidR="00AD0351" w:rsidRPr="00AD0351">
        <w:rPr>
          <w:rFonts w:ascii="Times New Roman" w:eastAsia="Times New Roman" w:hAnsi="Times New Roman" w:cs="Times New Roman"/>
          <w:color w:val="000000"/>
          <w:sz w:val="24"/>
          <w:szCs w:val="24"/>
          <w:shd w:val="clear" w:color="auto" w:fill="FFFFFF"/>
          <w:lang w:eastAsia="ru-RU"/>
        </w:rPr>
        <w:t xml:space="preserve"> promovarea transportului public, precum </w:t>
      </w:r>
      <w:proofErr w:type="spellStart"/>
      <w:r w:rsidR="00AD0351" w:rsidRPr="00AD0351">
        <w:rPr>
          <w:rFonts w:ascii="Times New Roman" w:eastAsia="Times New Roman" w:hAnsi="Times New Roman" w:cs="Times New Roman"/>
          <w:color w:val="000000"/>
          <w:sz w:val="24"/>
          <w:szCs w:val="24"/>
          <w:shd w:val="clear" w:color="auto" w:fill="FFFFFF"/>
          <w:lang w:eastAsia="ru-RU"/>
        </w:rPr>
        <w:t>şi</w:t>
      </w:r>
      <w:proofErr w:type="spellEnd"/>
      <w:r w:rsidR="00AD0351" w:rsidRPr="00AD0351">
        <w:rPr>
          <w:rFonts w:ascii="Times New Roman" w:eastAsia="Times New Roman" w:hAnsi="Times New Roman" w:cs="Times New Roman"/>
          <w:color w:val="000000"/>
          <w:sz w:val="24"/>
          <w:szCs w:val="24"/>
          <w:shd w:val="clear" w:color="auto" w:fill="FFFFFF"/>
          <w:lang w:eastAsia="ru-RU"/>
        </w:rPr>
        <w:t xml:space="preserve"> a modurilor de transport cu zero emisii (ciclismul, mersul pe jos)</w:t>
      </w:r>
      <w:r w:rsidR="00AD0351">
        <w:rPr>
          <w:rFonts w:ascii="Times New Roman" w:eastAsia="Times New Roman" w:hAnsi="Times New Roman" w:cs="Times New Roman"/>
          <w:color w:val="000000"/>
          <w:sz w:val="24"/>
          <w:szCs w:val="24"/>
          <w:shd w:val="clear" w:color="auto" w:fill="FFFFFF"/>
          <w:lang w:eastAsia="ru-RU"/>
        </w:rPr>
        <w:t>;</w:t>
      </w:r>
    </w:p>
    <w:p w14:paraId="5C74585B" w14:textId="5613D4B1" w:rsidR="00CB4AF2" w:rsidRPr="00FD2D5D" w:rsidRDefault="00AD0351" w:rsidP="006364B2">
      <w:pPr>
        <w:spacing w:after="0" w:line="240" w:lineRule="auto"/>
        <w:ind w:firstLine="72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2) </w:t>
      </w:r>
      <w:r w:rsidR="006364B2" w:rsidRPr="00FD2D5D">
        <w:rPr>
          <w:rFonts w:ascii="Times New Roman" w:eastAsia="Times New Roman" w:hAnsi="Times New Roman" w:cs="Times New Roman"/>
          <w:color w:val="000000"/>
          <w:sz w:val="24"/>
          <w:szCs w:val="24"/>
          <w:shd w:val="clear" w:color="auto" w:fill="FFFFFF"/>
          <w:lang w:eastAsia="ru-RU"/>
        </w:rPr>
        <w:t xml:space="preserve">înlocuirea </w:t>
      </w:r>
      <w:proofErr w:type="spellStart"/>
      <w:r w:rsidR="006364B2" w:rsidRPr="00FD2D5D">
        <w:rPr>
          <w:rFonts w:ascii="Times New Roman" w:eastAsia="Times New Roman" w:hAnsi="Times New Roman" w:cs="Times New Roman"/>
          <w:color w:val="000000"/>
          <w:sz w:val="24"/>
          <w:szCs w:val="24"/>
          <w:shd w:val="clear" w:color="auto" w:fill="FFFFFF"/>
          <w:lang w:eastAsia="ru-RU"/>
        </w:rPr>
        <w:t>carburanţilor</w:t>
      </w:r>
      <w:proofErr w:type="spellEnd"/>
      <w:r w:rsidR="006364B2" w:rsidRPr="00FD2D5D">
        <w:rPr>
          <w:rFonts w:ascii="Times New Roman" w:eastAsia="Times New Roman" w:hAnsi="Times New Roman" w:cs="Times New Roman"/>
          <w:color w:val="000000"/>
          <w:sz w:val="24"/>
          <w:szCs w:val="24"/>
          <w:shd w:val="clear" w:color="auto" w:fill="FFFFFF"/>
          <w:lang w:eastAsia="ru-RU"/>
        </w:rPr>
        <w:t xml:space="preserve"> </w:t>
      </w:r>
      <w:proofErr w:type="spellStart"/>
      <w:r w:rsidR="006364B2" w:rsidRPr="00FD2D5D">
        <w:rPr>
          <w:rFonts w:ascii="Times New Roman" w:eastAsia="Times New Roman" w:hAnsi="Times New Roman" w:cs="Times New Roman"/>
          <w:color w:val="000000"/>
          <w:sz w:val="24"/>
          <w:szCs w:val="24"/>
          <w:shd w:val="clear" w:color="auto" w:fill="FFFFFF"/>
          <w:lang w:eastAsia="ru-RU"/>
        </w:rPr>
        <w:t>tradiţionali</w:t>
      </w:r>
      <w:proofErr w:type="spellEnd"/>
      <w:r w:rsidR="006364B2" w:rsidRPr="00FD2D5D">
        <w:rPr>
          <w:rFonts w:ascii="Times New Roman" w:eastAsia="Times New Roman" w:hAnsi="Times New Roman" w:cs="Times New Roman"/>
          <w:color w:val="000000"/>
          <w:sz w:val="24"/>
          <w:szCs w:val="24"/>
          <w:shd w:val="clear" w:color="auto" w:fill="FFFFFF"/>
          <w:lang w:eastAsia="ru-RU"/>
        </w:rPr>
        <w:t xml:space="preserve"> </w:t>
      </w:r>
      <w:r w:rsidR="00CB4AF2" w:rsidRPr="00FD2D5D">
        <w:rPr>
          <w:rFonts w:ascii="Times New Roman" w:eastAsia="Times New Roman" w:hAnsi="Times New Roman" w:cs="Times New Roman"/>
          <w:color w:val="000000"/>
          <w:sz w:val="24"/>
          <w:szCs w:val="24"/>
          <w:shd w:val="clear" w:color="auto" w:fill="FFFFFF"/>
          <w:lang w:eastAsia="ru-RU"/>
        </w:rPr>
        <w:t xml:space="preserve">(benzina </w:t>
      </w:r>
      <w:proofErr w:type="spellStart"/>
      <w:r w:rsidR="00CB4AF2" w:rsidRPr="00FD2D5D">
        <w:rPr>
          <w:rFonts w:ascii="Times New Roman" w:eastAsia="Times New Roman" w:hAnsi="Times New Roman" w:cs="Times New Roman"/>
          <w:color w:val="000000"/>
          <w:sz w:val="24"/>
          <w:szCs w:val="24"/>
          <w:shd w:val="clear" w:color="auto" w:fill="FFFFFF"/>
          <w:lang w:eastAsia="ru-RU"/>
        </w:rPr>
        <w:t>şi</w:t>
      </w:r>
      <w:proofErr w:type="spellEnd"/>
      <w:r w:rsidR="00CB4AF2" w:rsidRPr="00FD2D5D">
        <w:rPr>
          <w:rFonts w:ascii="Times New Roman" w:eastAsia="Times New Roman" w:hAnsi="Times New Roman" w:cs="Times New Roman"/>
          <w:color w:val="000000"/>
          <w:sz w:val="24"/>
          <w:szCs w:val="24"/>
          <w:shd w:val="clear" w:color="auto" w:fill="FFFFFF"/>
          <w:lang w:eastAsia="ru-RU"/>
        </w:rPr>
        <w:t xml:space="preserve"> motorina) cu gaze naturale comprimate </w:t>
      </w:r>
      <w:proofErr w:type="spellStart"/>
      <w:r w:rsidR="00CB4AF2" w:rsidRPr="00FD2D5D">
        <w:rPr>
          <w:rFonts w:ascii="Times New Roman" w:eastAsia="Times New Roman" w:hAnsi="Times New Roman" w:cs="Times New Roman"/>
          <w:color w:val="000000"/>
          <w:sz w:val="24"/>
          <w:szCs w:val="24"/>
          <w:shd w:val="clear" w:color="auto" w:fill="FFFFFF"/>
          <w:lang w:eastAsia="ru-RU"/>
        </w:rPr>
        <w:t>şi</w:t>
      </w:r>
      <w:proofErr w:type="spellEnd"/>
      <w:r w:rsidR="00CB4AF2" w:rsidRPr="00FD2D5D">
        <w:rPr>
          <w:rFonts w:ascii="Times New Roman" w:eastAsia="Times New Roman" w:hAnsi="Times New Roman" w:cs="Times New Roman"/>
          <w:color w:val="000000"/>
          <w:sz w:val="24"/>
          <w:szCs w:val="24"/>
          <w:shd w:val="clear" w:color="auto" w:fill="FFFFFF"/>
          <w:lang w:eastAsia="ru-RU"/>
        </w:rPr>
        <w:t xml:space="preserve"> petroliere lichefiate </w:t>
      </w:r>
      <w:proofErr w:type="spellStart"/>
      <w:r w:rsidR="00CB4AF2" w:rsidRPr="00FD2D5D">
        <w:rPr>
          <w:rFonts w:ascii="Times New Roman" w:eastAsia="Times New Roman" w:hAnsi="Times New Roman" w:cs="Times New Roman"/>
          <w:color w:val="000000"/>
          <w:sz w:val="24"/>
          <w:szCs w:val="24"/>
          <w:shd w:val="clear" w:color="auto" w:fill="FFFFFF"/>
          <w:lang w:eastAsia="ru-RU"/>
        </w:rPr>
        <w:t>şi</w:t>
      </w:r>
      <w:proofErr w:type="spellEnd"/>
      <w:r w:rsidR="00086427" w:rsidRPr="00FD2D5D">
        <w:rPr>
          <w:rFonts w:ascii="Times New Roman" w:eastAsia="Times New Roman" w:hAnsi="Times New Roman" w:cs="Times New Roman"/>
          <w:color w:val="000000"/>
          <w:sz w:val="24"/>
          <w:szCs w:val="24"/>
          <w:shd w:val="clear" w:color="auto" w:fill="FFFFFF"/>
          <w:lang w:eastAsia="ru-RU"/>
        </w:rPr>
        <w:t>, totodată,</w:t>
      </w:r>
      <w:r w:rsidR="00CB4AF2" w:rsidRPr="00FD2D5D">
        <w:rPr>
          <w:rFonts w:ascii="Times New Roman" w:eastAsia="Times New Roman" w:hAnsi="Times New Roman" w:cs="Times New Roman"/>
          <w:color w:val="000000"/>
          <w:sz w:val="24"/>
          <w:szCs w:val="24"/>
          <w:shd w:val="clear" w:color="auto" w:fill="FFFFFF"/>
          <w:lang w:eastAsia="ru-RU"/>
        </w:rPr>
        <w:t xml:space="preserve"> diluarea </w:t>
      </w:r>
      <w:proofErr w:type="spellStart"/>
      <w:r w:rsidR="00CB4AF2" w:rsidRPr="00FD2D5D">
        <w:rPr>
          <w:rFonts w:ascii="Times New Roman" w:eastAsia="Times New Roman" w:hAnsi="Times New Roman" w:cs="Times New Roman"/>
          <w:color w:val="000000"/>
          <w:sz w:val="24"/>
          <w:szCs w:val="24"/>
          <w:shd w:val="clear" w:color="auto" w:fill="FFFFFF"/>
          <w:lang w:eastAsia="ru-RU"/>
        </w:rPr>
        <w:t>carburanţilor</w:t>
      </w:r>
      <w:proofErr w:type="spellEnd"/>
      <w:r w:rsidR="00CB4AF2" w:rsidRPr="00FD2D5D">
        <w:rPr>
          <w:rFonts w:ascii="Times New Roman" w:eastAsia="Times New Roman" w:hAnsi="Times New Roman" w:cs="Times New Roman"/>
          <w:color w:val="000000"/>
          <w:sz w:val="24"/>
          <w:szCs w:val="24"/>
          <w:shd w:val="clear" w:color="auto" w:fill="FFFFFF"/>
          <w:lang w:eastAsia="ru-RU"/>
        </w:rPr>
        <w:t xml:space="preserve"> </w:t>
      </w:r>
      <w:proofErr w:type="spellStart"/>
      <w:r w:rsidR="00CB4AF2" w:rsidRPr="00FD2D5D">
        <w:rPr>
          <w:rFonts w:ascii="Times New Roman" w:eastAsia="Times New Roman" w:hAnsi="Times New Roman" w:cs="Times New Roman"/>
          <w:color w:val="000000"/>
          <w:sz w:val="24"/>
          <w:szCs w:val="24"/>
          <w:shd w:val="clear" w:color="auto" w:fill="FFFFFF"/>
          <w:lang w:eastAsia="ru-RU"/>
        </w:rPr>
        <w:t>tradiţionali</w:t>
      </w:r>
      <w:proofErr w:type="spellEnd"/>
      <w:r w:rsidR="00CB4AF2" w:rsidRPr="00FD2D5D">
        <w:rPr>
          <w:rFonts w:ascii="Times New Roman" w:eastAsia="Times New Roman" w:hAnsi="Times New Roman" w:cs="Times New Roman"/>
          <w:color w:val="000000"/>
          <w:sz w:val="24"/>
          <w:szCs w:val="24"/>
          <w:shd w:val="clear" w:color="auto" w:fill="FFFFFF"/>
          <w:lang w:eastAsia="ru-RU"/>
        </w:rPr>
        <w:t xml:space="preserve"> cu </w:t>
      </w:r>
      <w:proofErr w:type="spellStart"/>
      <w:r w:rsidR="00CB4AF2" w:rsidRPr="00FD2D5D">
        <w:rPr>
          <w:rFonts w:ascii="Times New Roman" w:eastAsia="Times New Roman" w:hAnsi="Times New Roman" w:cs="Times New Roman"/>
          <w:color w:val="000000"/>
          <w:sz w:val="24"/>
          <w:szCs w:val="24"/>
          <w:shd w:val="clear" w:color="auto" w:fill="FFFFFF"/>
          <w:lang w:eastAsia="ru-RU"/>
        </w:rPr>
        <w:t>bio</w:t>
      </w:r>
      <w:proofErr w:type="spellEnd"/>
      <w:r w:rsidR="00CB4AF2" w:rsidRPr="00FD2D5D">
        <w:rPr>
          <w:rFonts w:ascii="Times New Roman" w:eastAsia="Times New Roman" w:hAnsi="Times New Roman" w:cs="Times New Roman"/>
          <w:color w:val="000000"/>
          <w:sz w:val="24"/>
          <w:szCs w:val="24"/>
          <w:shd w:val="clear" w:color="auto" w:fill="FFFFFF"/>
          <w:lang w:eastAsia="ru-RU"/>
        </w:rPr>
        <w:t>-combustib</w:t>
      </w:r>
      <w:r w:rsidR="00455D91" w:rsidRPr="00FD2D5D">
        <w:rPr>
          <w:rFonts w:ascii="Times New Roman" w:eastAsia="Times New Roman" w:hAnsi="Times New Roman" w:cs="Times New Roman"/>
          <w:color w:val="000000"/>
          <w:sz w:val="24"/>
          <w:szCs w:val="24"/>
          <w:shd w:val="clear" w:color="auto" w:fill="FFFFFF"/>
          <w:lang w:eastAsia="ru-RU"/>
        </w:rPr>
        <w:t>i</w:t>
      </w:r>
      <w:r w:rsidR="00CB4AF2" w:rsidRPr="00FD2D5D">
        <w:rPr>
          <w:rFonts w:ascii="Times New Roman" w:eastAsia="Times New Roman" w:hAnsi="Times New Roman" w:cs="Times New Roman"/>
          <w:color w:val="000000"/>
          <w:sz w:val="24"/>
          <w:szCs w:val="24"/>
          <w:shd w:val="clear" w:color="auto" w:fill="FFFFFF"/>
          <w:lang w:eastAsia="ru-RU"/>
        </w:rPr>
        <w:t>li</w:t>
      </w:r>
      <w:r w:rsidR="006364B2" w:rsidRPr="00FD2D5D">
        <w:rPr>
          <w:rFonts w:ascii="Times New Roman" w:eastAsia="Times New Roman" w:hAnsi="Times New Roman" w:cs="Times New Roman"/>
          <w:color w:val="000000"/>
          <w:sz w:val="24"/>
          <w:szCs w:val="24"/>
          <w:shd w:val="clear" w:color="auto" w:fill="FFFFFF"/>
          <w:lang w:eastAsia="ru-RU"/>
        </w:rPr>
        <w:t>;</w:t>
      </w:r>
    </w:p>
    <w:p w14:paraId="766E7D70" w14:textId="1386064D" w:rsidR="006364B2" w:rsidRPr="00FD2D5D" w:rsidRDefault="00AD0351" w:rsidP="006364B2">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 xml:space="preserve">3) </w:t>
      </w:r>
      <w:r w:rsidR="00CB4AF2" w:rsidRPr="00FD2D5D">
        <w:rPr>
          <w:rFonts w:ascii="Times New Roman" w:eastAsia="Times New Roman" w:hAnsi="Times New Roman" w:cs="Times New Roman"/>
          <w:color w:val="000000"/>
          <w:sz w:val="24"/>
          <w:szCs w:val="24"/>
          <w:shd w:val="clear" w:color="auto" w:fill="FFFFFF"/>
          <w:lang w:eastAsia="ru-RU"/>
        </w:rPr>
        <w:t>majorarea randamentului arderii combustibilului auto prin limitarea vârstei vehiculelor importate</w:t>
      </w:r>
      <w:r w:rsidR="005E00FA" w:rsidRPr="00FD2D5D">
        <w:rPr>
          <w:rFonts w:ascii="Times New Roman" w:eastAsia="Times New Roman" w:hAnsi="Times New Roman" w:cs="Times New Roman"/>
          <w:color w:val="000000"/>
          <w:sz w:val="24"/>
          <w:szCs w:val="24"/>
          <w:shd w:val="clear" w:color="auto" w:fill="FFFFFF"/>
          <w:lang w:eastAsia="ru-RU"/>
        </w:rPr>
        <w:t>;</w:t>
      </w:r>
    </w:p>
    <w:p w14:paraId="07CF1E7D" w14:textId="17AC859A" w:rsidR="006364B2" w:rsidRPr="00FD2D5D" w:rsidRDefault="00AD0351" w:rsidP="006364B2">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 xml:space="preserve">4) </w:t>
      </w:r>
      <w:r w:rsidR="006364B2" w:rsidRPr="00FD2D5D">
        <w:rPr>
          <w:rFonts w:ascii="Times New Roman" w:eastAsia="Times New Roman" w:hAnsi="Times New Roman" w:cs="Times New Roman"/>
          <w:color w:val="000000"/>
          <w:sz w:val="24"/>
          <w:szCs w:val="24"/>
          <w:shd w:val="clear" w:color="auto" w:fill="FFFFFF"/>
          <w:lang w:eastAsia="ru-RU"/>
        </w:rPr>
        <w:t xml:space="preserve">elaborarea </w:t>
      </w:r>
      <w:proofErr w:type="spellStart"/>
      <w:r w:rsidR="006364B2" w:rsidRPr="00FD2D5D">
        <w:rPr>
          <w:rFonts w:ascii="Times New Roman" w:eastAsia="Times New Roman" w:hAnsi="Times New Roman" w:cs="Times New Roman"/>
          <w:color w:val="000000"/>
          <w:sz w:val="24"/>
          <w:szCs w:val="24"/>
          <w:shd w:val="clear" w:color="auto" w:fill="FFFFFF"/>
          <w:lang w:eastAsia="ru-RU"/>
        </w:rPr>
        <w:t>şi</w:t>
      </w:r>
      <w:proofErr w:type="spellEnd"/>
      <w:r w:rsidR="006364B2" w:rsidRPr="00FD2D5D">
        <w:rPr>
          <w:rFonts w:ascii="Times New Roman" w:eastAsia="Times New Roman" w:hAnsi="Times New Roman" w:cs="Times New Roman"/>
          <w:color w:val="000000"/>
          <w:sz w:val="24"/>
          <w:szCs w:val="24"/>
          <w:shd w:val="clear" w:color="auto" w:fill="FFFFFF"/>
          <w:lang w:eastAsia="ru-RU"/>
        </w:rPr>
        <w:t xml:space="preserve"> implementarea standardelor </w:t>
      </w:r>
      <w:proofErr w:type="spellStart"/>
      <w:r w:rsidR="006364B2" w:rsidRPr="00FD2D5D">
        <w:rPr>
          <w:rFonts w:ascii="Times New Roman" w:eastAsia="Times New Roman" w:hAnsi="Times New Roman" w:cs="Times New Roman"/>
          <w:color w:val="000000"/>
          <w:sz w:val="24"/>
          <w:szCs w:val="24"/>
          <w:shd w:val="clear" w:color="auto" w:fill="FFFFFF"/>
          <w:lang w:eastAsia="ru-RU"/>
        </w:rPr>
        <w:t>şi</w:t>
      </w:r>
      <w:proofErr w:type="spellEnd"/>
      <w:r w:rsidR="006364B2" w:rsidRPr="00FD2D5D">
        <w:rPr>
          <w:rFonts w:ascii="Times New Roman" w:eastAsia="Times New Roman" w:hAnsi="Times New Roman" w:cs="Times New Roman"/>
          <w:color w:val="000000"/>
          <w:sz w:val="24"/>
          <w:szCs w:val="24"/>
          <w:shd w:val="clear" w:color="auto" w:fill="FFFFFF"/>
          <w:lang w:eastAsia="ru-RU"/>
        </w:rPr>
        <w:t xml:space="preserve"> normelor </w:t>
      </w:r>
      <w:proofErr w:type="spellStart"/>
      <w:r w:rsidR="006364B2" w:rsidRPr="00FD2D5D">
        <w:rPr>
          <w:rFonts w:ascii="Times New Roman" w:eastAsia="Times New Roman" w:hAnsi="Times New Roman" w:cs="Times New Roman"/>
          <w:color w:val="000000"/>
          <w:sz w:val="24"/>
          <w:szCs w:val="24"/>
          <w:shd w:val="clear" w:color="auto" w:fill="FFFFFF"/>
          <w:lang w:eastAsia="ru-RU"/>
        </w:rPr>
        <w:t>naţionale</w:t>
      </w:r>
      <w:proofErr w:type="spellEnd"/>
      <w:r w:rsidR="006364B2" w:rsidRPr="00FD2D5D">
        <w:rPr>
          <w:rFonts w:ascii="Times New Roman" w:eastAsia="Times New Roman" w:hAnsi="Times New Roman" w:cs="Times New Roman"/>
          <w:color w:val="000000"/>
          <w:sz w:val="24"/>
          <w:szCs w:val="24"/>
          <w:shd w:val="clear" w:color="auto" w:fill="FFFFFF"/>
          <w:lang w:eastAsia="ru-RU"/>
        </w:rPr>
        <w:t xml:space="preserve"> de </w:t>
      </w:r>
      <w:proofErr w:type="spellStart"/>
      <w:r w:rsidR="006364B2" w:rsidRPr="00FD2D5D">
        <w:rPr>
          <w:rFonts w:ascii="Times New Roman" w:eastAsia="Times New Roman" w:hAnsi="Times New Roman" w:cs="Times New Roman"/>
          <w:color w:val="000000"/>
          <w:sz w:val="24"/>
          <w:szCs w:val="24"/>
          <w:shd w:val="clear" w:color="auto" w:fill="FFFFFF"/>
          <w:lang w:eastAsia="ru-RU"/>
        </w:rPr>
        <w:t>protecţie</w:t>
      </w:r>
      <w:proofErr w:type="spellEnd"/>
      <w:r w:rsidR="006364B2" w:rsidRPr="00FD2D5D">
        <w:rPr>
          <w:rFonts w:ascii="Times New Roman" w:eastAsia="Times New Roman" w:hAnsi="Times New Roman" w:cs="Times New Roman"/>
          <w:color w:val="000000"/>
          <w:sz w:val="24"/>
          <w:szCs w:val="24"/>
          <w:shd w:val="clear" w:color="auto" w:fill="FFFFFF"/>
          <w:lang w:eastAsia="ru-RU"/>
        </w:rPr>
        <w:t xml:space="preserve"> a mediului în conformitate cu standardele UE, în vederea reducerii emisiilor de noxe, inclusiv celor din sectorul transport</w:t>
      </w:r>
      <w:r w:rsidR="006F1244" w:rsidRPr="00FD2D5D">
        <w:rPr>
          <w:rFonts w:ascii="Times New Roman" w:eastAsia="Times New Roman" w:hAnsi="Times New Roman" w:cs="Times New Roman"/>
          <w:color w:val="000000"/>
          <w:sz w:val="24"/>
          <w:szCs w:val="24"/>
          <w:shd w:val="clear" w:color="auto" w:fill="FFFFFF"/>
          <w:lang w:eastAsia="ru-RU"/>
        </w:rPr>
        <w:t>uri</w:t>
      </w:r>
      <w:r w:rsidR="006364B2" w:rsidRPr="00FD2D5D">
        <w:rPr>
          <w:rFonts w:ascii="Times New Roman" w:eastAsia="Times New Roman" w:hAnsi="Times New Roman" w:cs="Times New Roman"/>
          <w:color w:val="000000"/>
          <w:sz w:val="24"/>
          <w:szCs w:val="24"/>
          <w:shd w:val="clear" w:color="auto" w:fill="FFFFFF"/>
          <w:lang w:eastAsia="ru-RU"/>
        </w:rPr>
        <w:t>;</w:t>
      </w:r>
    </w:p>
    <w:p w14:paraId="2FD14AFF" w14:textId="734F839C" w:rsidR="006364B2" w:rsidRPr="00FD2D5D" w:rsidRDefault="00AD0351" w:rsidP="00AC461F">
      <w:pPr>
        <w:spacing w:after="12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5) </w:t>
      </w:r>
      <w:r w:rsidR="006364B2" w:rsidRPr="00FD2D5D">
        <w:rPr>
          <w:rFonts w:ascii="Times New Roman" w:eastAsia="Times New Roman" w:hAnsi="Times New Roman" w:cs="Times New Roman"/>
          <w:color w:val="000000"/>
          <w:sz w:val="24"/>
          <w:szCs w:val="24"/>
          <w:lang w:eastAsia="ru-RU"/>
        </w:rPr>
        <w:t xml:space="preserve">implementarea </w:t>
      </w:r>
      <w:r w:rsidR="00AF11E2" w:rsidRPr="00FD2D5D">
        <w:rPr>
          <w:rFonts w:ascii="Times New Roman" w:eastAsia="Times New Roman" w:hAnsi="Times New Roman" w:cs="Times New Roman"/>
          <w:color w:val="000000"/>
          <w:sz w:val="24"/>
          <w:szCs w:val="24"/>
          <w:shd w:val="clear" w:color="auto" w:fill="FFFFFF"/>
          <w:lang w:eastAsia="ru-RU"/>
        </w:rPr>
        <w:t>Directivei 2009/33/CE privind promovarea vehiculelor de transport rutier</w:t>
      </w:r>
      <w:r w:rsidR="00455D91" w:rsidRPr="00FD2D5D">
        <w:rPr>
          <w:rFonts w:ascii="Times New Roman" w:eastAsia="Times New Roman" w:hAnsi="Times New Roman" w:cs="Times New Roman"/>
          <w:color w:val="000000"/>
          <w:sz w:val="24"/>
          <w:szCs w:val="24"/>
          <w:shd w:val="clear" w:color="auto" w:fill="FFFFFF"/>
          <w:lang w:eastAsia="ru-RU"/>
        </w:rPr>
        <w:t xml:space="preserve"> </w:t>
      </w:r>
      <w:r w:rsidR="00AF11E2" w:rsidRPr="00FD2D5D">
        <w:rPr>
          <w:rFonts w:ascii="Times New Roman" w:eastAsia="Times New Roman" w:hAnsi="Times New Roman" w:cs="Times New Roman"/>
          <w:color w:val="000000"/>
          <w:sz w:val="24"/>
          <w:szCs w:val="24"/>
          <w:shd w:val="clear" w:color="auto" w:fill="FFFFFF"/>
          <w:lang w:eastAsia="ru-RU"/>
        </w:rPr>
        <w:t>nepoluante și eficiente din punct de vedere energetic</w:t>
      </w:r>
      <w:r w:rsidR="00455D91" w:rsidRPr="00FD2D5D">
        <w:rPr>
          <w:rFonts w:ascii="Times New Roman" w:eastAsia="Times New Roman" w:hAnsi="Times New Roman" w:cs="Times New Roman"/>
          <w:color w:val="000000"/>
          <w:sz w:val="24"/>
          <w:szCs w:val="24"/>
          <w:shd w:val="clear" w:color="auto" w:fill="FFFFFF"/>
          <w:lang w:eastAsia="ru-RU"/>
        </w:rPr>
        <w:t xml:space="preserve">, precum </w:t>
      </w:r>
      <w:proofErr w:type="spellStart"/>
      <w:r w:rsidR="00455D91" w:rsidRPr="00FD2D5D">
        <w:rPr>
          <w:rFonts w:ascii="Times New Roman" w:eastAsia="Times New Roman" w:hAnsi="Times New Roman" w:cs="Times New Roman"/>
          <w:color w:val="000000"/>
          <w:sz w:val="24"/>
          <w:szCs w:val="24"/>
          <w:shd w:val="clear" w:color="auto" w:fill="FFFFFF"/>
          <w:lang w:eastAsia="ru-RU"/>
        </w:rPr>
        <w:t>şi</w:t>
      </w:r>
      <w:proofErr w:type="spellEnd"/>
      <w:r w:rsidR="00455D91" w:rsidRPr="00FD2D5D">
        <w:rPr>
          <w:rFonts w:ascii="Times New Roman" w:eastAsia="Times New Roman" w:hAnsi="Times New Roman" w:cs="Times New Roman"/>
          <w:color w:val="000000"/>
          <w:sz w:val="24"/>
          <w:szCs w:val="24"/>
          <w:shd w:val="clear" w:color="auto" w:fill="FFFFFF"/>
          <w:lang w:eastAsia="ru-RU"/>
        </w:rPr>
        <w:t xml:space="preserve"> </w:t>
      </w:r>
      <w:r w:rsidR="006364B2" w:rsidRPr="00FD2D5D">
        <w:rPr>
          <w:rFonts w:ascii="Times New Roman" w:eastAsia="Times New Roman" w:hAnsi="Times New Roman" w:cs="Times New Roman"/>
          <w:color w:val="000000"/>
          <w:sz w:val="24"/>
          <w:szCs w:val="24"/>
          <w:shd w:val="clear" w:color="auto" w:fill="FFFFFF"/>
          <w:lang w:eastAsia="ru-RU"/>
        </w:rPr>
        <w:t>a Directivei 94/63/EC</w:t>
      </w:r>
      <w:r w:rsidR="006F1244" w:rsidRPr="00FD2D5D">
        <w:t xml:space="preserve"> </w:t>
      </w:r>
      <w:r w:rsidR="006F1244" w:rsidRPr="00FD2D5D">
        <w:rPr>
          <w:rFonts w:ascii="Times New Roman" w:eastAsia="Times New Roman" w:hAnsi="Times New Roman" w:cs="Times New Roman"/>
          <w:color w:val="000000"/>
          <w:sz w:val="24"/>
          <w:szCs w:val="24"/>
          <w:shd w:val="clear" w:color="auto" w:fill="FFFFFF"/>
          <w:lang w:eastAsia="ru-RU"/>
        </w:rPr>
        <w:t>privind controlul emisiilor de compuși organici volatili</w:t>
      </w:r>
      <w:r>
        <w:rPr>
          <w:rFonts w:ascii="Times New Roman" w:eastAsia="Times New Roman" w:hAnsi="Times New Roman" w:cs="Times New Roman"/>
          <w:color w:val="000000"/>
          <w:sz w:val="24"/>
          <w:szCs w:val="24"/>
          <w:shd w:val="clear" w:color="auto" w:fill="FFFFFF"/>
          <w:lang w:eastAsia="ru-RU"/>
        </w:rPr>
        <w:t>.</w:t>
      </w:r>
    </w:p>
    <w:p w14:paraId="3754E145" w14:textId="38BDF293" w:rsidR="006364B2" w:rsidRPr="00FD2D5D" w:rsidRDefault="00E13B78" w:rsidP="00AC461F">
      <w:pPr>
        <w:spacing w:after="120" w:line="240" w:lineRule="auto"/>
        <w:ind w:firstLine="720"/>
        <w:jc w:val="both"/>
        <w:rPr>
          <w:rFonts w:ascii="Times New Roman" w:eastAsia="Times New Roman" w:hAnsi="Times New Roman" w:cs="Times New Roman"/>
          <w:sz w:val="24"/>
          <w:szCs w:val="24"/>
          <w:lang w:eastAsia="ru-RU"/>
        </w:rPr>
      </w:pPr>
      <w:r w:rsidRPr="00FD2D5D">
        <w:rPr>
          <w:rFonts w:ascii="Times New Roman" w:eastAsia="Times New Roman" w:hAnsi="Times New Roman" w:cs="Times New Roman"/>
          <w:color w:val="000000"/>
          <w:sz w:val="24"/>
          <w:szCs w:val="24"/>
          <w:shd w:val="clear" w:color="auto" w:fill="FFFFFF"/>
          <w:lang w:eastAsia="ru-RU"/>
        </w:rPr>
        <w:t>9</w:t>
      </w:r>
      <w:r w:rsidR="006364B2" w:rsidRPr="00FD2D5D">
        <w:rPr>
          <w:rFonts w:ascii="Times New Roman" w:eastAsia="Times New Roman" w:hAnsi="Times New Roman" w:cs="Times New Roman"/>
          <w:color w:val="000000"/>
          <w:sz w:val="24"/>
          <w:szCs w:val="24"/>
          <w:shd w:val="clear" w:color="auto" w:fill="FFFFFF"/>
          <w:lang w:eastAsia="ru-RU"/>
        </w:rPr>
        <w:t>.</w:t>
      </w:r>
      <w:r w:rsidR="00455D91" w:rsidRPr="00FD2D5D">
        <w:rPr>
          <w:rFonts w:ascii="Times New Roman" w:eastAsia="Times New Roman" w:hAnsi="Times New Roman" w:cs="Times New Roman"/>
          <w:color w:val="000000"/>
          <w:sz w:val="24"/>
          <w:szCs w:val="24"/>
          <w:shd w:val="clear" w:color="auto" w:fill="FFFFFF"/>
          <w:lang w:eastAsia="ru-RU"/>
        </w:rPr>
        <w:t xml:space="preserve"> </w:t>
      </w:r>
      <w:r w:rsidR="006364B2" w:rsidRPr="00FD2D5D">
        <w:rPr>
          <w:rFonts w:ascii="Times New Roman" w:eastAsia="Times New Roman" w:hAnsi="Times New Roman" w:cs="Times New Roman"/>
          <w:color w:val="000000"/>
          <w:sz w:val="24"/>
          <w:szCs w:val="24"/>
          <w:lang w:eastAsia="ru-RU"/>
        </w:rPr>
        <w:t xml:space="preserve">Strategia energetică a Republicii Moldova </w:t>
      </w:r>
      <w:proofErr w:type="spellStart"/>
      <w:r w:rsidR="006364B2" w:rsidRPr="00FD2D5D">
        <w:rPr>
          <w:rFonts w:ascii="Times New Roman" w:eastAsia="Times New Roman" w:hAnsi="Times New Roman" w:cs="Times New Roman"/>
          <w:color w:val="000000"/>
          <w:sz w:val="24"/>
          <w:szCs w:val="24"/>
          <w:lang w:eastAsia="ru-RU"/>
        </w:rPr>
        <w:t>pînă</w:t>
      </w:r>
      <w:proofErr w:type="spellEnd"/>
      <w:r w:rsidR="006364B2" w:rsidRPr="00FD2D5D">
        <w:rPr>
          <w:rFonts w:ascii="Times New Roman" w:eastAsia="Times New Roman" w:hAnsi="Times New Roman" w:cs="Times New Roman"/>
          <w:color w:val="000000"/>
          <w:sz w:val="24"/>
          <w:szCs w:val="24"/>
          <w:lang w:eastAsia="ru-RU"/>
        </w:rPr>
        <w:t xml:space="preserve"> în anul 2030 </w:t>
      </w:r>
      <w:proofErr w:type="spellStart"/>
      <w:r w:rsidR="006364B2" w:rsidRPr="00FD2D5D">
        <w:rPr>
          <w:rFonts w:ascii="Times New Roman" w:eastAsia="Times New Roman" w:hAnsi="Times New Roman" w:cs="Times New Roman"/>
          <w:color w:val="000000"/>
          <w:sz w:val="24"/>
          <w:szCs w:val="24"/>
          <w:lang w:eastAsia="ru-RU"/>
        </w:rPr>
        <w:t>şi</w:t>
      </w:r>
      <w:proofErr w:type="spellEnd"/>
      <w:r w:rsidR="006364B2" w:rsidRPr="00FD2D5D">
        <w:rPr>
          <w:rFonts w:ascii="Times New Roman" w:eastAsia="Times New Roman" w:hAnsi="Times New Roman" w:cs="Times New Roman"/>
          <w:color w:val="000000"/>
          <w:sz w:val="24"/>
          <w:szCs w:val="24"/>
          <w:lang w:eastAsia="ru-RU"/>
        </w:rPr>
        <w:t xml:space="preserve"> Strategia de mediu pentru anii 2014-2023 </w:t>
      </w:r>
      <w:r w:rsidR="00701660" w:rsidRPr="00FD2D5D">
        <w:rPr>
          <w:rFonts w:ascii="Times New Roman" w:eastAsia="Times New Roman" w:hAnsi="Times New Roman" w:cs="Times New Roman"/>
          <w:color w:val="000000"/>
          <w:sz w:val="24"/>
          <w:szCs w:val="24"/>
          <w:lang w:eastAsia="ru-RU"/>
        </w:rPr>
        <w:t>stabile</w:t>
      </w:r>
      <w:r w:rsidR="00880CE1" w:rsidRPr="00FD2D5D">
        <w:rPr>
          <w:rFonts w:ascii="Times New Roman" w:eastAsia="Times New Roman" w:hAnsi="Times New Roman" w:cs="Times New Roman"/>
          <w:color w:val="000000"/>
          <w:sz w:val="24"/>
          <w:szCs w:val="24"/>
          <w:lang w:eastAsia="ru-RU"/>
        </w:rPr>
        <w:t>sc</w:t>
      </w:r>
      <w:r w:rsidR="00701660" w:rsidRPr="00FD2D5D">
        <w:rPr>
          <w:rFonts w:ascii="Times New Roman" w:eastAsia="Times New Roman" w:hAnsi="Times New Roman" w:cs="Times New Roman"/>
          <w:color w:val="000000"/>
          <w:sz w:val="24"/>
          <w:szCs w:val="24"/>
          <w:lang w:eastAsia="ru-RU"/>
        </w:rPr>
        <w:t xml:space="preserve"> </w:t>
      </w:r>
      <w:r w:rsidR="006364B2" w:rsidRPr="00FD2D5D">
        <w:rPr>
          <w:rFonts w:ascii="Times New Roman" w:eastAsia="Times New Roman" w:hAnsi="Times New Roman" w:cs="Times New Roman"/>
          <w:color w:val="000000"/>
          <w:sz w:val="24"/>
          <w:szCs w:val="24"/>
          <w:shd w:val="clear" w:color="auto" w:fill="FFFFFF"/>
          <w:lang w:eastAsia="ru-RU"/>
        </w:rPr>
        <w:t xml:space="preserve">obiectivele în domeniul atenuării emisiilor de gaze cu efect de seră în sectorul transporturi </w:t>
      </w:r>
      <w:proofErr w:type="spellStart"/>
      <w:r w:rsidR="006364B2" w:rsidRPr="00FD2D5D">
        <w:rPr>
          <w:rFonts w:ascii="Times New Roman" w:eastAsia="Times New Roman" w:hAnsi="Times New Roman" w:cs="Times New Roman"/>
          <w:color w:val="000000"/>
          <w:sz w:val="24"/>
          <w:szCs w:val="24"/>
          <w:shd w:val="clear" w:color="auto" w:fill="FFFFFF"/>
          <w:lang w:eastAsia="ru-RU"/>
        </w:rPr>
        <w:t>şi</w:t>
      </w:r>
      <w:proofErr w:type="spellEnd"/>
      <w:r w:rsidR="006364B2" w:rsidRPr="00FD2D5D">
        <w:rPr>
          <w:rFonts w:ascii="Times New Roman" w:eastAsia="Times New Roman" w:hAnsi="Times New Roman" w:cs="Times New Roman"/>
          <w:color w:val="000000"/>
          <w:sz w:val="24"/>
          <w:szCs w:val="24"/>
          <w:shd w:val="clear" w:color="auto" w:fill="FFFFFF"/>
          <w:lang w:eastAsia="ru-RU"/>
        </w:rPr>
        <w:t xml:space="preserve"> prevăd o </w:t>
      </w:r>
      <w:proofErr w:type="spellStart"/>
      <w:r w:rsidR="006364B2" w:rsidRPr="00FD2D5D">
        <w:rPr>
          <w:rFonts w:ascii="Times New Roman" w:eastAsia="Times New Roman" w:hAnsi="Times New Roman" w:cs="Times New Roman"/>
          <w:color w:val="000000"/>
          <w:sz w:val="24"/>
          <w:szCs w:val="24"/>
          <w:shd w:val="clear" w:color="auto" w:fill="FFFFFF"/>
          <w:lang w:eastAsia="ru-RU"/>
        </w:rPr>
        <w:t>creştere</w:t>
      </w:r>
      <w:proofErr w:type="spellEnd"/>
      <w:r w:rsidR="006364B2" w:rsidRPr="00FD2D5D">
        <w:rPr>
          <w:rFonts w:ascii="Times New Roman" w:eastAsia="Times New Roman" w:hAnsi="Times New Roman" w:cs="Times New Roman"/>
          <w:color w:val="000000"/>
          <w:sz w:val="24"/>
          <w:szCs w:val="24"/>
          <w:shd w:val="clear" w:color="auto" w:fill="FFFFFF"/>
          <w:lang w:eastAsia="ru-RU"/>
        </w:rPr>
        <w:t xml:space="preserve"> a ponderii biocombustibililor </w:t>
      </w:r>
      <w:proofErr w:type="spellStart"/>
      <w:r w:rsidR="006364B2" w:rsidRPr="00FD2D5D">
        <w:rPr>
          <w:rFonts w:ascii="Times New Roman" w:eastAsia="Times New Roman" w:hAnsi="Times New Roman" w:cs="Times New Roman"/>
          <w:color w:val="000000"/>
          <w:sz w:val="24"/>
          <w:szCs w:val="24"/>
          <w:shd w:val="clear" w:color="auto" w:fill="FFFFFF"/>
          <w:lang w:eastAsia="ru-RU"/>
        </w:rPr>
        <w:t>pînă</w:t>
      </w:r>
      <w:proofErr w:type="spellEnd"/>
      <w:r w:rsidR="006364B2" w:rsidRPr="00FD2D5D">
        <w:rPr>
          <w:rFonts w:ascii="Times New Roman" w:eastAsia="Times New Roman" w:hAnsi="Times New Roman" w:cs="Times New Roman"/>
          <w:color w:val="000000"/>
          <w:sz w:val="24"/>
          <w:szCs w:val="24"/>
          <w:shd w:val="clear" w:color="auto" w:fill="FFFFFF"/>
          <w:lang w:eastAsia="ru-RU"/>
        </w:rPr>
        <w:t xml:space="preserve"> la cel </w:t>
      </w:r>
      <w:proofErr w:type="spellStart"/>
      <w:r w:rsidR="006364B2" w:rsidRPr="00FD2D5D">
        <w:rPr>
          <w:rFonts w:ascii="Times New Roman" w:eastAsia="Times New Roman" w:hAnsi="Times New Roman" w:cs="Times New Roman"/>
          <w:color w:val="000000"/>
          <w:sz w:val="24"/>
          <w:szCs w:val="24"/>
          <w:shd w:val="clear" w:color="auto" w:fill="FFFFFF"/>
          <w:lang w:eastAsia="ru-RU"/>
        </w:rPr>
        <w:t>puţin</w:t>
      </w:r>
      <w:proofErr w:type="spellEnd"/>
      <w:r w:rsidR="006364B2" w:rsidRPr="00FD2D5D">
        <w:rPr>
          <w:rFonts w:ascii="Times New Roman" w:eastAsia="Times New Roman" w:hAnsi="Times New Roman" w:cs="Times New Roman"/>
          <w:color w:val="000000"/>
          <w:sz w:val="24"/>
          <w:szCs w:val="24"/>
          <w:shd w:val="clear" w:color="auto" w:fill="FFFFFF"/>
          <w:lang w:eastAsia="ru-RU"/>
        </w:rPr>
        <w:t xml:space="preserve"> 10% din totalul combustibililor </w:t>
      </w:r>
      <w:proofErr w:type="spellStart"/>
      <w:r w:rsidR="006364B2" w:rsidRPr="00FD2D5D">
        <w:rPr>
          <w:rFonts w:ascii="Times New Roman" w:eastAsia="Times New Roman" w:hAnsi="Times New Roman" w:cs="Times New Roman"/>
          <w:color w:val="000000"/>
          <w:sz w:val="24"/>
          <w:szCs w:val="24"/>
          <w:shd w:val="clear" w:color="auto" w:fill="FFFFFF"/>
          <w:lang w:eastAsia="ru-RU"/>
        </w:rPr>
        <w:t>utilizaţi</w:t>
      </w:r>
      <w:proofErr w:type="spellEnd"/>
      <w:r w:rsidR="006364B2" w:rsidRPr="00FD2D5D">
        <w:rPr>
          <w:rFonts w:ascii="Times New Roman" w:eastAsia="Times New Roman" w:hAnsi="Times New Roman" w:cs="Times New Roman"/>
          <w:color w:val="000000"/>
          <w:sz w:val="24"/>
          <w:szCs w:val="24"/>
          <w:shd w:val="clear" w:color="auto" w:fill="FFFFFF"/>
          <w:lang w:eastAsia="ru-RU"/>
        </w:rPr>
        <w:t xml:space="preserve"> în sectorul transporturi </w:t>
      </w:r>
      <w:proofErr w:type="spellStart"/>
      <w:r w:rsidR="006364B2" w:rsidRPr="00FD2D5D">
        <w:rPr>
          <w:rFonts w:ascii="Times New Roman" w:eastAsia="Times New Roman" w:hAnsi="Times New Roman" w:cs="Times New Roman"/>
          <w:color w:val="000000"/>
          <w:sz w:val="24"/>
          <w:szCs w:val="24"/>
          <w:shd w:val="clear" w:color="auto" w:fill="FFFFFF"/>
          <w:lang w:eastAsia="ru-RU"/>
        </w:rPr>
        <w:t>pînă</w:t>
      </w:r>
      <w:proofErr w:type="spellEnd"/>
      <w:r w:rsidR="006364B2" w:rsidRPr="00FD2D5D">
        <w:rPr>
          <w:rFonts w:ascii="Times New Roman" w:eastAsia="Times New Roman" w:hAnsi="Times New Roman" w:cs="Times New Roman"/>
          <w:color w:val="000000"/>
          <w:sz w:val="24"/>
          <w:szCs w:val="24"/>
          <w:shd w:val="clear" w:color="auto" w:fill="FFFFFF"/>
          <w:lang w:eastAsia="ru-RU"/>
        </w:rPr>
        <w:t xml:space="preserve"> în anul 2020.</w:t>
      </w:r>
      <w:r w:rsidR="00701660" w:rsidRPr="00FD2D5D">
        <w:rPr>
          <w:rFonts w:ascii="Times New Roman" w:eastAsia="Times New Roman" w:hAnsi="Times New Roman" w:cs="Times New Roman"/>
          <w:color w:val="000000"/>
          <w:sz w:val="24"/>
          <w:szCs w:val="24"/>
          <w:shd w:val="clear" w:color="auto" w:fill="FFFFFF"/>
          <w:lang w:eastAsia="ru-RU"/>
        </w:rPr>
        <w:t xml:space="preserve"> Spre regret, acest obiectiv nu a fost atins. </w:t>
      </w:r>
      <w:r w:rsidR="00880CE1" w:rsidRPr="00FD2D5D">
        <w:rPr>
          <w:rFonts w:ascii="Times New Roman" w:eastAsia="Times New Roman" w:hAnsi="Times New Roman" w:cs="Times New Roman"/>
          <w:color w:val="000000"/>
          <w:sz w:val="24"/>
          <w:szCs w:val="24"/>
          <w:shd w:val="clear" w:color="auto" w:fill="FFFFFF"/>
          <w:lang w:eastAsia="ru-RU"/>
        </w:rPr>
        <w:t xml:space="preserve">Totodată, Planul </w:t>
      </w:r>
      <w:proofErr w:type="spellStart"/>
      <w:r w:rsidR="00880CE1" w:rsidRPr="00FD2D5D">
        <w:rPr>
          <w:rFonts w:ascii="Times New Roman" w:eastAsia="Times New Roman" w:hAnsi="Times New Roman" w:cs="Times New Roman"/>
          <w:color w:val="000000"/>
          <w:sz w:val="24"/>
          <w:szCs w:val="24"/>
          <w:shd w:val="clear" w:color="auto" w:fill="FFFFFF"/>
          <w:lang w:eastAsia="ru-RU"/>
        </w:rPr>
        <w:t>naţional</w:t>
      </w:r>
      <w:proofErr w:type="spellEnd"/>
      <w:r w:rsidR="00880CE1" w:rsidRPr="00FD2D5D">
        <w:rPr>
          <w:rFonts w:ascii="Times New Roman" w:eastAsia="Times New Roman" w:hAnsi="Times New Roman" w:cs="Times New Roman"/>
          <w:color w:val="000000"/>
          <w:sz w:val="24"/>
          <w:szCs w:val="24"/>
          <w:shd w:val="clear" w:color="auto" w:fill="FFFFFF"/>
          <w:lang w:eastAsia="ru-RU"/>
        </w:rPr>
        <w:t xml:space="preserve"> de </w:t>
      </w:r>
      <w:proofErr w:type="spellStart"/>
      <w:r w:rsidR="00880CE1" w:rsidRPr="00FD2D5D">
        <w:rPr>
          <w:rFonts w:ascii="Times New Roman" w:eastAsia="Times New Roman" w:hAnsi="Times New Roman" w:cs="Times New Roman"/>
          <w:color w:val="000000"/>
          <w:sz w:val="24"/>
          <w:szCs w:val="24"/>
          <w:shd w:val="clear" w:color="auto" w:fill="FFFFFF"/>
          <w:lang w:eastAsia="ru-RU"/>
        </w:rPr>
        <w:t>acţiuni</w:t>
      </w:r>
      <w:proofErr w:type="spellEnd"/>
      <w:r w:rsidR="00880CE1" w:rsidRPr="00FD2D5D">
        <w:rPr>
          <w:rFonts w:ascii="Times New Roman" w:eastAsia="Times New Roman" w:hAnsi="Times New Roman" w:cs="Times New Roman"/>
          <w:color w:val="000000"/>
          <w:sz w:val="24"/>
          <w:szCs w:val="24"/>
          <w:shd w:val="clear" w:color="auto" w:fill="FFFFFF"/>
          <w:lang w:eastAsia="ru-RU"/>
        </w:rPr>
        <w:t xml:space="preserve"> în domeniul </w:t>
      </w:r>
      <w:proofErr w:type="spellStart"/>
      <w:r w:rsidR="00880CE1" w:rsidRPr="00FD2D5D">
        <w:rPr>
          <w:rFonts w:ascii="Times New Roman" w:eastAsia="Times New Roman" w:hAnsi="Times New Roman" w:cs="Times New Roman"/>
          <w:color w:val="000000"/>
          <w:sz w:val="24"/>
          <w:szCs w:val="24"/>
          <w:shd w:val="clear" w:color="auto" w:fill="FFFFFF"/>
          <w:lang w:eastAsia="ru-RU"/>
        </w:rPr>
        <w:t>eficienţei</w:t>
      </w:r>
      <w:proofErr w:type="spellEnd"/>
      <w:r w:rsidR="00880CE1" w:rsidRPr="00FD2D5D">
        <w:rPr>
          <w:rFonts w:ascii="Times New Roman" w:eastAsia="Times New Roman" w:hAnsi="Times New Roman" w:cs="Times New Roman"/>
          <w:color w:val="000000"/>
          <w:sz w:val="24"/>
          <w:szCs w:val="24"/>
          <w:shd w:val="clear" w:color="auto" w:fill="FFFFFF"/>
          <w:lang w:eastAsia="ru-RU"/>
        </w:rPr>
        <w:t xml:space="preserve"> energetice pentru anii 2019-2021</w:t>
      </w:r>
      <w:r w:rsidR="004573D0" w:rsidRPr="00FD2D5D">
        <w:rPr>
          <w:rFonts w:ascii="Times New Roman" w:eastAsia="Times New Roman" w:hAnsi="Times New Roman" w:cs="Times New Roman"/>
          <w:color w:val="000000"/>
          <w:sz w:val="24"/>
          <w:szCs w:val="24"/>
          <w:shd w:val="clear" w:color="auto" w:fill="FFFFFF"/>
          <w:lang w:eastAsia="ru-RU"/>
        </w:rPr>
        <w:t xml:space="preserve"> </w:t>
      </w:r>
      <w:r w:rsidR="00880CE1" w:rsidRPr="00FD2D5D">
        <w:rPr>
          <w:rFonts w:ascii="Times New Roman" w:eastAsia="Times New Roman" w:hAnsi="Times New Roman" w:cs="Times New Roman"/>
          <w:color w:val="000000"/>
          <w:sz w:val="24"/>
          <w:szCs w:val="24"/>
          <w:shd w:val="clear" w:color="auto" w:fill="FFFFFF"/>
          <w:lang w:eastAsia="ru-RU"/>
        </w:rPr>
        <w:t>(HG</w:t>
      </w:r>
      <w:r w:rsidR="004573D0" w:rsidRPr="00FD2D5D">
        <w:rPr>
          <w:rFonts w:ascii="Times New Roman" w:eastAsia="Times New Roman" w:hAnsi="Times New Roman" w:cs="Times New Roman"/>
          <w:color w:val="000000"/>
          <w:sz w:val="24"/>
          <w:szCs w:val="24"/>
          <w:shd w:val="clear" w:color="auto" w:fill="FFFFFF"/>
          <w:lang w:eastAsia="ru-RU"/>
        </w:rPr>
        <w:t xml:space="preserve"> nr.</w:t>
      </w:r>
      <w:r w:rsidR="00880CE1" w:rsidRPr="00FD2D5D">
        <w:rPr>
          <w:rFonts w:ascii="Times New Roman" w:eastAsia="Times New Roman" w:hAnsi="Times New Roman" w:cs="Times New Roman"/>
          <w:color w:val="000000"/>
          <w:sz w:val="24"/>
          <w:szCs w:val="24"/>
          <w:shd w:val="clear" w:color="auto" w:fill="FFFFFF"/>
          <w:lang w:eastAsia="ru-RU"/>
        </w:rPr>
        <w:t xml:space="preserve"> 698/2019), </w:t>
      </w:r>
      <w:proofErr w:type="spellStart"/>
      <w:r w:rsidR="00880CE1" w:rsidRPr="00FD2D5D">
        <w:rPr>
          <w:rFonts w:ascii="Times New Roman" w:eastAsia="Times New Roman" w:hAnsi="Times New Roman" w:cs="Times New Roman"/>
          <w:color w:val="000000"/>
          <w:sz w:val="24"/>
          <w:szCs w:val="24"/>
          <w:shd w:val="clear" w:color="auto" w:fill="FFFFFF"/>
          <w:lang w:eastAsia="ru-RU"/>
        </w:rPr>
        <w:t>stabileşte</w:t>
      </w:r>
      <w:proofErr w:type="spellEnd"/>
      <w:r w:rsidR="00880CE1" w:rsidRPr="00FD2D5D">
        <w:rPr>
          <w:rFonts w:ascii="Times New Roman" w:eastAsia="Times New Roman" w:hAnsi="Times New Roman" w:cs="Times New Roman"/>
          <w:color w:val="000000"/>
          <w:sz w:val="24"/>
          <w:szCs w:val="24"/>
          <w:shd w:val="clear" w:color="auto" w:fill="FFFFFF"/>
          <w:lang w:eastAsia="ru-RU"/>
        </w:rPr>
        <w:t xml:space="preserve"> obiectivul de </w:t>
      </w:r>
      <w:proofErr w:type="spellStart"/>
      <w:r w:rsidR="00880CE1" w:rsidRPr="00FD2D5D">
        <w:rPr>
          <w:rFonts w:ascii="Times New Roman" w:eastAsia="Times New Roman" w:hAnsi="Times New Roman" w:cs="Times New Roman"/>
          <w:color w:val="000000"/>
          <w:sz w:val="24"/>
          <w:szCs w:val="24"/>
          <w:shd w:val="clear" w:color="auto" w:fill="FFFFFF"/>
          <w:lang w:eastAsia="ru-RU"/>
        </w:rPr>
        <w:t>eficienţă</w:t>
      </w:r>
      <w:proofErr w:type="spellEnd"/>
      <w:r w:rsidR="00880CE1" w:rsidRPr="00FD2D5D">
        <w:rPr>
          <w:rFonts w:ascii="Times New Roman" w:eastAsia="Times New Roman" w:hAnsi="Times New Roman" w:cs="Times New Roman"/>
          <w:color w:val="000000"/>
          <w:sz w:val="24"/>
          <w:szCs w:val="24"/>
          <w:shd w:val="clear" w:color="auto" w:fill="FFFFFF"/>
          <w:lang w:eastAsia="ru-RU"/>
        </w:rPr>
        <w:t xml:space="preserve"> energetică pentru această perioadă la nivelul de 35 </w:t>
      </w:r>
      <w:proofErr w:type="spellStart"/>
      <w:r w:rsidR="00880CE1" w:rsidRPr="00FD2D5D">
        <w:rPr>
          <w:rFonts w:ascii="Times New Roman" w:eastAsia="Times New Roman" w:hAnsi="Times New Roman" w:cs="Times New Roman"/>
          <w:color w:val="000000"/>
          <w:sz w:val="24"/>
          <w:szCs w:val="24"/>
          <w:shd w:val="clear" w:color="auto" w:fill="FFFFFF"/>
          <w:lang w:eastAsia="ru-RU"/>
        </w:rPr>
        <w:t>ktep</w:t>
      </w:r>
      <w:proofErr w:type="spellEnd"/>
      <w:r w:rsidR="00880CE1" w:rsidRPr="00FD2D5D">
        <w:rPr>
          <w:rFonts w:ascii="Times New Roman" w:eastAsia="Times New Roman" w:hAnsi="Times New Roman" w:cs="Times New Roman"/>
          <w:color w:val="000000"/>
          <w:sz w:val="24"/>
          <w:szCs w:val="24"/>
          <w:shd w:val="clear" w:color="auto" w:fill="FFFFFF"/>
          <w:lang w:eastAsia="ru-RU"/>
        </w:rPr>
        <w:t xml:space="preserve"> în sectorul transporturi.</w:t>
      </w:r>
    </w:p>
    <w:p w14:paraId="4E52E450" w14:textId="4EA74B7F" w:rsidR="006364B2" w:rsidRPr="00FD2D5D" w:rsidRDefault="006364B2" w:rsidP="006364B2">
      <w:pPr>
        <w:spacing w:after="0" w:line="240" w:lineRule="auto"/>
        <w:ind w:firstLine="720"/>
        <w:jc w:val="both"/>
        <w:rPr>
          <w:rFonts w:ascii="Times New Roman" w:eastAsia="Times New Roman" w:hAnsi="Times New Roman" w:cs="Times New Roman"/>
          <w:sz w:val="24"/>
          <w:szCs w:val="24"/>
          <w:lang w:eastAsia="ru-RU"/>
        </w:rPr>
      </w:pPr>
      <w:r w:rsidRPr="00911B25">
        <w:rPr>
          <w:rFonts w:ascii="Times New Roman" w:eastAsia="Times New Roman" w:hAnsi="Times New Roman" w:cs="Times New Roman"/>
          <w:color w:val="000000"/>
          <w:sz w:val="24"/>
          <w:szCs w:val="24"/>
          <w:shd w:val="clear" w:color="auto" w:fill="FFFFFF"/>
          <w:lang w:eastAsia="ru-RU"/>
        </w:rPr>
        <w:t xml:space="preserve">Documentele </w:t>
      </w:r>
      <w:proofErr w:type="spellStart"/>
      <w:r w:rsidRPr="00911B25">
        <w:rPr>
          <w:rFonts w:ascii="Times New Roman" w:eastAsia="Times New Roman" w:hAnsi="Times New Roman" w:cs="Times New Roman"/>
          <w:color w:val="000000"/>
          <w:sz w:val="24"/>
          <w:szCs w:val="24"/>
          <w:shd w:val="clear" w:color="auto" w:fill="FFFFFF"/>
          <w:lang w:eastAsia="ru-RU"/>
        </w:rPr>
        <w:t>menţionate</w:t>
      </w:r>
      <w:proofErr w:type="spellEnd"/>
      <w:r w:rsidRPr="00911B25">
        <w:rPr>
          <w:rFonts w:ascii="Times New Roman" w:eastAsia="Times New Roman" w:hAnsi="Times New Roman" w:cs="Times New Roman"/>
          <w:color w:val="000000"/>
          <w:sz w:val="24"/>
          <w:szCs w:val="24"/>
          <w:shd w:val="clear" w:color="auto" w:fill="FFFFFF"/>
          <w:lang w:eastAsia="ru-RU"/>
        </w:rPr>
        <w:t xml:space="preserve"> prevăd c</w:t>
      </w:r>
      <w:r w:rsidR="00455D91" w:rsidRPr="00911B25">
        <w:rPr>
          <w:rFonts w:ascii="Times New Roman" w:eastAsia="Times New Roman" w:hAnsi="Times New Roman" w:cs="Times New Roman"/>
          <w:color w:val="000000"/>
          <w:sz w:val="24"/>
          <w:szCs w:val="24"/>
          <w:shd w:val="clear" w:color="auto" w:fill="FFFFFF"/>
          <w:lang w:eastAsia="ru-RU"/>
        </w:rPr>
        <w:t>ă</w:t>
      </w:r>
      <w:r w:rsidRPr="00911B25">
        <w:rPr>
          <w:rFonts w:ascii="Times New Roman" w:eastAsia="Times New Roman" w:hAnsi="Times New Roman" w:cs="Times New Roman"/>
          <w:color w:val="000000"/>
          <w:sz w:val="24"/>
          <w:szCs w:val="24"/>
          <w:shd w:val="clear" w:color="auto" w:fill="FFFFFF"/>
          <w:lang w:eastAsia="ru-RU"/>
        </w:rPr>
        <w:t xml:space="preserve"> autoritatea publică desemnată se angajează să elaboreze programe de economisire a energiei în sectorul transporturi, precum </w:t>
      </w:r>
      <w:proofErr w:type="spellStart"/>
      <w:r w:rsidRPr="00911B25">
        <w:rPr>
          <w:rFonts w:ascii="Times New Roman" w:eastAsia="Times New Roman" w:hAnsi="Times New Roman" w:cs="Times New Roman"/>
          <w:color w:val="000000"/>
          <w:sz w:val="24"/>
          <w:szCs w:val="24"/>
          <w:shd w:val="clear" w:color="auto" w:fill="FFFFFF"/>
          <w:lang w:eastAsia="ru-RU"/>
        </w:rPr>
        <w:t>şi</w:t>
      </w:r>
      <w:proofErr w:type="spellEnd"/>
      <w:r w:rsidRPr="00911B25">
        <w:rPr>
          <w:rFonts w:ascii="Times New Roman" w:eastAsia="Times New Roman" w:hAnsi="Times New Roman" w:cs="Times New Roman"/>
          <w:color w:val="000000"/>
          <w:sz w:val="24"/>
          <w:szCs w:val="24"/>
          <w:shd w:val="clear" w:color="auto" w:fill="FFFFFF"/>
          <w:lang w:eastAsia="ru-RU"/>
        </w:rPr>
        <w:t xml:space="preserve"> să elaboreze un plan de </w:t>
      </w:r>
      <w:proofErr w:type="spellStart"/>
      <w:r w:rsidRPr="00911B25">
        <w:rPr>
          <w:rFonts w:ascii="Times New Roman" w:eastAsia="Times New Roman" w:hAnsi="Times New Roman" w:cs="Times New Roman"/>
          <w:color w:val="000000"/>
          <w:sz w:val="24"/>
          <w:szCs w:val="24"/>
          <w:shd w:val="clear" w:color="auto" w:fill="FFFFFF"/>
          <w:lang w:eastAsia="ru-RU"/>
        </w:rPr>
        <w:t>acţiune</w:t>
      </w:r>
      <w:proofErr w:type="spellEnd"/>
      <w:r w:rsidRPr="00911B25">
        <w:rPr>
          <w:rFonts w:ascii="Times New Roman" w:eastAsia="Times New Roman" w:hAnsi="Times New Roman" w:cs="Times New Roman"/>
          <w:color w:val="000000"/>
          <w:sz w:val="24"/>
          <w:szCs w:val="24"/>
          <w:shd w:val="clear" w:color="auto" w:fill="FFFFFF"/>
          <w:lang w:eastAsia="ru-RU"/>
        </w:rPr>
        <w:t xml:space="preserve"> pentru a specifica utilizarea </w:t>
      </w:r>
      <w:proofErr w:type="spellStart"/>
      <w:r w:rsidRPr="00911B25">
        <w:rPr>
          <w:rFonts w:ascii="Times New Roman" w:eastAsia="Times New Roman" w:hAnsi="Times New Roman" w:cs="Times New Roman"/>
          <w:color w:val="000000"/>
          <w:sz w:val="24"/>
          <w:szCs w:val="24"/>
          <w:shd w:val="clear" w:color="auto" w:fill="FFFFFF"/>
          <w:lang w:eastAsia="ru-RU"/>
        </w:rPr>
        <w:t>potenţială</w:t>
      </w:r>
      <w:proofErr w:type="spellEnd"/>
      <w:r w:rsidRPr="00911B25">
        <w:rPr>
          <w:rFonts w:ascii="Times New Roman" w:eastAsia="Times New Roman" w:hAnsi="Times New Roman" w:cs="Times New Roman"/>
          <w:color w:val="000000"/>
          <w:sz w:val="24"/>
          <w:szCs w:val="24"/>
          <w:shd w:val="clear" w:color="auto" w:fill="FFFFFF"/>
          <w:lang w:eastAsia="ru-RU"/>
        </w:rPr>
        <w:t xml:space="preserve"> a biocombustibililor care urmează a fi </w:t>
      </w:r>
      <w:proofErr w:type="spellStart"/>
      <w:r w:rsidRPr="00911B25">
        <w:rPr>
          <w:rFonts w:ascii="Times New Roman" w:eastAsia="Times New Roman" w:hAnsi="Times New Roman" w:cs="Times New Roman"/>
          <w:color w:val="000000"/>
          <w:sz w:val="24"/>
          <w:szCs w:val="24"/>
          <w:shd w:val="clear" w:color="auto" w:fill="FFFFFF"/>
          <w:lang w:eastAsia="ru-RU"/>
        </w:rPr>
        <w:t>produşi</w:t>
      </w:r>
      <w:proofErr w:type="spellEnd"/>
      <w:r w:rsidRPr="00911B25">
        <w:rPr>
          <w:rFonts w:ascii="Times New Roman" w:eastAsia="Times New Roman" w:hAnsi="Times New Roman" w:cs="Times New Roman"/>
          <w:color w:val="000000"/>
          <w:sz w:val="24"/>
          <w:szCs w:val="24"/>
          <w:shd w:val="clear" w:color="auto" w:fill="FFFFFF"/>
          <w:lang w:eastAsia="ru-RU"/>
        </w:rPr>
        <w:t xml:space="preserve"> din biomasă.</w:t>
      </w:r>
      <w:r w:rsidR="00911B25">
        <w:rPr>
          <w:rFonts w:ascii="Times New Roman" w:eastAsia="Times New Roman" w:hAnsi="Times New Roman" w:cs="Times New Roman"/>
          <w:color w:val="000000"/>
          <w:sz w:val="24"/>
          <w:szCs w:val="24"/>
          <w:shd w:val="clear" w:color="auto" w:fill="FFFFFF"/>
          <w:lang w:eastAsia="ru-RU"/>
        </w:rPr>
        <w:t xml:space="preserve"> </w:t>
      </w:r>
    </w:p>
    <w:p w14:paraId="5D0DBF81" w14:textId="683BB4F2" w:rsidR="006364B2" w:rsidRPr="00125FAF" w:rsidRDefault="006364B2" w:rsidP="00E70219">
      <w:pPr>
        <w:spacing w:after="0" w:line="240" w:lineRule="auto"/>
        <w:ind w:firstLine="810"/>
        <w:jc w:val="both"/>
        <w:rPr>
          <w:rFonts w:ascii="Times New Roman" w:eastAsia="Times New Roman" w:hAnsi="Times New Roman" w:cs="Times New Roman"/>
          <w:sz w:val="24"/>
          <w:szCs w:val="24"/>
          <w:lang w:eastAsia="ru-RU"/>
        </w:rPr>
      </w:pPr>
      <w:r w:rsidRPr="00125FAF">
        <w:rPr>
          <w:rFonts w:ascii="Times New Roman" w:eastAsia="Times New Roman" w:hAnsi="Times New Roman" w:cs="Times New Roman"/>
          <w:color w:val="000000"/>
          <w:sz w:val="24"/>
          <w:szCs w:val="24"/>
          <w:shd w:val="clear" w:color="auto" w:fill="FFFFFF"/>
          <w:lang w:eastAsia="ru-RU"/>
        </w:rPr>
        <w:t xml:space="preserve">Strategia </w:t>
      </w:r>
      <w:r w:rsidR="00F27FE3" w:rsidRPr="00125FAF">
        <w:rPr>
          <w:rFonts w:ascii="Times New Roman" w:eastAsia="Times New Roman" w:hAnsi="Times New Roman" w:cs="Times New Roman"/>
          <w:sz w:val="24"/>
          <w:szCs w:val="24"/>
        </w:rPr>
        <w:t xml:space="preserve">de transport </w:t>
      </w:r>
      <w:proofErr w:type="spellStart"/>
      <w:r w:rsidR="00F27FE3" w:rsidRPr="00125FAF">
        <w:rPr>
          <w:rFonts w:ascii="Times New Roman" w:eastAsia="Times New Roman" w:hAnsi="Times New Roman" w:cs="Times New Roman"/>
          <w:sz w:val="24"/>
          <w:szCs w:val="24"/>
        </w:rPr>
        <w:t>şi</w:t>
      </w:r>
      <w:proofErr w:type="spellEnd"/>
      <w:r w:rsidR="00F27FE3" w:rsidRPr="00125FAF">
        <w:rPr>
          <w:rFonts w:ascii="Times New Roman" w:eastAsia="Times New Roman" w:hAnsi="Times New Roman" w:cs="Times New Roman"/>
          <w:sz w:val="24"/>
          <w:szCs w:val="24"/>
        </w:rPr>
        <w:t xml:space="preserve"> logistică până în anul 2022 (</w:t>
      </w:r>
      <w:bookmarkStart w:id="4" w:name="_Hlk60993078"/>
      <w:r w:rsidR="00F27FE3" w:rsidRPr="00125FAF">
        <w:rPr>
          <w:rFonts w:ascii="Times New Roman" w:eastAsia="Times New Roman" w:hAnsi="Times New Roman" w:cs="Times New Roman"/>
          <w:sz w:val="24"/>
          <w:szCs w:val="24"/>
        </w:rPr>
        <w:t>HG nr.</w:t>
      </w:r>
      <w:r w:rsidR="004573D0" w:rsidRPr="00125FAF">
        <w:rPr>
          <w:rFonts w:ascii="Times New Roman" w:eastAsia="Times New Roman" w:hAnsi="Times New Roman" w:cs="Times New Roman"/>
          <w:sz w:val="24"/>
          <w:szCs w:val="24"/>
        </w:rPr>
        <w:t xml:space="preserve"> </w:t>
      </w:r>
      <w:r w:rsidR="00F27FE3" w:rsidRPr="00125FAF">
        <w:rPr>
          <w:rFonts w:ascii="Times New Roman" w:eastAsia="Times New Roman" w:hAnsi="Times New Roman" w:cs="Times New Roman"/>
          <w:sz w:val="24"/>
          <w:szCs w:val="24"/>
        </w:rPr>
        <w:t>827</w:t>
      </w:r>
      <w:r w:rsidR="004573D0" w:rsidRPr="00125FAF">
        <w:rPr>
          <w:rFonts w:ascii="Times New Roman" w:eastAsia="Times New Roman" w:hAnsi="Times New Roman" w:cs="Times New Roman"/>
          <w:sz w:val="24"/>
          <w:szCs w:val="24"/>
        </w:rPr>
        <w:t>/</w:t>
      </w:r>
      <w:r w:rsidR="00F27FE3" w:rsidRPr="00125FAF">
        <w:rPr>
          <w:rFonts w:ascii="Times New Roman" w:eastAsia="Times New Roman" w:hAnsi="Times New Roman" w:cs="Times New Roman"/>
          <w:sz w:val="24"/>
          <w:szCs w:val="24"/>
        </w:rPr>
        <w:t>2013</w:t>
      </w:r>
      <w:bookmarkEnd w:id="4"/>
      <w:r w:rsidR="00F27FE3" w:rsidRPr="00125FAF">
        <w:rPr>
          <w:rFonts w:ascii="Times New Roman" w:eastAsia="Times New Roman" w:hAnsi="Times New Roman" w:cs="Times New Roman"/>
          <w:sz w:val="24"/>
          <w:szCs w:val="24"/>
        </w:rPr>
        <w:t>)</w:t>
      </w:r>
      <w:r w:rsidR="00F27FE3" w:rsidRPr="00125FAF">
        <w:rPr>
          <w:rFonts w:ascii="Times New Roman" w:eastAsia="Times New Roman" w:hAnsi="Times New Roman" w:cs="Times New Roman"/>
          <w:b/>
          <w:sz w:val="24"/>
          <w:szCs w:val="24"/>
        </w:rPr>
        <w:t xml:space="preserve"> </w:t>
      </w:r>
      <w:proofErr w:type="spellStart"/>
      <w:r w:rsidR="00F27FE3" w:rsidRPr="00125FAF">
        <w:rPr>
          <w:rFonts w:ascii="Times New Roman" w:eastAsia="Times New Roman" w:hAnsi="Times New Roman" w:cs="Times New Roman"/>
          <w:color w:val="000000"/>
          <w:sz w:val="24"/>
          <w:szCs w:val="24"/>
          <w:shd w:val="clear" w:color="auto" w:fill="FFFFFF"/>
          <w:lang w:eastAsia="ru-RU"/>
        </w:rPr>
        <w:t>susţine</w:t>
      </w:r>
      <w:proofErr w:type="spellEnd"/>
      <w:r w:rsidR="00F27FE3" w:rsidRPr="00125FAF">
        <w:rPr>
          <w:rFonts w:ascii="Times New Roman" w:eastAsia="Times New Roman" w:hAnsi="Times New Roman" w:cs="Times New Roman"/>
          <w:color w:val="000000"/>
          <w:sz w:val="24"/>
          <w:szCs w:val="24"/>
          <w:shd w:val="clear" w:color="auto" w:fill="FFFFFF"/>
          <w:lang w:eastAsia="ru-RU"/>
        </w:rPr>
        <w:t xml:space="preserve"> procesul continuu de armonizare a </w:t>
      </w:r>
      <w:proofErr w:type="spellStart"/>
      <w:r w:rsidR="00F27FE3" w:rsidRPr="00125FAF">
        <w:rPr>
          <w:rFonts w:ascii="Times New Roman" w:eastAsia="Times New Roman" w:hAnsi="Times New Roman" w:cs="Times New Roman"/>
          <w:color w:val="000000"/>
          <w:sz w:val="24"/>
          <w:szCs w:val="24"/>
          <w:shd w:val="clear" w:color="auto" w:fill="FFFFFF"/>
          <w:lang w:eastAsia="ru-RU"/>
        </w:rPr>
        <w:t>legislaţiei</w:t>
      </w:r>
      <w:proofErr w:type="spellEnd"/>
      <w:r w:rsidR="00F27FE3" w:rsidRPr="00125FAF">
        <w:rPr>
          <w:rFonts w:ascii="Times New Roman" w:eastAsia="Times New Roman" w:hAnsi="Times New Roman" w:cs="Times New Roman"/>
          <w:color w:val="000000"/>
          <w:sz w:val="24"/>
          <w:szCs w:val="24"/>
          <w:shd w:val="clear" w:color="auto" w:fill="FFFFFF"/>
          <w:lang w:eastAsia="ru-RU"/>
        </w:rPr>
        <w:t xml:space="preserve"> Republicii Moldova din sectorul transporturilor cu standardele, </w:t>
      </w:r>
      <w:proofErr w:type="spellStart"/>
      <w:r w:rsidR="00F27FE3" w:rsidRPr="00125FAF">
        <w:rPr>
          <w:rFonts w:ascii="Times New Roman" w:eastAsia="Times New Roman" w:hAnsi="Times New Roman" w:cs="Times New Roman"/>
          <w:color w:val="000000"/>
          <w:sz w:val="24"/>
          <w:szCs w:val="24"/>
          <w:shd w:val="clear" w:color="auto" w:fill="FFFFFF"/>
          <w:lang w:eastAsia="ru-RU"/>
        </w:rPr>
        <w:t>legislaţia</w:t>
      </w:r>
      <w:proofErr w:type="spellEnd"/>
      <w:r w:rsidR="00F27FE3" w:rsidRPr="00125FAF">
        <w:rPr>
          <w:rFonts w:ascii="Times New Roman" w:eastAsia="Times New Roman" w:hAnsi="Times New Roman" w:cs="Times New Roman"/>
          <w:color w:val="000000"/>
          <w:sz w:val="24"/>
          <w:szCs w:val="24"/>
          <w:shd w:val="clear" w:color="auto" w:fill="FFFFFF"/>
          <w:lang w:eastAsia="ru-RU"/>
        </w:rPr>
        <w:t xml:space="preserve"> </w:t>
      </w:r>
      <w:proofErr w:type="spellStart"/>
      <w:r w:rsidR="00F27FE3" w:rsidRPr="00125FAF">
        <w:rPr>
          <w:rFonts w:ascii="Times New Roman" w:eastAsia="Times New Roman" w:hAnsi="Times New Roman" w:cs="Times New Roman"/>
          <w:color w:val="000000"/>
          <w:sz w:val="24"/>
          <w:szCs w:val="24"/>
          <w:shd w:val="clear" w:color="auto" w:fill="FFFFFF"/>
          <w:lang w:eastAsia="ru-RU"/>
        </w:rPr>
        <w:t>şi</w:t>
      </w:r>
      <w:proofErr w:type="spellEnd"/>
      <w:r w:rsidR="00F27FE3" w:rsidRPr="00125FAF">
        <w:rPr>
          <w:rFonts w:ascii="Times New Roman" w:eastAsia="Times New Roman" w:hAnsi="Times New Roman" w:cs="Times New Roman"/>
          <w:color w:val="000000"/>
          <w:sz w:val="24"/>
          <w:szCs w:val="24"/>
          <w:shd w:val="clear" w:color="auto" w:fill="FFFFFF"/>
          <w:lang w:eastAsia="ru-RU"/>
        </w:rPr>
        <w:t xml:space="preserve"> reglementările corespunzătoare ale UE. Obiectivul general ce urmează a fi atins prin implementarea acestei Strategii </w:t>
      </w:r>
      <w:r w:rsidR="00455D91" w:rsidRPr="00125FAF">
        <w:rPr>
          <w:rFonts w:ascii="Times New Roman" w:eastAsia="Times New Roman" w:hAnsi="Times New Roman" w:cs="Times New Roman"/>
          <w:color w:val="000000"/>
          <w:sz w:val="24"/>
          <w:szCs w:val="24"/>
          <w:shd w:val="clear" w:color="auto" w:fill="FFFFFF"/>
          <w:lang w:eastAsia="ru-RU"/>
        </w:rPr>
        <w:t>constă în crearea</w:t>
      </w:r>
      <w:r w:rsidR="00F27FE3" w:rsidRPr="00125FAF">
        <w:rPr>
          <w:rFonts w:ascii="Times New Roman" w:eastAsia="Times New Roman" w:hAnsi="Times New Roman" w:cs="Times New Roman"/>
          <w:color w:val="000000"/>
          <w:sz w:val="24"/>
          <w:szCs w:val="24"/>
          <w:shd w:val="clear" w:color="auto" w:fill="FFFFFF"/>
          <w:lang w:eastAsia="ru-RU"/>
        </w:rPr>
        <w:t xml:space="preserve"> un</w:t>
      </w:r>
      <w:r w:rsidR="00455D91" w:rsidRPr="00125FAF">
        <w:rPr>
          <w:rFonts w:ascii="Times New Roman" w:eastAsia="Times New Roman" w:hAnsi="Times New Roman" w:cs="Times New Roman"/>
          <w:color w:val="000000"/>
          <w:sz w:val="24"/>
          <w:szCs w:val="24"/>
          <w:shd w:val="clear" w:color="auto" w:fill="FFFFFF"/>
          <w:lang w:eastAsia="ru-RU"/>
        </w:rPr>
        <w:t>ui</w:t>
      </w:r>
      <w:r w:rsidR="00F27FE3" w:rsidRPr="00125FAF">
        <w:rPr>
          <w:rFonts w:ascii="Times New Roman" w:eastAsia="Times New Roman" w:hAnsi="Times New Roman" w:cs="Times New Roman"/>
          <w:color w:val="000000"/>
          <w:sz w:val="24"/>
          <w:szCs w:val="24"/>
          <w:shd w:val="clear" w:color="auto" w:fill="FFFFFF"/>
          <w:lang w:eastAsia="ru-RU"/>
        </w:rPr>
        <w:t xml:space="preserve"> sistem de transport </w:t>
      </w:r>
      <w:proofErr w:type="spellStart"/>
      <w:r w:rsidR="00F27FE3" w:rsidRPr="00125FAF">
        <w:rPr>
          <w:rFonts w:ascii="Times New Roman" w:eastAsia="Times New Roman" w:hAnsi="Times New Roman" w:cs="Times New Roman"/>
          <w:color w:val="000000"/>
          <w:sz w:val="24"/>
          <w:szCs w:val="24"/>
          <w:shd w:val="clear" w:color="auto" w:fill="FFFFFF"/>
          <w:lang w:eastAsia="ru-RU"/>
        </w:rPr>
        <w:t>şi</w:t>
      </w:r>
      <w:proofErr w:type="spellEnd"/>
      <w:r w:rsidR="00F27FE3" w:rsidRPr="00125FAF">
        <w:rPr>
          <w:rFonts w:ascii="Times New Roman" w:eastAsia="Times New Roman" w:hAnsi="Times New Roman" w:cs="Times New Roman"/>
          <w:color w:val="000000"/>
          <w:sz w:val="24"/>
          <w:szCs w:val="24"/>
          <w:shd w:val="clear" w:color="auto" w:fill="FFFFFF"/>
          <w:lang w:eastAsia="ru-RU"/>
        </w:rPr>
        <w:t xml:space="preserve"> logistică eficient care </w:t>
      </w:r>
      <w:proofErr w:type="spellStart"/>
      <w:r w:rsidR="00F27FE3" w:rsidRPr="00125FAF">
        <w:rPr>
          <w:rFonts w:ascii="Times New Roman" w:eastAsia="Times New Roman" w:hAnsi="Times New Roman" w:cs="Times New Roman"/>
          <w:color w:val="000000"/>
          <w:sz w:val="24"/>
          <w:szCs w:val="24"/>
          <w:shd w:val="clear" w:color="auto" w:fill="FFFFFF"/>
          <w:lang w:eastAsia="ru-RU"/>
        </w:rPr>
        <w:t>susţine</w:t>
      </w:r>
      <w:proofErr w:type="spellEnd"/>
      <w:r w:rsidR="00F27FE3" w:rsidRPr="00125FAF">
        <w:rPr>
          <w:rFonts w:ascii="Times New Roman" w:eastAsia="Times New Roman" w:hAnsi="Times New Roman" w:cs="Times New Roman"/>
          <w:color w:val="000000"/>
          <w:sz w:val="24"/>
          <w:szCs w:val="24"/>
          <w:shd w:val="clear" w:color="auto" w:fill="FFFFFF"/>
          <w:lang w:eastAsia="ru-RU"/>
        </w:rPr>
        <w:t xml:space="preserve"> </w:t>
      </w:r>
      <w:proofErr w:type="spellStart"/>
      <w:r w:rsidR="00F27FE3" w:rsidRPr="00125FAF">
        <w:rPr>
          <w:rFonts w:ascii="Times New Roman" w:eastAsia="Times New Roman" w:hAnsi="Times New Roman" w:cs="Times New Roman"/>
          <w:color w:val="000000"/>
          <w:sz w:val="24"/>
          <w:szCs w:val="24"/>
          <w:shd w:val="clear" w:color="auto" w:fill="FFFFFF"/>
          <w:lang w:eastAsia="ru-RU"/>
        </w:rPr>
        <w:t>necesităţile</w:t>
      </w:r>
      <w:proofErr w:type="spellEnd"/>
      <w:r w:rsidR="00F27FE3" w:rsidRPr="00125FAF">
        <w:rPr>
          <w:rFonts w:ascii="Times New Roman" w:eastAsia="Times New Roman" w:hAnsi="Times New Roman" w:cs="Times New Roman"/>
          <w:color w:val="000000"/>
          <w:sz w:val="24"/>
          <w:szCs w:val="24"/>
          <w:shd w:val="clear" w:color="auto" w:fill="FFFFFF"/>
          <w:lang w:eastAsia="ru-RU"/>
        </w:rPr>
        <w:t xml:space="preserve"> </w:t>
      </w:r>
      <w:proofErr w:type="spellStart"/>
      <w:r w:rsidR="00F27FE3" w:rsidRPr="00125FAF">
        <w:rPr>
          <w:rFonts w:ascii="Times New Roman" w:eastAsia="Times New Roman" w:hAnsi="Times New Roman" w:cs="Times New Roman"/>
          <w:color w:val="000000"/>
          <w:sz w:val="24"/>
          <w:szCs w:val="24"/>
          <w:shd w:val="clear" w:color="auto" w:fill="FFFFFF"/>
          <w:lang w:eastAsia="ru-RU"/>
        </w:rPr>
        <w:t>cetăţenilor</w:t>
      </w:r>
      <w:proofErr w:type="spellEnd"/>
      <w:r w:rsidR="00F27FE3" w:rsidRPr="00125FAF">
        <w:rPr>
          <w:rFonts w:ascii="Times New Roman" w:eastAsia="Times New Roman" w:hAnsi="Times New Roman" w:cs="Times New Roman"/>
          <w:color w:val="000000"/>
          <w:sz w:val="24"/>
          <w:szCs w:val="24"/>
          <w:shd w:val="clear" w:color="auto" w:fill="FFFFFF"/>
          <w:lang w:eastAsia="ru-RU"/>
        </w:rPr>
        <w:t xml:space="preserve"> pentru mobilitate </w:t>
      </w:r>
      <w:proofErr w:type="spellStart"/>
      <w:r w:rsidR="00F27FE3" w:rsidRPr="00125FAF">
        <w:rPr>
          <w:rFonts w:ascii="Times New Roman" w:eastAsia="Times New Roman" w:hAnsi="Times New Roman" w:cs="Times New Roman"/>
          <w:color w:val="000000"/>
          <w:sz w:val="24"/>
          <w:szCs w:val="24"/>
          <w:shd w:val="clear" w:color="auto" w:fill="FFFFFF"/>
          <w:lang w:eastAsia="ru-RU"/>
        </w:rPr>
        <w:t>şi</w:t>
      </w:r>
      <w:proofErr w:type="spellEnd"/>
      <w:r w:rsidR="00F27FE3" w:rsidRPr="00125FAF">
        <w:rPr>
          <w:rFonts w:ascii="Times New Roman" w:eastAsia="Times New Roman" w:hAnsi="Times New Roman" w:cs="Times New Roman"/>
          <w:color w:val="000000"/>
          <w:sz w:val="24"/>
          <w:szCs w:val="24"/>
          <w:shd w:val="clear" w:color="auto" w:fill="FFFFFF"/>
          <w:lang w:eastAsia="ru-RU"/>
        </w:rPr>
        <w:t xml:space="preserve"> care facilitează </w:t>
      </w:r>
      <w:proofErr w:type="spellStart"/>
      <w:r w:rsidR="00F27FE3" w:rsidRPr="00125FAF">
        <w:rPr>
          <w:rFonts w:ascii="Times New Roman" w:eastAsia="Times New Roman" w:hAnsi="Times New Roman" w:cs="Times New Roman"/>
          <w:color w:val="000000"/>
          <w:sz w:val="24"/>
          <w:szCs w:val="24"/>
          <w:shd w:val="clear" w:color="auto" w:fill="FFFFFF"/>
          <w:lang w:eastAsia="ru-RU"/>
        </w:rPr>
        <w:t>comerţul</w:t>
      </w:r>
      <w:proofErr w:type="spellEnd"/>
      <w:r w:rsidR="00F27FE3" w:rsidRPr="00125FAF">
        <w:rPr>
          <w:rFonts w:ascii="Times New Roman" w:eastAsia="Times New Roman" w:hAnsi="Times New Roman" w:cs="Times New Roman"/>
          <w:color w:val="000000"/>
          <w:sz w:val="24"/>
          <w:szCs w:val="24"/>
          <w:shd w:val="clear" w:color="auto" w:fill="FFFFFF"/>
          <w:lang w:eastAsia="ru-RU"/>
        </w:rPr>
        <w:t xml:space="preserve"> pe </w:t>
      </w:r>
      <w:proofErr w:type="spellStart"/>
      <w:r w:rsidR="00F27FE3" w:rsidRPr="00125FAF">
        <w:rPr>
          <w:rFonts w:ascii="Times New Roman" w:eastAsia="Times New Roman" w:hAnsi="Times New Roman" w:cs="Times New Roman"/>
          <w:color w:val="000000"/>
          <w:sz w:val="24"/>
          <w:szCs w:val="24"/>
          <w:shd w:val="clear" w:color="auto" w:fill="FFFFFF"/>
          <w:lang w:eastAsia="ru-RU"/>
        </w:rPr>
        <w:t>pieţele</w:t>
      </w:r>
      <w:proofErr w:type="spellEnd"/>
      <w:r w:rsidR="00F27FE3" w:rsidRPr="00125FAF">
        <w:rPr>
          <w:rFonts w:ascii="Times New Roman" w:eastAsia="Times New Roman" w:hAnsi="Times New Roman" w:cs="Times New Roman"/>
          <w:color w:val="000000"/>
          <w:sz w:val="24"/>
          <w:szCs w:val="24"/>
          <w:shd w:val="clear" w:color="auto" w:fill="FFFFFF"/>
          <w:lang w:eastAsia="ru-RU"/>
        </w:rPr>
        <w:t xml:space="preserve"> internă </w:t>
      </w:r>
      <w:proofErr w:type="spellStart"/>
      <w:r w:rsidR="00F27FE3" w:rsidRPr="00125FAF">
        <w:rPr>
          <w:rFonts w:ascii="Times New Roman" w:eastAsia="Times New Roman" w:hAnsi="Times New Roman" w:cs="Times New Roman"/>
          <w:color w:val="000000"/>
          <w:sz w:val="24"/>
          <w:szCs w:val="24"/>
          <w:shd w:val="clear" w:color="auto" w:fill="FFFFFF"/>
          <w:lang w:eastAsia="ru-RU"/>
        </w:rPr>
        <w:t>şi</w:t>
      </w:r>
      <w:proofErr w:type="spellEnd"/>
      <w:r w:rsidR="00F27FE3" w:rsidRPr="00125FAF">
        <w:rPr>
          <w:rFonts w:ascii="Times New Roman" w:eastAsia="Times New Roman" w:hAnsi="Times New Roman" w:cs="Times New Roman"/>
          <w:color w:val="000000"/>
          <w:sz w:val="24"/>
          <w:szCs w:val="24"/>
          <w:shd w:val="clear" w:color="auto" w:fill="FFFFFF"/>
          <w:lang w:eastAsia="ru-RU"/>
        </w:rPr>
        <w:t xml:space="preserve"> </w:t>
      </w:r>
      <w:proofErr w:type="spellStart"/>
      <w:r w:rsidR="00F27FE3" w:rsidRPr="00125FAF">
        <w:rPr>
          <w:rFonts w:ascii="Times New Roman" w:eastAsia="Times New Roman" w:hAnsi="Times New Roman" w:cs="Times New Roman"/>
          <w:color w:val="000000"/>
          <w:sz w:val="24"/>
          <w:szCs w:val="24"/>
          <w:shd w:val="clear" w:color="auto" w:fill="FFFFFF"/>
          <w:lang w:eastAsia="ru-RU"/>
        </w:rPr>
        <w:t>internaţională</w:t>
      </w:r>
      <w:proofErr w:type="spellEnd"/>
      <w:r w:rsidR="00F27FE3" w:rsidRPr="00125FAF">
        <w:rPr>
          <w:rFonts w:ascii="Times New Roman" w:eastAsia="Times New Roman" w:hAnsi="Times New Roman" w:cs="Times New Roman"/>
          <w:color w:val="000000"/>
          <w:sz w:val="24"/>
          <w:szCs w:val="24"/>
          <w:shd w:val="clear" w:color="auto" w:fill="FFFFFF"/>
          <w:lang w:eastAsia="ru-RU"/>
        </w:rPr>
        <w:t xml:space="preserve">, </w:t>
      </w:r>
      <w:proofErr w:type="spellStart"/>
      <w:r w:rsidR="00F27FE3" w:rsidRPr="00125FAF">
        <w:rPr>
          <w:rFonts w:ascii="Times New Roman" w:eastAsia="Times New Roman" w:hAnsi="Times New Roman" w:cs="Times New Roman"/>
          <w:color w:val="000000"/>
          <w:sz w:val="24"/>
          <w:szCs w:val="24"/>
          <w:shd w:val="clear" w:color="auto" w:fill="FFFFFF"/>
          <w:lang w:eastAsia="ru-RU"/>
        </w:rPr>
        <w:t>şi</w:t>
      </w:r>
      <w:proofErr w:type="spellEnd"/>
      <w:r w:rsidR="00F27FE3" w:rsidRPr="00125FAF">
        <w:rPr>
          <w:rFonts w:ascii="Times New Roman" w:eastAsia="Times New Roman" w:hAnsi="Times New Roman" w:cs="Times New Roman"/>
          <w:color w:val="000000"/>
          <w:sz w:val="24"/>
          <w:szCs w:val="24"/>
          <w:shd w:val="clear" w:color="auto" w:fill="FFFFFF"/>
          <w:lang w:eastAsia="ru-RU"/>
        </w:rPr>
        <w:t xml:space="preserve"> sporirea rolului pe care Republica Moldova îl are </w:t>
      </w:r>
      <w:r w:rsidR="00885687">
        <w:rPr>
          <w:rFonts w:ascii="Times New Roman" w:eastAsia="Times New Roman" w:hAnsi="Times New Roman" w:cs="Times New Roman"/>
          <w:color w:val="000000"/>
          <w:sz w:val="24"/>
          <w:szCs w:val="24"/>
          <w:shd w:val="clear" w:color="auto" w:fill="FFFFFF"/>
          <w:lang w:eastAsia="ru-RU"/>
        </w:rPr>
        <w:t xml:space="preserve"> ca </w:t>
      </w:r>
      <w:r w:rsidR="00F27FE3" w:rsidRPr="00125FAF">
        <w:rPr>
          <w:rFonts w:ascii="Times New Roman" w:eastAsia="Times New Roman" w:hAnsi="Times New Roman" w:cs="Times New Roman"/>
          <w:color w:val="000000"/>
          <w:sz w:val="24"/>
          <w:szCs w:val="24"/>
          <w:shd w:val="clear" w:color="auto" w:fill="FFFFFF"/>
          <w:lang w:eastAsia="ru-RU"/>
        </w:rPr>
        <w:t xml:space="preserve"> </w:t>
      </w:r>
      <w:r w:rsidR="00885687">
        <w:rPr>
          <w:rFonts w:ascii="Times New Roman" w:eastAsia="Times New Roman" w:hAnsi="Times New Roman" w:cs="Times New Roman"/>
          <w:color w:val="000000"/>
          <w:sz w:val="24"/>
          <w:szCs w:val="24"/>
          <w:shd w:val="clear" w:color="auto" w:fill="FFFFFF"/>
          <w:lang w:eastAsia="ru-RU"/>
        </w:rPr>
        <w:t xml:space="preserve">oportunitate de </w:t>
      </w:r>
      <w:r w:rsidR="00F27FE3" w:rsidRPr="00125FAF">
        <w:rPr>
          <w:rFonts w:ascii="Times New Roman" w:eastAsia="Times New Roman" w:hAnsi="Times New Roman" w:cs="Times New Roman"/>
          <w:color w:val="000000"/>
          <w:sz w:val="24"/>
          <w:szCs w:val="24"/>
          <w:shd w:val="clear" w:color="auto" w:fill="FFFFFF"/>
          <w:lang w:eastAsia="ru-RU"/>
        </w:rPr>
        <w:t xml:space="preserve">legătură între statele UE </w:t>
      </w:r>
      <w:proofErr w:type="spellStart"/>
      <w:r w:rsidR="00F27FE3" w:rsidRPr="00125FAF">
        <w:rPr>
          <w:rFonts w:ascii="Times New Roman" w:eastAsia="Times New Roman" w:hAnsi="Times New Roman" w:cs="Times New Roman"/>
          <w:color w:val="000000"/>
          <w:sz w:val="24"/>
          <w:szCs w:val="24"/>
          <w:shd w:val="clear" w:color="auto" w:fill="FFFFFF"/>
          <w:lang w:eastAsia="ru-RU"/>
        </w:rPr>
        <w:t>şi</w:t>
      </w:r>
      <w:proofErr w:type="spellEnd"/>
      <w:r w:rsidR="00F27FE3" w:rsidRPr="00125FAF">
        <w:rPr>
          <w:rFonts w:ascii="Times New Roman" w:eastAsia="Times New Roman" w:hAnsi="Times New Roman" w:cs="Times New Roman"/>
          <w:color w:val="000000"/>
          <w:sz w:val="24"/>
          <w:szCs w:val="24"/>
          <w:shd w:val="clear" w:color="auto" w:fill="FFFFFF"/>
          <w:lang w:eastAsia="ru-RU"/>
        </w:rPr>
        <w:t xml:space="preserve"> CSI.</w:t>
      </w:r>
    </w:p>
    <w:p w14:paraId="7378AE06" w14:textId="48813530" w:rsidR="006364B2" w:rsidRPr="00125FAF" w:rsidRDefault="006364B2" w:rsidP="005E00FA">
      <w:pPr>
        <w:spacing w:after="0" w:line="240" w:lineRule="auto"/>
        <w:ind w:firstLine="720"/>
        <w:jc w:val="both"/>
        <w:rPr>
          <w:rFonts w:ascii="Times New Roman" w:eastAsia="Times New Roman" w:hAnsi="Times New Roman" w:cs="Times New Roman"/>
          <w:sz w:val="24"/>
          <w:szCs w:val="24"/>
        </w:rPr>
      </w:pPr>
      <w:r w:rsidRPr="00125FAF">
        <w:rPr>
          <w:rFonts w:ascii="Times New Roman" w:eastAsia="Times New Roman" w:hAnsi="Times New Roman" w:cs="Times New Roman"/>
          <w:color w:val="000000"/>
          <w:sz w:val="24"/>
          <w:szCs w:val="24"/>
          <w:shd w:val="clear" w:color="auto" w:fill="FFFFFF"/>
          <w:lang w:eastAsia="ru-RU"/>
        </w:rPr>
        <w:t xml:space="preserve">În ultimii ani, parcul de autovehicule al Republicii Moldova a crescut, inclusiv ca urmare a importului de autovehicule noi, mai </w:t>
      </w:r>
      <w:proofErr w:type="spellStart"/>
      <w:r w:rsidRPr="00125FAF">
        <w:rPr>
          <w:rFonts w:ascii="Times New Roman" w:eastAsia="Times New Roman" w:hAnsi="Times New Roman" w:cs="Times New Roman"/>
          <w:color w:val="000000"/>
          <w:sz w:val="24"/>
          <w:szCs w:val="24"/>
          <w:shd w:val="clear" w:color="auto" w:fill="FFFFFF"/>
          <w:lang w:eastAsia="ru-RU"/>
        </w:rPr>
        <w:t>puţin</w:t>
      </w:r>
      <w:proofErr w:type="spellEnd"/>
      <w:r w:rsidRPr="00125FAF">
        <w:rPr>
          <w:rFonts w:ascii="Times New Roman" w:eastAsia="Times New Roman" w:hAnsi="Times New Roman" w:cs="Times New Roman"/>
          <w:color w:val="000000"/>
          <w:sz w:val="24"/>
          <w:szCs w:val="24"/>
          <w:shd w:val="clear" w:color="auto" w:fill="FFFFFF"/>
          <w:lang w:eastAsia="ru-RU"/>
        </w:rPr>
        <w:t xml:space="preserve"> poluante. Acest lucru a fost promovat prin interzicerea prin lege a importului de autoturisme, microbuze, de camioane </w:t>
      </w:r>
      <w:proofErr w:type="spellStart"/>
      <w:r w:rsidRPr="00125FAF">
        <w:rPr>
          <w:rFonts w:ascii="Times New Roman" w:eastAsia="Times New Roman" w:hAnsi="Times New Roman" w:cs="Times New Roman"/>
          <w:color w:val="000000"/>
          <w:sz w:val="24"/>
          <w:szCs w:val="24"/>
          <w:shd w:val="clear" w:color="auto" w:fill="FFFFFF"/>
          <w:lang w:eastAsia="ru-RU"/>
        </w:rPr>
        <w:t>şi</w:t>
      </w:r>
      <w:proofErr w:type="spellEnd"/>
      <w:r w:rsidRPr="00125FAF">
        <w:rPr>
          <w:rFonts w:ascii="Times New Roman" w:eastAsia="Times New Roman" w:hAnsi="Times New Roman" w:cs="Times New Roman"/>
          <w:color w:val="000000"/>
          <w:sz w:val="24"/>
          <w:szCs w:val="24"/>
          <w:shd w:val="clear" w:color="auto" w:fill="FFFFFF"/>
          <w:lang w:eastAsia="ru-RU"/>
        </w:rPr>
        <w:t xml:space="preserve"> autobuze care au fost în exploatare mai mult de 10 ani.</w:t>
      </w:r>
      <w:r w:rsidR="000B2062" w:rsidRPr="00125FAF">
        <w:rPr>
          <w:rFonts w:ascii="Times New Roman" w:eastAsia="Times New Roman" w:hAnsi="Times New Roman" w:cs="Times New Roman"/>
          <w:color w:val="000000"/>
          <w:sz w:val="24"/>
          <w:szCs w:val="24"/>
          <w:shd w:val="clear" w:color="auto" w:fill="FFFFFF"/>
          <w:lang w:eastAsia="ru-RU"/>
        </w:rPr>
        <w:t xml:space="preserve"> Totodată, prin </w:t>
      </w:r>
      <w:r w:rsidR="000B2062" w:rsidRPr="00125FAF">
        <w:rPr>
          <w:rFonts w:ascii="Times New Roman" w:eastAsia="Times New Roman" w:hAnsi="Times New Roman" w:cs="Times New Roman"/>
          <w:sz w:val="24"/>
          <w:szCs w:val="24"/>
        </w:rPr>
        <w:t>Legea cu privire la modificarea unor acte normative nr.</w:t>
      </w:r>
      <w:r w:rsidR="004573D0" w:rsidRPr="00125FAF">
        <w:rPr>
          <w:rFonts w:ascii="Times New Roman" w:eastAsia="Times New Roman" w:hAnsi="Times New Roman" w:cs="Times New Roman"/>
          <w:sz w:val="24"/>
          <w:szCs w:val="24"/>
        </w:rPr>
        <w:t xml:space="preserve"> </w:t>
      </w:r>
      <w:r w:rsidR="000B2062" w:rsidRPr="00125FAF">
        <w:rPr>
          <w:rFonts w:ascii="Times New Roman" w:eastAsia="Times New Roman" w:hAnsi="Times New Roman" w:cs="Times New Roman"/>
          <w:sz w:val="24"/>
          <w:szCs w:val="24"/>
        </w:rPr>
        <w:t>257</w:t>
      </w:r>
      <w:r w:rsidR="004573D0" w:rsidRPr="00125FAF">
        <w:rPr>
          <w:rFonts w:ascii="Times New Roman" w:eastAsia="Times New Roman" w:hAnsi="Times New Roman" w:cs="Times New Roman"/>
          <w:sz w:val="24"/>
          <w:szCs w:val="24"/>
        </w:rPr>
        <w:t>/</w:t>
      </w:r>
      <w:r w:rsidR="000B2062" w:rsidRPr="00125FAF">
        <w:rPr>
          <w:rFonts w:ascii="Times New Roman" w:eastAsia="Times New Roman" w:hAnsi="Times New Roman" w:cs="Times New Roman"/>
          <w:sz w:val="24"/>
          <w:szCs w:val="24"/>
        </w:rPr>
        <w:t>2020, restricțiile relaționate cu vârsta de exploatare a mijloacelor de transport importate în Republica Moldova, prevăzute în Codul Vamal, au fost eliminate. În schimb au fost introduse accize majorate pentru mijloacele de transport a căror vârstă de exploatare depășește 10 ani.</w:t>
      </w:r>
      <w:r w:rsidR="000B2062" w:rsidRPr="00125FAF">
        <w:rPr>
          <w:sz w:val="24"/>
          <w:szCs w:val="24"/>
        </w:rPr>
        <w:t xml:space="preserve"> </w:t>
      </w:r>
      <w:r w:rsidR="000B2062" w:rsidRPr="00125FAF">
        <w:rPr>
          <w:rFonts w:ascii="Times New Roman" w:eastAsia="Times New Roman" w:hAnsi="Times New Roman" w:cs="Times New Roman"/>
          <w:sz w:val="24"/>
          <w:szCs w:val="24"/>
        </w:rPr>
        <w:t>Prin modificările legislative se urmărește asigurarea stimulării importurilor de mijloace de transport noi și cu un termen de exploatare mai mic (mai puțin poluante) și respectiv reține</w:t>
      </w:r>
      <w:r w:rsidR="00455D91" w:rsidRPr="00125FAF">
        <w:rPr>
          <w:rFonts w:ascii="Times New Roman" w:eastAsia="Times New Roman" w:hAnsi="Times New Roman" w:cs="Times New Roman"/>
          <w:sz w:val="24"/>
          <w:szCs w:val="24"/>
        </w:rPr>
        <w:t>rea</w:t>
      </w:r>
      <w:r w:rsidR="000B2062" w:rsidRPr="00125FAF">
        <w:rPr>
          <w:rFonts w:ascii="Times New Roman" w:eastAsia="Times New Roman" w:hAnsi="Times New Roman" w:cs="Times New Roman"/>
          <w:sz w:val="24"/>
          <w:szCs w:val="24"/>
        </w:rPr>
        <w:t xml:space="preserve"> </w:t>
      </w:r>
      <w:r w:rsidR="00455D91" w:rsidRPr="00125FAF">
        <w:rPr>
          <w:rFonts w:ascii="Times New Roman" w:eastAsia="Times New Roman" w:hAnsi="Times New Roman" w:cs="Times New Roman"/>
          <w:sz w:val="24"/>
          <w:szCs w:val="24"/>
        </w:rPr>
        <w:t>în</w:t>
      </w:r>
      <w:r w:rsidR="000B2062" w:rsidRPr="00125FAF">
        <w:rPr>
          <w:rFonts w:ascii="Times New Roman" w:eastAsia="Times New Roman" w:hAnsi="Times New Roman" w:cs="Times New Roman"/>
          <w:sz w:val="24"/>
          <w:szCs w:val="24"/>
        </w:rPr>
        <w:t xml:space="preserve"> intențiile de achiziționare a mijloacelor de transport vechi (cu un grad mai mare sau sporit de poluare).</w:t>
      </w:r>
    </w:p>
    <w:p w14:paraId="77B9072D" w14:textId="36CB4035" w:rsidR="00CA2514" w:rsidRPr="00125FAF" w:rsidRDefault="00CA2514" w:rsidP="005E00FA">
      <w:pPr>
        <w:spacing w:after="0" w:line="240" w:lineRule="auto"/>
        <w:ind w:firstLine="810"/>
        <w:jc w:val="both"/>
        <w:rPr>
          <w:rFonts w:ascii="Times New Roman" w:eastAsia="Times New Roman" w:hAnsi="Times New Roman" w:cs="Times New Roman"/>
          <w:sz w:val="24"/>
          <w:szCs w:val="24"/>
          <w:lang w:eastAsia="ru-RU"/>
        </w:rPr>
      </w:pPr>
      <w:r w:rsidRPr="00125FAF">
        <w:rPr>
          <w:rFonts w:ascii="Times New Roman" w:eastAsia="Calibri" w:hAnsi="Times New Roman" w:cs="Times New Roman"/>
          <w:sz w:val="24"/>
          <w:szCs w:val="24"/>
        </w:rPr>
        <w:t>Pentru a înfrunta nivelul în creștere al poluării produse de autovehicule, autoritățile au intervenit cu diminuarea în jumătate a taxelor vamale pentru vehiculele cu motorizare hibridă importate în țară. Drept urmare, în anul 2017 fiecare al optulea autoturism importat a fost unul hibrid, iar din anul 2020 au fost scutite de plata TVA importurile de mijloace de transport dotate cu motor electric.</w:t>
      </w:r>
    </w:p>
    <w:p w14:paraId="105531E0" w14:textId="77777777" w:rsidR="006364B2" w:rsidRPr="00125FAF" w:rsidRDefault="006364B2" w:rsidP="006364B2">
      <w:pPr>
        <w:spacing w:after="0" w:line="240" w:lineRule="auto"/>
        <w:ind w:firstLine="720"/>
        <w:jc w:val="both"/>
        <w:rPr>
          <w:rFonts w:ascii="Times New Roman" w:eastAsia="Times New Roman" w:hAnsi="Times New Roman" w:cs="Times New Roman"/>
          <w:sz w:val="24"/>
          <w:szCs w:val="24"/>
          <w:lang w:eastAsia="ru-RU"/>
        </w:rPr>
      </w:pPr>
      <w:r w:rsidRPr="00125FAF">
        <w:rPr>
          <w:rFonts w:ascii="Times New Roman" w:eastAsia="Times New Roman" w:hAnsi="Times New Roman" w:cs="Times New Roman"/>
          <w:color w:val="000000"/>
          <w:sz w:val="24"/>
          <w:szCs w:val="24"/>
          <w:shd w:val="clear" w:color="auto" w:fill="FFFFFF"/>
          <w:lang w:eastAsia="ru-RU"/>
        </w:rPr>
        <w:lastRenderedPageBreak/>
        <w:t xml:space="preserve">Modernizarea transportului feroviar este, de asemenea, o </w:t>
      </w:r>
      <w:proofErr w:type="spellStart"/>
      <w:r w:rsidRPr="00125FAF">
        <w:rPr>
          <w:rFonts w:ascii="Times New Roman" w:eastAsia="Times New Roman" w:hAnsi="Times New Roman" w:cs="Times New Roman"/>
          <w:color w:val="000000"/>
          <w:sz w:val="24"/>
          <w:szCs w:val="24"/>
          <w:shd w:val="clear" w:color="auto" w:fill="FFFFFF"/>
          <w:lang w:eastAsia="ru-RU"/>
        </w:rPr>
        <w:t>condiţie</w:t>
      </w:r>
      <w:proofErr w:type="spellEnd"/>
      <w:r w:rsidRPr="00125FAF">
        <w:rPr>
          <w:rFonts w:ascii="Times New Roman" w:eastAsia="Times New Roman" w:hAnsi="Times New Roman" w:cs="Times New Roman"/>
          <w:color w:val="000000"/>
          <w:sz w:val="24"/>
          <w:szCs w:val="24"/>
          <w:shd w:val="clear" w:color="auto" w:fill="FFFFFF"/>
          <w:lang w:eastAsia="ru-RU"/>
        </w:rPr>
        <w:t xml:space="preserve"> de bază pentru a oferi servicii de calitate </w:t>
      </w:r>
      <w:proofErr w:type="spellStart"/>
      <w:r w:rsidRPr="00125FAF">
        <w:rPr>
          <w:rFonts w:ascii="Times New Roman" w:eastAsia="Times New Roman" w:hAnsi="Times New Roman" w:cs="Times New Roman"/>
          <w:color w:val="000000"/>
          <w:sz w:val="24"/>
          <w:szCs w:val="24"/>
          <w:shd w:val="clear" w:color="auto" w:fill="FFFFFF"/>
          <w:lang w:eastAsia="ru-RU"/>
        </w:rPr>
        <w:t>şi</w:t>
      </w:r>
      <w:proofErr w:type="spellEnd"/>
      <w:r w:rsidRPr="00125FAF">
        <w:rPr>
          <w:rFonts w:ascii="Times New Roman" w:eastAsia="Times New Roman" w:hAnsi="Times New Roman" w:cs="Times New Roman"/>
          <w:color w:val="000000"/>
          <w:sz w:val="24"/>
          <w:szCs w:val="24"/>
          <w:shd w:val="clear" w:color="auto" w:fill="FFFFFF"/>
          <w:lang w:eastAsia="ru-RU"/>
        </w:rPr>
        <w:t xml:space="preserve"> la </w:t>
      </w:r>
      <w:proofErr w:type="spellStart"/>
      <w:r w:rsidRPr="00125FAF">
        <w:rPr>
          <w:rFonts w:ascii="Times New Roman" w:eastAsia="Times New Roman" w:hAnsi="Times New Roman" w:cs="Times New Roman"/>
          <w:color w:val="000000"/>
          <w:sz w:val="24"/>
          <w:szCs w:val="24"/>
          <w:shd w:val="clear" w:color="auto" w:fill="FFFFFF"/>
          <w:lang w:eastAsia="ru-RU"/>
        </w:rPr>
        <w:t>preţuri</w:t>
      </w:r>
      <w:proofErr w:type="spellEnd"/>
      <w:r w:rsidRPr="00125FAF">
        <w:rPr>
          <w:rFonts w:ascii="Times New Roman" w:eastAsia="Times New Roman" w:hAnsi="Times New Roman" w:cs="Times New Roman"/>
          <w:color w:val="000000"/>
          <w:sz w:val="24"/>
          <w:szCs w:val="24"/>
          <w:shd w:val="clear" w:color="auto" w:fill="FFFFFF"/>
          <w:lang w:eastAsia="ru-RU"/>
        </w:rPr>
        <w:t xml:space="preserve"> accesibile, pentru a sprijini </w:t>
      </w:r>
      <w:proofErr w:type="spellStart"/>
      <w:r w:rsidRPr="00125FAF">
        <w:rPr>
          <w:rFonts w:ascii="Times New Roman" w:eastAsia="Times New Roman" w:hAnsi="Times New Roman" w:cs="Times New Roman"/>
          <w:color w:val="000000"/>
          <w:sz w:val="24"/>
          <w:szCs w:val="24"/>
          <w:shd w:val="clear" w:color="auto" w:fill="FFFFFF"/>
          <w:lang w:eastAsia="ru-RU"/>
        </w:rPr>
        <w:t>operaţiunile</w:t>
      </w:r>
      <w:proofErr w:type="spellEnd"/>
      <w:r w:rsidRPr="00125FAF">
        <w:rPr>
          <w:rFonts w:ascii="Times New Roman" w:eastAsia="Times New Roman" w:hAnsi="Times New Roman" w:cs="Times New Roman"/>
          <w:color w:val="000000"/>
          <w:sz w:val="24"/>
          <w:szCs w:val="24"/>
          <w:shd w:val="clear" w:color="auto" w:fill="FFFFFF"/>
          <w:lang w:eastAsia="ru-RU"/>
        </w:rPr>
        <w:t xml:space="preserve"> comerciale </w:t>
      </w:r>
      <w:proofErr w:type="spellStart"/>
      <w:r w:rsidRPr="00125FAF">
        <w:rPr>
          <w:rFonts w:ascii="Times New Roman" w:eastAsia="Times New Roman" w:hAnsi="Times New Roman" w:cs="Times New Roman"/>
          <w:color w:val="000000"/>
          <w:sz w:val="24"/>
          <w:szCs w:val="24"/>
          <w:shd w:val="clear" w:color="auto" w:fill="FFFFFF"/>
          <w:lang w:eastAsia="ru-RU"/>
        </w:rPr>
        <w:t>internaţionale</w:t>
      </w:r>
      <w:proofErr w:type="spellEnd"/>
      <w:r w:rsidRPr="00125FAF">
        <w:rPr>
          <w:rFonts w:ascii="Times New Roman" w:eastAsia="Times New Roman" w:hAnsi="Times New Roman" w:cs="Times New Roman"/>
          <w:color w:val="000000"/>
          <w:sz w:val="24"/>
          <w:szCs w:val="24"/>
          <w:shd w:val="clear" w:color="auto" w:fill="FFFFFF"/>
          <w:lang w:eastAsia="ru-RU"/>
        </w:rPr>
        <w:t xml:space="preserve"> pe </w:t>
      </w:r>
      <w:proofErr w:type="spellStart"/>
      <w:r w:rsidRPr="00125FAF">
        <w:rPr>
          <w:rFonts w:ascii="Times New Roman" w:eastAsia="Times New Roman" w:hAnsi="Times New Roman" w:cs="Times New Roman"/>
          <w:color w:val="000000"/>
          <w:sz w:val="24"/>
          <w:szCs w:val="24"/>
          <w:shd w:val="clear" w:color="auto" w:fill="FFFFFF"/>
          <w:lang w:eastAsia="ru-RU"/>
        </w:rPr>
        <w:t>distanţe</w:t>
      </w:r>
      <w:proofErr w:type="spellEnd"/>
      <w:r w:rsidRPr="00125FAF">
        <w:rPr>
          <w:rFonts w:ascii="Times New Roman" w:eastAsia="Times New Roman" w:hAnsi="Times New Roman" w:cs="Times New Roman"/>
          <w:color w:val="000000"/>
          <w:sz w:val="24"/>
          <w:szCs w:val="24"/>
          <w:shd w:val="clear" w:color="auto" w:fill="FFFFFF"/>
          <w:lang w:eastAsia="ru-RU"/>
        </w:rPr>
        <w:t xml:space="preserve"> lungi </w:t>
      </w:r>
      <w:proofErr w:type="spellStart"/>
      <w:r w:rsidRPr="00125FAF">
        <w:rPr>
          <w:rFonts w:ascii="Times New Roman" w:eastAsia="Times New Roman" w:hAnsi="Times New Roman" w:cs="Times New Roman"/>
          <w:color w:val="000000"/>
          <w:sz w:val="24"/>
          <w:szCs w:val="24"/>
          <w:shd w:val="clear" w:color="auto" w:fill="FFFFFF"/>
          <w:lang w:eastAsia="ru-RU"/>
        </w:rPr>
        <w:t>şi</w:t>
      </w:r>
      <w:proofErr w:type="spellEnd"/>
      <w:r w:rsidRPr="00125FAF">
        <w:rPr>
          <w:rFonts w:ascii="Times New Roman" w:eastAsia="Times New Roman" w:hAnsi="Times New Roman" w:cs="Times New Roman"/>
          <w:color w:val="000000"/>
          <w:sz w:val="24"/>
          <w:szCs w:val="24"/>
          <w:shd w:val="clear" w:color="auto" w:fill="FFFFFF"/>
          <w:lang w:eastAsia="ru-RU"/>
        </w:rPr>
        <w:t xml:space="preserve"> a spori </w:t>
      </w:r>
      <w:proofErr w:type="spellStart"/>
      <w:r w:rsidRPr="00125FAF">
        <w:rPr>
          <w:rFonts w:ascii="Times New Roman" w:eastAsia="Times New Roman" w:hAnsi="Times New Roman" w:cs="Times New Roman"/>
          <w:color w:val="000000"/>
          <w:sz w:val="24"/>
          <w:szCs w:val="24"/>
          <w:shd w:val="clear" w:color="auto" w:fill="FFFFFF"/>
          <w:lang w:eastAsia="ru-RU"/>
        </w:rPr>
        <w:t>eficienţa</w:t>
      </w:r>
      <w:proofErr w:type="spellEnd"/>
      <w:r w:rsidRPr="00125FAF">
        <w:rPr>
          <w:rFonts w:ascii="Times New Roman" w:eastAsia="Times New Roman" w:hAnsi="Times New Roman" w:cs="Times New Roman"/>
          <w:color w:val="000000"/>
          <w:sz w:val="24"/>
          <w:szCs w:val="24"/>
          <w:shd w:val="clear" w:color="auto" w:fill="FFFFFF"/>
          <w:lang w:eastAsia="ru-RU"/>
        </w:rPr>
        <w:t xml:space="preserve"> economiei </w:t>
      </w:r>
      <w:proofErr w:type="spellStart"/>
      <w:r w:rsidRPr="00125FAF">
        <w:rPr>
          <w:rFonts w:ascii="Times New Roman" w:eastAsia="Times New Roman" w:hAnsi="Times New Roman" w:cs="Times New Roman"/>
          <w:color w:val="000000"/>
          <w:sz w:val="24"/>
          <w:szCs w:val="24"/>
          <w:shd w:val="clear" w:color="auto" w:fill="FFFFFF"/>
          <w:lang w:eastAsia="ru-RU"/>
        </w:rPr>
        <w:t>naţionale</w:t>
      </w:r>
      <w:proofErr w:type="spellEnd"/>
      <w:r w:rsidRPr="00125FAF">
        <w:rPr>
          <w:rFonts w:ascii="Times New Roman" w:eastAsia="Times New Roman" w:hAnsi="Times New Roman" w:cs="Times New Roman"/>
          <w:color w:val="000000"/>
          <w:sz w:val="24"/>
          <w:szCs w:val="24"/>
          <w:shd w:val="clear" w:color="auto" w:fill="FFFFFF"/>
          <w:lang w:eastAsia="ru-RU"/>
        </w:rPr>
        <w:t xml:space="preserve">. Procesul de restructurare a sectorului feroviar trebuie să fie </w:t>
      </w:r>
      <w:proofErr w:type="spellStart"/>
      <w:r w:rsidRPr="00125FAF">
        <w:rPr>
          <w:rFonts w:ascii="Times New Roman" w:eastAsia="Times New Roman" w:hAnsi="Times New Roman" w:cs="Times New Roman"/>
          <w:color w:val="000000"/>
          <w:sz w:val="24"/>
          <w:szCs w:val="24"/>
          <w:shd w:val="clear" w:color="auto" w:fill="FFFFFF"/>
          <w:lang w:eastAsia="ru-RU"/>
        </w:rPr>
        <w:t>susţinut</w:t>
      </w:r>
      <w:proofErr w:type="spellEnd"/>
      <w:r w:rsidRPr="00125FAF">
        <w:rPr>
          <w:rFonts w:ascii="Times New Roman" w:eastAsia="Times New Roman" w:hAnsi="Times New Roman" w:cs="Times New Roman"/>
          <w:color w:val="000000"/>
          <w:sz w:val="24"/>
          <w:szCs w:val="24"/>
          <w:shd w:val="clear" w:color="auto" w:fill="FFFFFF"/>
          <w:lang w:eastAsia="ru-RU"/>
        </w:rPr>
        <w:t xml:space="preserve"> de reabilitarea </w:t>
      </w:r>
      <w:proofErr w:type="spellStart"/>
      <w:r w:rsidRPr="00125FAF">
        <w:rPr>
          <w:rFonts w:ascii="Times New Roman" w:eastAsia="Times New Roman" w:hAnsi="Times New Roman" w:cs="Times New Roman"/>
          <w:color w:val="000000"/>
          <w:sz w:val="24"/>
          <w:szCs w:val="24"/>
          <w:shd w:val="clear" w:color="auto" w:fill="FFFFFF"/>
          <w:lang w:eastAsia="ru-RU"/>
        </w:rPr>
        <w:t>reţelei</w:t>
      </w:r>
      <w:proofErr w:type="spellEnd"/>
      <w:r w:rsidRPr="00125FAF">
        <w:rPr>
          <w:rFonts w:ascii="Times New Roman" w:eastAsia="Times New Roman" w:hAnsi="Times New Roman" w:cs="Times New Roman"/>
          <w:color w:val="000000"/>
          <w:sz w:val="24"/>
          <w:szCs w:val="24"/>
          <w:shd w:val="clear" w:color="auto" w:fill="FFFFFF"/>
          <w:lang w:eastAsia="ru-RU"/>
        </w:rPr>
        <w:t xml:space="preserve"> de căi ferate existente, prin asigurarea unei </w:t>
      </w:r>
      <w:proofErr w:type="spellStart"/>
      <w:r w:rsidRPr="00125FAF">
        <w:rPr>
          <w:rFonts w:ascii="Times New Roman" w:eastAsia="Times New Roman" w:hAnsi="Times New Roman" w:cs="Times New Roman"/>
          <w:color w:val="000000"/>
          <w:sz w:val="24"/>
          <w:szCs w:val="24"/>
          <w:shd w:val="clear" w:color="auto" w:fill="FFFFFF"/>
          <w:lang w:eastAsia="ru-RU"/>
        </w:rPr>
        <w:t>finanţări</w:t>
      </w:r>
      <w:proofErr w:type="spellEnd"/>
      <w:r w:rsidRPr="00125FAF">
        <w:rPr>
          <w:rFonts w:ascii="Times New Roman" w:eastAsia="Times New Roman" w:hAnsi="Times New Roman" w:cs="Times New Roman"/>
          <w:color w:val="000000"/>
          <w:sz w:val="24"/>
          <w:szCs w:val="24"/>
          <w:shd w:val="clear" w:color="auto" w:fill="FFFFFF"/>
          <w:lang w:eastAsia="ru-RU"/>
        </w:rPr>
        <w:t xml:space="preserve"> adecvate.</w:t>
      </w:r>
    </w:p>
    <w:p w14:paraId="531524BF" w14:textId="76600270" w:rsidR="00C13119" w:rsidRPr="00C13119" w:rsidRDefault="00E13B78" w:rsidP="00C13119">
      <w:pPr>
        <w:spacing w:after="0"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125FAF">
        <w:rPr>
          <w:rFonts w:ascii="Times New Roman" w:eastAsia="Times New Roman" w:hAnsi="Times New Roman" w:cs="Times New Roman"/>
          <w:color w:val="000000"/>
          <w:sz w:val="24"/>
          <w:szCs w:val="24"/>
          <w:shd w:val="clear" w:color="auto" w:fill="FFFFFF"/>
          <w:lang w:eastAsia="ru-RU"/>
        </w:rPr>
        <w:t>10</w:t>
      </w:r>
      <w:r w:rsidR="006364B2" w:rsidRPr="00125FAF">
        <w:rPr>
          <w:rFonts w:ascii="Times New Roman" w:eastAsia="Times New Roman" w:hAnsi="Times New Roman" w:cs="Times New Roman"/>
          <w:color w:val="000000"/>
          <w:sz w:val="24"/>
          <w:szCs w:val="24"/>
          <w:shd w:val="clear" w:color="auto" w:fill="FFFFFF"/>
          <w:lang w:eastAsia="ru-RU"/>
        </w:rPr>
        <w:t xml:space="preserve">. </w:t>
      </w:r>
      <w:r w:rsidR="00C13119">
        <w:rPr>
          <w:rFonts w:ascii="Times New Roman" w:eastAsia="Times New Roman" w:hAnsi="Times New Roman" w:cs="Times New Roman"/>
          <w:color w:val="000000"/>
          <w:sz w:val="24"/>
          <w:szCs w:val="24"/>
          <w:shd w:val="clear" w:color="auto" w:fill="FFFFFF"/>
          <w:lang w:eastAsia="ru-RU"/>
        </w:rPr>
        <w:t>S</w:t>
      </w:r>
      <w:r w:rsidR="00C13119" w:rsidRPr="00C13119">
        <w:rPr>
          <w:rFonts w:ascii="Times New Roman" w:eastAsia="Times New Roman" w:hAnsi="Times New Roman" w:cs="Times New Roman"/>
          <w:color w:val="000000"/>
          <w:sz w:val="24"/>
          <w:szCs w:val="24"/>
          <w:shd w:val="clear" w:color="auto" w:fill="FFFFFF"/>
          <w:lang w:eastAsia="ru-RU"/>
        </w:rPr>
        <w:t xml:space="preserve">ectorul aviatic, care contribuie cu circa 2% din emisiile globale de gaze cu efect de seră, este inclus în schema globală de compensare și reducere a emisiilor de carbon provenite din aviația civilă (CORSIA) aprobată la nivel internațional prin Anexa 16 Volumul IV la </w:t>
      </w:r>
      <w:proofErr w:type="spellStart"/>
      <w:r w:rsidR="00C13119" w:rsidRPr="00C13119">
        <w:rPr>
          <w:rFonts w:ascii="Times New Roman" w:eastAsia="Times New Roman" w:hAnsi="Times New Roman" w:cs="Times New Roman"/>
          <w:color w:val="000000"/>
          <w:sz w:val="24"/>
          <w:szCs w:val="24"/>
          <w:shd w:val="clear" w:color="auto" w:fill="FFFFFF"/>
          <w:lang w:eastAsia="ru-RU"/>
        </w:rPr>
        <w:t>Convenţia</w:t>
      </w:r>
      <w:proofErr w:type="spellEnd"/>
      <w:r w:rsidR="00C13119" w:rsidRPr="00C13119">
        <w:rPr>
          <w:rFonts w:ascii="Times New Roman" w:eastAsia="Times New Roman" w:hAnsi="Times New Roman" w:cs="Times New Roman"/>
          <w:color w:val="000000"/>
          <w:sz w:val="24"/>
          <w:szCs w:val="24"/>
          <w:shd w:val="clear" w:color="auto" w:fill="FFFFFF"/>
          <w:lang w:eastAsia="ru-RU"/>
        </w:rPr>
        <w:t xml:space="preserve"> privind </w:t>
      </w:r>
      <w:proofErr w:type="spellStart"/>
      <w:r w:rsidR="00C13119" w:rsidRPr="00C13119">
        <w:rPr>
          <w:rFonts w:ascii="Times New Roman" w:eastAsia="Times New Roman" w:hAnsi="Times New Roman" w:cs="Times New Roman"/>
          <w:color w:val="000000"/>
          <w:sz w:val="24"/>
          <w:szCs w:val="24"/>
          <w:shd w:val="clear" w:color="auto" w:fill="FFFFFF"/>
          <w:lang w:eastAsia="ru-RU"/>
        </w:rPr>
        <w:t>aviaţia</w:t>
      </w:r>
      <w:proofErr w:type="spellEnd"/>
      <w:r w:rsidR="00C13119" w:rsidRPr="00C13119">
        <w:rPr>
          <w:rFonts w:ascii="Times New Roman" w:eastAsia="Times New Roman" w:hAnsi="Times New Roman" w:cs="Times New Roman"/>
          <w:color w:val="000000"/>
          <w:sz w:val="24"/>
          <w:szCs w:val="24"/>
          <w:shd w:val="clear" w:color="auto" w:fill="FFFFFF"/>
          <w:lang w:eastAsia="ru-RU"/>
        </w:rPr>
        <w:t xml:space="preserve"> civilă </w:t>
      </w:r>
      <w:proofErr w:type="spellStart"/>
      <w:r w:rsidR="00C13119" w:rsidRPr="00C13119">
        <w:rPr>
          <w:rFonts w:ascii="Times New Roman" w:eastAsia="Times New Roman" w:hAnsi="Times New Roman" w:cs="Times New Roman"/>
          <w:color w:val="000000"/>
          <w:sz w:val="24"/>
          <w:szCs w:val="24"/>
          <w:shd w:val="clear" w:color="auto" w:fill="FFFFFF"/>
          <w:lang w:eastAsia="ru-RU"/>
        </w:rPr>
        <w:t>internaţională</w:t>
      </w:r>
      <w:proofErr w:type="spellEnd"/>
      <w:r w:rsidR="00C13119" w:rsidRPr="00C13119">
        <w:rPr>
          <w:rFonts w:ascii="Times New Roman" w:eastAsia="Times New Roman" w:hAnsi="Times New Roman" w:cs="Times New Roman"/>
          <w:color w:val="000000"/>
          <w:sz w:val="24"/>
          <w:szCs w:val="24"/>
          <w:shd w:val="clear" w:color="auto" w:fill="FFFFFF"/>
          <w:lang w:eastAsia="ru-RU"/>
        </w:rPr>
        <w:t xml:space="preserve">. Aceasta înseamnă că toate companiile aeriene care zboară din </w:t>
      </w:r>
      <w:proofErr w:type="spellStart"/>
      <w:r w:rsidR="00C13119" w:rsidRPr="00C13119">
        <w:rPr>
          <w:rFonts w:ascii="Times New Roman" w:eastAsia="Times New Roman" w:hAnsi="Times New Roman" w:cs="Times New Roman"/>
          <w:color w:val="000000"/>
          <w:sz w:val="24"/>
          <w:szCs w:val="24"/>
          <w:shd w:val="clear" w:color="auto" w:fill="FFFFFF"/>
          <w:lang w:eastAsia="ru-RU"/>
        </w:rPr>
        <w:t>şi</w:t>
      </w:r>
      <w:proofErr w:type="spellEnd"/>
      <w:r w:rsidR="00C13119" w:rsidRPr="00C13119">
        <w:rPr>
          <w:rFonts w:ascii="Times New Roman" w:eastAsia="Times New Roman" w:hAnsi="Times New Roman" w:cs="Times New Roman"/>
          <w:color w:val="000000"/>
          <w:sz w:val="24"/>
          <w:szCs w:val="24"/>
          <w:shd w:val="clear" w:color="auto" w:fill="FFFFFF"/>
          <w:lang w:eastAsia="ru-RU"/>
        </w:rPr>
        <w:t xml:space="preserve"> în statele membre ale Organizației aviației civile internaționale trebuie să implementeze sistemul de monitorizare, verificare și raportare precum și să compenseze în mod obligatoriu emisiile în zbor.</w:t>
      </w:r>
    </w:p>
    <w:p w14:paraId="2F89ADA7" w14:textId="14726AF3" w:rsidR="00C13119" w:rsidRPr="00125FAF" w:rsidRDefault="00C13119" w:rsidP="00C13119">
      <w:pPr>
        <w:spacing w:after="0" w:line="240" w:lineRule="auto"/>
        <w:ind w:firstLine="720"/>
        <w:jc w:val="both"/>
        <w:rPr>
          <w:rFonts w:ascii="Times New Roman" w:eastAsia="Times New Roman" w:hAnsi="Times New Roman" w:cs="Times New Roman"/>
          <w:sz w:val="24"/>
          <w:szCs w:val="24"/>
          <w:lang w:eastAsia="ru-RU"/>
        </w:rPr>
      </w:pPr>
      <w:r w:rsidRPr="00C13119">
        <w:rPr>
          <w:rFonts w:ascii="Times New Roman" w:eastAsia="Times New Roman" w:hAnsi="Times New Roman" w:cs="Times New Roman"/>
          <w:color w:val="000000"/>
          <w:sz w:val="24"/>
          <w:szCs w:val="24"/>
          <w:shd w:val="clear" w:color="auto" w:fill="FFFFFF"/>
          <w:lang w:eastAsia="ru-RU"/>
        </w:rPr>
        <w:t xml:space="preserve">Prevederile </w:t>
      </w:r>
      <w:proofErr w:type="spellStart"/>
      <w:r w:rsidRPr="00C13119">
        <w:rPr>
          <w:rFonts w:ascii="Times New Roman" w:eastAsia="Times New Roman" w:hAnsi="Times New Roman" w:cs="Times New Roman"/>
          <w:color w:val="000000"/>
          <w:sz w:val="24"/>
          <w:szCs w:val="24"/>
          <w:shd w:val="clear" w:color="auto" w:fill="FFFFFF"/>
          <w:lang w:eastAsia="ru-RU"/>
        </w:rPr>
        <w:t>Convenţiei</w:t>
      </w:r>
      <w:proofErr w:type="spellEnd"/>
      <w:r w:rsidRPr="00C13119">
        <w:rPr>
          <w:rFonts w:ascii="Times New Roman" w:eastAsia="Times New Roman" w:hAnsi="Times New Roman" w:cs="Times New Roman"/>
          <w:color w:val="000000"/>
          <w:sz w:val="24"/>
          <w:szCs w:val="24"/>
          <w:shd w:val="clear" w:color="auto" w:fill="FFFFFF"/>
          <w:lang w:eastAsia="ru-RU"/>
        </w:rPr>
        <w:t xml:space="preserve"> privind </w:t>
      </w:r>
      <w:proofErr w:type="spellStart"/>
      <w:r w:rsidRPr="00C13119">
        <w:rPr>
          <w:rFonts w:ascii="Times New Roman" w:eastAsia="Times New Roman" w:hAnsi="Times New Roman" w:cs="Times New Roman"/>
          <w:color w:val="000000"/>
          <w:sz w:val="24"/>
          <w:szCs w:val="24"/>
          <w:shd w:val="clear" w:color="auto" w:fill="FFFFFF"/>
          <w:lang w:eastAsia="ru-RU"/>
        </w:rPr>
        <w:t>aviaţia</w:t>
      </w:r>
      <w:proofErr w:type="spellEnd"/>
      <w:r w:rsidRPr="00C13119">
        <w:rPr>
          <w:rFonts w:ascii="Times New Roman" w:eastAsia="Times New Roman" w:hAnsi="Times New Roman" w:cs="Times New Roman"/>
          <w:color w:val="000000"/>
          <w:sz w:val="24"/>
          <w:szCs w:val="24"/>
          <w:shd w:val="clear" w:color="auto" w:fill="FFFFFF"/>
          <w:lang w:eastAsia="ru-RU"/>
        </w:rPr>
        <w:t xml:space="preserve"> civilă </w:t>
      </w:r>
      <w:proofErr w:type="spellStart"/>
      <w:r w:rsidRPr="00C13119">
        <w:rPr>
          <w:rFonts w:ascii="Times New Roman" w:eastAsia="Times New Roman" w:hAnsi="Times New Roman" w:cs="Times New Roman"/>
          <w:color w:val="000000"/>
          <w:sz w:val="24"/>
          <w:szCs w:val="24"/>
          <w:shd w:val="clear" w:color="auto" w:fill="FFFFFF"/>
          <w:lang w:eastAsia="ru-RU"/>
        </w:rPr>
        <w:t>internaţională</w:t>
      </w:r>
      <w:proofErr w:type="spellEnd"/>
      <w:r w:rsidRPr="00C13119">
        <w:rPr>
          <w:rFonts w:ascii="Times New Roman" w:eastAsia="Times New Roman" w:hAnsi="Times New Roman" w:cs="Times New Roman"/>
          <w:color w:val="000000"/>
          <w:sz w:val="24"/>
          <w:szCs w:val="24"/>
          <w:shd w:val="clear" w:color="auto" w:fill="FFFFFF"/>
          <w:lang w:eastAsia="ru-RU"/>
        </w:rPr>
        <w:t xml:space="preserve"> sunt obligatorii pentru țara noastră, astfel că sectorul aviatic este primul sector din Republica Moldova care urmează să aplice măsuri de piață în vederea reducerii emisiilor de carbon.</w:t>
      </w:r>
    </w:p>
    <w:p w14:paraId="60983D2B" w14:textId="2E6B09F8" w:rsidR="006364B2" w:rsidRPr="00125FAF" w:rsidRDefault="009F5FE0" w:rsidP="00C13119">
      <w:pPr>
        <w:spacing w:after="0"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125FAF">
        <w:rPr>
          <w:rFonts w:ascii="Times New Roman" w:eastAsia="Times New Roman" w:hAnsi="Times New Roman" w:cs="Times New Roman"/>
          <w:color w:val="000000"/>
          <w:sz w:val="24"/>
          <w:szCs w:val="24"/>
          <w:shd w:val="clear" w:color="auto" w:fill="FFFFFF"/>
          <w:lang w:eastAsia="ru-RU"/>
        </w:rPr>
        <w:t xml:space="preserve">În </w:t>
      </w:r>
      <w:proofErr w:type="spellStart"/>
      <w:r w:rsidRPr="00125FAF">
        <w:rPr>
          <w:rFonts w:ascii="Times New Roman" w:eastAsia="Times New Roman" w:hAnsi="Times New Roman" w:cs="Times New Roman"/>
          <w:color w:val="000000"/>
          <w:sz w:val="24"/>
          <w:szCs w:val="24"/>
          <w:shd w:val="clear" w:color="auto" w:fill="FFFFFF"/>
          <w:lang w:eastAsia="ru-RU"/>
        </w:rPr>
        <w:t>şirul</w:t>
      </w:r>
      <w:proofErr w:type="spellEnd"/>
      <w:r w:rsidRPr="00125FAF">
        <w:rPr>
          <w:rFonts w:ascii="Times New Roman" w:eastAsia="Times New Roman" w:hAnsi="Times New Roman" w:cs="Times New Roman"/>
          <w:color w:val="000000"/>
          <w:sz w:val="24"/>
          <w:szCs w:val="24"/>
          <w:shd w:val="clear" w:color="auto" w:fill="FFFFFF"/>
          <w:lang w:eastAsia="ru-RU"/>
        </w:rPr>
        <w:t xml:space="preserve"> de măsuri din sectorul transporturi orientate spre reducerea emisiilor de GES se numără </w:t>
      </w:r>
      <w:proofErr w:type="spellStart"/>
      <w:r w:rsidRPr="00125FAF">
        <w:rPr>
          <w:rFonts w:ascii="Times New Roman" w:eastAsia="Times New Roman" w:hAnsi="Times New Roman" w:cs="Times New Roman"/>
          <w:color w:val="000000"/>
          <w:sz w:val="24"/>
          <w:szCs w:val="24"/>
          <w:shd w:val="clear" w:color="auto" w:fill="FFFFFF"/>
          <w:lang w:eastAsia="ru-RU"/>
        </w:rPr>
        <w:t>şi</w:t>
      </w:r>
      <w:proofErr w:type="spellEnd"/>
      <w:r w:rsidRPr="00125FAF">
        <w:rPr>
          <w:rFonts w:ascii="Times New Roman" w:eastAsia="Times New Roman" w:hAnsi="Times New Roman" w:cs="Times New Roman"/>
          <w:color w:val="000000"/>
          <w:sz w:val="24"/>
          <w:szCs w:val="24"/>
          <w:shd w:val="clear" w:color="auto" w:fill="FFFFFF"/>
          <w:lang w:eastAsia="ru-RU"/>
        </w:rPr>
        <w:t xml:space="preserve"> </w:t>
      </w:r>
      <w:r w:rsidR="00CA2514" w:rsidRPr="00125FAF">
        <w:rPr>
          <w:rFonts w:ascii="Times New Roman" w:eastAsia="Times New Roman" w:hAnsi="Times New Roman" w:cs="Times New Roman"/>
          <w:color w:val="000000"/>
          <w:sz w:val="24"/>
          <w:szCs w:val="24"/>
          <w:shd w:val="clear" w:color="auto" w:fill="FFFFFF"/>
          <w:lang w:eastAsia="ru-RU"/>
        </w:rPr>
        <w:t xml:space="preserve">aprobarea </w:t>
      </w:r>
      <w:r w:rsidR="00CA2514" w:rsidRPr="00125FAF">
        <w:rPr>
          <w:rFonts w:ascii="Times New Roman" w:eastAsia="Times New Roman" w:hAnsi="Times New Roman" w:cs="Times New Roman"/>
          <w:sz w:val="24"/>
          <w:szCs w:val="24"/>
        </w:rPr>
        <w:t>Regulamentului cu privire la măsurile</w:t>
      </w:r>
      <w:r w:rsidR="00B566C6" w:rsidRPr="00125FAF">
        <w:rPr>
          <w:rFonts w:ascii="Times New Roman" w:eastAsia="Times New Roman" w:hAnsi="Times New Roman" w:cs="Times New Roman"/>
          <w:sz w:val="24"/>
          <w:szCs w:val="24"/>
        </w:rPr>
        <w:t xml:space="preserve"> </w:t>
      </w:r>
      <w:r w:rsidR="00CA2514" w:rsidRPr="00125FAF">
        <w:rPr>
          <w:rFonts w:ascii="Times New Roman" w:eastAsia="Times New Roman" w:hAnsi="Times New Roman" w:cs="Times New Roman"/>
          <w:sz w:val="24"/>
          <w:szCs w:val="24"/>
        </w:rPr>
        <w:t>de reducere a emisiilor provenite de la</w:t>
      </w:r>
      <w:r w:rsidR="00B566C6" w:rsidRPr="00125FAF">
        <w:rPr>
          <w:rFonts w:ascii="Times New Roman" w:eastAsia="Times New Roman" w:hAnsi="Times New Roman" w:cs="Times New Roman"/>
          <w:sz w:val="24"/>
          <w:szCs w:val="24"/>
        </w:rPr>
        <w:t xml:space="preserve"> </w:t>
      </w:r>
      <w:r w:rsidR="00CA2514" w:rsidRPr="00125FAF">
        <w:rPr>
          <w:rFonts w:ascii="Times New Roman" w:eastAsia="Times New Roman" w:hAnsi="Times New Roman" w:cs="Times New Roman"/>
          <w:sz w:val="24"/>
          <w:szCs w:val="24"/>
        </w:rPr>
        <w:t>sistemele de climatizare ale autovehiculelor, HG nr.1242</w:t>
      </w:r>
      <w:r w:rsidR="004573D0" w:rsidRPr="00125FAF">
        <w:rPr>
          <w:rFonts w:ascii="Times New Roman" w:eastAsia="Times New Roman" w:hAnsi="Times New Roman" w:cs="Times New Roman"/>
          <w:sz w:val="24"/>
          <w:szCs w:val="24"/>
        </w:rPr>
        <w:t>/</w:t>
      </w:r>
      <w:r w:rsidR="00CA2514" w:rsidRPr="00125FAF">
        <w:rPr>
          <w:rFonts w:ascii="Times New Roman" w:eastAsia="Times New Roman" w:hAnsi="Times New Roman" w:cs="Times New Roman"/>
          <w:sz w:val="24"/>
          <w:szCs w:val="24"/>
        </w:rPr>
        <w:t xml:space="preserve">2016. </w:t>
      </w:r>
      <w:r w:rsidR="00CA2514" w:rsidRPr="00125FAF">
        <w:rPr>
          <w:rFonts w:ascii="Times New Roman" w:hAnsi="Times New Roman" w:cs="Times New Roman"/>
          <w:sz w:val="24"/>
          <w:szCs w:val="24"/>
        </w:rPr>
        <w:t xml:space="preserve">Conform acestui document, „Sistemele de climatizare de pe orice autovehicul nu mai sunt încărcate cu gaze fluorurate cu efect de seră cu un GWP100 mai mare decât 150, cu </w:t>
      </w:r>
      <w:proofErr w:type="spellStart"/>
      <w:r w:rsidR="00CA2514" w:rsidRPr="00125FAF">
        <w:rPr>
          <w:rFonts w:ascii="Times New Roman" w:hAnsi="Times New Roman" w:cs="Times New Roman"/>
          <w:sz w:val="24"/>
          <w:szCs w:val="24"/>
        </w:rPr>
        <w:t>excepţia</w:t>
      </w:r>
      <w:proofErr w:type="spellEnd"/>
      <w:r w:rsidR="00CA2514" w:rsidRPr="00125FAF">
        <w:rPr>
          <w:rFonts w:ascii="Times New Roman" w:hAnsi="Times New Roman" w:cs="Times New Roman"/>
          <w:sz w:val="24"/>
          <w:szCs w:val="24"/>
        </w:rPr>
        <w:t xml:space="preserve"> reîncărcării sistemelor de climatizare conținând astfel de gaze, dar care au fost instalate pe vehicule înainte de 1 ianuarie 2021”</w:t>
      </w:r>
      <w:r w:rsidR="00D4322A" w:rsidRPr="00125FAF">
        <w:rPr>
          <w:rFonts w:ascii="Times New Roman" w:hAnsi="Times New Roman" w:cs="Times New Roman"/>
          <w:sz w:val="24"/>
          <w:szCs w:val="24"/>
        </w:rPr>
        <w:t>.</w:t>
      </w:r>
    </w:p>
    <w:p w14:paraId="4B6F8D69" w14:textId="77777777" w:rsidR="006364B2" w:rsidRPr="00125FAF" w:rsidRDefault="006364B2" w:rsidP="001F2F2D">
      <w:pPr>
        <w:spacing w:after="120" w:line="240" w:lineRule="auto"/>
        <w:ind w:firstLine="720"/>
        <w:jc w:val="both"/>
        <w:rPr>
          <w:rFonts w:ascii="Times New Roman" w:eastAsia="Times New Roman" w:hAnsi="Times New Roman" w:cs="Times New Roman"/>
          <w:b/>
          <w:sz w:val="24"/>
          <w:szCs w:val="24"/>
          <w:shd w:val="clear" w:color="auto" w:fill="FFFFFF"/>
          <w:lang w:eastAsia="ru-RU"/>
        </w:rPr>
      </w:pPr>
      <w:r w:rsidRPr="00125FAF">
        <w:rPr>
          <w:rFonts w:ascii="Times New Roman" w:eastAsia="Times New Roman" w:hAnsi="Times New Roman" w:cs="Times New Roman"/>
          <w:b/>
          <w:sz w:val="24"/>
          <w:szCs w:val="24"/>
          <w:shd w:val="clear" w:color="auto" w:fill="FFFFFF"/>
          <w:lang w:eastAsia="ru-RU"/>
        </w:rPr>
        <w:t xml:space="preserve">Problemele </w:t>
      </w:r>
      <w:proofErr w:type="spellStart"/>
      <w:r w:rsidRPr="00125FAF">
        <w:rPr>
          <w:rFonts w:ascii="Times New Roman" w:eastAsia="Times New Roman" w:hAnsi="Times New Roman" w:cs="Times New Roman"/>
          <w:b/>
          <w:sz w:val="24"/>
          <w:szCs w:val="24"/>
          <w:shd w:val="clear" w:color="auto" w:fill="FFFFFF"/>
          <w:lang w:eastAsia="ru-RU"/>
        </w:rPr>
        <w:t>evidenţiate</w:t>
      </w:r>
      <w:proofErr w:type="spellEnd"/>
      <w:r w:rsidRPr="00125FAF">
        <w:rPr>
          <w:rFonts w:ascii="Times New Roman" w:eastAsia="Times New Roman" w:hAnsi="Times New Roman" w:cs="Times New Roman"/>
          <w:b/>
          <w:sz w:val="24"/>
          <w:szCs w:val="24"/>
          <w:shd w:val="clear" w:color="auto" w:fill="FFFFFF"/>
          <w:lang w:eastAsia="ru-RU"/>
        </w:rPr>
        <w:t>:</w:t>
      </w:r>
    </w:p>
    <w:p w14:paraId="1190D97A" w14:textId="08E68769" w:rsidR="006364B2" w:rsidRPr="00125FAF" w:rsidRDefault="006364B2" w:rsidP="003E24C5">
      <w:pPr>
        <w:pStyle w:val="Listparagraf"/>
        <w:numPr>
          <w:ilvl w:val="0"/>
          <w:numId w:val="16"/>
        </w:numPr>
        <w:tabs>
          <w:tab w:val="left" w:pos="993"/>
        </w:tabs>
        <w:spacing w:after="0" w:line="240" w:lineRule="auto"/>
        <w:jc w:val="both"/>
        <w:rPr>
          <w:rFonts w:ascii="Times New Roman" w:eastAsia="Times New Roman" w:hAnsi="Times New Roman" w:cs="Times New Roman"/>
          <w:sz w:val="24"/>
          <w:szCs w:val="24"/>
          <w:lang w:eastAsia="ru-RU"/>
        </w:rPr>
      </w:pPr>
      <w:r w:rsidRPr="00125FAF">
        <w:rPr>
          <w:rFonts w:ascii="Times New Roman" w:eastAsia="Times New Roman" w:hAnsi="Times New Roman" w:cs="Times New Roman"/>
          <w:sz w:val="24"/>
          <w:szCs w:val="24"/>
          <w:shd w:val="clear" w:color="auto" w:fill="FFFFFF"/>
          <w:lang w:eastAsia="ru-RU"/>
        </w:rPr>
        <w:t>Reducerea emisiilor de gaze cu efect de seră provenite de la sectorul transport</w:t>
      </w:r>
      <w:r w:rsidR="002567EA" w:rsidRPr="00125FAF">
        <w:rPr>
          <w:rFonts w:ascii="Times New Roman" w:eastAsia="Times New Roman" w:hAnsi="Times New Roman" w:cs="Times New Roman"/>
          <w:sz w:val="24"/>
          <w:szCs w:val="24"/>
          <w:shd w:val="clear" w:color="auto" w:fill="FFFFFF"/>
          <w:lang w:eastAsia="ru-RU"/>
        </w:rPr>
        <w:t>uri</w:t>
      </w:r>
      <w:r w:rsidRPr="00125FAF">
        <w:rPr>
          <w:rFonts w:ascii="Times New Roman" w:eastAsia="Times New Roman" w:hAnsi="Times New Roman" w:cs="Times New Roman"/>
          <w:sz w:val="24"/>
          <w:szCs w:val="24"/>
          <w:shd w:val="clear" w:color="auto" w:fill="FFFFFF"/>
          <w:lang w:eastAsia="ru-RU"/>
        </w:rPr>
        <w:t xml:space="preserve"> va impune schimbări profunde în planificarea transportului </w:t>
      </w:r>
      <w:proofErr w:type="spellStart"/>
      <w:r w:rsidRPr="00125FAF">
        <w:rPr>
          <w:rFonts w:ascii="Times New Roman" w:eastAsia="Times New Roman" w:hAnsi="Times New Roman" w:cs="Times New Roman"/>
          <w:sz w:val="24"/>
          <w:szCs w:val="24"/>
          <w:shd w:val="clear" w:color="auto" w:fill="FFFFFF"/>
          <w:lang w:eastAsia="ru-RU"/>
        </w:rPr>
        <w:t>şi</w:t>
      </w:r>
      <w:proofErr w:type="spellEnd"/>
      <w:r w:rsidRPr="00125FAF">
        <w:rPr>
          <w:rFonts w:ascii="Times New Roman" w:eastAsia="Times New Roman" w:hAnsi="Times New Roman" w:cs="Times New Roman"/>
          <w:sz w:val="24"/>
          <w:szCs w:val="24"/>
          <w:shd w:val="clear" w:color="auto" w:fill="FFFFFF"/>
          <w:lang w:eastAsia="ru-RU"/>
        </w:rPr>
        <w:t xml:space="preserve"> infrastructurii, precum </w:t>
      </w:r>
      <w:proofErr w:type="spellStart"/>
      <w:r w:rsidRPr="00125FAF">
        <w:rPr>
          <w:rFonts w:ascii="Times New Roman" w:eastAsia="Times New Roman" w:hAnsi="Times New Roman" w:cs="Times New Roman"/>
          <w:sz w:val="24"/>
          <w:szCs w:val="24"/>
          <w:shd w:val="clear" w:color="auto" w:fill="FFFFFF"/>
          <w:lang w:eastAsia="ru-RU"/>
        </w:rPr>
        <w:t>şi</w:t>
      </w:r>
      <w:proofErr w:type="spellEnd"/>
      <w:r w:rsidRPr="00125FAF">
        <w:rPr>
          <w:rFonts w:ascii="Times New Roman" w:eastAsia="Times New Roman" w:hAnsi="Times New Roman" w:cs="Times New Roman"/>
          <w:sz w:val="24"/>
          <w:szCs w:val="24"/>
          <w:shd w:val="clear" w:color="auto" w:fill="FFFFFF"/>
          <w:lang w:eastAsia="ru-RU"/>
        </w:rPr>
        <w:t xml:space="preserve"> </w:t>
      </w:r>
      <w:proofErr w:type="spellStart"/>
      <w:r w:rsidRPr="00125FAF">
        <w:rPr>
          <w:rFonts w:ascii="Times New Roman" w:eastAsia="Times New Roman" w:hAnsi="Times New Roman" w:cs="Times New Roman"/>
          <w:sz w:val="24"/>
          <w:szCs w:val="24"/>
          <w:shd w:val="clear" w:color="auto" w:fill="FFFFFF"/>
          <w:lang w:eastAsia="ru-RU"/>
        </w:rPr>
        <w:t>tranziţia</w:t>
      </w:r>
      <w:proofErr w:type="spellEnd"/>
      <w:r w:rsidRPr="00125FAF">
        <w:rPr>
          <w:rFonts w:ascii="Times New Roman" w:eastAsia="Times New Roman" w:hAnsi="Times New Roman" w:cs="Times New Roman"/>
          <w:sz w:val="24"/>
          <w:szCs w:val="24"/>
          <w:shd w:val="clear" w:color="auto" w:fill="FFFFFF"/>
          <w:lang w:eastAsia="ru-RU"/>
        </w:rPr>
        <w:t xml:space="preserve"> la combustibili cu emisii scăzute de carbon. Una dintre barierele asociate cu oferta privind </w:t>
      </w:r>
      <w:proofErr w:type="spellStart"/>
      <w:r w:rsidRPr="00125FAF">
        <w:rPr>
          <w:rFonts w:ascii="Times New Roman" w:eastAsia="Times New Roman" w:hAnsi="Times New Roman" w:cs="Times New Roman"/>
          <w:sz w:val="24"/>
          <w:szCs w:val="24"/>
          <w:shd w:val="clear" w:color="auto" w:fill="FFFFFF"/>
          <w:lang w:eastAsia="ru-RU"/>
        </w:rPr>
        <w:t>îmbunătăţirea</w:t>
      </w:r>
      <w:proofErr w:type="spellEnd"/>
      <w:r w:rsidRPr="00125FAF">
        <w:rPr>
          <w:rFonts w:ascii="Times New Roman" w:eastAsia="Times New Roman" w:hAnsi="Times New Roman" w:cs="Times New Roman"/>
          <w:sz w:val="24"/>
          <w:szCs w:val="24"/>
          <w:shd w:val="clear" w:color="auto" w:fill="FFFFFF"/>
          <w:lang w:eastAsia="ru-RU"/>
        </w:rPr>
        <w:t xml:space="preserve"> </w:t>
      </w:r>
      <w:proofErr w:type="spellStart"/>
      <w:r w:rsidRPr="00125FAF">
        <w:rPr>
          <w:rFonts w:ascii="Times New Roman" w:eastAsia="Times New Roman" w:hAnsi="Times New Roman" w:cs="Times New Roman"/>
          <w:sz w:val="24"/>
          <w:szCs w:val="24"/>
          <w:shd w:val="clear" w:color="auto" w:fill="FFFFFF"/>
          <w:lang w:eastAsia="ru-RU"/>
        </w:rPr>
        <w:t>eficienţei</w:t>
      </w:r>
      <w:proofErr w:type="spellEnd"/>
      <w:r w:rsidRPr="00125FAF">
        <w:rPr>
          <w:rFonts w:ascii="Times New Roman" w:eastAsia="Times New Roman" w:hAnsi="Times New Roman" w:cs="Times New Roman"/>
          <w:sz w:val="24"/>
          <w:szCs w:val="24"/>
          <w:shd w:val="clear" w:color="auto" w:fill="FFFFFF"/>
          <w:lang w:eastAsia="ru-RU"/>
        </w:rPr>
        <w:t xml:space="preserve"> energetice a vehiculelor este reprezentată de riscul comercial perceput al </w:t>
      </w:r>
      <w:proofErr w:type="spellStart"/>
      <w:r w:rsidRPr="00125FAF">
        <w:rPr>
          <w:rFonts w:ascii="Times New Roman" w:eastAsia="Times New Roman" w:hAnsi="Times New Roman" w:cs="Times New Roman"/>
          <w:sz w:val="24"/>
          <w:szCs w:val="24"/>
          <w:shd w:val="clear" w:color="auto" w:fill="FFFFFF"/>
          <w:lang w:eastAsia="ru-RU"/>
        </w:rPr>
        <w:t>investiţiilor</w:t>
      </w:r>
      <w:proofErr w:type="spellEnd"/>
      <w:r w:rsidRPr="00125FAF">
        <w:rPr>
          <w:rFonts w:ascii="Times New Roman" w:eastAsia="Times New Roman" w:hAnsi="Times New Roman" w:cs="Times New Roman"/>
          <w:sz w:val="24"/>
          <w:szCs w:val="24"/>
          <w:shd w:val="clear" w:color="auto" w:fill="FFFFFF"/>
          <w:lang w:eastAsia="ru-RU"/>
        </w:rPr>
        <w:t xml:space="preserve"> în dezvoltarea tehnologiilor eficiente, care rezultă, </w:t>
      </w:r>
      <w:proofErr w:type="spellStart"/>
      <w:r w:rsidRPr="00125FAF">
        <w:rPr>
          <w:rFonts w:ascii="Times New Roman" w:eastAsia="Times New Roman" w:hAnsi="Times New Roman" w:cs="Times New Roman"/>
          <w:sz w:val="24"/>
          <w:szCs w:val="24"/>
          <w:shd w:val="clear" w:color="auto" w:fill="FFFFFF"/>
          <w:lang w:eastAsia="ru-RU"/>
        </w:rPr>
        <w:t>parţial</w:t>
      </w:r>
      <w:proofErr w:type="spellEnd"/>
      <w:r w:rsidRPr="00125FAF">
        <w:rPr>
          <w:rFonts w:ascii="Times New Roman" w:eastAsia="Times New Roman" w:hAnsi="Times New Roman" w:cs="Times New Roman"/>
          <w:sz w:val="24"/>
          <w:szCs w:val="24"/>
          <w:shd w:val="clear" w:color="auto" w:fill="FFFFFF"/>
          <w:lang w:eastAsia="ru-RU"/>
        </w:rPr>
        <w:t xml:space="preserve">, din lipsa de semnale clare de reglementare în forma unor standarde de </w:t>
      </w:r>
      <w:proofErr w:type="spellStart"/>
      <w:r w:rsidRPr="00125FAF">
        <w:rPr>
          <w:rFonts w:ascii="Times New Roman" w:eastAsia="Times New Roman" w:hAnsi="Times New Roman" w:cs="Times New Roman"/>
          <w:sz w:val="24"/>
          <w:szCs w:val="24"/>
          <w:shd w:val="clear" w:color="auto" w:fill="FFFFFF"/>
          <w:lang w:eastAsia="ru-RU"/>
        </w:rPr>
        <w:t>eficienţă</w:t>
      </w:r>
      <w:proofErr w:type="spellEnd"/>
      <w:r w:rsidRPr="00125FAF">
        <w:rPr>
          <w:rFonts w:ascii="Times New Roman" w:eastAsia="Times New Roman" w:hAnsi="Times New Roman" w:cs="Times New Roman"/>
          <w:sz w:val="24"/>
          <w:szCs w:val="24"/>
          <w:shd w:val="clear" w:color="auto" w:fill="FFFFFF"/>
          <w:lang w:eastAsia="ru-RU"/>
        </w:rPr>
        <w:t xml:space="preserve"> a autovehiculelor.</w:t>
      </w:r>
      <w:r w:rsidRPr="00125FAF">
        <w:rPr>
          <w:rFonts w:ascii="Times New Roman" w:eastAsia="Times New Roman" w:hAnsi="Times New Roman" w:cs="Times New Roman"/>
          <w:sz w:val="24"/>
          <w:szCs w:val="24"/>
          <w:lang w:eastAsia="ru-RU"/>
        </w:rPr>
        <w:t xml:space="preserve"> </w:t>
      </w:r>
      <w:r w:rsidRPr="00125FAF">
        <w:rPr>
          <w:rFonts w:ascii="Times New Roman" w:eastAsia="Times New Roman" w:hAnsi="Times New Roman" w:cs="Times New Roman"/>
          <w:sz w:val="24"/>
          <w:szCs w:val="24"/>
          <w:shd w:val="clear" w:color="auto" w:fill="FFFFFF"/>
          <w:lang w:eastAsia="ru-RU"/>
        </w:rPr>
        <w:t xml:space="preserve">În ceea ce </w:t>
      </w:r>
      <w:proofErr w:type="spellStart"/>
      <w:r w:rsidRPr="00125FAF">
        <w:rPr>
          <w:rFonts w:ascii="Times New Roman" w:eastAsia="Times New Roman" w:hAnsi="Times New Roman" w:cs="Times New Roman"/>
          <w:sz w:val="24"/>
          <w:szCs w:val="24"/>
          <w:shd w:val="clear" w:color="auto" w:fill="FFFFFF"/>
          <w:lang w:eastAsia="ru-RU"/>
        </w:rPr>
        <w:t>ţine</w:t>
      </w:r>
      <w:proofErr w:type="spellEnd"/>
      <w:r w:rsidRPr="00125FAF">
        <w:rPr>
          <w:rFonts w:ascii="Times New Roman" w:eastAsia="Times New Roman" w:hAnsi="Times New Roman" w:cs="Times New Roman"/>
          <w:sz w:val="24"/>
          <w:szCs w:val="24"/>
          <w:shd w:val="clear" w:color="auto" w:fill="FFFFFF"/>
          <w:lang w:eastAsia="ru-RU"/>
        </w:rPr>
        <w:t xml:space="preserve"> de cerere, costurile </w:t>
      </w:r>
      <w:proofErr w:type="spellStart"/>
      <w:r w:rsidRPr="00125FAF">
        <w:rPr>
          <w:rFonts w:ascii="Times New Roman" w:eastAsia="Times New Roman" w:hAnsi="Times New Roman" w:cs="Times New Roman"/>
          <w:sz w:val="24"/>
          <w:szCs w:val="24"/>
          <w:shd w:val="clear" w:color="auto" w:fill="FFFFFF"/>
          <w:lang w:eastAsia="ru-RU"/>
        </w:rPr>
        <w:t>preoperaţionale</w:t>
      </w:r>
      <w:proofErr w:type="spellEnd"/>
      <w:r w:rsidRPr="00125FAF">
        <w:rPr>
          <w:rFonts w:ascii="Times New Roman" w:eastAsia="Times New Roman" w:hAnsi="Times New Roman" w:cs="Times New Roman"/>
          <w:sz w:val="24"/>
          <w:szCs w:val="24"/>
          <w:shd w:val="clear" w:color="auto" w:fill="FFFFFF"/>
          <w:lang w:eastAsia="ru-RU"/>
        </w:rPr>
        <w:t xml:space="preserve"> pentru vehiculele electrice </w:t>
      </w:r>
      <w:proofErr w:type="spellStart"/>
      <w:r w:rsidRPr="00125FAF">
        <w:rPr>
          <w:rFonts w:ascii="Times New Roman" w:eastAsia="Times New Roman" w:hAnsi="Times New Roman" w:cs="Times New Roman"/>
          <w:sz w:val="24"/>
          <w:szCs w:val="24"/>
          <w:shd w:val="clear" w:color="auto" w:fill="FFFFFF"/>
          <w:lang w:eastAsia="ru-RU"/>
        </w:rPr>
        <w:t>şi</w:t>
      </w:r>
      <w:proofErr w:type="spellEnd"/>
      <w:r w:rsidRPr="00125FAF">
        <w:rPr>
          <w:rFonts w:ascii="Times New Roman" w:eastAsia="Times New Roman" w:hAnsi="Times New Roman" w:cs="Times New Roman"/>
          <w:sz w:val="24"/>
          <w:szCs w:val="24"/>
          <w:shd w:val="clear" w:color="auto" w:fill="FFFFFF"/>
          <w:lang w:eastAsia="ru-RU"/>
        </w:rPr>
        <w:t xml:space="preserve"> hibride </w:t>
      </w:r>
      <w:r w:rsidR="00830B0A" w:rsidRPr="00125FAF">
        <w:rPr>
          <w:rFonts w:ascii="Times New Roman" w:eastAsia="Times New Roman" w:hAnsi="Times New Roman" w:cs="Times New Roman"/>
          <w:sz w:val="24"/>
          <w:szCs w:val="24"/>
          <w:shd w:val="clear" w:color="auto" w:fill="FFFFFF"/>
          <w:lang w:eastAsia="ru-RU"/>
        </w:rPr>
        <w:t xml:space="preserve">rămân a fi unele </w:t>
      </w:r>
      <w:r w:rsidRPr="00125FAF">
        <w:rPr>
          <w:rFonts w:ascii="Times New Roman" w:eastAsia="Times New Roman" w:hAnsi="Times New Roman" w:cs="Times New Roman"/>
          <w:sz w:val="24"/>
          <w:szCs w:val="24"/>
          <w:shd w:val="clear" w:color="auto" w:fill="FFFFFF"/>
          <w:lang w:eastAsia="ru-RU"/>
        </w:rPr>
        <w:t xml:space="preserve">ridicate. </w:t>
      </w:r>
      <w:r w:rsidR="00830B0A" w:rsidRPr="00125FAF">
        <w:rPr>
          <w:rFonts w:ascii="Times New Roman" w:eastAsia="Times New Roman" w:hAnsi="Times New Roman" w:cs="Times New Roman"/>
          <w:sz w:val="24"/>
          <w:szCs w:val="24"/>
          <w:shd w:val="clear" w:color="auto" w:fill="FFFFFF"/>
          <w:lang w:eastAsia="ru-RU"/>
        </w:rPr>
        <w:t>Lipsesc de asemenea semnalele economice clare, similare celor pentru vehiculele hibride sau electrice, care ar putea facilita importul acestor tehnologii în țară. Infrastructura slab dezvoltată pentru încărcarea vehiculelor electrice este, de asemenea, o barieră.</w:t>
      </w:r>
    </w:p>
    <w:p w14:paraId="7CF3D91C" w14:textId="633E01B2" w:rsidR="006364B2" w:rsidRPr="00125FAF" w:rsidRDefault="00830B0A" w:rsidP="003E24C5">
      <w:pPr>
        <w:pStyle w:val="Listparagraf"/>
        <w:numPr>
          <w:ilvl w:val="0"/>
          <w:numId w:val="16"/>
        </w:numPr>
        <w:tabs>
          <w:tab w:val="left" w:pos="993"/>
        </w:tabs>
        <w:spacing w:after="0" w:line="240" w:lineRule="auto"/>
        <w:jc w:val="both"/>
        <w:rPr>
          <w:rFonts w:ascii="Times New Roman" w:eastAsia="Times New Roman" w:hAnsi="Times New Roman" w:cs="Times New Roman"/>
          <w:sz w:val="24"/>
          <w:szCs w:val="24"/>
          <w:lang w:eastAsia="ru-RU"/>
        </w:rPr>
      </w:pPr>
      <w:r w:rsidRPr="00125FAF">
        <w:rPr>
          <w:rFonts w:ascii="Times New Roman" w:eastAsia="Times New Roman" w:hAnsi="Times New Roman" w:cs="Times New Roman"/>
          <w:sz w:val="24"/>
          <w:szCs w:val="24"/>
          <w:shd w:val="clear" w:color="auto" w:fill="FFFFFF"/>
          <w:lang w:eastAsia="ru-RU"/>
        </w:rPr>
        <w:t xml:space="preserve">Utilizarea </w:t>
      </w:r>
      <w:proofErr w:type="spellStart"/>
      <w:r w:rsidRPr="00125FAF">
        <w:rPr>
          <w:rFonts w:ascii="Times New Roman" w:eastAsia="Times New Roman" w:hAnsi="Times New Roman" w:cs="Times New Roman"/>
          <w:sz w:val="24"/>
          <w:szCs w:val="24"/>
          <w:shd w:val="clear" w:color="auto" w:fill="FFFFFF"/>
          <w:lang w:eastAsia="ru-RU"/>
        </w:rPr>
        <w:t>biocarburanţilor</w:t>
      </w:r>
      <w:proofErr w:type="spellEnd"/>
      <w:r w:rsidRPr="00125FAF">
        <w:rPr>
          <w:rFonts w:ascii="Times New Roman" w:eastAsia="Times New Roman" w:hAnsi="Times New Roman" w:cs="Times New Roman"/>
          <w:sz w:val="24"/>
          <w:szCs w:val="24"/>
          <w:shd w:val="clear" w:color="auto" w:fill="FFFFFF"/>
          <w:lang w:eastAsia="ru-RU"/>
        </w:rPr>
        <w:t xml:space="preserve">, drept combustibili cu intensitate GES redusă, </w:t>
      </w:r>
      <w:proofErr w:type="spellStart"/>
      <w:r w:rsidRPr="00125FAF">
        <w:rPr>
          <w:rFonts w:ascii="Times New Roman" w:eastAsia="Times New Roman" w:hAnsi="Times New Roman" w:cs="Times New Roman"/>
          <w:sz w:val="24"/>
          <w:szCs w:val="24"/>
          <w:shd w:val="clear" w:color="auto" w:fill="FFFFFF"/>
          <w:lang w:eastAsia="ru-RU"/>
        </w:rPr>
        <w:t>ţinând</w:t>
      </w:r>
      <w:proofErr w:type="spellEnd"/>
      <w:r w:rsidRPr="00125FAF">
        <w:rPr>
          <w:rFonts w:ascii="Times New Roman" w:eastAsia="Times New Roman" w:hAnsi="Times New Roman" w:cs="Times New Roman"/>
          <w:sz w:val="24"/>
          <w:szCs w:val="24"/>
          <w:shd w:val="clear" w:color="auto" w:fill="FFFFFF"/>
          <w:lang w:eastAsia="ru-RU"/>
        </w:rPr>
        <w:t xml:space="preserve"> cont de cererea pentru terenuri arabile </w:t>
      </w:r>
      <w:proofErr w:type="spellStart"/>
      <w:r w:rsidRPr="00125FAF">
        <w:rPr>
          <w:rFonts w:ascii="Times New Roman" w:eastAsia="Times New Roman" w:hAnsi="Times New Roman" w:cs="Times New Roman"/>
          <w:sz w:val="24"/>
          <w:szCs w:val="24"/>
          <w:shd w:val="clear" w:color="auto" w:fill="FFFFFF"/>
          <w:lang w:eastAsia="ru-RU"/>
        </w:rPr>
        <w:t>şi</w:t>
      </w:r>
      <w:proofErr w:type="spellEnd"/>
      <w:r w:rsidRPr="00125FAF">
        <w:rPr>
          <w:rFonts w:ascii="Times New Roman" w:eastAsia="Times New Roman" w:hAnsi="Times New Roman" w:cs="Times New Roman"/>
          <w:sz w:val="24"/>
          <w:szCs w:val="24"/>
          <w:shd w:val="clear" w:color="auto" w:fill="FFFFFF"/>
          <w:lang w:eastAsia="ru-RU"/>
        </w:rPr>
        <w:t xml:space="preserve"> resurse de apă pentru </w:t>
      </w:r>
      <w:proofErr w:type="spellStart"/>
      <w:r w:rsidRPr="00125FAF">
        <w:rPr>
          <w:rFonts w:ascii="Times New Roman" w:eastAsia="Times New Roman" w:hAnsi="Times New Roman" w:cs="Times New Roman"/>
          <w:sz w:val="24"/>
          <w:szCs w:val="24"/>
          <w:shd w:val="clear" w:color="auto" w:fill="FFFFFF"/>
          <w:lang w:eastAsia="ru-RU"/>
        </w:rPr>
        <w:t>irigaţie</w:t>
      </w:r>
      <w:proofErr w:type="spellEnd"/>
      <w:r w:rsidRPr="00125FAF">
        <w:rPr>
          <w:rFonts w:ascii="Times New Roman" w:eastAsia="Times New Roman" w:hAnsi="Times New Roman" w:cs="Times New Roman"/>
          <w:sz w:val="24"/>
          <w:szCs w:val="24"/>
          <w:shd w:val="clear" w:color="auto" w:fill="FFFFFF"/>
          <w:lang w:eastAsia="ru-RU"/>
        </w:rPr>
        <w:t xml:space="preserve">, concurează cu obiectivele mai prioritare ale politicii interne ce </w:t>
      </w:r>
      <w:proofErr w:type="spellStart"/>
      <w:r w:rsidRPr="00125FAF">
        <w:rPr>
          <w:rFonts w:ascii="Times New Roman" w:eastAsia="Times New Roman" w:hAnsi="Times New Roman" w:cs="Times New Roman"/>
          <w:sz w:val="24"/>
          <w:szCs w:val="24"/>
          <w:shd w:val="clear" w:color="auto" w:fill="FFFFFF"/>
          <w:lang w:eastAsia="ru-RU"/>
        </w:rPr>
        <w:t>ţin</w:t>
      </w:r>
      <w:proofErr w:type="spellEnd"/>
      <w:r w:rsidRPr="00125FAF">
        <w:rPr>
          <w:rFonts w:ascii="Times New Roman" w:eastAsia="Times New Roman" w:hAnsi="Times New Roman" w:cs="Times New Roman"/>
          <w:sz w:val="24"/>
          <w:szCs w:val="24"/>
          <w:shd w:val="clear" w:color="auto" w:fill="FFFFFF"/>
          <w:lang w:eastAsia="ru-RU"/>
        </w:rPr>
        <w:t xml:space="preserve"> de asigurarea </w:t>
      </w:r>
      <w:proofErr w:type="spellStart"/>
      <w:r w:rsidRPr="00125FAF">
        <w:rPr>
          <w:rFonts w:ascii="Times New Roman" w:eastAsia="Times New Roman" w:hAnsi="Times New Roman" w:cs="Times New Roman"/>
          <w:sz w:val="24"/>
          <w:szCs w:val="24"/>
          <w:shd w:val="clear" w:color="auto" w:fill="FFFFFF"/>
          <w:lang w:eastAsia="ru-RU"/>
        </w:rPr>
        <w:t>securităţii</w:t>
      </w:r>
      <w:proofErr w:type="spellEnd"/>
      <w:r w:rsidR="00B566C6" w:rsidRPr="00125FAF">
        <w:rPr>
          <w:rFonts w:ascii="Times New Roman" w:eastAsia="Times New Roman" w:hAnsi="Times New Roman" w:cs="Times New Roman"/>
          <w:sz w:val="24"/>
          <w:szCs w:val="24"/>
          <w:shd w:val="clear" w:color="auto" w:fill="FFFFFF"/>
          <w:lang w:eastAsia="ru-RU"/>
        </w:rPr>
        <w:t xml:space="preserve"> </w:t>
      </w:r>
      <w:r w:rsidRPr="00125FAF">
        <w:rPr>
          <w:rFonts w:ascii="Times New Roman" w:eastAsia="Times New Roman" w:hAnsi="Times New Roman" w:cs="Times New Roman"/>
          <w:sz w:val="24"/>
          <w:szCs w:val="24"/>
          <w:shd w:val="clear" w:color="auto" w:fill="FFFFFF"/>
          <w:lang w:eastAsia="ru-RU"/>
        </w:rPr>
        <w:t>alimentare.</w:t>
      </w:r>
    </w:p>
    <w:p w14:paraId="041150B7" w14:textId="7724105A" w:rsidR="004E37D6" w:rsidRPr="00125FAF" w:rsidRDefault="00830B0A" w:rsidP="003E24C5">
      <w:pPr>
        <w:pStyle w:val="Listparagraf"/>
        <w:numPr>
          <w:ilvl w:val="0"/>
          <w:numId w:val="16"/>
        </w:numPr>
        <w:tabs>
          <w:tab w:val="left" w:pos="993"/>
        </w:tabs>
        <w:spacing w:after="0" w:line="240" w:lineRule="auto"/>
        <w:jc w:val="both"/>
        <w:rPr>
          <w:rFonts w:ascii="Times New Roman" w:eastAsia="Times New Roman" w:hAnsi="Times New Roman" w:cs="Times New Roman"/>
          <w:sz w:val="24"/>
          <w:szCs w:val="24"/>
          <w:lang w:eastAsia="ru-RU"/>
        </w:rPr>
      </w:pPr>
      <w:r w:rsidRPr="00125FAF">
        <w:rPr>
          <w:rFonts w:ascii="Times New Roman" w:hAnsi="Times New Roman" w:cs="Times New Roman"/>
          <w:sz w:val="24"/>
          <w:szCs w:val="24"/>
          <w:shd w:val="clear" w:color="auto" w:fill="FFFFFF"/>
          <w:lang w:eastAsia="ru-RU"/>
        </w:rPr>
        <w:t xml:space="preserve">Este cunoscut că eficiența energetică în transporturi poate fi </w:t>
      </w:r>
      <w:r w:rsidR="002567EA" w:rsidRPr="00125FAF">
        <w:rPr>
          <w:rFonts w:ascii="Times New Roman" w:hAnsi="Times New Roman" w:cs="Times New Roman"/>
          <w:sz w:val="24"/>
          <w:szCs w:val="24"/>
          <w:shd w:val="clear" w:color="auto" w:fill="FFFFFF"/>
          <w:lang w:eastAsia="ru-RU"/>
        </w:rPr>
        <w:t>ridicată</w:t>
      </w:r>
      <w:r w:rsidRPr="00125FAF">
        <w:rPr>
          <w:rFonts w:ascii="Times New Roman" w:hAnsi="Times New Roman" w:cs="Times New Roman"/>
          <w:sz w:val="24"/>
          <w:szCs w:val="24"/>
          <w:shd w:val="clear" w:color="auto" w:fill="FFFFFF"/>
          <w:lang w:eastAsia="ru-RU"/>
        </w:rPr>
        <w:t xml:space="preserve"> atât prin îmbunătățirea eficienței în cadrul fiecărui mod de transport, cât și prin utilizarea</w:t>
      </w:r>
      <w:r w:rsidR="00B566C6" w:rsidRPr="00125FAF">
        <w:rPr>
          <w:rFonts w:ascii="Times New Roman" w:hAnsi="Times New Roman" w:cs="Times New Roman"/>
          <w:sz w:val="24"/>
          <w:szCs w:val="24"/>
          <w:shd w:val="clear" w:color="auto" w:fill="FFFFFF"/>
          <w:lang w:eastAsia="ru-RU"/>
        </w:rPr>
        <w:t xml:space="preserve"> </w:t>
      </w:r>
      <w:r w:rsidRPr="00125FAF">
        <w:rPr>
          <w:rFonts w:ascii="Times New Roman" w:hAnsi="Times New Roman" w:cs="Times New Roman"/>
          <w:sz w:val="24"/>
          <w:szCs w:val="24"/>
          <w:shd w:val="clear" w:color="auto" w:fill="FFFFFF"/>
          <w:lang w:eastAsia="ru-RU"/>
        </w:rPr>
        <w:t xml:space="preserve">unor moduri de transport mai eficiente. În acest sens transportul feroviar, ca mijloc de transport mai eficient și corespunzător mai puțin poluant, încă rămâne unul slab dezvoltat și puțin solicitat din motivul lipsei investițiilor necesare în domeniu. Se evidențiază și dezvoltarea anevoioasă a infrastructurii potrivite pentru practicarea ciclismului, un mod de transport care de asemenea poate contribui la diminuarea emisiilor </w:t>
      </w:r>
      <w:r w:rsidR="002567EA" w:rsidRPr="00125FAF">
        <w:rPr>
          <w:rFonts w:ascii="Times New Roman" w:hAnsi="Times New Roman" w:cs="Times New Roman"/>
          <w:sz w:val="24"/>
          <w:szCs w:val="24"/>
          <w:shd w:val="clear" w:color="auto" w:fill="FFFFFF"/>
          <w:lang w:eastAsia="ru-RU"/>
        </w:rPr>
        <w:t xml:space="preserve">de GES </w:t>
      </w:r>
      <w:r w:rsidRPr="00125FAF">
        <w:rPr>
          <w:rFonts w:ascii="Times New Roman" w:hAnsi="Times New Roman" w:cs="Times New Roman"/>
          <w:sz w:val="24"/>
          <w:szCs w:val="24"/>
          <w:shd w:val="clear" w:color="auto" w:fill="FFFFFF"/>
          <w:lang w:eastAsia="ru-RU"/>
        </w:rPr>
        <w:t>în transporturi.</w:t>
      </w:r>
    </w:p>
    <w:p w14:paraId="06436EBA" w14:textId="26F32A7D" w:rsidR="00434D55" w:rsidRPr="00125FAF" w:rsidRDefault="00830B0A" w:rsidP="003E24C5">
      <w:pPr>
        <w:pStyle w:val="Listparagraf"/>
        <w:numPr>
          <w:ilvl w:val="0"/>
          <w:numId w:val="16"/>
        </w:numPr>
        <w:tabs>
          <w:tab w:val="left" w:pos="993"/>
        </w:tabs>
        <w:spacing w:after="0" w:line="240" w:lineRule="auto"/>
        <w:jc w:val="both"/>
        <w:rPr>
          <w:rFonts w:ascii="Times New Roman" w:eastAsia="Times New Roman" w:hAnsi="Times New Roman" w:cs="Times New Roman"/>
          <w:sz w:val="24"/>
          <w:szCs w:val="24"/>
          <w:lang w:eastAsia="ru-RU"/>
        </w:rPr>
      </w:pPr>
      <w:r w:rsidRPr="00125FAF">
        <w:rPr>
          <w:rFonts w:ascii="Times New Roman" w:eastAsia="Times New Roman" w:hAnsi="Times New Roman" w:cs="Times New Roman"/>
          <w:sz w:val="24"/>
          <w:szCs w:val="24"/>
          <w:shd w:val="clear" w:color="auto" w:fill="FFFFFF"/>
          <w:lang w:eastAsia="ru-RU"/>
        </w:rPr>
        <w:t xml:space="preserve">O provocare majoră cu care se confruntă proiectele ce </w:t>
      </w:r>
      <w:proofErr w:type="spellStart"/>
      <w:r w:rsidRPr="00125FAF">
        <w:rPr>
          <w:rFonts w:ascii="Times New Roman" w:eastAsia="Times New Roman" w:hAnsi="Times New Roman" w:cs="Times New Roman"/>
          <w:sz w:val="24"/>
          <w:szCs w:val="24"/>
          <w:shd w:val="clear" w:color="auto" w:fill="FFFFFF"/>
          <w:lang w:eastAsia="ru-RU"/>
        </w:rPr>
        <w:t>ţin</w:t>
      </w:r>
      <w:proofErr w:type="spellEnd"/>
      <w:r w:rsidRPr="00125FAF">
        <w:rPr>
          <w:rFonts w:ascii="Times New Roman" w:eastAsia="Times New Roman" w:hAnsi="Times New Roman" w:cs="Times New Roman"/>
          <w:sz w:val="24"/>
          <w:szCs w:val="24"/>
          <w:shd w:val="clear" w:color="auto" w:fill="FFFFFF"/>
          <w:lang w:eastAsia="ru-RU"/>
        </w:rPr>
        <w:t xml:space="preserve"> de infrastructura transportului public este asociată cu costurile </w:t>
      </w:r>
      <w:proofErr w:type="spellStart"/>
      <w:r w:rsidRPr="00125FAF">
        <w:rPr>
          <w:rFonts w:ascii="Times New Roman" w:eastAsia="Times New Roman" w:hAnsi="Times New Roman" w:cs="Times New Roman"/>
          <w:sz w:val="24"/>
          <w:szCs w:val="24"/>
          <w:shd w:val="clear" w:color="auto" w:fill="FFFFFF"/>
          <w:lang w:eastAsia="ru-RU"/>
        </w:rPr>
        <w:t>preoperaţionale</w:t>
      </w:r>
      <w:proofErr w:type="spellEnd"/>
      <w:r w:rsidRPr="00125FAF">
        <w:rPr>
          <w:rFonts w:ascii="Times New Roman" w:eastAsia="Times New Roman" w:hAnsi="Times New Roman" w:cs="Times New Roman"/>
          <w:sz w:val="24"/>
          <w:szCs w:val="24"/>
          <w:shd w:val="clear" w:color="auto" w:fill="FFFFFF"/>
          <w:lang w:eastAsia="ru-RU"/>
        </w:rPr>
        <w:t xml:space="preserve"> de capital foarte ridicate. Totodată, planificarea urbană rămâne nesatisfăcătoare, iar mecanismele </w:t>
      </w:r>
      <w:proofErr w:type="spellStart"/>
      <w:r w:rsidRPr="00125FAF">
        <w:rPr>
          <w:rFonts w:ascii="Times New Roman" w:eastAsia="Times New Roman" w:hAnsi="Times New Roman" w:cs="Times New Roman"/>
          <w:sz w:val="24"/>
          <w:szCs w:val="24"/>
          <w:shd w:val="clear" w:color="auto" w:fill="FFFFFF"/>
          <w:lang w:eastAsia="ru-RU"/>
        </w:rPr>
        <w:t>instituţionale</w:t>
      </w:r>
      <w:proofErr w:type="spellEnd"/>
      <w:r w:rsidRPr="00125FAF">
        <w:rPr>
          <w:rFonts w:ascii="Times New Roman" w:eastAsia="Times New Roman" w:hAnsi="Times New Roman" w:cs="Times New Roman"/>
          <w:sz w:val="24"/>
          <w:szCs w:val="24"/>
          <w:shd w:val="clear" w:color="auto" w:fill="FFFFFF"/>
          <w:lang w:eastAsia="ru-RU"/>
        </w:rPr>
        <w:t xml:space="preserve"> </w:t>
      </w:r>
      <w:r w:rsidR="0039403B" w:rsidRPr="00125FAF">
        <w:rPr>
          <w:rFonts w:ascii="Times New Roman" w:eastAsia="Times New Roman" w:hAnsi="Times New Roman" w:cs="Times New Roman"/>
          <w:sz w:val="24"/>
          <w:szCs w:val="24"/>
          <w:shd w:val="clear" w:color="auto" w:fill="FFFFFF"/>
          <w:lang w:eastAsia="ru-RU"/>
        </w:rPr>
        <w:t xml:space="preserve">continue să fie </w:t>
      </w:r>
      <w:r w:rsidRPr="00125FAF">
        <w:rPr>
          <w:rFonts w:ascii="Times New Roman" w:eastAsia="Times New Roman" w:hAnsi="Times New Roman" w:cs="Times New Roman"/>
          <w:sz w:val="24"/>
          <w:szCs w:val="24"/>
          <w:shd w:val="clear" w:color="auto" w:fill="FFFFFF"/>
          <w:lang w:eastAsia="ru-RU"/>
        </w:rPr>
        <w:t>inadecvate pentru gestionarea cererii de transport în zonele urbane.</w:t>
      </w:r>
    </w:p>
    <w:p w14:paraId="36B564AF" w14:textId="6844E133" w:rsidR="006364B2" w:rsidRPr="00125FAF" w:rsidRDefault="006364B2" w:rsidP="001F2F2D">
      <w:pPr>
        <w:spacing w:before="120" w:after="120" w:line="240" w:lineRule="auto"/>
        <w:ind w:firstLine="720"/>
        <w:jc w:val="both"/>
        <w:outlineLvl w:val="2"/>
        <w:rPr>
          <w:rFonts w:ascii="Times New Roman" w:eastAsia="Times New Roman" w:hAnsi="Times New Roman" w:cs="Times New Roman"/>
          <w:b/>
          <w:bCs/>
          <w:sz w:val="24"/>
          <w:szCs w:val="24"/>
          <w:lang w:eastAsia="ru-RU"/>
        </w:rPr>
      </w:pPr>
      <w:r w:rsidRPr="00125FAF">
        <w:rPr>
          <w:rFonts w:ascii="Times New Roman" w:eastAsia="Times New Roman" w:hAnsi="Times New Roman" w:cs="Times New Roman"/>
          <w:b/>
          <w:bCs/>
          <w:color w:val="000000"/>
          <w:sz w:val="24"/>
          <w:szCs w:val="24"/>
          <w:lang w:eastAsia="ru-RU"/>
        </w:rPr>
        <w:t>2.</w:t>
      </w:r>
      <w:r w:rsidR="00403E3C" w:rsidRPr="00125FAF">
        <w:rPr>
          <w:rFonts w:ascii="Times New Roman" w:eastAsia="Times New Roman" w:hAnsi="Times New Roman" w:cs="Times New Roman"/>
          <w:b/>
          <w:bCs/>
          <w:color w:val="000000"/>
          <w:sz w:val="24"/>
          <w:szCs w:val="24"/>
          <w:lang w:eastAsia="ru-RU"/>
        </w:rPr>
        <w:t>2.</w:t>
      </w:r>
      <w:r w:rsidRPr="00125FAF">
        <w:rPr>
          <w:rFonts w:ascii="Times New Roman" w:eastAsia="Times New Roman" w:hAnsi="Times New Roman" w:cs="Times New Roman"/>
          <w:b/>
          <w:bCs/>
          <w:color w:val="000000"/>
          <w:sz w:val="24"/>
          <w:szCs w:val="24"/>
          <w:lang w:eastAsia="ru-RU"/>
        </w:rPr>
        <w:t xml:space="preserve">3. </w:t>
      </w:r>
      <w:proofErr w:type="spellStart"/>
      <w:r w:rsidRPr="00125FAF">
        <w:rPr>
          <w:rFonts w:ascii="Times New Roman" w:eastAsia="Times New Roman" w:hAnsi="Times New Roman" w:cs="Times New Roman"/>
          <w:b/>
          <w:bCs/>
          <w:color w:val="000000"/>
          <w:sz w:val="24"/>
          <w:szCs w:val="24"/>
          <w:lang w:eastAsia="ru-RU"/>
        </w:rPr>
        <w:t>Contribuţia</w:t>
      </w:r>
      <w:proofErr w:type="spellEnd"/>
      <w:r w:rsidRPr="00125FAF">
        <w:rPr>
          <w:rFonts w:ascii="Times New Roman" w:eastAsia="Times New Roman" w:hAnsi="Times New Roman" w:cs="Times New Roman"/>
          <w:b/>
          <w:bCs/>
          <w:color w:val="000000"/>
          <w:sz w:val="24"/>
          <w:szCs w:val="24"/>
          <w:lang w:eastAsia="ru-RU"/>
        </w:rPr>
        <w:t xml:space="preserve"> </w:t>
      </w:r>
      <w:r w:rsidRPr="00125FAF">
        <w:rPr>
          <w:rFonts w:ascii="Times New Roman" w:eastAsia="Times New Roman" w:hAnsi="Times New Roman" w:cs="Times New Roman"/>
          <w:b/>
          <w:bCs/>
          <w:iCs/>
          <w:color w:val="000000"/>
          <w:sz w:val="24"/>
          <w:szCs w:val="24"/>
          <w:lang w:eastAsia="ru-RU"/>
        </w:rPr>
        <w:t xml:space="preserve">sectorului </w:t>
      </w:r>
      <w:r w:rsidRPr="00125FAF">
        <w:rPr>
          <w:rFonts w:ascii="Times New Roman" w:eastAsia="Times New Roman" w:hAnsi="Times New Roman" w:cs="Times New Roman"/>
          <w:b/>
          <w:bCs/>
          <w:i/>
          <w:color w:val="000000"/>
          <w:sz w:val="24"/>
          <w:szCs w:val="24"/>
          <w:lang w:eastAsia="ru-RU"/>
        </w:rPr>
        <w:t>clădiri</w:t>
      </w:r>
      <w:r w:rsidRPr="00125FAF">
        <w:rPr>
          <w:rFonts w:ascii="Times New Roman" w:eastAsia="Times New Roman" w:hAnsi="Times New Roman" w:cs="Times New Roman"/>
          <w:b/>
          <w:bCs/>
          <w:color w:val="000000"/>
          <w:sz w:val="24"/>
          <w:szCs w:val="24"/>
          <w:lang w:eastAsia="ru-RU"/>
        </w:rPr>
        <w:t xml:space="preserve"> la dezvoltarea cu emisii reduse </w:t>
      </w:r>
      <w:proofErr w:type="spellStart"/>
      <w:r w:rsidRPr="00125FAF">
        <w:rPr>
          <w:rFonts w:ascii="Times New Roman" w:eastAsia="Times New Roman" w:hAnsi="Times New Roman" w:cs="Times New Roman"/>
          <w:b/>
          <w:bCs/>
          <w:color w:val="000000"/>
          <w:sz w:val="24"/>
          <w:szCs w:val="24"/>
          <w:lang w:eastAsia="ru-RU"/>
        </w:rPr>
        <w:t>şi</w:t>
      </w:r>
      <w:proofErr w:type="spellEnd"/>
      <w:r w:rsidRPr="00125FAF">
        <w:rPr>
          <w:rFonts w:ascii="Times New Roman" w:eastAsia="Times New Roman" w:hAnsi="Times New Roman" w:cs="Times New Roman"/>
          <w:b/>
          <w:bCs/>
          <w:color w:val="000000"/>
          <w:sz w:val="24"/>
          <w:szCs w:val="24"/>
          <w:lang w:eastAsia="ru-RU"/>
        </w:rPr>
        <w:t xml:space="preserve"> problemele identificate în acest sector</w:t>
      </w:r>
    </w:p>
    <w:p w14:paraId="67E454AE" w14:textId="5D2277E7" w:rsidR="00C538DF" w:rsidRPr="00125FAF" w:rsidRDefault="00C538DF" w:rsidP="001F2F2D">
      <w:pPr>
        <w:tabs>
          <w:tab w:val="left" w:pos="851"/>
        </w:tabs>
        <w:autoSpaceDE w:val="0"/>
        <w:autoSpaceDN w:val="0"/>
        <w:adjustRightInd w:val="0"/>
        <w:spacing w:before="60" w:after="0" w:line="240" w:lineRule="auto"/>
        <w:ind w:firstLine="630"/>
        <w:jc w:val="both"/>
        <w:rPr>
          <w:rFonts w:ascii="Times New Roman" w:eastAsia="Calibri" w:hAnsi="Times New Roman" w:cs="Times New Roman"/>
          <w:color w:val="000000"/>
          <w:sz w:val="24"/>
          <w:szCs w:val="24"/>
          <w:lang w:eastAsia="ru-RU"/>
        </w:rPr>
      </w:pPr>
      <w:r w:rsidRPr="00125FAF">
        <w:rPr>
          <w:rFonts w:ascii="Times New Roman" w:eastAsia="Times New Roman" w:hAnsi="Times New Roman" w:cs="Times New Roman"/>
          <w:color w:val="000000"/>
          <w:sz w:val="24"/>
          <w:szCs w:val="24"/>
          <w:shd w:val="clear" w:color="auto" w:fill="FFFFFF"/>
          <w:lang w:eastAsia="ru-RU"/>
        </w:rPr>
        <w:lastRenderedPageBreak/>
        <w:t>1</w:t>
      </w:r>
      <w:r w:rsidR="00E13B78" w:rsidRPr="00125FAF">
        <w:rPr>
          <w:rFonts w:ascii="Times New Roman" w:eastAsia="Times New Roman" w:hAnsi="Times New Roman" w:cs="Times New Roman"/>
          <w:color w:val="000000"/>
          <w:sz w:val="24"/>
          <w:szCs w:val="24"/>
          <w:shd w:val="clear" w:color="auto" w:fill="FFFFFF"/>
          <w:lang w:eastAsia="ru-RU"/>
        </w:rPr>
        <w:t>1</w:t>
      </w:r>
      <w:r w:rsidRPr="00125FAF">
        <w:rPr>
          <w:rFonts w:ascii="Times New Roman" w:eastAsia="Times New Roman" w:hAnsi="Times New Roman" w:cs="Times New Roman"/>
          <w:color w:val="000000"/>
          <w:sz w:val="24"/>
          <w:szCs w:val="24"/>
          <w:shd w:val="clear" w:color="auto" w:fill="FFFFFF"/>
          <w:lang w:eastAsia="ru-RU"/>
        </w:rPr>
        <w:t>. Legea nr. 128</w:t>
      </w:r>
      <w:r w:rsidR="004573D0" w:rsidRPr="00125FAF">
        <w:rPr>
          <w:rFonts w:ascii="Times New Roman" w:eastAsia="Times New Roman" w:hAnsi="Times New Roman" w:cs="Times New Roman"/>
          <w:color w:val="000000"/>
          <w:sz w:val="24"/>
          <w:szCs w:val="24"/>
          <w:shd w:val="clear" w:color="auto" w:fill="FFFFFF"/>
          <w:lang w:eastAsia="ru-RU"/>
        </w:rPr>
        <w:t>/</w:t>
      </w:r>
      <w:r w:rsidRPr="00125FAF">
        <w:rPr>
          <w:rFonts w:ascii="Times New Roman" w:eastAsia="Times New Roman" w:hAnsi="Times New Roman" w:cs="Times New Roman"/>
          <w:color w:val="000000"/>
          <w:sz w:val="24"/>
          <w:szCs w:val="24"/>
          <w:shd w:val="clear" w:color="auto" w:fill="FFFFFF"/>
          <w:lang w:eastAsia="ru-RU"/>
        </w:rPr>
        <w:t xml:space="preserve">2014 privind </w:t>
      </w:r>
      <w:proofErr w:type="spellStart"/>
      <w:r w:rsidRPr="00125FAF">
        <w:rPr>
          <w:rFonts w:ascii="Times New Roman" w:eastAsia="Times New Roman" w:hAnsi="Times New Roman" w:cs="Times New Roman"/>
          <w:color w:val="000000"/>
          <w:sz w:val="24"/>
          <w:szCs w:val="24"/>
          <w:shd w:val="clear" w:color="auto" w:fill="FFFFFF"/>
          <w:lang w:eastAsia="ru-RU"/>
        </w:rPr>
        <w:t>performanţa</w:t>
      </w:r>
      <w:proofErr w:type="spellEnd"/>
      <w:r w:rsidRPr="00125FAF">
        <w:rPr>
          <w:rFonts w:ascii="Times New Roman" w:eastAsia="Times New Roman" w:hAnsi="Times New Roman" w:cs="Times New Roman"/>
          <w:color w:val="000000"/>
          <w:sz w:val="24"/>
          <w:szCs w:val="24"/>
          <w:shd w:val="clear" w:color="auto" w:fill="FFFFFF"/>
          <w:lang w:eastAsia="ru-RU"/>
        </w:rPr>
        <w:t xml:space="preserve"> energetică a clădirilor </w:t>
      </w:r>
      <w:proofErr w:type="spellStart"/>
      <w:r w:rsidRPr="00125FAF">
        <w:rPr>
          <w:rFonts w:ascii="Times New Roman" w:eastAsia="Verdana" w:hAnsi="Times New Roman" w:cs="Times New Roman"/>
          <w:bCs/>
          <w:color w:val="000000"/>
          <w:sz w:val="24"/>
          <w:szCs w:val="24"/>
          <w:lang w:eastAsia="de-DE"/>
        </w:rPr>
        <w:t>stabileşte</w:t>
      </w:r>
      <w:proofErr w:type="spellEnd"/>
      <w:r w:rsidRPr="00125FAF">
        <w:rPr>
          <w:rFonts w:ascii="Times New Roman" w:eastAsia="Verdana" w:hAnsi="Times New Roman" w:cs="Times New Roman"/>
          <w:bCs/>
          <w:color w:val="000000"/>
          <w:sz w:val="24"/>
          <w:szCs w:val="24"/>
          <w:lang w:eastAsia="de-DE"/>
        </w:rPr>
        <w:t xml:space="preserve"> </w:t>
      </w:r>
      <w:proofErr w:type="spellStart"/>
      <w:r w:rsidRPr="00125FAF">
        <w:rPr>
          <w:rFonts w:ascii="Times New Roman" w:eastAsia="Verdana" w:hAnsi="Times New Roman" w:cs="Times New Roman"/>
          <w:bCs/>
          <w:color w:val="000000"/>
          <w:sz w:val="24"/>
          <w:szCs w:val="24"/>
          <w:lang w:eastAsia="de-DE"/>
        </w:rPr>
        <w:t>direcţiile</w:t>
      </w:r>
      <w:proofErr w:type="spellEnd"/>
      <w:r w:rsidRPr="00125FAF">
        <w:rPr>
          <w:rFonts w:ascii="Times New Roman" w:eastAsia="Verdana" w:hAnsi="Times New Roman" w:cs="Times New Roman"/>
          <w:bCs/>
          <w:color w:val="000000"/>
          <w:sz w:val="24"/>
          <w:szCs w:val="24"/>
          <w:lang w:eastAsia="de-DE"/>
        </w:rPr>
        <w:t xml:space="preserve"> prioritare ale politicii de stat în domeniul </w:t>
      </w:r>
      <w:proofErr w:type="spellStart"/>
      <w:r w:rsidRPr="00125FAF">
        <w:rPr>
          <w:rFonts w:ascii="Times New Roman" w:eastAsia="Verdana" w:hAnsi="Times New Roman" w:cs="Times New Roman"/>
          <w:bCs/>
          <w:color w:val="000000"/>
          <w:sz w:val="24"/>
          <w:szCs w:val="24"/>
          <w:lang w:eastAsia="de-DE"/>
        </w:rPr>
        <w:t>eficienţei</w:t>
      </w:r>
      <w:proofErr w:type="spellEnd"/>
      <w:r w:rsidRPr="00125FAF">
        <w:rPr>
          <w:rFonts w:ascii="Times New Roman" w:eastAsia="Verdana" w:hAnsi="Times New Roman" w:cs="Times New Roman"/>
          <w:bCs/>
          <w:color w:val="000000"/>
          <w:sz w:val="24"/>
          <w:szCs w:val="24"/>
          <w:lang w:eastAsia="de-DE"/>
        </w:rPr>
        <w:t xml:space="preserve"> energetice a clădirilor </w:t>
      </w:r>
      <w:proofErr w:type="spellStart"/>
      <w:r w:rsidRPr="00125FAF">
        <w:rPr>
          <w:rFonts w:ascii="Times New Roman" w:eastAsia="Verdana" w:hAnsi="Times New Roman" w:cs="Times New Roman"/>
          <w:bCs/>
          <w:color w:val="000000"/>
          <w:sz w:val="24"/>
          <w:szCs w:val="24"/>
          <w:lang w:eastAsia="de-DE"/>
        </w:rPr>
        <w:t>şi</w:t>
      </w:r>
      <w:proofErr w:type="spellEnd"/>
      <w:r w:rsidRPr="00125FAF">
        <w:rPr>
          <w:rFonts w:ascii="Times New Roman" w:eastAsia="Verdana" w:hAnsi="Times New Roman" w:cs="Times New Roman"/>
          <w:bCs/>
          <w:color w:val="000000"/>
          <w:sz w:val="24"/>
          <w:szCs w:val="24"/>
          <w:lang w:eastAsia="de-DE"/>
        </w:rPr>
        <w:t xml:space="preserve"> p</w:t>
      </w:r>
      <w:r w:rsidRPr="00125FAF">
        <w:rPr>
          <w:rFonts w:ascii="Times New Roman" w:eastAsia="Verdana" w:hAnsi="Times New Roman" w:cs="Times New Roman"/>
          <w:color w:val="000000"/>
          <w:sz w:val="24"/>
          <w:szCs w:val="24"/>
          <w:lang w:eastAsia="de-DE"/>
        </w:rPr>
        <w:t xml:space="preserve">revede că după 30 iunie 2019, clădirile publice noi trebuie să fie clădiri al căror consum de energie este aproape egal cu zero, iar după 30 iunie 2021, toate clădirile noi trebuie să fie clădiri al căror consum de energie este aproape egal cu zero. Conform Legii, </w:t>
      </w:r>
      <w:proofErr w:type="spellStart"/>
      <w:r w:rsidRPr="00125FAF">
        <w:rPr>
          <w:rFonts w:ascii="Times New Roman" w:eastAsia="Verdana" w:hAnsi="Times New Roman" w:cs="Times New Roman"/>
          <w:color w:val="000000"/>
          <w:sz w:val="24"/>
          <w:szCs w:val="24"/>
          <w:lang w:eastAsia="de-DE"/>
        </w:rPr>
        <w:t>cerinţele</w:t>
      </w:r>
      <w:proofErr w:type="spellEnd"/>
      <w:r w:rsidRPr="00125FAF">
        <w:rPr>
          <w:rFonts w:ascii="Times New Roman" w:eastAsia="Verdana" w:hAnsi="Times New Roman" w:cs="Times New Roman"/>
          <w:color w:val="000000"/>
          <w:sz w:val="24"/>
          <w:szCs w:val="24"/>
          <w:lang w:eastAsia="de-DE"/>
        </w:rPr>
        <w:t xml:space="preserve"> minime de </w:t>
      </w:r>
      <w:proofErr w:type="spellStart"/>
      <w:r w:rsidRPr="00125FAF">
        <w:rPr>
          <w:rFonts w:ascii="Times New Roman" w:eastAsia="Verdana" w:hAnsi="Times New Roman" w:cs="Times New Roman"/>
          <w:color w:val="000000"/>
          <w:sz w:val="24"/>
          <w:szCs w:val="24"/>
          <w:lang w:eastAsia="de-DE"/>
        </w:rPr>
        <w:t>performanţă</w:t>
      </w:r>
      <w:proofErr w:type="spellEnd"/>
      <w:r w:rsidRPr="00125FAF">
        <w:rPr>
          <w:rFonts w:ascii="Times New Roman" w:eastAsia="Verdana" w:hAnsi="Times New Roman" w:cs="Times New Roman"/>
          <w:color w:val="000000"/>
          <w:sz w:val="24"/>
          <w:szCs w:val="24"/>
          <w:lang w:eastAsia="de-DE"/>
        </w:rPr>
        <w:t xml:space="preserve"> energetică se stabilesc </w:t>
      </w:r>
      <w:proofErr w:type="spellStart"/>
      <w:r w:rsidRPr="00125FAF">
        <w:rPr>
          <w:rFonts w:ascii="Times New Roman" w:eastAsia="Verdana" w:hAnsi="Times New Roman" w:cs="Times New Roman"/>
          <w:color w:val="000000"/>
          <w:sz w:val="24"/>
          <w:szCs w:val="24"/>
          <w:lang w:eastAsia="de-DE"/>
        </w:rPr>
        <w:t>ţinând</w:t>
      </w:r>
      <w:proofErr w:type="spellEnd"/>
      <w:r w:rsidRPr="00125FAF">
        <w:rPr>
          <w:rFonts w:ascii="Times New Roman" w:eastAsia="Verdana" w:hAnsi="Times New Roman" w:cs="Times New Roman"/>
          <w:color w:val="000000"/>
          <w:sz w:val="24"/>
          <w:szCs w:val="24"/>
          <w:lang w:eastAsia="de-DE"/>
        </w:rPr>
        <w:t xml:space="preserve"> cont de nivelurile optime, din punctul de vedere al costurilor calculate în conformitate cu metodologia elaborată </w:t>
      </w:r>
      <w:proofErr w:type="spellStart"/>
      <w:r w:rsidRPr="00125FAF">
        <w:rPr>
          <w:rFonts w:ascii="Times New Roman" w:eastAsia="Verdana" w:hAnsi="Times New Roman" w:cs="Times New Roman"/>
          <w:color w:val="000000"/>
          <w:sz w:val="24"/>
          <w:szCs w:val="24"/>
          <w:lang w:eastAsia="de-DE"/>
        </w:rPr>
        <w:t>şi</w:t>
      </w:r>
      <w:proofErr w:type="spellEnd"/>
      <w:r w:rsidRPr="00125FAF">
        <w:rPr>
          <w:rFonts w:ascii="Times New Roman" w:eastAsia="Verdana" w:hAnsi="Times New Roman" w:cs="Times New Roman"/>
          <w:color w:val="000000"/>
          <w:sz w:val="24"/>
          <w:szCs w:val="24"/>
          <w:lang w:eastAsia="de-DE"/>
        </w:rPr>
        <w:t xml:space="preserve"> aprobată de organul central de specialitate al </w:t>
      </w:r>
      <w:proofErr w:type="spellStart"/>
      <w:r w:rsidRPr="00125FAF">
        <w:rPr>
          <w:rFonts w:ascii="Times New Roman" w:eastAsia="Verdana" w:hAnsi="Times New Roman" w:cs="Times New Roman"/>
          <w:color w:val="000000"/>
          <w:sz w:val="24"/>
          <w:szCs w:val="24"/>
          <w:lang w:eastAsia="de-DE"/>
        </w:rPr>
        <w:t>administraţiei</w:t>
      </w:r>
      <w:proofErr w:type="spellEnd"/>
      <w:r w:rsidRPr="00125FAF">
        <w:rPr>
          <w:rFonts w:ascii="Times New Roman" w:eastAsia="Verdana" w:hAnsi="Times New Roman" w:cs="Times New Roman"/>
          <w:color w:val="000000"/>
          <w:sz w:val="24"/>
          <w:szCs w:val="24"/>
          <w:lang w:eastAsia="de-DE"/>
        </w:rPr>
        <w:t xml:space="preserve"> publice în domeniul </w:t>
      </w:r>
      <w:proofErr w:type="spellStart"/>
      <w:r w:rsidRPr="00125FAF">
        <w:rPr>
          <w:rFonts w:ascii="Times New Roman" w:eastAsia="Verdana" w:hAnsi="Times New Roman" w:cs="Times New Roman"/>
          <w:color w:val="000000"/>
          <w:sz w:val="24"/>
          <w:szCs w:val="24"/>
          <w:lang w:eastAsia="de-DE"/>
        </w:rPr>
        <w:t>construcţiilor</w:t>
      </w:r>
      <w:proofErr w:type="spellEnd"/>
      <w:r w:rsidRPr="00125FAF">
        <w:rPr>
          <w:rFonts w:ascii="Times New Roman" w:eastAsia="Verdana" w:hAnsi="Times New Roman" w:cs="Times New Roman"/>
          <w:color w:val="000000"/>
          <w:sz w:val="24"/>
          <w:szCs w:val="24"/>
          <w:lang w:eastAsia="de-DE"/>
        </w:rPr>
        <w:t>.</w:t>
      </w:r>
    </w:p>
    <w:p w14:paraId="3D917F83" w14:textId="4E6A2A6B" w:rsidR="00C538DF" w:rsidRPr="00125FAF" w:rsidRDefault="00C538DF" w:rsidP="00C538DF">
      <w:pPr>
        <w:tabs>
          <w:tab w:val="left" w:pos="851"/>
        </w:tabs>
        <w:autoSpaceDE w:val="0"/>
        <w:autoSpaceDN w:val="0"/>
        <w:adjustRightInd w:val="0"/>
        <w:spacing w:before="60" w:after="0" w:line="240" w:lineRule="auto"/>
        <w:jc w:val="both"/>
        <w:rPr>
          <w:rFonts w:ascii="Times New Roman" w:eastAsia="Verdana" w:hAnsi="Times New Roman" w:cs="Times New Roman"/>
          <w:bCs/>
          <w:color w:val="000000"/>
          <w:sz w:val="24"/>
          <w:szCs w:val="24"/>
          <w:lang w:eastAsia="de-DE"/>
        </w:rPr>
      </w:pPr>
      <w:r w:rsidRPr="00125FAF">
        <w:rPr>
          <w:rFonts w:ascii="Times New Roman" w:eastAsia="Calibri" w:hAnsi="Times New Roman" w:cs="Times New Roman"/>
          <w:color w:val="000000"/>
          <w:sz w:val="24"/>
          <w:szCs w:val="24"/>
          <w:lang w:eastAsia="ru-RU"/>
        </w:rPr>
        <w:tab/>
        <w:t>Conform Legii nr. 44</w:t>
      </w:r>
      <w:r w:rsidR="004573D0" w:rsidRPr="00125FAF">
        <w:rPr>
          <w:rFonts w:ascii="Times New Roman" w:eastAsia="Calibri" w:hAnsi="Times New Roman" w:cs="Times New Roman"/>
          <w:color w:val="000000"/>
          <w:sz w:val="24"/>
          <w:szCs w:val="24"/>
          <w:lang w:eastAsia="ru-RU"/>
        </w:rPr>
        <w:t>/</w:t>
      </w:r>
      <w:r w:rsidRPr="00125FAF">
        <w:rPr>
          <w:rFonts w:ascii="Times New Roman" w:eastAsia="Calibri" w:hAnsi="Times New Roman" w:cs="Times New Roman"/>
          <w:color w:val="000000"/>
          <w:sz w:val="24"/>
          <w:szCs w:val="24"/>
          <w:lang w:eastAsia="ru-RU"/>
        </w:rPr>
        <w:t xml:space="preserve">2014 privind etichetarea produselor cu impact energetic, </w:t>
      </w:r>
      <w:r w:rsidRPr="00125FAF">
        <w:rPr>
          <w:rFonts w:ascii="Times New Roman" w:eastAsia="Times New Roman" w:hAnsi="Times New Roman" w:cs="Times New Roman"/>
          <w:sz w:val="24"/>
          <w:szCs w:val="24"/>
          <w:shd w:val="clear" w:color="auto" w:fill="FFFFFF"/>
          <w:lang w:eastAsia="ru-RU"/>
        </w:rPr>
        <w:t xml:space="preserve">aparatele de uz casnic </w:t>
      </w:r>
      <w:proofErr w:type="spellStart"/>
      <w:r w:rsidRPr="00125FAF">
        <w:rPr>
          <w:rFonts w:ascii="Times New Roman" w:eastAsia="Times New Roman" w:hAnsi="Times New Roman" w:cs="Times New Roman"/>
          <w:sz w:val="24"/>
          <w:szCs w:val="24"/>
          <w:shd w:val="clear" w:color="auto" w:fill="FFFFFF"/>
          <w:lang w:eastAsia="ru-RU"/>
        </w:rPr>
        <w:t>şi</w:t>
      </w:r>
      <w:proofErr w:type="spellEnd"/>
      <w:r w:rsidRPr="00125FAF">
        <w:rPr>
          <w:rFonts w:ascii="Times New Roman" w:eastAsia="Times New Roman" w:hAnsi="Times New Roman" w:cs="Times New Roman"/>
          <w:sz w:val="24"/>
          <w:szCs w:val="24"/>
          <w:shd w:val="clear" w:color="auto" w:fill="FFFFFF"/>
          <w:lang w:eastAsia="ru-RU"/>
        </w:rPr>
        <w:t xml:space="preserve"> alte produse cu impact energetic</w:t>
      </w:r>
      <w:r w:rsidRPr="00125FAF">
        <w:rPr>
          <w:rFonts w:ascii="Times New Roman" w:eastAsia="Verdana" w:hAnsi="Times New Roman" w:cs="Times New Roman"/>
          <w:bCs/>
          <w:sz w:val="24"/>
          <w:szCs w:val="24"/>
          <w:lang w:eastAsia="de-DE"/>
        </w:rPr>
        <w:t xml:space="preserve"> trebuie</w:t>
      </w:r>
      <w:r w:rsidRPr="00125FAF">
        <w:rPr>
          <w:rFonts w:ascii="Times New Roman" w:eastAsia="Verdana" w:hAnsi="Times New Roman" w:cs="Times New Roman"/>
          <w:bCs/>
          <w:color w:val="000000"/>
          <w:sz w:val="24"/>
          <w:szCs w:val="24"/>
          <w:lang w:eastAsia="de-DE"/>
        </w:rPr>
        <w:t xml:space="preserve"> să fie etichetate </w:t>
      </w:r>
      <w:proofErr w:type="spellStart"/>
      <w:r w:rsidRPr="00125FAF">
        <w:rPr>
          <w:rFonts w:ascii="Times New Roman" w:eastAsia="Verdana" w:hAnsi="Times New Roman" w:cs="Times New Roman"/>
          <w:bCs/>
          <w:color w:val="000000"/>
          <w:sz w:val="24"/>
          <w:szCs w:val="24"/>
          <w:lang w:eastAsia="de-DE"/>
        </w:rPr>
        <w:t>şi</w:t>
      </w:r>
      <w:proofErr w:type="spellEnd"/>
      <w:r w:rsidRPr="00125FAF">
        <w:rPr>
          <w:rFonts w:ascii="Times New Roman" w:eastAsia="Verdana" w:hAnsi="Times New Roman" w:cs="Times New Roman"/>
          <w:bCs/>
          <w:color w:val="000000"/>
          <w:sz w:val="24"/>
          <w:szCs w:val="24"/>
          <w:lang w:eastAsia="de-DE"/>
        </w:rPr>
        <w:t xml:space="preserve"> să fie afișate </w:t>
      </w:r>
      <w:proofErr w:type="spellStart"/>
      <w:r w:rsidRPr="00125FAF">
        <w:rPr>
          <w:rFonts w:ascii="Times New Roman" w:eastAsia="Verdana" w:hAnsi="Times New Roman" w:cs="Times New Roman"/>
          <w:bCs/>
          <w:color w:val="000000"/>
          <w:sz w:val="24"/>
          <w:szCs w:val="24"/>
          <w:lang w:eastAsia="de-DE"/>
        </w:rPr>
        <w:t>informaţiile</w:t>
      </w:r>
      <w:proofErr w:type="spellEnd"/>
      <w:r w:rsidRPr="00125FAF">
        <w:rPr>
          <w:rFonts w:ascii="Times New Roman" w:eastAsia="Verdana" w:hAnsi="Times New Roman" w:cs="Times New Roman"/>
          <w:bCs/>
          <w:color w:val="000000"/>
          <w:sz w:val="24"/>
          <w:szCs w:val="24"/>
          <w:lang w:eastAsia="de-DE"/>
        </w:rPr>
        <w:t xml:space="preserve"> standard privind aceste produse, destinate utilizatorilor finali, în special privind consumul de energie.</w:t>
      </w:r>
    </w:p>
    <w:p w14:paraId="11D59870" w14:textId="0552FA05" w:rsidR="00C538DF" w:rsidRPr="00125FAF" w:rsidRDefault="00C538DF" w:rsidP="00C538DF">
      <w:pPr>
        <w:tabs>
          <w:tab w:val="left" w:pos="851"/>
        </w:tabs>
        <w:autoSpaceDE w:val="0"/>
        <w:autoSpaceDN w:val="0"/>
        <w:adjustRightInd w:val="0"/>
        <w:spacing w:before="60" w:after="0" w:line="240" w:lineRule="auto"/>
        <w:jc w:val="both"/>
        <w:rPr>
          <w:rFonts w:ascii="Times New Roman" w:eastAsia="Times New Roman" w:hAnsi="Times New Roman" w:cs="Times New Roman"/>
          <w:sz w:val="24"/>
          <w:szCs w:val="24"/>
          <w:shd w:val="clear" w:color="auto" w:fill="FFFFFF"/>
          <w:lang w:eastAsia="ru-RU"/>
        </w:rPr>
      </w:pPr>
      <w:r w:rsidRPr="00125FAF">
        <w:rPr>
          <w:rFonts w:ascii="Times New Roman" w:eastAsia="Calibri" w:hAnsi="Times New Roman" w:cs="Times New Roman"/>
          <w:color w:val="000000"/>
          <w:sz w:val="24"/>
          <w:szCs w:val="24"/>
          <w:lang w:eastAsia="ru-RU"/>
        </w:rPr>
        <w:tab/>
        <w:t>Legea nr.139</w:t>
      </w:r>
      <w:r w:rsidR="004573D0" w:rsidRPr="00125FAF">
        <w:rPr>
          <w:rFonts w:ascii="Times New Roman" w:eastAsia="Calibri" w:hAnsi="Times New Roman" w:cs="Times New Roman"/>
          <w:color w:val="000000"/>
          <w:sz w:val="24"/>
          <w:szCs w:val="24"/>
          <w:lang w:eastAsia="ru-RU"/>
        </w:rPr>
        <w:t>/</w:t>
      </w:r>
      <w:r w:rsidRPr="00125FAF">
        <w:rPr>
          <w:rFonts w:ascii="Times New Roman" w:eastAsia="Calibri" w:hAnsi="Times New Roman" w:cs="Times New Roman"/>
          <w:color w:val="000000"/>
          <w:sz w:val="24"/>
          <w:szCs w:val="24"/>
          <w:lang w:eastAsia="ru-RU"/>
        </w:rPr>
        <w:t xml:space="preserve">2018 cu privire la eficiența energetică </w:t>
      </w:r>
      <w:r w:rsidRPr="00125FAF">
        <w:rPr>
          <w:rFonts w:ascii="Times New Roman" w:eastAsia="Times New Roman" w:hAnsi="Times New Roman" w:cs="Times New Roman"/>
          <w:sz w:val="24"/>
          <w:szCs w:val="24"/>
          <w:shd w:val="clear" w:color="auto" w:fill="FFFFFF"/>
          <w:lang w:eastAsia="ru-RU"/>
        </w:rPr>
        <w:t>stabilește ca obiectiv renovarea anuală a unei anumite suprafețe a clădirilor din domeniul public al statului, încălzite și/sau răcite, astfel ca să fie îndeplinite cel puțin cerințele minime de performanță energetică prevăzute de Legea nr. 128/2014 privind performanța energetică a clădirilor. Rata anuală de renovare constituie 1% din suprafața totală a clădirilor din domeniul public al statului, cu o suprafață totală utilă de peste 250 m</w:t>
      </w:r>
      <w:r w:rsidRPr="00125FAF">
        <w:rPr>
          <w:rFonts w:ascii="Times New Roman" w:eastAsia="Times New Roman" w:hAnsi="Times New Roman" w:cs="Times New Roman"/>
          <w:sz w:val="24"/>
          <w:szCs w:val="24"/>
          <w:shd w:val="clear" w:color="auto" w:fill="FFFFFF"/>
          <w:vertAlign w:val="superscript"/>
          <w:lang w:eastAsia="ru-RU"/>
        </w:rPr>
        <w:t>2</w:t>
      </w:r>
      <w:r w:rsidRPr="00125FAF">
        <w:rPr>
          <w:rFonts w:ascii="Times New Roman" w:eastAsia="Times New Roman" w:hAnsi="Times New Roman" w:cs="Times New Roman"/>
          <w:sz w:val="24"/>
          <w:szCs w:val="24"/>
          <w:shd w:val="clear" w:color="auto" w:fill="FFFFFF"/>
          <w:lang w:eastAsia="ru-RU"/>
        </w:rPr>
        <w:t>, în care își desfășoară activitatea autoritățile administrației publice centrale de specialitate și care nu îndeplinesc cerințele</w:t>
      </w:r>
      <w:r w:rsidR="00B566C6" w:rsidRPr="00125FAF">
        <w:rPr>
          <w:rFonts w:ascii="Times New Roman" w:eastAsia="Times New Roman" w:hAnsi="Times New Roman" w:cs="Times New Roman"/>
          <w:sz w:val="24"/>
          <w:szCs w:val="24"/>
          <w:shd w:val="clear" w:color="auto" w:fill="FFFFFF"/>
          <w:lang w:eastAsia="ru-RU"/>
        </w:rPr>
        <w:t xml:space="preserve"> </w:t>
      </w:r>
      <w:r w:rsidRPr="00125FAF">
        <w:rPr>
          <w:rFonts w:ascii="Times New Roman" w:eastAsia="Times New Roman" w:hAnsi="Times New Roman" w:cs="Times New Roman"/>
          <w:sz w:val="24"/>
          <w:szCs w:val="24"/>
          <w:shd w:val="clear" w:color="auto" w:fill="FFFFFF"/>
          <w:lang w:eastAsia="ru-RU"/>
        </w:rPr>
        <w:t>minime de performanță energetică.</w:t>
      </w:r>
    </w:p>
    <w:p w14:paraId="4A45BDFB" w14:textId="77777777" w:rsidR="00C538DF" w:rsidRPr="00125FAF" w:rsidRDefault="00C538DF" w:rsidP="00C538DF">
      <w:pPr>
        <w:tabs>
          <w:tab w:val="left" w:pos="851"/>
        </w:tabs>
        <w:autoSpaceDE w:val="0"/>
        <w:autoSpaceDN w:val="0"/>
        <w:adjustRightInd w:val="0"/>
        <w:spacing w:before="60" w:after="0" w:line="240" w:lineRule="auto"/>
        <w:jc w:val="both"/>
        <w:rPr>
          <w:rFonts w:ascii="Times New Roman" w:eastAsia="Times New Roman" w:hAnsi="Times New Roman" w:cs="Times New Roman"/>
          <w:sz w:val="24"/>
          <w:szCs w:val="24"/>
          <w:shd w:val="clear" w:color="auto" w:fill="FFFFFF"/>
          <w:lang w:eastAsia="ru-RU"/>
        </w:rPr>
      </w:pPr>
      <w:r w:rsidRPr="00125FAF">
        <w:rPr>
          <w:rFonts w:ascii="Times New Roman" w:eastAsia="Times New Roman" w:hAnsi="Times New Roman" w:cs="Times New Roman"/>
          <w:bCs/>
          <w:sz w:val="24"/>
          <w:szCs w:val="24"/>
          <w:lang w:eastAsia="ru-RU"/>
        </w:rPr>
        <w:tab/>
        <w:t xml:space="preserve">Astfel, conform Programului cu privire la implementarea obligației privind renovarea clădirilor autorităților administrației publice centrale de specialitate pentru anii 2020-2022, care are drept scop </w:t>
      </w:r>
      <w:r w:rsidRPr="00125FAF">
        <w:rPr>
          <w:rFonts w:ascii="Times New Roman" w:eastAsia="Times New Roman" w:hAnsi="Times New Roman" w:cs="Times New Roman"/>
          <w:sz w:val="24"/>
          <w:szCs w:val="24"/>
          <w:shd w:val="clear" w:color="auto" w:fill="FFFFFF"/>
          <w:lang w:eastAsia="ru-RU"/>
        </w:rPr>
        <w:t>implementarea renovării anuale a clădirilor conform Legii nr. 139/2018,</w:t>
      </w:r>
      <w:r w:rsidRPr="00125FAF">
        <w:rPr>
          <w:rFonts w:ascii="Times New Roman" w:eastAsia="Times New Roman" w:hAnsi="Times New Roman" w:cs="Times New Roman"/>
          <w:bCs/>
          <w:sz w:val="24"/>
          <w:szCs w:val="24"/>
          <w:lang w:eastAsia="ru-RU"/>
        </w:rPr>
        <w:t xml:space="preserve"> se </w:t>
      </w:r>
      <w:r w:rsidRPr="00125FAF">
        <w:rPr>
          <w:rFonts w:ascii="Times New Roman" w:eastAsia="Times New Roman" w:hAnsi="Times New Roman" w:cs="Times New Roman"/>
          <w:sz w:val="24"/>
          <w:szCs w:val="24"/>
          <w:lang w:eastAsia="ru-RU"/>
        </w:rPr>
        <w:t>prevede reabilitarea unei suprafețe de cca 10 086 m</w:t>
      </w:r>
      <w:r w:rsidRPr="00125FAF">
        <w:rPr>
          <w:rFonts w:ascii="Times New Roman" w:eastAsia="Times New Roman" w:hAnsi="Times New Roman" w:cs="Times New Roman"/>
          <w:sz w:val="24"/>
          <w:szCs w:val="24"/>
          <w:vertAlign w:val="superscript"/>
          <w:lang w:eastAsia="ru-RU"/>
        </w:rPr>
        <w:t>2</w:t>
      </w:r>
      <w:r w:rsidRPr="00125FAF">
        <w:rPr>
          <w:rFonts w:ascii="Times New Roman" w:eastAsia="Times New Roman" w:hAnsi="Times New Roman" w:cs="Times New Roman"/>
          <w:sz w:val="24"/>
          <w:szCs w:val="24"/>
          <w:lang w:eastAsia="ru-RU"/>
        </w:rPr>
        <w:t xml:space="preserve"> și </w:t>
      </w:r>
      <w:r w:rsidRPr="00125FAF">
        <w:rPr>
          <w:rFonts w:ascii="Times New Roman" w:eastAsia="Times New Roman" w:hAnsi="Times New Roman" w:cs="Times New Roman"/>
          <w:sz w:val="24"/>
          <w:szCs w:val="24"/>
          <w:shd w:val="clear" w:color="auto" w:fill="FFFFFF"/>
          <w:lang w:eastAsia="ru-RU"/>
        </w:rPr>
        <w:t>atingerea unor economii de energie estimate, egale cu 694 865 kWh/an.</w:t>
      </w:r>
    </w:p>
    <w:p w14:paraId="70960FFC" w14:textId="77777777" w:rsidR="00C538DF" w:rsidRPr="00125FAF" w:rsidRDefault="00C538DF" w:rsidP="001F2F2D">
      <w:pPr>
        <w:tabs>
          <w:tab w:val="left" w:pos="851"/>
        </w:tabs>
        <w:autoSpaceDE w:val="0"/>
        <w:autoSpaceDN w:val="0"/>
        <w:adjustRightInd w:val="0"/>
        <w:spacing w:after="120" w:line="240" w:lineRule="auto"/>
        <w:jc w:val="both"/>
        <w:rPr>
          <w:rFonts w:ascii="Times New Roman" w:eastAsia="Times New Roman" w:hAnsi="Times New Roman" w:cs="Times New Roman"/>
          <w:color w:val="000000"/>
          <w:sz w:val="24"/>
          <w:szCs w:val="24"/>
          <w:shd w:val="clear" w:color="auto" w:fill="FFFFFF"/>
          <w:lang w:eastAsia="ru-RU"/>
        </w:rPr>
      </w:pPr>
      <w:r w:rsidRPr="00125FAF">
        <w:rPr>
          <w:rFonts w:ascii="Times New Roman" w:eastAsia="Times New Roman" w:hAnsi="Times New Roman" w:cs="Times New Roman"/>
          <w:sz w:val="24"/>
          <w:szCs w:val="24"/>
          <w:shd w:val="clear" w:color="auto" w:fill="FFFFFF"/>
          <w:lang w:eastAsia="ru-RU"/>
        </w:rPr>
        <w:tab/>
        <w:t xml:space="preserve">Agenția pentru Eficiență Energetică, reorganizată </w:t>
      </w:r>
      <w:r w:rsidRPr="00125FAF">
        <w:rPr>
          <w:rFonts w:ascii="Times New Roman" w:eastAsia="Times New Roman" w:hAnsi="Times New Roman" w:cs="Times New Roman"/>
          <w:color w:val="000000"/>
          <w:sz w:val="24"/>
          <w:szCs w:val="24"/>
          <w:shd w:val="clear" w:color="auto" w:fill="FFFFFF"/>
          <w:lang w:eastAsia="ru-RU"/>
        </w:rPr>
        <w:t xml:space="preserve">prin fuziune cu Fondul pentru Eficiență Energetică în anul 2019, </w:t>
      </w:r>
      <w:r w:rsidRPr="00125FAF">
        <w:rPr>
          <w:rFonts w:ascii="Times New Roman" w:eastAsia="Times New Roman" w:hAnsi="Times New Roman" w:cs="Times New Roman"/>
          <w:color w:val="000000"/>
          <w:sz w:val="24"/>
          <w:szCs w:val="24"/>
          <w:lang w:eastAsia="ru-RU"/>
        </w:rPr>
        <w:t xml:space="preserve">asigură gestionarea alocațiilor bugetare, administrează patrimoniul public, </w:t>
      </w:r>
      <w:r w:rsidRPr="00125FAF">
        <w:rPr>
          <w:rFonts w:ascii="Times New Roman" w:eastAsia="Times New Roman" w:hAnsi="Times New Roman" w:cs="Times New Roman"/>
          <w:color w:val="000000"/>
          <w:sz w:val="24"/>
          <w:szCs w:val="24"/>
          <w:shd w:val="clear" w:color="auto" w:fill="FFFFFF"/>
          <w:lang w:eastAsia="ru-RU"/>
        </w:rPr>
        <w:t>implementează politica statului în domeniul eficienței energetice și surselor de energie regenerabilă, dezvoltă și pune în aplicare instrumentele financiare în conformitate cu hotărârile aprobate de Guvern și acordurile semnate cu partenerii de dezvoltare și donatorii, care vor conține prevederi cu privire la măsurile eligibile de eficiență energetică și valorificare a surselor de energie regenerabilă.</w:t>
      </w:r>
    </w:p>
    <w:p w14:paraId="47F03387" w14:textId="77777777" w:rsidR="00C538DF" w:rsidRPr="00125FAF" w:rsidRDefault="00C538DF" w:rsidP="00CC2B1C">
      <w:pPr>
        <w:spacing w:after="120" w:line="240" w:lineRule="auto"/>
        <w:ind w:firstLine="720"/>
        <w:jc w:val="both"/>
        <w:rPr>
          <w:rFonts w:ascii="Times New Roman" w:eastAsia="Times New Roman" w:hAnsi="Times New Roman" w:cs="Times New Roman"/>
          <w:b/>
          <w:sz w:val="24"/>
          <w:szCs w:val="24"/>
          <w:shd w:val="clear" w:color="auto" w:fill="FFFFFF"/>
          <w:lang w:eastAsia="ru-RU"/>
        </w:rPr>
      </w:pPr>
      <w:r w:rsidRPr="00125FAF">
        <w:rPr>
          <w:rFonts w:ascii="Times New Roman" w:eastAsia="Times New Roman" w:hAnsi="Times New Roman" w:cs="Times New Roman"/>
          <w:b/>
          <w:sz w:val="24"/>
          <w:szCs w:val="24"/>
          <w:shd w:val="clear" w:color="auto" w:fill="FFFFFF"/>
          <w:lang w:eastAsia="ru-RU"/>
        </w:rPr>
        <w:t xml:space="preserve">Problemele </w:t>
      </w:r>
      <w:proofErr w:type="spellStart"/>
      <w:r w:rsidRPr="00125FAF">
        <w:rPr>
          <w:rFonts w:ascii="Times New Roman" w:eastAsia="Times New Roman" w:hAnsi="Times New Roman" w:cs="Times New Roman"/>
          <w:b/>
          <w:sz w:val="24"/>
          <w:szCs w:val="24"/>
          <w:shd w:val="clear" w:color="auto" w:fill="FFFFFF"/>
          <w:lang w:eastAsia="ru-RU"/>
        </w:rPr>
        <w:t>evidenţiate</w:t>
      </w:r>
      <w:proofErr w:type="spellEnd"/>
      <w:r w:rsidRPr="00125FAF">
        <w:rPr>
          <w:rFonts w:ascii="Times New Roman" w:eastAsia="Times New Roman" w:hAnsi="Times New Roman" w:cs="Times New Roman"/>
          <w:b/>
          <w:sz w:val="24"/>
          <w:szCs w:val="24"/>
          <w:shd w:val="clear" w:color="auto" w:fill="FFFFFF"/>
          <w:lang w:eastAsia="ru-RU"/>
        </w:rPr>
        <w:t>:</w:t>
      </w:r>
    </w:p>
    <w:p w14:paraId="64F59AFB" w14:textId="6B353C1B" w:rsidR="00C538DF" w:rsidRPr="00125FAF" w:rsidRDefault="00C538DF" w:rsidP="003E24C5">
      <w:pPr>
        <w:numPr>
          <w:ilvl w:val="0"/>
          <w:numId w:val="7"/>
        </w:numPr>
        <w:tabs>
          <w:tab w:val="left" w:pos="990"/>
          <w:tab w:val="left" w:pos="1134"/>
        </w:tabs>
        <w:spacing w:after="0" w:line="240" w:lineRule="auto"/>
        <w:contextualSpacing/>
        <w:jc w:val="both"/>
        <w:rPr>
          <w:rFonts w:ascii="Times New Roman" w:eastAsia="Verdana" w:hAnsi="Times New Roman" w:cs="Times New Roman"/>
          <w:sz w:val="24"/>
          <w:szCs w:val="24"/>
        </w:rPr>
      </w:pPr>
      <w:r w:rsidRPr="00125FAF">
        <w:rPr>
          <w:rFonts w:ascii="Times New Roman" w:eastAsia="Verdana" w:hAnsi="Times New Roman" w:cs="Times New Roman"/>
          <w:sz w:val="24"/>
          <w:szCs w:val="24"/>
        </w:rPr>
        <w:t xml:space="preserve">Până în prezent, nu a fost elaborată și aprobată Strategia sectorială pentru renovarea fondului imobiliar național pe termen lung (pentru blocurile </w:t>
      </w:r>
      <w:proofErr w:type="spellStart"/>
      <w:r w:rsidRPr="00125FAF">
        <w:rPr>
          <w:rFonts w:ascii="Times New Roman" w:eastAsia="Verdana" w:hAnsi="Times New Roman" w:cs="Times New Roman"/>
          <w:sz w:val="24"/>
          <w:szCs w:val="24"/>
        </w:rPr>
        <w:t>rezidenţiale</w:t>
      </w:r>
      <w:proofErr w:type="spellEnd"/>
      <w:r w:rsidRPr="00125FAF">
        <w:rPr>
          <w:rFonts w:ascii="Times New Roman" w:eastAsia="Verdana" w:hAnsi="Times New Roman" w:cs="Times New Roman"/>
          <w:sz w:val="24"/>
          <w:szCs w:val="24"/>
        </w:rPr>
        <w:t xml:space="preserve"> </w:t>
      </w:r>
      <w:proofErr w:type="spellStart"/>
      <w:r w:rsidRPr="00125FAF">
        <w:rPr>
          <w:rFonts w:ascii="Times New Roman" w:eastAsia="Verdana" w:hAnsi="Times New Roman" w:cs="Times New Roman"/>
          <w:sz w:val="24"/>
          <w:szCs w:val="24"/>
        </w:rPr>
        <w:t>şi</w:t>
      </w:r>
      <w:proofErr w:type="spellEnd"/>
      <w:r w:rsidRPr="00125FAF">
        <w:rPr>
          <w:rFonts w:ascii="Times New Roman" w:eastAsia="Verdana" w:hAnsi="Times New Roman" w:cs="Times New Roman"/>
          <w:sz w:val="24"/>
          <w:szCs w:val="24"/>
        </w:rPr>
        <w:t xml:space="preserve"> publice), iar cadrul juridic/</w:t>
      </w:r>
      <w:r w:rsidR="004676FF" w:rsidRPr="00125FAF">
        <w:rPr>
          <w:rFonts w:ascii="Times New Roman" w:eastAsia="Verdana" w:hAnsi="Times New Roman" w:cs="Times New Roman"/>
          <w:sz w:val="24"/>
          <w:szCs w:val="24"/>
        </w:rPr>
        <w:t xml:space="preserve"> </w:t>
      </w:r>
      <w:r w:rsidRPr="00125FAF">
        <w:rPr>
          <w:rFonts w:ascii="Times New Roman" w:eastAsia="Verdana" w:hAnsi="Times New Roman" w:cs="Times New Roman"/>
          <w:sz w:val="24"/>
          <w:szCs w:val="24"/>
        </w:rPr>
        <w:t xml:space="preserve">regulator pentru sectorul </w:t>
      </w:r>
      <w:proofErr w:type="spellStart"/>
      <w:r w:rsidRPr="00125FAF">
        <w:rPr>
          <w:rFonts w:ascii="Times New Roman" w:eastAsia="Verdana" w:hAnsi="Times New Roman" w:cs="Times New Roman"/>
          <w:sz w:val="24"/>
          <w:szCs w:val="24"/>
        </w:rPr>
        <w:t>rezidenţial</w:t>
      </w:r>
      <w:proofErr w:type="spellEnd"/>
      <w:r w:rsidRPr="00125FAF">
        <w:rPr>
          <w:rFonts w:ascii="Times New Roman" w:eastAsia="Verdana" w:hAnsi="Times New Roman" w:cs="Times New Roman"/>
          <w:sz w:val="24"/>
          <w:szCs w:val="24"/>
        </w:rPr>
        <w:t xml:space="preserve"> este în curs de elaborare. Aceasta împiedică promovarea edificiilor cu un consum redus de resurse energetice și atragerea de resurse financiare necesare valorificării potențialului național de eficiență energetică din domeniul clădirilor, și prin urmare, nu permite realizarea </w:t>
      </w:r>
      <w:proofErr w:type="spellStart"/>
      <w:r w:rsidRPr="00125FAF">
        <w:rPr>
          <w:rFonts w:ascii="Times New Roman" w:eastAsia="Verdana" w:hAnsi="Times New Roman" w:cs="Times New Roman"/>
          <w:sz w:val="24"/>
          <w:szCs w:val="24"/>
        </w:rPr>
        <w:t>acţiunilor</w:t>
      </w:r>
      <w:proofErr w:type="spellEnd"/>
      <w:r w:rsidRPr="00125FAF">
        <w:rPr>
          <w:rFonts w:ascii="Times New Roman" w:eastAsia="Verdana" w:hAnsi="Times New Roman" w:cs="Times New Roman"/>
          <w:sz w:val="24"/>
          <w:szCs w:val="24"/>
        </w:rPr>
        <w:t xml:space="preserve"> asociate cu economii reale în acest sector;</w:t>
      </w:r>
    </w:p>
    <w:p w14:paraId="3D478053" w14:textId="07C206F8" w:rsidR="00C538DF" w:rsidRPr="00125FAF" w:rsidRDefault="00C538DF" w:rsidP="003E24C5">
      <w:pPr>
        <w:numPr>
          <w:ilvl w:val="0"/>
          <w:numId w:val="7"/>
        </w:numPr>
        <w:tabs>
          <w:tab w:val="left" w:pos="990"/>
          <w:tab w:val="left" w:pos="1134"/>
        </w:tabs>
        <w:spacing w:after="0" w:line="240" w:lineRule="auto"/>
        <w:contextualSpacing/>
        <w:jc w:val="both"/>
        <w:rPr>
          <w:rFonts w:ascii="Times New Roman" w:eastAsia="Verdana" w:hAnsi="Times New Roman" w:cs="Times New Roman"/>
          <w:sz w:val="24"/>
          <w:szCs w:val="24"/>
        </w:rPr>
      </w:pPr>
      <w:r w:rsidRPr="00125FAF">
        <w:rPr>
          <w:rFonts w:ascii="Times New Roman" w:eastAsia="Verdana" w:hAnsi="Times New Roman" w:cs="Times New Roman"/>
          <w:sz w:val="24"/>
          <w:szCs w:val="24"/>
        </w:rPr>
        <w:t>Alocările de resurse financiare către sectorul public sunt insuficiente, iar mijloacele atrase din partea partenerilor de dezvoltare și care iau forma unor împrumuturi preferențiale nu sunt accesibile tuturor autorităților publice locale.</w:t>
      </w:r>
    </w:p>
    <w:p w14:paraId="39920700" w14:textId="48701970" w:rsidR="0040468E" w:rsidRPr="00125FAF" w:rsidRDefault="0040468E" w:rsidP="003E24C5">
      <w:pPr>
        <w:numPr>
          <w:ilvl w:val="0"/>
          <w:numId w:val="7"/>
        </w:numPr>
        <w:tabs>
          <w:tab w:val="left" w:pos="990"/>
          <w:tab w:val="left" w:pos="1134"/>
        </w:tabs>
        <w:spacing w:after="0" w:line="240" w:lineRule="auto"/>
        <w:contextualSpacing/>
        <w:jc w:val="both"/>
        <w:rPr>
          <w:rFonts w:ascii="Times New Roman" w:eastAsia="Verdana" w:hAnsi="Times New Roman" w:cs="Times New Roman"/>
          <w:sz w:val="24"/>
          <w:szCs w:val="24"/>
        </w:rPr>
      </w:pPr>
      <w:r w:rsidRPr="00125FAF">
        <w:rPr>
          <w:rFonts w:ascii="Times New Roman" w:eastAsia="Verdana" w:hAnsi="Times New Roman" w:cs="Times New Roman"/>
          <w:sz w:val="24"/>
          <w:szCs w:val="24"/>
        </w:rPr>
        <w:t xml:space="preserve">Implicarea </w:t>
      </w:r>
      <w:r w:rsidR="00F02E7E" w:rsidRPr="00125FAF">
        <w:rPr>
          <w:rFonts w:ascii="Times New Roman" w:eastAsia="Verdana" w:hAnsi="Times New Roman" w:cs="Times New Roman"/>
          <w:sz w:val="24"/>
          <w:szCs w:val="24"/>
        </w:rPr>
        <w:t xml:space="preserve">joasă a </w:t>
      </w:r>
      <w:r w:rsidRPr="00125FAF">
        <w:rPr>
          <w:rFonts w:ascii="Times New Roman" w:eastAsia="Verdana" w:hAnsi="Times New Roman" w:cs="Times New Roman"/>
          <w:sz w:val="24"/>
          <w:szCs w:val="24"/>
        </w:rPr>
        <w:t xml:space="preserve">populației </w:t>
      </w:r>
      <w:r w:rsidR="00F02E7E" w:rsidRPr="00125FAF">
        <w:rPr>
          <w:rFonts w:ascii="Times New Roman" w:eastAsia="Verdana" w:hAnsi="Times New Roman" w:cs="Times New Roman"/>
          <w:sz w:val="24"/>
          <w:szCs w:val="24"/>
        </w:rPr>
        <w:t>în eficientizarea energetică a clădirilor, dat fiind veniturile modeste dar și i</w:t>
      </w:r>
      <w:r w:rsidRPr="00125FAF">
        <w:rPr>
          <w:rFonts w:ascii="Times New Roman" w:eastAsia="Verdana" w:hAnsi="Times New Roman" w:cs="Times New Roman"/>
          <w:sz w:val="24"/>
          <w:szCs w:val="24"/>
        </w:rPr>
        <w:t xml:space="preserve">nformarea </w:t>
      </w:r>
      <w:r w:rsidR="00F02E7E" w:rsidRPr="00125FAF">
        <w:rPr>
          <w:rFonts w:ascii="Times New Roman" w:eastAsia="Verdana" w:hAnsi="Times New Roman" w:cs="Times New Roman"/>
          <w:sz w:val="24"/>
          <w:szCs w:val="24"/>
        </w:rPr>
        <w:t>slabă vizavi de beneficiile respective.</w:t>
      </w:r>
    </w:p>
    <w:p w14:paraId="0C8F3136" w14:textId="15CB1BCB" w:rsidR="006364B2" w:rsidRPr="00125FAF" w:rsidRDefault="006364B2" w:rsidP="001F2F2D">
      <w:pPr>
        <w:spacing w:before="120" w:after="120" w:line="240" w:lineRule="auto"/>
        <w:ind w:firstLine="720"/>
        <w:jc w:val="both"/>
        <w:outlineLvl w:val="2"/>
        <w:rPr>
          <w:rFonts w:ascii="Times New Roman" w:eastAsia="Times New Roman" w:hAnsi="Times New Roman" w:cs="Times New Roman"/>
          <w:b/>
          <w:bCs/>
          <w:sz w:val="24"/>
          <w:szCs w:val="24"/>
          <w:lang w:eastAsia="ru-RU"/>
        </w:rPr>
      </w:pPr>
      <w:r w:rsidRPr="00125FAF">
        <w:rPr>
          <w:rFonts w:ascii="Times New Roman" w:eastAsia="Times New Roman" w:hAnsi="Times New Roman" w:cs="Times New Roman"/>
          <w:b/>
          <w:bCs/>
          <w:color w:val="000000"/>
          <w:sz w:val="24"/>
          <w:szCs w:val="24"/>
          <w:lang w:eastAsia="ru-RU"/>
        </w:rPr>
        <w:t>2.</w:t>
      </w:r>
      <w:r w:rsidR="00403E3C" w:rsidRPr="00125FAF">
        <w:rPr>
          <w:rFonts w:ascii="Times New Roman" w:eastAsia="Times New Roman" w:hAnsi="Times New Roman" w:cs="Times New Roman"/>
          <w:b/>
          <w:bCs/>
          <w:color w:val="000000"/>
          <w:sz w:val="24"/>
          <w:szCs w:val="24"/>
          <w:lang w:eastAsia="ru-RU"/>
        </w:rPr>
        <w:t>2.</w:t>
      </w:r>
      <w:r w:rsidRPr="00125FAF">
        <w:rPr>
          <w:rFonts w:ascii="Times New Roman" w:eastAsia="Times New Roman" w:hAnsi="Times New Roman" w:cs="Times New Roman"/>
          <w:b/>
          <w:bCs/>
          <w:color w:val="000000"/>
          <w:sz w:val="24"/>
          <w:szCs w:val="24"/>
          <w:lang w:eastAsia="ru-RU"/>
        </w:rPr>
        <w:t xml:space="preserve">4. </w:t>
      </w:r>
      <w:proofErr w:type="spellStart"/>
      <w:r w:rsidRPr="00125FAF">
        <w:rPr>
          <w:rFonts w:ascii="Times New Roman" w:eastAsia="Times New Roman" w:hAnsi="Times New Roman" w:cs="Times New Roman"/>
          <w:b/>
          <w:bCs/>
          <w:color w:val="000000"/>
          <w:sz w:val="24"/>
          <w:szCs w:val="24"/>
          <w:lang w:eastAsia="ru-RU"/>
        </w:rPr>
        <w:t>Contribuţia</w:t>
      </w:r>
      <w:proofErr w:type="spellEnd"/>
      <w:r w:rsidRPr="00125FAF">
        <w:rPr>
          <w:rFonts w:ascii="Times New Roman" w:eastAsia="Times New Roman" w:hAnsi="Times New Roman" w:cs="Times New Roman"/>
          <w:b/>
          <w:bCs/>
          <w:color w:val="000000"/>
          <w:sz w:val="24"/>
          <w:szCs w:val="24"/>
          <w:lang w:eastAsia="ru-RU"/>
        </w:rPr>
        <w:t xml:space="preserve"> </w:t>
      </w:r>
      <w:r w:rsidRPr="00125FAF">
        <w:rPr>
          <w:rFonts w:ascii="Times New Roman" w:eastAsia="Times New Roman" w:hAnsi="Times New Roman" w:cs="Times New Roman"/>
          <w:b/>
          <w:bCs/>
          <w:iCs/>
          <w:color w:val="000000"/>
          <w:sz w:val="24"/>
          <w:szCs w:val="24"/>
          <w:lang w:eastAsia="ru-RU"/>
        </w:rPr>
        <w:t xml:space="preserve">sectorului </w:t>
      </w:r>
      <w:r w:rsidRPr="00125FAF">
        <w:rPr>
          <w:rFonts w:ascii="Times New Roman" w:eastAsia="Times New Roman" w:hAnsi="Times New Roman" w:cs="Times New Roman"/>
          <w:b/>
          <w:bCs/>
          <w:i/>
          <w:color w:val="000000"/>
          <w:sz w:val="24"/>
          <w:szCs w:val="24"/>
          <w:lang w:eastAsia="ru-RU"/>
        </w:rPr>
        <w:t>industrial</w:t>
      </w:r>
      <w:r w:rsidRPr="00125FAF">
        <w:rPr>
          <w:rFonts w:ascii="Times New Roman" w:eastAsia="Times New Roman" w:hAnsi="Times New Roman" w:cs="Times New Roman"/>
          <w:b/>
          <w:bCs/>
          <w:color w:val="000000"/>
          <w:sz w:val="24"/>
          <w:szCs w:val="24"/>
          <w:lang w:eastAsia="ru-RU"/>
        </w:rPr>
        <w:t xml:space="preserve"> la dezvoltarea cu emisii reduse </w:t>
      </w:r>
      <w:proofErr w:type="spellStart"/>
      <w:r w:rsidRPr="00125FAF">
        <w:rPr>
          <w:rFonts w:ascii="Times New Roman" w:eastAsia="Times New Roman" w:hAnsi="Times New Roman" w:cs="Times New Roman"/>
          <w:b/>
          <w:bCs/>
          <w:color w:val="000000"/>
          <w:sz w:val="24"/>
          <w:szCs w:val="24"/>
          <w:lang w:eastAsia="ru-RU"/>
        </w:rPr>
        <w:t>şi</w:t>
      </w:r>
      <w:proofErr w:type="spellEnd"/>
      <w:r w:rsidRPr="00125FAF">
        <w:rPr>
          <w:rFonts w:ascii="Times New Roman" w:eastAsia="Times New Roman" w:hAnsi="Times New Roman" w:cs="Times New Roman"/>
          <w:b/>
          <w:bCs/>
          <w:color w:val="000000"/>
          <w:sz w:val="24"/>
          <w:szCs w:val="24"/>
          <w:lang w:eastAsia="ru-RU"/>
        </w:rPr>
        <w:t xml:space="preserve"> problemele identificate în acest sector</w:t>
      </w:r>
    </w:p>
    <w:p w14:paraId="4E19B141" w14:textId="109554DC" w:rsidR="00AC0774" w:rsidRPr="00125FAF" w:rsidRDefault="006364B2" w:rsidP="001F2F2D">
      <w:pPr>
        <w:spacing w:after="120"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125FAF">
        <w:rPr>
          <w:rFonts w:ascii="Times New Roman" w:eastAsia="Times New Roman" w:hAnsi="Times New Roman" w:cs="Times New Roman"/>
          <w:color w:val="000000"/>
          <w:sz w:val="24"/>
          <w:szCs w:val="24"/>
          <w:shd w:val="clear" w:color="auto" w:fill="FFFFFF"/>
          <w:lang w:eastAsia="ru-RU"/>
        </w:rPr>
        <w:t>1</w:t>
      </w:r>
      <w:r w:rsidR="007909C8" w:rsidRPr="00125FAF">
        <w:rPr>
          <w:rFonts w:ascii="Times New Roman" w:eastAsia="Times New Roman" w:hAnsi="Times New Roman" w:cs="Times New Roman"/>
          <w:color w:val="000000"/>
          <w:sz w:val="24"/>
          <w:szCs w:val="24"/>
          <w:shd w:val="clear" w:color="auto" w:fill="FFFFFF"/>
          <w:lang w:eastAsia="ru-RU"/>
        </w:rPr>
        <w:t>2</w:t>
      </w:r>
      <w:r w:rsidRPr="00125FAF">
        <w:rPr>
          <w:rFonts w:ascii="Times New Roman" w:eastAsia="Times New Roman" w:hAnsi="Times New Roman" w:cs="Times New Roman"/>
          <w:color w:val="000000"/>
          <w:sz w:val="24"/>
          <w:szCs w:val="24"/>
          <w:shd w:val="clear" w:color="auto" w:fill="FFFFFF"/>
          <w:lang w:eastAsia="ru-RU"/>
        </w:rPr>
        <w:t xml:space="preserve">. </w:t>
      </w:r>
      <w:proofErr w:type="spellStart"/>
      <w:r w:rsidR="008F254B" w:rsidRPr="00125FAF">
        <w:rPr>
          <w:rFonts w:ascii="Times New Roman" w:eastAsia="Times New Roman" w:hAnsi="Times New Roman" w:cs="Times New Roman"/>
          <w:color w:val="000000"/>
          <w:sz w:val="24"/>
          <w:szCs w:val="24"/>
          <w:shd w:val="clear" w:color="auto" w:fill="FFFFFF"/>
          <w:lang w:eastAsia="ru-RU"/>
        </w:rPr>
        <w:t>Contribuţia</w:t>
      </w:r>
      <w:proofErr w:type="spellEnd"/>
      <w:r w:rsidR="008F254B" w:rsidRPr="00125FAF">
        <w:rPr>
          <w:rFonts w:ascii="Times New Roman" w:eastAsia="Times New Roman" w:hAnsi="Times New Roman" w:cs="Times New Roman"/>
          <w:color w:val="000000"/>
          <w:sz w:val="24"/>
          <w:szCs w:val="24"/>
          <w:shd w:val="clear" w:color="auto" w:fill="FFFFFF"/>
          <w:lang w:eastAsia="ru-RU"/>
        </w:rPr>
        <w:t xml:space="preserve"> sectorului industrial </w:t>
      </w:r>
      <w:r w:rsidR="006D440D" w:rsidRPr="00125FAF">
        <w:rPr>
          <w:rFonts w:ascii="Times New Roman" w:eastAsia="Times New Roman" w:hAnsi="Times New Roman" w:cs="Times New Roman"/>
          <w:color w:val="000000"/>
          <w:sz w:val="24"/>
          <w:szCs w:val="24"/>
          <w:shd w:val="clear" w:color="auto" w:fill="FFFFFF"/>
          <w:lang w:eastAsia="ru-RU"/>
        </w:rPr>
        <w:t>la</w:t>
      </w:r>
      <w:r w:rsidR="008F254B" w:rsidRPr="00125FAF">
        <w:rPr>
          <w:rFonts w:ascii="Times New Roman" w:eastAsia="Times New Roman" w:hAnsi="Times New Roman" w:cs="Times New Roman"/>
          <w:color w:val="000000"/>
          <w:sz w:val="24"/>
          <w:szCs w:val="24"/>
          <w:shd w:val="clear" w:color="auto" w:fill="FFFFFF"/>
          <w:lang w:eastAsia="ru-RU"/>
        </w:rPr>
        <w:t xml:space="preserve"> reducerea emisiilor de gaze cu efect de seră se vede, în principal, prin: promovarea </w:t>
      </w:r>
      <w:proofErr w:type="spellStart"/>
      <w:r w:rsidR="008F254B" w:rsidRPr="00125FAF">
        <w:rPr>
          <w:rFonts w:ascii="Times New Roman" w:eastAsia="Times New Roman" w:hAnsi="Times New Roman" w:cs="Times New Roman"/>
          <w:color w:val="000000"/>
          <w:sz w:val="24"/>
          <w:szCs w:val="24"/>
          <w:shd w:val="clear" w:color="auto" w:fill="FFFFFF"/>
          <w:lang w:eastAsia="ru-RU"/>
        </w:rPr>
        <w:t>eficienţei</w:t>
      </w:r>
      <w:proofErr w:type="spellEnd"/>
      <w:r w:rsidR="008F254B" w:rsidRPr="00125FAF">
        <w:rPr>
          <w:rFonts w:ascii="Times New Roman" w:eastAsia="Times New Roman" w:hAnsi="Times New Roman" w:cs="Times New Roman"/>
          <w:color w:val="000000"/>
          <w:sz w:val="24"/>
          <w:szCs w:val="24"/>
          <w:shd w:val="clear" w:color="auto" w:fill="FFFFFF"/>
          <w:lang w:eastAsia="ru-RU"/>
        </w:rPr>
        <w:t xml:space="preserve"> energetice</w:t>
      </w:r>
      <w:r w:rsidR="006E3C28" w:rsidRPr="00125FAF">
        <w:rPr>
          <w:rFonts w:ascii="Times New Roman" w:eastAsia="Times New Roman" w:hAnsi="Times New Roman" w:cs="Times New Roman"/>
          <w:color w:val="000000"/>
          <w:sz w:val="24"/>
          <w:szCs w:val="24"/>
          <w:shd w:val="clear" w:color="auto" w:fill="FFFFFF"/>
          <w:lang w:eastAsia="ru-RU"/>
        </w:rPr>
        <w:t>;</w:t>
      </w:r>
      <w:r w:rsidR="008F254B" w:rsidRPr="00125FAF">
        <w:rPr>
          <w:rFonts w:ascii="Times New Roman" w:eastAsia="Times New Roman" w:hAnsi="Times New Roman" w:cs="Times New Roman"/>
          <w:color w:val="000000"/>
          <w:sz w:val="24"/>
          <w:szCs w:val="24"/>
          <w:shd w:val="clear" w:color="auto" w:fill="FFFFFF"/>
          <w:lang w:eastAsia="ru-RU"/>
        </w:rPr>
        <w:t xml:space="preserve"> utilizarea materiei prime adecvate,</w:t>
      </w:r>
      <w:r w:rsidR="006E3C28" w:rsidRPr="00125FAF">
        <w:rPr>
          <w:rFonts w:ascii="Times New Roman" w:eastAsia="Times New Roman" w:hAnsi="Times New Roman" w:cs="Times New Roman"/>
          <w:color w:val="000000"/>
          <w:sz w:val="24"/>
          <w:szCs w:val="24"/>
          <w:shd w:val="clear" w:color="auto" w:fill="FFFFFF"/>
          <w:lang w:eastAsia="ru-RU"/>
        </w:rPr>
        <w:t xml:space="preserve"> inclusiv, reciclarea </w:t>
      </w:r>
      <w:proofErr w:type="spellStart"/>
      <w:r w:rsidR="006E3C28" w:rsidRPr="00125FAF">
        <w:rPr>
          <w:rFonts w:ascii="Times New Roman" w:eastAsia="Times New Roman" w:hAnsi="Times New Roman" w:cs="Times New Roman"/>
          <w:color w:val="000000"/>
          <w:sz w:val="24"/>
          <w:szCs w:val="24"/>
          <w:shd w:val="clear" w:color="auto" w:fill="FFFFFF"/>
          <w:lang w:eastAsia="ru-RU"/>
        </w:rPr>
        <w:t>deşeurilor</w:t>
      </w:r>
      <w:proofErr w:type="spellEnd"/>
      <w:r w:rsidR="006E3C28" w:rsidRPr="00125FAF">
        <w:rPr>
          <w:rFonts w:ascii="Times New Roman" w:eastAsia="Times New Roman" w:hAnsi="Times New Roman" w:cs="Times New Roman"/>
          <w:color w:val="000000"/>
          <w:sz w:val="24"/>
          <w:szCs w:val="24"/>
          <w:shd w:val="clear" w:color="auto" w:fill="FFFFFF"/>
          <w:lang w:eastAsia="ru-RU"/>
        </w:rPr>
        <w:t>;</w:t>
      </w:r>
      <w:r w:rsidR="008F254B" w:rsidRPr="00125FAF">
        <w:rPr>
          <w:rFonts w:ascii="Times New Roman" w:eastAsia="Times New Roman" w:hAnsi="Times New Roman" w:cs="Times New Roman"/>
          <w:color w:val="000000"/>
          <w:sz w:val="24"/>
          <w:szCs w:val="24"/>
          <w:shd w:val="clear" w:color="auto" w:fill="FFFFFF"/>
          <w:lang w:eastAsia="ru-RU"/>
        </w:rPr>
        <w:t xml:space="preserve"> reducerea </w:t>
      </w:r>
      <w:r w:rsidR="006E3C28" w:rsidRPr="00125FAF">
        <w:rPr>
          <w:rFonts w:ascii="Times New Roman" w:eastAsia="Times New Roman" w:hAnsi="Times New Roman" w:cs="Times New Roman"/>
          <w:color w:val="000000"/>
          <w:sz w:val="24"/>
          <w:szCs w:val="24"/>
          <w:shd w:val="clear" w:color="auto" w:fill="FFFFFF"/>
          <w:lang w:eastAsia="ru-RU"/>
        </w:rPr>
        <w:t xml:space="preserve">utilizării </w:t>
      </w:r>
      <w:r w:rsidR="008F254B" w:rsidRPr="00125FAF">
        <w:rPr>
          <w:rFonts w:ascii="Times New Roman" w:eastAsia="Times New Roman" w:hAnsi="Times New Roman" w:cs="Times New Roman"/>
          <w:color w:val="000000"/>
          <w:sz w:val="24"/>
          <w:szCs w:val="24"/>
          <w:shd w:val="clear" w:color="auto" w:fill="FFFFFF"/>
          <w:lang w:eastAsia="ru-RU"/>
        </w:rPr>
        <w:t xml:space="preserve">gazelor </w:t>
      </w:r>
      <w:r w:rsidR="006E3C28" w:rsidRPr="00125FAF">
        <w:rPr>
          <w:rFonts w:ascii="Times New Roman" w:eastAsia="Times New Roman" w:hAnsi="Times New Roman" w:cs="Times New Roman"/>
          <w:color w:val="000000"/>
          <w:sz w:val="24"/>
          <w:szCs w:val="24"/>
          <w:shd w:val="clear" w:color="auto" w:fill="FFFFFF"/>
          <w:lang w:eastAsia="ru-RU"/>
        </w:rPr>
        <w:t xml:space="preserve">fluorurate; aplicarea standardelor UE etc. </w:t>
      </w:r>
      <w:r w:rsidR="00AC0774" w:rsidRPr="00125FAF">
        <w:rPr>
          <w:rFonts w:ascii="Times New Roman" w:eastAsia="Times New Roman" w:hAnsi="Times New Roman" w:cs="Times New Roman"/>
          <w:color w:val="000000"/>
          <w:sz w:val="24"/>
          <w:szCs w:val="24"/>
          <w:shd w:val="clear" w:color="auto" w:fill="FFFFFF"/>
          <w:lang w:eastAsia="ru-RU"/>
        </w:rPr>
        <w:t xml:space="preserve">Legea </w:t>
      </w:r>
      <w:r w:rsidR="004573D0" w:rsidRPr="00125FAF">
        <w:rPr>
          <w:rFonts w:ascii="Times New Roman" w:eastAsia="Times New Roman" w:hAnsi="Times New Roman" w:cs="Times New Roman"/>
          <w:color w:val="000000"/>
          <w:sz w:val="24"/>
          <w:szCs w:val="24"/>
          <w:shd w:val="clear" w:color="auto" w:fill="FFFFFF"/>
          <w:lang w:eastAsia="ru-RU"/>
        </w:rPr>
        <w:t>n</w:t>
      </w:r>
      <w:r w:rsidR="00AC0774" w:rsidRPr="00125FAF">
        <w:rPr>
          <w:rFonts w:ascii="Times New Roman" w:eastAsia="Times New Roman" w:hAnsi="Times New Roman" w:cs="Times New Roman"/>
          <w:color w:val="000000"/>
          <w:sz w:val="24"/>
          <w:szCs w:val="24"/>
          <w:shd w:val="clear" w:color="auto" w:fill="FFFFFF"/>
          <w:lang w:eastAsia="ru-RU"/>
        </w:rPr>
        <w:t xml:space="preserve">r. 139/2018 cu privire la eficiența energetică stabilește măsuri de politică în </w:t>
      </w:r>
      <w:r w:rsidR="00AC0774" w:rsidRPr="00125FAF">
        <w:rPr>
          <w:rFonts w:ascii="Times New Roman" w:eastAsia="Times New Roman" w:hAnsi="Times New Roman" w:cs="Times New Roman"/>
          <w:color w:val="000000"/>
          <w:sz w:val="24"/>
          <w:szCs w:val="24"/>
          <w:shd w:val="clear" w:color="auto" w:fill="FFFFFF"/>
          <w:lang w:eastAsia="ru-RU"/>
        </w:rPr>
        <w:lastRenderedPageBreak/>
        <w:t xml:space="preserve">domeniul eficienței energetice, menite să asigure atingerea obiectivelor naționale de eficiență energetică, inclusiv în industrie. Stabilirea </w:t>
      </w:r>
      <w:proofErr w:type="spellStart"/>
      <w:r w:rsidR="00AC0774" w:rsidRPr="00125FAF">
        <w:rPr>
          <w:rFonts w:ascii="Times New Roman" w:eastAsia="Times New Roman" w:hAnsi="Times New Roman" w:cs="Times New Roman"/>
          <w:color w:val="000000"/>
          <w:sz w:val="24"/>
          <w:szCs w:val="24"/>
          <w:shd w:val="clear" w:color="auto" w:fill="FFFFFF"/>
          <w:lang w:eastAsia="ru-RU"/>
        </w:rPr>
        <w:t>şi</w:t>
      </w:r>
      <w:proofErr w:type="spellEnd"/>
      <w:r w:rsidR="00AC0774" w:rsidRPr="00125FAF">
        <w:rPr>
          <w:rFonts w:ascii="Times New Roman" w:eastAsia="Times New Roman" w:hAnsi="Times New Roman" w:cs="Times New Roman"/>
          <w:color w:val="000000"/>
          <w:sz w:val="24"/>
          <w:szCs w:val="24"/>
          <w:shd w:val="clear" w:color="auto" w:fill="FFFFFF"/>
          <w:lang w:eastAsia="ru-RU"/>
        </w:rPr>
        <w:t xml:space="preserve"> modul de realizare a obiectivelor de </w:t>
      </w:r>
      <w:proofErr w:type="spellStart"/>
      <w:r w:rsidR="00AC0774" w:rsidRPr="00125FAF">
        <w:rPr>
          <w:rFonts w:ascii="Times New Roman" w:eastAsia="Times New Roman" w:hAnsi="Times New Roman" w:cs="Times New Roman"/>
          <w:color w:val="000000"/>
          <w:sz w:val="24"/>
          <w:szCs w:val="24"/>
          <w:shd w:val="clear" w:color="auto" w:fill="FFFFFF"/>
          <w:lang w:eastAsia="ru-RU"/>
        </w:rPr>
        <w:t>eficienţă</w:t>
      </w:r>
      <w:proofErr w:type="spellEnd"/>
      <w:r w:rsidR="00AC0774" w:rsidRPr="00125FAF">
        <w:rPr>
          <w:rFonts w:ascii="Times New Roman" w:eastAsia="Times New Roman" w:hAnsi="Times New Roman" w:cs="Times New Roman"/>
          <w:color w:val="000000"/>
          <w:sz w:val="24"/>
          <w:szCs w:val="24"/>
          <w:shd w:val="clear" w:color="auto" w:fill="FFFFFF"/>
          <w:lang w:eastAsia="ru-RU"/>
        </w:rPr>
        <w:t xml:space="preserve"> energetică sunt stabilite în Planurile </w:t>
      </w:r>
      <w:proofErr w:type="spellStart"/>
      <w:r w:rsidR="00AC0774" w:rsidRPr="00125FAF">
        <w:rPr>
          <w:rFonts w:ascii="Times New Roman" w:eastAsia="Times New Roman" w:hAnsi="Times New Roman" w:cs="Times New Roman"/>
          <w:color w:val="000000"/>
          <w:sz w:val="24"/>
          <w:szCs w:val="24"/>
          <w:shd w:val="clear" w:color="auto" w:fill="FFFFFF"/>
          <w:lang w:eastAsia="ru-RU"/>
        </w:rPr>
        <w:t>naţionale</w:t>
      </w:r>
      <w:proofErr w:type="spellEnd"/>
      <w:r w:rsidR="00AC0774" w:rsidRPr="00125FAF">
        <w:rPr>
          <w:rFonts w:ascii="Times New Roman" w:eastAsia="Times New Roman" w:hAnsi="Times New Roman" w:cs="Times New Roman"/>
          <w:color w:val="000000"/>
          <w:sz w:val="24"/>
          <w:szCs w:val="24"/>
          <w:shd w:val="clear" w:color="auto" w:fill="FFFFFF"/>
          <w:lang w:eastAsia="ru-RU"/>
        </w:rPr>
        <w:t xml:space="preserve"> de </w:t>
      </w:r>
      <w:proofErr w:type="spellStart"/>
      <w:r w:rsidR="00AC0774" w:rsidRPr="00125FAF">
        <w:rPr>
          <w:rFonts w:ascii="Times New Roman" w:eastAsia="Times New Roman" w:hAnsi="Times New Roman" w:cs="Times New Roman"/>
          <w:color w:val="000000"/>
          <w:sz w:val="24"/>
          <w:szCs w:val="24"/>
          <w:shd w:val="clear" w:color="auto" w:fill="FFFFFF"/>
          <w:lang w:eastAsia="ru-RU"/>
        </w:rPr>
        <w:t>acţiuni</w:t>
      </w:r>
      <w:proofErr w:type="spellEnd"/>
      <w:r w:rsidR="00AC0774" w:rsidRPr="00125FAF">
        <w:rPr>
          <w:rFonts w:ascii="Times New Roman" w:eastAsia="Times New Roman" w:hAnsi="Times New Roman" w:cs="Times New Roman"/>
          <w:color w:val="000000"/>
          <w:sz w:val="24"/>
          <w:szCs w:val="24"/>
          <w:shd w:val="clear" w:color="auto" w:fill="FFFFFF"/>
          <w:lang w:eastAsia="ru-RU"/>
        </w:rPr>
        <w:t xml:space="preserve"> în domeniul </w:t>
      </w:r>
      <w:proofErr w:type="spellStart"/>
      <w:r w:rsidR="00AC0774" w:rsidRPr="00125FAF">
        <w:rPr>
          <w:rFonts w:ascii="Times New Roman" w:eastAsia="Times New Roman" w:hAnsi="Times New Roman" w:cs="Times New Roman"/>
          <w:color w:val="000000"/>
          <w:sz w:val="24"/>
          <w:szCs w:val="24"/>
          <w:shd w:val="clear" w:color="auto" w:fill="FFFFFF"/>
          <w:lang w:eastAsia="ru-RU"/>
        </w:rPr>
        <w:t>eficienţei</w:t>
      </w:r>
      <w:proofErr w:type="spellEnd"/>
      <w:r w:rsidR="00AC0774" w:rsidRPr="00125FAF">
        <w:rPr>
          <w:rFonts w:ascii="Times New Roman" w:eastAsia="Times New Roman" w:hAnsi="Times New Roman" w:cs="Times New Roman"/>
          <w:color w:val="000000"/>
          <w:sz w:val="24"/>
          <w:szCs w:val="24"/>
          <w:shd w:val="clear" w:color="auto" w:fill="FFFFFF"/>
          <w:lang w:eastAsia="ru-RU"/>
        </w:rPr>
        <w:t xml:space="preserve"> energetice pentru fiecare trei ani. Planul pentru anii 2019-2021 a fost aprobat prin HG </w:t>
      </w:r>
      <w:r w:rsidR="00125FAF">
        <w:rPr>
          <w:rFonts w:ascii="Times New Roman" w:eastAsia="Times New Roman" w:hAnsi="Times New Roman" w:cs="Times New Roman"/>
          <w:color w:val="000000"/>
          <w:sz w:val="24"/>
          <w:szCs w:val="24"/>
          <w:shd w:val="clear" w:color="auto" w:fill="FFFFFF"/>
          <w:lang w:eastAsia="ru-RU"/>
        </w:rPr>
        <w:t>n</w:t>
      </w:r>
      <w:r w:rsidR="00AC0774" w:rsidRPr="00125FAF">
        <w:rPr>
          <w:rFonts w:ascii="Times New Roman" w:eastAsia="Times New Roman" w:hAnsi="Times New Roman" w:cs="Times New Roman"/>
          <w:color w:val="000000"/>
          <w:sz w:val="24"/>
          <w:szCs w:val="24"/>
          <w:shd w:val="clear" w:color="auto" w:fill="FFFFFF"/>
          <w:lang w:eastAsia="ru-RU"/>
        </w:rPr>
        <w:t>r. 698/2019</w:t>
      </w:r>
      <w:r w:rsidR="00536FC5" w:rsidRPr="00125FAF">
        <w:rPr>
          <w:rFonts w:ascii="Times New Roman" w:eastAsia="Times New Roman" w:hAnsi="Times New Roman" w:cs="Times New Roman"/>
          <w:color w:val="000000"/>
          <w:sz w:val="24"/>
          <w:szCs w:val="24"/>
          <w:shd w:val="clear" w:color="auto" w:fill="FFFFFF"/>
          <w:lang w:eastAsia="ru-RU"/>
        </w:rPr>
        <w:t xml:space="preserve"> </w:t>
      </w:r>
      <w:proofErr w:type="spellStart"/>
      <w:r w:rsidR="00536FC5" w:rsidRPr="00125FAF">
        <w:rPr>
          <w:rFonts w:ascii="Times New Roman" w:eastAsia="Times New Roman" w:hAnsi="Times New Roman" w:cs="Times New Roman"/>
          <w:color w:val="000000"/>
          <w:sz w:val="24"/>
          <w:szCs w:val="24"/>
          <w:shd w:val="clear" w:color="auto" w:fill="FFFFFF"/>
          <w:lang w:eastAsia="ru-RU"/>
        </w:rPr>
        <w:t>şi</w:t>
      </w:r>
      <w:proofErr w:type="spellEnd"/>
      <w:r w:rsidR="00536FC5" w:rsidRPr="00125FAF">
        <w:rPr>
          <w:rFonts w:ascii="Times New Roman" w:eastAsia="Times New Roman" w:hAnsi="Times New Roman" w:cs="Times New Roman"/>
          <w:color w:val="000000"/>
          <w:sz w:val="24"/>
          <w:szCs w:val="24"/>
          <w:shd w:val="clear" w:color="auto" w:fill="FFFFFF"/>
          <w:lang w:eastAsia="ru-RU"/>
        </w:rPr>
        <w:t xml:space="preserve"> prevede reducerea consumului final de energie cu 17 </w:t>
      </w:r>
      <w:proofErr w:type="spellStart"/>
      <w:r w:rsidR="00536FC5" w:rsidRPr="00125FAF">
        <w:rPr>
          <w:rFonts w:ascii="Times New Roman" w:eastAsia="Times New Roman" w:hAnsi="Times New Roman" w:cs="Times New Roman"/>
          <w:color w:val="000000"/>
          <w:sz w:val="24"/>
          <w:szCs w:val="24"/>
          <w:shd w:val="clear" w:color="auto" w:fill="FFFFFF"/>
          <w:lang w:eastAsia="ru-RU"/>
        </w:rPr>
        <w:t>ktep</w:t>
      </w:r>
      <w:proofErr w:type="spellEnd"/>
      <w:r w:rsidR="00536FC5" w:rsidRPr="00125FAF">
        <w:rPr>
          <w:rFonts w:ascii="Times New Roman" w:eastAsia="Times New Roman" w:hAnsi="Times New Roman" w:cs="Times New Roman"/>
          <w:color w:val="000000"/>
          <w:sz w:val="24"/>
          <w:szCs w:val="24"/>
          <w:shd w:val="clear" w:color="auto" w:fill="FFFFFF"/>
          <w:lang w:eastAsia="ru-RU"/>
        </w:rPr>
        <w:t xml:space="preserve"> în perioada respectivă.</w:t>
      </w:r>
      <w:r w:rsidR="002358C5" w:rsidRPr="00125FAF">
        <w:rPr>
          <w:rFonts w:ascii="Times New Roman" w:eastAsia="Times New Roman" w:hAnsi="Times New Roman" w:cs="Times New Roman"/>
          <w:color w:val="000000"/>
          <w:sz w:val="24"/>
          <w:szCs w:val="24"/>
          <w:shd w:val="clear" w:color="auto" w:fill="FFFFFF"/>
          <w:lang w:eastAsia="ru-RU"/>
        </w:rPr>
        <w:t xml:space="preserve"> </w:t>
      </w:r>
      <w:r w:rsidR="00536FC5" w:rsidRPr="00125FAF">
        <w:rPr>
          <w:rFonts w:ascii="Times New Roman" w:eastAsia="Times New Roman" w:hAnsi="Times New Roman" w:cs="Times New Roman"/>
          <w:color w:val="000000"/>
          <w:sz w:val="24"/>
          <w:szCs w:val="24"/>
          <w:shd w:val="clear" w:color="auto" w:fill="FFFFFF"/>
          <w:lang w:eastAsia="ru-RU"/>
        </w:rPr>
        <w:t>Planul prevede următoarele măsuri:</w:t>
      </w:r>
    </w:p>
    <w:p w14:paraId="6DD7A53A" w14:textId="50E6A529" w:rsidR="00536FC5" w:rsidRPr="00125FAF" w:rsidRDefault="00536FC5" w:rsidP="00536FC5">
      <w:pPr>
        <w:spacing w:after="0"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125FAF">
        <w:rPr>
          <w:rFonts w:ascii="Times New Roman" w:eastAsia="Times New Roman" w:hAnsi="Times New Roman" w:cs="Times New Roman"/>
          <w:i/>
          <w:iCs/>
          <w:color w:val="000000"/>
          <w:sz w:val="24"/>
          <w:szCs w:val="24"/>
          <w:shd w:val="clear" w:color="auto" w:fill="FFFFFF"/>
          <w:lang w:eastAsia="ru-RU"/>
        </w:rPr>
        <w:t xml:space="preserve">A) Modernizarea </w:t>
      </w:r>
      <w:proofErr w:type="spellStart"/>
      <w:r w:rsidRPr="00125FAF">
        <w:rPr>
          <w:rFonts w:ascii="Times New Roman" w:eastAsia="Times New Roman" w:hAnsi="Times New Roman" w:cs="Times New Roman"/>
          <w:i/>
          <w:iCs/>
          <w:color w:val="000000"/>
          <w:sz w:val="24"/>
          <w:szCs w:val="24"/>
          <w:shd w:val="clear" w:color="auto" w:fill="FFFFFF"/>
          <w:lang w:eastAsia="ru-RU"/>
        </w:rPr>
        <w:t>şi</w:t>
      </w:r>
      <w:proofErr w:type="spellEnd"/>
      <w:r w:rsidRPr="00125FAF">
        <w:rPr>
          <w:rFonts w:ascii="Times New Roman" w:eastAsia="Times New Roman" w:hAnsi="Times New Roman" w:cs="Times New Roman"/>
          <w:i/>
          <w:iCs/>
          <w:color w:val="000000"/>
          <w:sz w:val="24"/>
          <w:szCs w:val="24"/>
          <w:shd w:val="clear" w:color="auto" w:fill="FFFFFF"/>
          <w:lang w:eastAsia="ru-RU"/>
        </w:rPr>
        <w:t xml:space="preserve"> renovarea sectorului industrial </w:t>
      </w:r>
      <w:r w:rsidRPr="00125FAF">
        <w:rPr>
          <w:rFonts w:ascii="Times New Roman" w:eastAsia="Times New Roman" w:hAnsi="Times New Roman" w:cs="Times New Roman"/>
          <w:color w:val="000000"/>
          <w:sz w:val="24"/>
          <w:szCs w:val="24"/>
          <w:shd w:val="clear" w:color="auto" w:fill="FFFFFF"/>
          <w:lang w:eastAsia="ru-RU"/>
        </w:rPr>
        <w:t>prin:</w:t>
      </w:r>
    </w:p>
    <w:p w14:paraId="5BB465FB" w14:textId="00CDAFA3" w:rsidR="00536FC5" w:rsidRPr="00125FAF" w:rsidRDefault="00536FC5" w:rsidP="00536FC5">
      <w:pPr>
        <w:spacing w:after="0"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125FAF">
        <w:rPr>
          <w:rFonts w:ascii="Times New Roman" w:eastAsia="Times New Roman" w:hAnsi="Times New Roman" w:cs="Times New Roman"/>
          <w:color w:val="000000"/>
          <w:sz w:val="24"/>
          <w:szCs w:val="24"/>
          <w:shd w:val="clear" w:color="auto" w:fill="FFFFFF"/>
          <w:lang w:eastAsia="ru-RU"/>
        </w:rPr>
        <w:t>1.Stabilirea dialogului cu partenerii de dezvoltare, donatorii și băncile comerciale locale în vederea promovării consumului rațional de resurse și energie, precum și dezvoltarea unui set de instrumente de finanțare, în condiții preferențiale, a măsurilor de eficiență energetică;</w:t>
      </w:r>
    </w:p>
    <w:p w14:paraId="32B94625" w14:textId="77777777" w:rsidR="00536FC5" w:rsidRPr="00125FAF" w:rsidRDefault="00536FC5" w:rsidP="00536FC5">
      <w:pPr>
        <w:spacing w:after="0"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125FAF">
        <w:rPr>
          <w:rFonts w:ascii="Times New Roman" w:eastAsia="Times New Roman" w:hAnsi="Times New Roman" w:cs="Times New Roman"/>
          <w:color w:val="000000"/>
          <w:sz w:val="24"/>
          <w:szCs w:val="24"/>
          <w:shd w:val="clear" w:color="auto" w:fill="FFFFFF"/>
          <w:lang w:eastAsia="ru-RU"/>
        </w:rPr>
        <w:t xml:space="preserve">2. Promovarea oportunităților de finanțare în </w:t>
      </w:r>
      <w:proofErr w:type="spellStart"/>
      <w:r w:rsidRPr="00125FAF">
        <w:rPr>
          <w:rFonts w:ascii="Times New Roman" w:eastAsia="Times New Roman" w:hAnsi="Times New Roman" w:cs="Times New Roman"/>
          <w:color w:val="000000"/>
          <w:sz w:val="24"/>
          <w:szCs w:val="24"/>
          <w:shd w:val="clear" w:color="auto" w:fill="FFFFFF"/>
          <w:lang w:eastAsia="ru-RU"/>
        </w:rPr>
        <w:t>rîndul</w:t>
      </w:r>
      <w:proofErr w:type="spellEnd"/>
      <w:r w:rsidRPr="00125FAF">
        <w:rPr>
          <w:rFonts w:ascii="Times New Roman" w:eastAsia="Times New Roman" w:hAnsi="Times New Roman" w:cs="Times New Roman"/>
          <w:color w:val="000000"/>
          <w:sz w:val="24"/>
          <w:szCs w:val="24"/>
          <w:shd w:val="clear" w:color="auto" w:fill="FFFFFF"/>
          <w:lang w:eastAsia="ru-RU"/>
        </w:rPr>
        <w:t xml:space="preserve"> întreprinderilor din sectorul industrial;</w:t>
      </w:r>
    </w:p>
    <w:p w14:paraId="6FC5E92C" w14:textId="5A39B2F2" w:rsidR="00536FC5" w:rsidRPr="00125FAF" w:rsidRDefault="00536FC5" w:rsidP="001F2F2D">
      <w:pPr>
        <w:spacing w:after="120"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125FAF">
        <w:rPr>
          <w:rFonts w:ascii="Times New Roman" w:eastAsia="Times New Roman" w:hAnsi="Times New Roman" w:cs="Times New Roman"/>
          <w:color w:val="000000"/>
          <w:sz w:val="24"/>
          <w:szCs w:val="24"/>
          <w:shd w:val="clear" w:color="auto" w:fill="FFFFFF"/>
          <w:lang w:eastAsia="ru-RU"/>
        </w:rPr>
        <w:t>3. Facilitarea accesului întreprinderilor din sectorul industrial din Republica Moldova la instrumentele de finanțare puse la dispoziție de partenerii de dezvoltare/</w:t>
      </w:r>
      <w:r w:rsidR="004676FF" w:rsidRPr="00125FAF">
        <w:rPr>
          <w:rFonts w:ascii="Times New Roman" w:eastAsia="Times New Roman" w:hAnsi="Times New Roman" w:cs="Times New Roman"/>
          <w:color w:val="000000"/>
          <w:sz w:val="24"/>
          <w:szCs w:val="24"/>
          <w:shd w:val="clear" w:color="auto" w:fill="FFFFFF"/>
          <w:lang w:eastAsia="ru-RU"/>
        </w:rPr>
        <w:t xml:space="preserve"> </w:t>
      </w:r>
      <w:r w:rsidRPr="00125FAF">
        <w:rPr>
          <w:rFonts w:ascii="Times New Roman" w:eastAsia="Times New Roman" w:hAnsi="Times New Roman" w:cs="Times New Roman"/>
          <w:color w:val="000000"/>
          <w:sz w:val="24"/>
          <w:szCs w:val="24"/>
          <w:shd w:val="clear" w:color="auto" w:fill="FFFFFF"/>
          <w:lang w:eastAsia="ru-RU"/>
        </w:rPr>
        <w:t>donatorii</w:t>
      </w:r>
      <w:r w:rsidR="004676FF" w:rsidRPr="00125FAF">
        <w:rPr>
          <w:rFonts w:ascii="Times New Roman" w:eastAsia="Times New Roman" w:hAnsi="Times New Roman" w:cs="Times New Roman"/>
          <w:color w:val="000000"/>
          <w:sz w:val="24"/>
          <w:szCs w:val="24"/>
          <w:shd w:val="clear" w:color="auto" w:fill="FFFFFF"/>
          <w:lang w:eastAsia="ru-RU"/>
        </w:rPr>
        <w:t xml:space="preserve"> </w:t>
      </w:r>
      <w:proofErr w:type="spellStart"/>
      <w:r w:rsidR="004676FF" w:rsidRPr="00125FAF">
        <w:rPr>
          <w:rFonts w:ascii="Times New Roman" w:eastAsia="Times New Roman" w:hAnsi="Times New Roman" w:cs="Times New Roman"/>
          <w:color w:val="000000"/>
          <w:sz w:val="24"/>
          <w:szCs w:val="24"/>
          <w:shd w:val="clear" w:color="auto" w:fill="FFFFFF"/>
          <w:lang w:eastAsia="ru-RU"/>
        </w:rPr>
        <w:t>şi</w:t>
      </w:r>
      <w:proofErr w:type="spellEnd"/>
      <w:r w:rsidRPr="00125FAF">
        <w:rPr>
          <w:rFonts w:ascii="Times New Roman" w:eastAsia="Times New Roman" w:hAnsi="Times New Roman" w:cs="Times New Roman"/>
          <w:color w:val="000000"/>
          <w:sz w:val="24"/>
          <w:szCs w:val="24"/>
          <w:shd w:val="clear" w:color="auto" w:fill="FFFFFF"/>
          <w:lang w:eastAsia="ru-RU"/>
        </w:rPr>
        <w:t xml:space="preserve"> Băncile comerciale locale.</w:t>
      </w:r>
    </w:p>
    <w:p w14:paraId="2C9460B4" w14:textId="3D943200" w:rsidR="002358C5" w:rsidRPr="00125FAF" w:rsidRDefault="002358C5" w:rsidP="002358C5">
      <w:pPr>
        <w:spacing w:after="0"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125FAF">
        <w:rPr>
          <w:rFonts w:ascii="Times New Roman" w:eastAsia="Times New Roman" w:hAnsi="Times New Roman" w:cs="Times New Roman"/>
          <w:i/>
          <w:iCs/>
          <w:color w:val="000000"/>
          <w:sz w:val="24"/>
          <w:szCs w:val="24"/>
          <w:shd w:val="clear" w:color="auto" w:fill="FFFFFF"/>
          <w:lang w:eastAsia="ru-RU"/>
        </w:rPr>
        <w:t xml:space="preserve">B) Introducerea managementului energetic </w:t>
      </w:r>
      <w:proofErr w:type="spellStart"/>
      <w:r w:rsidRPr="00125FAF">
        <w:rPr>
          <w:rFonts w:ascii="Times New Roman" w:eastAsia="Times New Roman" w:hAnsi="Times New Roman" w:cs="Times New Roman"/>
          <w:i/>
          <w:iCs/>
          <w:color w:val="000000"/>
          <w:sz w:val="24"/>
          <w:szCs w:val="24"/>
          <w:shd w:val="clear" w:color="auto" w:fill="FFFFFF"/>
          <w:lang w:eastAsia="ru-RU"/>
        </w:rPr>
        <w:t>şi</w:t>
      </w:r>
      <w:proofErr w:type="spellEnd"/>
      <w:r w:rsidRPr="00125FAF">
        <w:rPr>
          <w:rFonts w:ascii="Times New Roman" w:eastAsia="Times New Roman" w:hAnsi="Times New Roman" w:cs="Times New Roman"/>
          <w:i/>
          <w:iCs/>
          <w:color w:val="000000"/>
          <w:sz w:val="24"/>
          <w:szCs w:val="24"/>
          <w:shd w:val="clear" w:color="auto" w:fill="FFFFFF"/>
          <w:lang w:eastAsia="ru-RU"/>
        </w:rPr>
        <w:t xml:space="preserve"> a celor mai bune practici în industrie</w:t>
      </w:r>
      <w:r w:rsidRPr="00125FAF">
        <w:rPr>
          <w:rFonts w:ascii="Times New Roman" w:eastAsia="Times New Roman" w:hAnsi="Times New Roman" w:cs="Times New Roman"/>
          <w:color w:val="000000"/>
          <w:sz w:val="24"/>
          <w:szCs w:val="24"/>
          <w:shd w:val="clear" w:color="auto" w:fill="FFFFFF"/>
          <w:lang w:eastAsia="ru-RU"/>
        </w:rPr>
        <w:t xml:space="preserve"> prin:</w:t>
      </w:r>
    </w:p>
    <w:p w14:paraId="2662ECE1" w14:textId="2F2153B0" w:rsidR="002358C5" w:rsidRPr="00125FAF" w:rsidRDefault="002358C5" w:rsidP="002358C5">
      <w:pPr>
        <w:spacing w:after="0"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125FAF">
        <w:rPr>
          <w:rFonts w:ascii="Times New Roman" w:eastAsia="Times New Roman" w:hAnsi="Times New Roman" w:cs="Times New Roman"/>
          <w:color w:val="000000"/>
          <w:sz w:val="24"/>
          <w:szCs w:val="24"/>
          <w:shd w:val="clear" w:color="auto" w:fill="FFFFFF"/>
          <w:lang w:eastAsia="ru-RU"/>
        </w:rPr>
        <w:t xml:space="preserve">1. Instruirea </w:t>
      </w:r>
      <w:proofErr w:type="spellStart"/>
      <w:r w:rsidRPr="00125FAF">
        <w:rPr>
          <w:rFonts w:ascii="Times New Roman" w:eastAsia="Times New Roman" w:hAnsi="Times New Roman" w:cs="Times New Roman"/>
          <w:color w:val="000000"/>
          <w:sz w:val="24"/>
          <w:szCs w:val="24"/>
          <w:shd w:val="clear" w:color="auto" w:fill="FFFFFF"/>
          <w:lang w:eastAsia="ru-RU"/>
        </w:rPr>
        <w:t>experţilor</w:t>
      </w:r>
      <w:proofErr w:type="spellEnd"/>
      <w:r w:rsidRPr="00125FAF">
        <w:rPr>
          <w:rFonts w:ascii="Times New Roman" w:eastAsia="Times New Roman" w:hAnsi="Times New Roman" w:cs="Times New Roman"/>
          <w:color w:val="000000"/>
          <w:sz w:val="24"/>
          <w:szCs w:val="24"/>
          <w:shd w:val="clear" w:color="auto" w:fill="FFFFFF"/>
          <w:lang w:eastAsia="ru-RU"/>
        </w:rPr>
        <w:t xml:space="preserve"> </w:t>
      </w:r>
      <w:proofErr w:type="spellStart"/>
      <w:r w:rsidRPr="00125FAF">
        <w:rPr>
          <w:rFonts w:ascii="Times New Roman" w:eastAsia="Times New Roman" w:hAnsi="Times New Roman" w:cs="Times New Roman"/>
          <w:color w:val="000000"/>
          <w:sz w:val="24"/>
          <w:szCs w:val="24"/>
          <w:shd w:val="clear" w:color="auto" w:fill="FFFFFF"/>
          <w:lang w:eastAsia="ru-RU"/>
        </w:rPr>
        <w:t>naţionali</w:t>
      </w:r>
      <w:proofErr w:type="spellEnd"/>
      <w:r w:rsidRPr="00125FAF">
        <w:rPr>
          <w:rFonts w:ascii="Times New Roman" w:eastAsia="Times New Roman" w:hAnsi="Times New Roman" w:cs="Times New Roman"/>
          <w:color w:val="000000"/>
          <w:sz w:val="24"/>
          <w:szCs w:val="24"/>
          <w:shd w:val="clear" w:color="auto" w:fill="FFFFFF"/>
          <w:lang w:eastAsia="ru-RU"/>
        </w:rPr>
        <w:t xml:space="preserve"> </w:t>
      </w:r>
      <w:proofErr w:type="spellStart"/>
      <w:r w:rsidRPr="00125FAF">
        <w:rPr>
          <w:rFonts w:ascii="Times New Roman" w:eastAsia="Times New Roman" w:hAnsi="Times New Roman" w:cs="Times New Roman"/>
          <w:color w:val="000000"/>
          <w:sz w:val="24"/>
          <w:szCs w:val="24"/>
          <w:shd w:val="clear" w:color="auto" w:fill="FFFFFF"/>
          <w:lang w:eastAsia="ru-RU"/>
        </w:rPr>
        <w:t>şi</w:t>
      </w:r>
      <w:proofErr w:type="spellEnd"/>
      <w:r w:rsidRPr="00125FAF">
        <w:rPr>
          <w:rFonts w:ascii="Times New Roman" w:eastAsia="Times New Roman" w:hAnsi="Times New Roman" w:cs="Times New Roman"/>
          <w:color w:val="000000"/>
          <w:sz w:val="24"/>
          <w:szCs w:val="24"/>
          <w:shd w:val="clear" w:color="auto" w:fill="FFFFFF"/>
          <w:lang w:eastAsia="ru-RU"/>
        </w:rPr>
        <w:t xml:space="preserve"> </w:t>
      </w:r>
      <w:proofErr w:type="spellStart"/>
      <w:r w:rsidRPr="00125FAF">
        <w:rPr>
          <w:rFonts w:ascii="Times New Roman" w:eastAsia="Times New Roman" w:hAnsi="Times New Roman" w:cs="Times New Roman"/>
          <w:color w:val="000000"/>
          <w:sz w:val="24"/>
          <w:szCs w:val="24"/>
          <w:shd w:val="clear" w:color="auto" w:fill="FFFFFF"/>
          <w:lang w:eastAsia="ru-RU"/>
        </w:rPr>
        <w:t>asistenţă</w:t>
      </w:r>
      <w:proofErr w:type="spellEnd"/>
      <w:r w:rsidRPr="00125FAF">
        <w:rPr>
          <w:rFonts w:ascii="Times New Roman" w:eastAsia="Times New Roman" w:hAnsi="Times New Roman" w:cs="Times New Roman"/>
          <w:color w:val="000000"/>
          <w:sz w:val="24"/>
          <w:szCs w:val="24"/>
          <w:shd w:val="clear" w:color="auto" w:fill="FFFFFF"/>
          <w:lang w:eastAsia="ru-RU"/>
        </w:rPr>
        <w:t xml:space="preserve"> în implementarea eficientizării consumului de resurse energetice și a celor naturale;</w:t>
      </w:r>
    </w:p>
    <w:p w14:paraId="3C26329B" w14:textId="77777777" w:rsidR="002358C5" w:rsidRPr="00125FAF" w:rsidRDefault="002358C5" w:rsidP="002358C5">
      <w:pPr>
        <w:spacing w:after="0"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125FAF">
        <w:rPr>
          <w:rFonts w:ascii="Times New Roman" w:eastAsia="Times New Roman" w:hAnsi="Times New Roman" w:cs="Times New Roman"/>
          <w:color w:val="000000"/>
          <w:sz w:val="24"/>
          <w:szCs w:val="24"/>
          <w:shd w:val="clear" w:color="auto" w:fill="FFFFFF"/>
          <w:lang w:eastAsia="ru-RU"/>
        </w:rPr>
        <w:t xml:space="preserve">2. </w:t>
      </w:r>
      <w:proofErr w:type="spellStart"/>
      <w:r w:rsidRPr="00125FAF">
        <w:rPr>
          <w:rFonts w:ascii="Times New Roman" w:eastAsia="Times New Roman" w:hAnsi="Times New Roman" w:cs="Times New Roman"/>
          <w:color w:val="000000"/>
          <w:sz w:val="24"/>
          <w:szCs w:val="24"/>
          <w:shd w:val="clear" w:color="auto" w:fill="FFFFFF"/>
          <w:lang w:eastAsia="ru-RU"/>
        </w:rPr>
        <w:t>Asistenţă</w:t>
      </w:r>
      <w:proofErr w:type="spellEnd"/>
      <w:r w:rsidRPr="00125FAF">
        <w:rPr>
          <w:rFonts w:ascii="Times New Roman" w:eastAsia="Times New Roman" w:hAnsi="Times New Roman" w:cs="Times New Roman"/>
          <w:color w:val="000000"/>
          <w:sz w:val="24"/>
          <w:szCs w:val="24"/>
          <w:shd w:val="clear" w:color="auto" w:fill="FFFFFF"/>
          <w:lang w:eastAsia="ru-RU"/>
        </w:rPr>
        <w:t xml:space="preserve"> tehnică întreprinderilor </w:t>
      </w:r>
      <w:proofErr w:type="spellStart"/>
      <w:r w:rsidRPr="00125FAF">
        <w:rPr>
          <w:rFonts w:ascii="Times New Roman" w:eastAsia="Times New Roman" w:hAnsi="Times New Roman" w:cs="Times New Roman"/>
          <w:color w:val="000000"/>
          <w:sz w:val="24"/>
          <w:szCs w:val="24"/>
          <w:shd w:val="clear" w:color="auto" w:fill="FFFFFF"/>
          <w:lang w:eastAsia="ru-RU"/>
        </w:rPr>
        <w:t>şi</w:t>
      </w:r>
      <w:proofErr w:type="spellEnd"/>
      <w:r w:rsidRPr="00125FAF">
        <w:rPr>
          <w:rFonts w:ascii="Times New Roman" w:eastAsia="Times New Roman" w:hAnsi="Times New Roman" w:cs="Times New Roman"/>
          <w:color w:val="000000"/>
          <w:sz w:val="24"/>
          <w:szCs w:val="24"/>
          <w:shd w:val="clear" w:color="auto" w:fill="FFFFFF"/>
          <w:lang w:eastAsia="ru-RU"/>
        </w:rPr>
        <w:t xml:space="preserve"> altor </w:t>
      </w:r>
      <w:proofErr w:type="spellStart"/>
      <w:r w:rsidRPr="00125FAF">
        <w:rPr>
          <w:rFonts w:ascii="Times New Roman" w:eastAsia="Times New Roman" w:hAnsi="Times New Roman" w:cs="Times New Roman"/>
          <w:color w:val="000000"/>
          <w:sz w:val="24"/>
          <w:szCs w:val="24"/>
          <w:shd w:val="clear" w:color="auto" w:fill="FFFFFF"/>
          <w:lang w:eastAsia="ru-RU"/>
        </w:rPr>
        <w:t>organizaţii</w:t>
      </w:r>
      <w:proofErr w:type="spellEnd"/>
      <w:r w:rsidRPr="00125FAF">
        <w:rPr>
          <w:rFonts w:ascii="Times New Roman" w:eastAsia="Times New Roman" w:hAnsi="Times New Roman" w:cs="Times New Roman"/>
          <w:color w:val="000000"/>
          <w:sz w:val="24"/>
          <w:szCs w:val="24"/>
          <w:shd w:val="clear" w:color="auto" w:fill="FFFFFF"/>
          <w:lang w:eastAsia="ru-RU"/>
        </w:rPr>
        <w:t xml:space="preserve"> în identificarea </w:t>
      </w:r>
      <w:proofErr w:type="spellStart"/>
      <w:r w:rsidRPr="00125FAF">
        <w:rPr>
          <w:rFonts w:ascii="Times New Roman" w:eastAsia="Times New Roman" w:hAnsi="Times New Roman" w:cs="Times New Roman"/>
          <w:color w:val="000000"/>
          <w:sz w:val="24"/>
          <w:szCs w:val="24"/>
          <w:shd w:val="clear" w:color="auto" w:fill="FFFFFF"/>
          <w:lang w:eastAsia="ru-RU"/>
        </w:rPr>
        <w:t>şi</w:t>
      </w:r>
      <w:proofErr w:type="spellEnd"/>
      <w:r w:rsidRPr="00125FAF">
        <w:rPr>
          <w:rFonts w:ascii="Times New Roman" w:eastAsia="Times New Roman" w:hAnsi="Times New Roman" w:cs="Times New Roman"/>
          <w:color w:val="000000"/>
          <w:sz w:val="24"/>
          <w:szCs w:val="24"/>
          <w:shd w:val="clear" w:color="auto" w:fill="FFFFFF"/>
          <w:lang w:eastAsia="ru-RU"/>
        </w:rPr>
        <w:t xml:space="preserve"> implementarea </w:t>
      </w:r>
      <w:proofErr w:type="spellStart"/>
      <w:r w:rsidRPr="00125FAF">
        <w:rPr>
          <w:rFonts w:ascii="Times New Roman" w:eastAsia="Times New Roman" w:hAnsi="Times New Roman" w:cs="Times New Roman"/>
          <w:color w:val="000000"/>
          <w:sz w:val="24"/>
          <w:szCs w:val="24"/>
          <w:shd w:val="clear" w:color="auto" w:fill="FFFFFF"/>
          <w:lang w:eastAsia="ru-RU"/>
        </w:rPr>
        <w:t>opţiunilor</w:t>
      </w:r>
      <w:proofErr w:type="spellEnd"/>
      <w:r w:rsidRPr="00125FAF">
        <w:rPr>
          <w:rFonts w:ascii="Times New Roman" w:eastAsia="Times New Roman" w:hAnsi="Times New Roman" w:cs="Times New Roman"/>
          <w:color w:val="000000"/>
          <w:sz w:val="24"/>
          <w:szCs w:val="24"/>
          <w:shd w:val="clear" w:color="auto" w:fill="FFFFFF"/>
          <w:lang w:eastAsia="ru-RU"/>
        </w:rPr>
        <w:t xml:space="preserve"> disponibile de eficientizare a consumului de resurse;</w:t>
      </w:r>
    </w:p>
    <w:p w14:paraId="207026FF" w14:textId="77777777" w:rsidR="002358C5" w:rsidRPr="00125FAF" w:rsidRDefault="002358C5" w:rsidP="002358C5">
      <w:pPr>
        <w:spacing w:after="0"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125FAF">
        <w:rPr>
          <w:rFonts w:ascii="Times New Roman" w:eastAsia="Times New Roman" w:hAnsi="Times New Roman" w:cs="Times New Roman"/>
          <w:color w:val="000000"/>
          <w:sz w:val="24"/>
          <w:szCs w:val="24"/>
          <w:shd w:val="clear" w:color="auto" w:fill="FFFFFF"/>
          <w:lang w:eastAsia="ru-RU"/>
        </w:rPr>
        <w:t>3. Sprijin la identificarea instrumentelor de finanțare a măsurilor de eficientizare a consumului de resurse;</w:t>
      </w:r>
    </w:p>
    <w:p w14:paraId="4348772F" w14:textId="3B5AE744" w:rsidR="00536FC5" w:rsidRPr="00125FAF" w:rsidRDefault="002358C5" w:rsidP="001F2F2D">
      <w:pPr>
        <w:spacing w:after="120"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125FAF">
        <w:rPr>
          <w:rFonts w:ascii="Times New Roman" w:eastAsia="Times New Roman" w:hAnsi="Times New Roman" w:cs="Times New Roman"/>
          <w:color w:val="000000"/>
          <w:sz w:val="24"/>
          <w:szCs w:val="24"/>
          <w:shd w:val="clear" w:color="auto" w:fill="FFFFFF"/>
          <w:lang w:eastAsia="ru-RU"/>
        </w:rPr>
        <w:t>4. Implementarea componentelor relevante acțiunii ale programului EU4Environment</w:t>
      </w:r>
      <w:r w:rsidR="004676FF" w:rsidRPr="00125FAF">
        <w:rPr>
          <w:rFonts w:ascii="Times New Roman" w:eastAsia="Times New Roman" w:hAnsi="Times New Roman" w:cs="Times New Roman"/>
          <w:color w:val="000000"/>
          <w:sz w:val="24"/>
          <w:szCs w:val="24"/>
          <w:shd w:val="clear" w:color="auto" w:fill="FFFFFF"/>
          <w:lang w:eastAsia="ru-RU"/>
        </w:rPr>
        <w:t>.</w:t>
      </w:r>
    </w:p>
    <w:p w14:paraId="1A3C55F5" w14:textId="56AECA13" w:rsidR="002358C5" w:rsidRPr="00125FAF" w:rsidRDefault="002358C5" w:rsidP="001F2F2D">
      <w:pPr>
        <w:tabs>
          <w:tab w:val="left" w:pos="1134"/>
        </w:tabs>
        <w:spacing w:after="120" w:line="240" w:lineRule="auto"/>
        <w:jc w:val="both"/>
        <w:rPr>
          <w:rFonts w:ascii="Times New Roman" w:eastAsia="Times New Roman" w:hAnsi="Times New Roman" w:cs="Times New Roman"/>
          <w:sz w:val="24"/>
          <w:szCs w:val="24"/>
          <w:lang w:eastAsia="ru-RU"/>
        </w:rPr>
      </w:pPr>
      <w:r w:rsidRPr="00125FAF">
        <w:rPr>
          <w:rFonts w:ascii="Times New Roman" w:eastAsia="Times New Roman" w:hAnsi="Times New Roman" w:cs="Times New Roman"/>
          <w:sz w:val="24"/>
          <w:szCs w:val="24"/>
          <w:lang w:eastAsia="ru-RU"/>
        </w:rPr>
        <w:t xml:space="preserve">În ce </w:t>
      </w:r>
      <w:proofErr w:type="spellStart"/>
      <w:r w:rsidRPr="00125FAF">
        <w:rPr>
          <w:rFonts w:ascii="Times New Roman" w:eastAsia="Times New Roman" w:hAnsi="Times New Roman" w:cs="Times New Roman"/>
          <w:sz w:val="24"/>
          <w:szCs w:val="24"/>
          <w:lang w:eastAsia="ru-RU"/>
        </w:rPr>
        <w:t>priveşte</w:t>
      </w:r>
      <w:proofErr w:type="spellEnd"/>
      <w:r w:rsidRPr="00125FAF">
        <w:rPr>
          <w:rFonts w:ascii="Times New Roman" w:eastAsia="Times New Roman" w:hAnsi="Times New Roman" w:cs="Times New Roman"/>
          <w:sz w:val="24"/>
          <w:szCs w:val="24"/>
          <w:lang w:eastAsia="ru-RU"/>
        </w:rPr>
        <w:t xml:space="preserve"> gazele </w:t>
      </w:r>
      <w:bookmarkStart w:id="5" w:name="_Hlk67150340"/>
      <w:r w:rsidRPr="00125FAF">
        <w:rPr>
          <w:rFonts w:ascii="Times New Roman" w:eastAsia="Times New Roman" w:hAnsi="Times New Roman" w:cs="Times New Roman"/>
          <w:sz w:val="24"/>
          <w:szCs w:val="24"/>
          <w:lang w:eastAsia="ru-RU"/>
        </w:rPr>
        <w:t>fluorurate</w:t>
      </w:r>
      <w:bookmarkEnd w:id="5"/>
      <w:r w:rsidRPr="00125FAF">
        <w:rPr>
          <w:rFonts w:ascii="Times New Roman" w:eastAsia="Times New Roman" w:hAnsi="Times New Roman" w:cs="Times New Roman"/>
          <w:sz w:val="24"/>
          <w:szCs w:val="24"/>
          <w:lang w:eastAsia="ru-RU"/>
        </w:rPr>
        <w:t xml:space="preserve">, deocamdată în Republica Moldova nu există nici un act legislativ aprobat în mod special pentru reglementarea acestor gaze. Pornind de la aceasta, în anul 2020, în cadrul asistenței acordate în cadrul proiectului EU4Climate a fost propusă o </w:t>
      </w:r>
      <w:r w:rsidR="00FB0A4D" w:rsidRPr="00125FAF">
        <w:rPr>
          <w:rFonts w:ascii="Times New Roman" w:eastAsia="Times New Roman" w:hAnsi="Times New Roman" w:cs="Times New Roman"/>
          <w:sz w:val="24"/>
          <w:szCs w:val="24"/>
          <w:lang w:eastAsia="ru-RU"/>
        </w:rPr>
        <w:t xml:space="preserve">foaie </w:t>
      </w:r>
      <w:r w:rsidRPr="00125FAF">
        <w:rPr>
          <w:rFonts w:ascii="Times New Roman" w:eastAsia="Times New Roman" w:hAnsi="Times New Roman" w:cs="Times New Roman"/>
          <w:sz w:val="24"/>
          <w:szCs w:val="24"/>
          <w:lang w:eastAsia="ru-RU"/>
        </w:rPr>
        <w:t xml:space="preserve">de parcurs în vederea </w:t>
      </w:r>
      <w:proofErr w:type="spellStart"/>
      <w:r w:rsidRPr="00125FAF">
        <w:rPr>
          <w:rFonts w:ascii="Times New Roman" w:eastAsia="Times New Roman" w:hAnsi="Times New Roman" w:cs="Times New Roman"/>
          <w:sz w:val="24"/>
          <w:szCs w:val="24"/>
          <w:lang w:eastAsia="ru-RU"/>
        </w:rPr>
        <w:t>depăşirii</w:t>
      </w:r>
      <w:proofErr w:type="spellEnd"/>
      <w:r w:rsidRPr="00125FAF">
        <w:rPr>
          <w:rFonts w:ascii="Times New Roman" w:eastAsia="Times New Roman" w:hAnsi="Times New Roman" w:cs="Times New Roman"/>
          <w:sz w:val="24"/>
          <w:szCs w:val="24"/>
          <w:lang w:eastAsia="ru-RU"/>
        </w:rPr>
        <w:t xml:space="preserve"> acestei </w:t>
      </w:r>
      <w:proofErr w:type="spellStart"/>
      <w:r w:rsidRPr="00125FAF">
        <w:rPr>
          <w:rFonts w:ascii="Times New Roman" w:eastAsia="Times New Roman" w:hAnsi="Times New Roman" w:cs="Times New Roman"/>
          <w:sz w:val="24"/>
          <w:szCs w:val="24"/>
          <w:lang w:eastAsia="ru-RU"/>
        </w:rPr>
        <w:t>situaţii</w:t>
      </w:r>
      <w:proofErr w:type="spellEnd"/>
      <w:r w:rsidRPr="00125FAF">
        <w:rPr>
          <w:rFonts w:ascii="Times New Roman" w:eastAsia="Times New Roman" w:hAnsi="Times New Roman" w:cs="Times New Roman"/>
          <w:sz w:val="24"/>
          <w:szCs w:val="24"/>
          <w:lang w:eastAsia="ru-RU"/>
        </w:rPr>
        <w:t>.</w:t>
      </w:r>
    </w:p>
    <w:p w14:paraId="7E06BDB6" w14:textId="77777777" w:rsidR="006364B2" w:rsidRPr="00125FAF" w:rsidRDefault="006364B2" w:rsidP="001F2F2D">
      <w:pPr>
        <w:spacing w:after="120" w:line="240" w:lineRule="auto"/>
        <w:ind w:firstLine="720"/>
        <w:jc w:val="both"/>
        <w:rPr>
          <w:rFonts w:ascii="Times New Roman" w:eastAsia="Times New Roman" w:hAnsi="Times New Roman" w:cs="Times New Roman"/>
          <w:b/>
          <w:color w:val="000000"/>
          <w:sz w:val="24"/>
          <w:szCs w:val="24"/>
          <w:shd w:val="clear" w:color="auto" w:fill="FFFFFF"/>
          <w:lang w:eastAsia="ru-RU"/>
        </w:rPr>
      </w:pPr>
      <w:r w:rsidRPr="00125FAF">
        <w:rPr>
          <w:rFonts w:ascii="Times New Roman" w:eastAsia="Times New Roman" w:hAnsi="Times New Roman" w:cs="Times New Roman"/>
          <w:b/>
          <w:color w:val="000000"/>
          <w:sz w:val="24"/>
          <w:szCs w:val="24"/>
          <w:shd w:val="clear" w:color="auto" w:fill="FFFFFF"/>
          <w:lang w:eastAsia="ru-RU"/>
        </w:rPr>
        <w:t xml:space="preserve">Problemele </w:t>
      </w:r>
      <w:proofErr w:type="spellStart"/>
      <w:r w:rsidRPr="00125FAF">
        <w:rPr>
          <w:rFonts w:ascii="Times New Roman" w:eastAsia="Times New Roman" w:hAnsi="Times New Roman" w:cs="Times New Roman"/>
          <w:b/>
          <w:color w:val="000000"/>
          <w:sz w:val="24"/>
          <w:szCs w:val="24"/>
          <w:shd w:val="clear" w:color="auto" w:fill="FFFFFF"/>
          <w:lang w:eastAsia="ru-RU"/>
        </w:rPr>
        <w:t>evidenţiate</w:t>
      </w:r>
      <w:proofErr w:type="spellEnd"/>
      <w:r w:rsidRPr="00125FAF">
        <w:rPr>
          <w:rFonts w:ascii="Times New Roman" w:eastAsia="Times New Roman" w:hAnsi="Times New Roman" w:cs="Times New Roman"/>
          <w:b/>
          <w:color w:val="000000"/>
          <w:sz w:val="24"/>
          <w:szCs w:val="24"/>
          <w:shd w:val="clear" w:color="auto" w:fill="FFFFFF"/>
          <w:lang w:eastAsia="ru-RU"/>
        </w:rPr>
        <w:t>:</w:t>
      </w:r>
    </w:p>
    <w:p w14:paraId="63A8FB15" w14:textId="575AAB3A" w:rsidR="006364B2" w:rsidRPr="00125FAF" w:rsidRDefault="006364B2" w:rsidP="003E24C5">
      <w:pPr>
        <w:numPr>
          <w:ilvl w:val="0"/>
          <w:numId w:val="2"/>
        </w:numPr>
        <w:tabs>
          <w:tab w:val="left" w:pos="1134"/>
        </w:tabs>
        <w:spacing w:after="0" w:line="240" w:lineRule="auto"/>
        <w:ind w:firstLine="720"/>
        <w:jc w:val="both"/>
        <w:rPr>
          <w:rFonts w:ascii="Times New Roman" w:eastAsia="Times New Roman" w:hAnsi="Times New Roman" w:cs="Times New Roman"/>
          <w:sz w:val="24"/>
          <w:szCs w:val="24"/>
          <w:shd w:val="clear" w:color="auto" w:fill="FFFFFF"/>
          <w:lang w:eastAsia="ru-RU"/>
        </w:rPr>
      </w:pPr>
      <w:r w:rsidRPr="00125FAF">
        <w:rPr>
          <w:rFonts w:ascii="Times New Roman" w:eastAsia="Times New Roman" w:hAnsi="Times New Roman" w:cs="Times New Roman"/>
          <w:sz w:val="24"/>
          <w:szCs w:val="24"/>
          <w:shd w:val="clear" w:color="auto" w:fill="FFFFFF"/>
          <w:lang w:eastAsia="ru-RU"/>
        </w:rPr>
        <w:t xml:space="preserve">Chiar dacă există o gamă largă de tehnologii cost-eficiente de reducere a emisiilor de gaze cu efect de seră, realizarea pe deplin a acestora </w:t>
      </w:r>
      <w:r w:rsidR="00FB0A4D" w:rsidRPr="00125FAF">
        <w:rPr>
          <w:rFonts w:ascii="Times New Roman" w:eastAsia="Times New Roman" w:hAnsi="Times New Roman" w:cs="Times New Roman"/>
          <w:sz w:val="24"/>
          <w:szCs w:val="24"/>
          <w:shd w:val="clear" w:color="auto" w:fill="FFFFFF"/>
          <w:lang w:eastAsia="ru-RU"/>
        </w:rPr>
        <w:t>întâmpină</w:t>
      </w:r>
      <w:r w:rsidRPr="00125FAF">
        <w:rPr>
          <w:rFonts w:ascii="Times New Roman" w:eastAsia="Times New Roman" w:hAnsi="Times New Roman" w:cs="Times New Roman"/>
          <w:sz w:val="24"/>
          <w:szCs w:val="24"/>
          <w:shd w:val="clear" w:color="auto" w:fill="FFFFFF"/>
          <w:lang w:eastAsia="ru-RU"/>
        </w:rPr>
        <w:t xml:space="preserve"> o multitudine de bariere economice. În sectorul industrial, companiile vor investi în atenuarea emisiilor de gaze cu efect de seră în măsura în care </w:t>
      </w:r>
      <w:r w:rsidR="003A177D" w:rsidRPr="00125FAF">
        <w:rPr>
          <w:rFonts w:ascii="Times New Roman" w:eastAsia="Times New Roman" w:hAnsi="Times New Roman" w:cs="Times New Roman"/>
          <w:sz w:val="24"/>
          <w:szCs w:val="24"/>
          <w:shd w:val="clear" w:color="auto" w:fill="FFFFFF"/>
          <w:lang w:eastAsia="ru-RU"/>
        </w:rPr>
        <w:t>ceilalți</w:t>
      </w:r>
      <w:r w:rsidRPr="00125FAF">
        <w:rPr>
          <w:rFonts w:ascii="Times New Roman" w:eastAsia="Times New Roman" w:hAnsi="Times New Roman" w:cs="Times New Roman"/>
          <w:sz w:val="24"/>
          <w:szCs w:val="24"/>
          <w:shd w:val="clear" w:color="auto" w:fill="FFFFFF"/>
          <w:lang w:eastAsia="ru-RU"/>
        </w:rPr>
        <w:t xml:space="preserve"> factori vor genera un profit în </w:t>
      </w:r>
      <w:proofErr w:type="spellStart"/>
      <w:r w:rsidRPr="00125FAF">
        <w:rPr>
          <w:rFonts w:ascii="Times New Roman" w:eastAsia="Times New Roman" w:hAnsi="Times New Roman" w:cs="Times New Roman"/>
          <w:sz w:val="24"/>
          <w:szCs w:val="24"/>
          <w:shd w:val="clear" w:color="auto" w:fill="FFFFFF"/>
          <w:lang w:eastAsia="ru-RU"/>
        </w:rPr>
        <w:t>investiţiile</w:t>
      </w:r>
      <w:proofErr w:type="spellEnd"/>
      <w:r w:rsidRPr="00125FAF">
        <w:rPr>
          <w:rFonts w:ascii="Times New Roman" w:eastAsia="Times New Roman" w:hAnsi="Times New Roman" w:cs="Times New Roman"/>
          <w:sz w:val="24"/>
          <w:szCs w:val="24"/>
          <w:shd w:val="clear" w:color="auto" w:fill="FFFFFF"/>
          <w:lang w:eastAsia="ru-RU"/>
        </w:rPr>
        <w:t xml:space="preserve"> lor.</w:t>
      </w:r>
    </w:p>
    <w:p w14:paraId="64B53A28" w14:textId="21EE29BD" w:rsidR="006364B2" w:rsidRPr="00125FAF" w:rsidRDefault="006364B2" w:rsidP="003E24C5">
      <w:pPr>
        <w:numPr>
          <w:ilvl w:val="0"/>
          <w:numId w:val="2"/>
        </w:numPr>
        <w:tabs>
          <w:tab w:val="left" w:pos="1134"/>
        </w:tabs>
        <w:spacing w:after="0" w:line="240" w:lineRule="auto"/>
        <w:ind w:firstLine="720"/>
        <w:jc w:val="both"/>
        <w:rPr>
          <w:rFonts w:ascii="Times New Roman" w:eastAsia="Times New Roman" w:hAnsi="Times New Roman" w:cs="Times New Roman"/>
          <w:sz w:val="24"/>
          <w:szCs w:val="24"/>
          <w:lang w:eastAsia="ru-RU"/>
        </w:rPr>
      </w:pPr>
      <w:r w:rsidRPr="00125FAF">
        <w:rPr>
          <w:rFonts w:ascii="Times New Roman" w:eastAsia="Times New Roman" w:hAnsi="Times New Roman" w:cs="Times New Roman"/>
          <w:sz w:val="24"/>
          <w:szCs w:val="24"/>
          <w:shd w:val="clear" w:color="auto" w:fill="FFFFFF"/>
          <w:lang w:eastAsia="ru-RU"/>
        </w:rPr>
        <w:t xml:space="preserve">Utilajele </w:t>
      </w:r>
      <w:proofErr w:type="spellStart"/>
      <w:r w:rsidRPr="00125FAF">
        <w:rPr>
          <w:rFonts w:ascii="Times New Roman" w:eastAsia="Times New Roman" w:hAnsi="Times New Roman" w:cs="Times New Roman"/>
          <w:sz w:val="24"/>
          <w:szCs w:val="24"/>
          <w:shd w:val="clear" w:color="auto" w:fill="FFFFFF"/>
          <w:lang w:eastAsia="ru-RU"/>
        </w:rPr>
        <w:t>şi</w:t>
      </w:r>
      <w:proofErr w:type="spellEnd"/>
      <w:r w:rsidRPr="00125FAF">
        <w:rPr>
          <w:rFonts w:ascii="Times New Roman" w:eastAsia="Times New Roman" w:hAnsi="Times New Roman" w:cs="Times New Roman"/>
          <w:sz w:val="24"/>
          <w:szCs w:val="24"/>
          <w:shd w:val="clear" w:color="auto" w:fill="FFFFFF"/>
          <w:lang w:eastAsia="ru-RU"/>
        </w:rPr>
        <w:t xml:space="preserve"> echipamentele existente la întreprinderile industriale din Republica Moldova au un grad sporit de uzură morală </w:t>
      </w:r>
      <w:proofErr w:type="spellStart"/>
      <w:r w:rsidRPr="00125FAF">
        <w:rPr>
          <w:rFonts w:ascii="Times New Roman" w:eastAsia="Times New Roman" w:hAnsi="Times New Roman" w:cs="Times New Roman"/>
          <w:sz w:val="24"/>
          <w:szCs w:val="24"/>
          <w:shd w:val="clear" w:color="auto" w:fill="FFFFFF"/>
          <w:lang w:eastAsia="ru-RU"/>
        </w:rPr>
        <w:t>şi</w:t>
      </w:r>
      <w:proofErr w:type="spellEnd"/>
      <w:r w:rsidRPr="00125FAF">
        <w:rPr>
          <w:rFonts w:ascii="Times New Roman" w:eastAsia="Times New Roman" w:hAnsi="Times New Roman" w:cs="Times New Roman"/>
          <w:sz w:val="24"/>
          <w:szCs w:val="24"/>
          <w:shd w:val="clear" w:color="auto" w:fill="FFFFFF"/>
          <w:lang w:eastAsia="ru-RU"/>
        </w:rPr>
        <w:t xml:space="preserve"> fizică, iar statul are </w:t>
      </w:r>
      <w:proofErr w:type="spellStart"/>
      <w:r w:rsidRPr="00125FAF">
        <w:rPr>
          <w:rFonts w:ascii="Times New Roman" w:eastAsia="Times New Roman" w:hAnsi="Times New Roman" w:cs="Times New Roman"/>
          <w:sz w:val="24"/>
          <w:szCs w:val="24"/>
          <w:shd w:val="clear" w:color="auto" w:fill="FFFFFF"/>
          <w:lang w:eastAsia="ru-RU"/>
        </w:rPr>
        <w:t>posibilităţi</w:t>
      </w:r>
      <w:proofErr w:type="spellEnd"/>
      <w:r w:rsidRPr="00125FAF">
        <w:rPr>
          <w:rFonts w:ascii="Times New Roman" w:eastAsia="Times New Roman" w:hAnsi="Times New Roman" w:cs="Times New Roman"/>
          <w:sz w:val="24"/>
          <w:szCs w:val="24"/>
          <w:shd w:val="clear" w:color="auto" w:fill="FFFFFF"/>
          <w:lang w:eastAsia="ru-RU"/>
        </w:rPr>
        <w:t xml:space="preserve"> reduse de a </w:t>
      </w:r>
      <w:proofErr w:type="spellStart"/>
      <w:r w:rsidRPr="00125FAF">
        <w:rPr>
          <w:rFonts w:ascii="Times New Roman" w:eastAsia="Times New Roman" w:hAnsi="Times New Roman" w:cs="Times New Roman"/>
          <w:sz w:val="24"/>
          <w:szCs w:val="24"/>
          <w:shd w:val="clear" w:color="auto" w:fill="FFFFFF"/>
          <w:lang w:eastAsia="ru-RU"/>
        </w:rPr>
        <w:t>susţine</w:t>
      </w:r>
      <w:proofErr w:type="spellEnd"/>
      <w:r w:rsidRPr="00125FAF">
        <w:rPr>
          <w:rFonts w:ascii="Times New Roman" w:eastAsia="Times New Roman" w:hAnsi="Times New Roman" w:cs="Times New Roman"/>
          <w:sz w:val="24"/>
          <w:szCs w:val="24"/>
          <w:shd w:val="clear" w:color="auto" w:fill="FFFFFF"/>
          <w:lang w:eastAsia="ru-RU"/>
        </w:rPr>
        <w:t xml:space="preserve"> financiar procesul de restructurare </w:t>
      </w:r>
      <w:proofErr w:type="spellStart"/>
      <w:r w:rsidRPr="00125FAF">
        <w:rPr>
          <w:rFonts w:ascii="Times New Roman" w:eastAsia="Times New Roman" w:hAnsi="Times New Roman" w:cs="Times New Roman"/>
          <w:sz w:val="24"/>
          <w:szCs w:val="24"/>
          <w:shd w:val="clear" w:color="auto" w:fill="FFFFFF"/>
          <w:lang w:eastAsia="ru-RU"/>
        </w:rPr>
        <w:t>şi</w:t>
      </w:r>
      <w:proofErr w:type="spellEnd"/>
      <w:r w:rsidRPr="00125FAF">
        <w:rPr>
          <w:rFonts w:ascii="Times New Roman" w:eastAsia="Times New Roman" w:hAnsi="Times New Roman" w:cs="Times New Roman"/>
          <w:sz w:val="24"/>
          <w:szCs w:val="24"/>
          <w:shd w:val="clear" w:color="auto" w:fill="FFFFFF"/>
          <w:lang w:eastAsia="ru-RU"/>
        </w:rPr>
        <w:t xml:space="preserve"> reutilare a întreprinderilor industriale.</w:t>
      </w:r>
    </w:p>
    <w:p w14:paraId="1784EF18" w14:textId="1FB7CD1F" w:rsidR="006364B2" w:rsidRPr="00125FAF" w:rsidRDefault="006364B2" w:rsidP="003E24C5">
      <w:pPr>
        <w:numPr>
          <w:ilvl w:val="0"/>
          <w:numId w:val="2"/>
        </w:numPr>
        <w:tabs>
          <w:tab w:val="left" w:pos="1134"/>
        </w:tabs>
        <w:spacing w:after="0" w:line="240" w:lineRule="auto"/>
        <w:ind w:firstLine="720"/>
        <w:jc w:val="both"/>
        <w:rPr>
          <w:rFonts w:ascii="Times New Roman" w:eastAsia="Times New Roman" w:hAnsi="Times New Roman" w:cs="Times New Roman"/>
          <w:sz w:val="24"/>
          <w:szCs w:val="24"/>
          <w:lang w:eastAsia="ru-RU"/>
        </w:rPr>
      </w:pPr>
      <w:r w:rsidRPr="00125FAF">
        <w:rPr>
          <w:rFonts w:ascii="Times New Roman" w:eastAsia="Times New Roman" w:hAnsi="Times New Roman" w:cs="Times New Roman"/>
          <w:sz w:val="24"/>
          <w:szCs w:val="24"/>
          <w:shd w:val="clear" w:color="auto" w:fill="FFFFFF"/>
          <w:lang w:eastAsia="ru-RU"/>
        </w:rPr>
        <w:t xml:space="preserve">În industrie există un deficit </w:t>
      </w:r>
      <w:proofErr w:type="spellStart"/>
      <w:r w:rsidRPr="00125FAF">
        <w:rPr>
          <w:rFonts w:ascii="Times New Roman" w:eastAsia="Times New Roman" w:hAnsi="Times New Roman" w:cs="Times New Roman"/>
          <w:sz w:val="24"/>
          <w:szCs w:val="24"/>
          <w:shd w:val="clear" w:color="auto" w:fill="FFFFFF"/>
          <w:lang w:eastAsia="ru-RU"/>
        </w:rPr>
        <w:t>crescînd</w:t>
      </w:r>
      <w:proofErr w:type="spellEnd"/>
      <w:r w:rsidRPr="00125FAF">
        <w:rPr>
          <w:rFonts w:ascii="Times New Roman" w:eastAsia="Times New Roman" w:hAnsi="Times New Roman" w:cs="Times New Roman"/>
          <w:sz w:val="24"/>
          <w:szCs w:val="24"/>
          <w:shd w:val="clear" w:color="auto" w:fill="FFFFFF"/>
          <w:lang w:eastAsia="ru-RU"/>
        </w:rPr>
        <w:t xml:space="preserve"> de personal ingineresc </w:t>
      </w:r>
      <w:proofErr w:type="spellStart"/>
      <w:r w:rsidRPr="00125FAF">
        <w:rPr>
          <w:rFonts w:ascii="Times New Roman" w:eastAsia="Times New Roman" w:hAnsi="Times New Roman" w:cs="Times New Roman"/>
          <w:sz w:val="24"/>
          <w:szCs w:val="24"/>
          <w:shd w:val="clear" w:color="auto" w:fill="FFFFFF"/>
          <w:lang w:eastAsia="ru-RU"/>
        </w:rPr>
        <w:t>şi</w:t>
      </w:r>
      <w:proofErr w:type="spellEnd"/>
      <w:r w:rsidRPr="00125FAF">
        <w:rPr>
          <w:rFonts w:ascii="Times New Roman" w:eastAsia="Times New Roman" w:hAnsi="Times New Roman" w:cs="Times New Roman"/>
          <w:sz w:val="24"/>
          <w:szCs w:val="24"/>
          <w:shd w:val="clear" w:color="auto" w:fill="FFFFFF"/>
          <w:lang w:eastAsia="ru-RU"/>
        </w:rPr>
        <w:t xml:space="preserve"> tehnic calificat </w:t>
      </w:r>
      <w:proofErr w:type="spellStart"/>
      <w:r w:rsidRPr="00125FAF">
        <w:rPr>
          <w:rFonts w:ascii="Times New Roman" w:eastAsia="Times New Roman" w:hAnsi="Times New Roman" w:cs="Times New Roman"/>
          <w:sz w:val="24"/>
          <w:szCs w:val="24"/>
          <w:shd w:val="clear" w:color="auto" w:fill="FFFFFF"/>
          <w:lang w:eastAsia="ru-RU"/>
        </w:rPr>
        <w:t>şi</w:t>
      </w:r>
      <w:proofErr w:type="spellEnd"/>
      <w:r w:rsidRPr="00125FAF">
        <w:rPr>
          <w:rFonts w:ascii="Times New Roman" w:eastAsia="Times New Roman" w:hAnsi="Times New Roman" w:cs="Times New Roman"/>
          <w:sz w:val="24"/>
          <w:szCs w:val="24"/>
          <w:shd w:val="clear" w:color="auto" w:fill="FFFFFF"/>
          <w:lang w:eastAsia="ru-RU"/>
        </w:rPr>
        <w:t xml:space="preserve"> o </w:t>
      </w:r>
      <w:proofErr w:type="spellStart"/>
      <w:r w:rsidRPr="00125FAF">
        <w:rPr>
          <w:rFonts w:ascii="Times New Roman" w:eastAsia="Times New Roman" w:hAnsi="Times New Roman" w:cs="Times New Roman"/>
          <w:sz w:val="24"/>
          <w:szCs w:val="24"/>
          <w:shd w:val="clear" w:color="auto" w:fill="FFFFFF"/>
          <w:lang w:eastAsia="ru-RU"/>
        </w:rPr>
        <w:t>discordanţă</w:t>
      </w:r>
      <w:proofErr w:type="spellEnd"/>
      <w:r w:rsidRPr="00125FAF">
        <w:rPr>
          <w:rFonts w:ascii="Times New Roman" w:eastAsia="Times New Roman" w:hAnsi="Times New Roman" w:cs="Times New Roman"/>
          <w:sz w:val="24"/>
          <w:szCs w:val="24"/>
          <w:shd w:val="clear" w:color="auto" w:fill="FFFFFF"/>
          <w:lang w:eastAsia="ru-RU"/>
        </w:rPr>
        <w:t xml:space="preserve"> între formarea profesională a personalului tehnic </w:t>
      </w:r>
      <w:proofErr w:type="spellStart"/>
      <w:r w:rsidRPr="00125FAF">
        <w:rPr>
          <w:rFonts w:ascii="Times New Roman" w:eastAsia="Times New Roman" w:hAnsi="Times New Roman" w:cs="Times New Roman"/>
          <w:sz w:val="24"/>
          <w:szCs w:val="24"/>
          <w:shd w:val="clear" w:color="auto" w:fill="FFFFFF"/>
          <w:lang w:eastAsia="ru-RU"/>
        </w:rPr>
        <w:t>şi</w:t>
      </w:r>
      <w:proofErr w:type="spellEnd"/>
      <w:r w:rsidRPr="00125FAF">
        <w:rPr>
          <w:rFonts w:ascii="Times New Roman" w:eastAsia="Times New Roman" w:hAnsi="Times New Roman" w:cs="Times New Roman"/>
          <w:sz w:val="24"/>
          <w:szCs w:val="24"/>
          <w:shd w:val="clear" w:color="auto" w:fill="FFFFFF"/>
          <w:lang w:eastAsia="ru-RU"/>
        </w:rPr>
        <w:t xml:space="preserve"> </w:t>
      </w:r>
      <w:proofErr w:type="spellStart"/>
      <w:r w:rsidRPr="00125FAF">
        <w:rPr>
          <w:rFonts w:ascii="Times New Roman" w:eastAsia="Times New Roman" w:hAnsi="Times New Roman" w:cs="Times New Roman"/>
          <w:sz w:val="24"/>
          <w:szCs w:val="24"/>
          <w:shd w:val="clear" w:color="auto" w:fill="FFFFFF"/>
          <w:lang w:eastAsia="ru-RU"/>
        </w:rPr>
        <w:t>necesităţile</w:t>
      </w:r>
      <w:proofErr w:type="spellEnd"/>
      <w:r w:rsidRPr="00125FAF">
        <w:rPr>
          <w:rFonts w:ascii="Times New Roman" w:eastAsia="Times New Roman" w:hAnsi="Times New Roman" w:cs="Times New Roman"/>
          <w:sz w:val="24"/>
          <w:szCs w:val="24"/>
          <w:shd w:val="clear" w:color="auto" w:fill="FFFFFF"/>
          <w:lang w:eastAsia="ru-RU"/>
        </w:rPr>
        <w:t xml:space="preserve"> industriei.</w:t>
      </w:r>
    </w:p>
    <w:p w14:paraId="6944E584" w14:textId="6D1F81FA" w:rsidR="00D66772" w:rsidRPr="00125FAF" w:rsidRDefault="00D66772" w:rsidP="003E24C5">
      <w:pPr>
        <w:numPr>
          <w:ilvl w:val="0"/>
          <w:numId w:val="2"/>
        </w:numPr>
        <w:tabs>
          <w:tab w:val="left" w:pos="1134"/>
        </w:tabs>
        <w:spacing w:after="0" w:line="240" w:lineRule="auto"/>
        <w:ind w:firstLine="720"/>
        <w:jc w:val="both"/>
        <w:rPr>
          <w:rFonts w:ascii="Times New Roman" w:eastAsia="Times New Roman" w:hAnsi="Times New Roman" w:cs="Times New Roman"/>
          <w:sz w:val="24"/>
          <w:szCs w:val="24"/>
          <w:lang w:eastAsia="ru-RU"/>
        </w:rPr>
      </w:pPr>
      <w:r w:rsidRPr="00125FAF">
        <w:rPr>
          <w:rFonts w:ascii="Times New Roman" w:eastAsia="Times New Roman" w:hAnsi="Times New Roman" w:cs="Times New Roman"/>
          <w:sz w:val="24"/>
          <w:szCs w:val="24"/>
          <w:lang w:eastAsia="ru-RU"/>
        </w:rPr>
        <w:t>În sectorul industrial există și problema stingerii datoriilor istorice, precum spre exemplu, este cazul unor fabrici de sticlă, cărămidă, zahăr, implicate în litigii judecătorești de lunga durata, ca urmare a datoriilor istorice și de rambursare a TVA.</w:t>
      </w:r>
    </w:p>
    <w:p w14:paraId="6CCA366C" w14:textId="3BF7379D" w:rsidR="00D66772" w:rsidRPr="00125FAF" w:rsidRDefault="00D66772" w:rsidP="003E24C5">
      <w:pPr>
        <w:numPr>
          <w:ilvl w:val="0"/>
          <w:numId w:val="2"/>
        </w:numPr>
        <w:tabs>
          <w:tab w:val="left" w:pos="1134"/>
        </w:tabs>
        <w:spacing w:after="0" w:line="240" w:lineRule="auto"/>
        <w:ind w:firstLine="720"/>
        <w:jc w:val="both"/>
        <w:rPr>
          <w:rFonts w:ascii="Times New Roman" w:eastAsia="Times New Roman" w:hAnsi="Times New Roman" w:cs="Times New Roman"/>
          <w:sz w:val="24"/>
          <w:szCs w:val="24"/>
          <w:lang w:eastAsia="ru-RU"/>
        </w:rPr>
      </w:pPr>
      <w:r w:rsidRPr="00125FAF">
        <w:rPr>
          <w:rFonts w:ascii="Times New Roman" w:eastAsia="Times New Roman" w:hAnsi="Times New Roman" w:cs="Times New Roman"/>
          <w:sz w:val="24"/>
          <w:szCs w:val="24"/>
          <w:lang w:eastAsia="ru-RU"/>
        </w:rPr>
        <w:t>Unele produse industriale (spre exemplu, produsele lactate, produsele de panificație) sunt produse sociale, respectiv prețurile sunt reglementate de stat</w:t>
      </w:r>
      <w:r w:rsidR="00B81C95" w:rsidRPr="00125FAF">
        <w:rPr>
          <w:rFonts w:ascii="Times New Roman" w:eastAsia="Times New Roman" w:hAnsi="Times New Roman" w:cs="Times New Roman"/>
          <w:sz w:val="24"/>
          <w:szCs w:val="24"/>
          <w:lang w:eastAsia="ru-RU"/>
        </w:rPr>
        <w:t xml:space="preserve">, fapt ce împiedică </w:t>
      </w:r>
      <w:r w:rsidRPr="00125FAF">
        <w:rPr>
          <w:rFonts w:ascii="Times New Roman" w:eastAsia="Times New Roman" w:hAnsi="Times New Roman" w:cs="Times New Roman"/>
          <w:sz w:val="24"/>
          <w:szCs w:val="24"/>
          <w:lang w:eastAsia="ru-RU"/>
        </w:rPr>
        <w:t>acumul</w:t>
      </w:r>
      <w:r w:rsidR="00B81C95" w:rsidRPr="00125FAF">
        <w:rPr>
          <w:rFonts w:ascii="Times New Roman" w:eastAsia="Times New Roman" w:hAnsi="Times New Roman" w:cs="Times New Roman"/>
          <w:sz w:val="24"/>
          <w:szCs w:val="24"/>
          <w:lang w:eastAsia="ru-RU"/>
        </w:rPr>
        <w:t xml:space="preserve">area </w:t>
      </w:r>
      <w:r w:rsidRPr="00125FAF">
        <w:rPr>
          <w:rFonts w:ascii="Times New Roman" w:eastAsia="Times New Roman" w:hAnsi="Times New Roman" w:cs="Times New Roman"/>
          <w:sz w:val="24"/>
          <w:szCs w:val="24"/>
          <w:lang w:eastAsia="ru-RU"/>
        </w:rPr>
        <w:t>venituri</w:t>
      </w:r>
      <w:r w:rsidR="00B81C95" w:rsidRPr="00125FAF">
        <w:rPr>
          <w:rFonts w:ascii="Times New Roman" w:eastAsia="Times New Roman" w:hAnsi="Times New Roman" w:cs="Times New Roman"/>
          <w:sz w:val="24"/>
          <w:szCs w:val="24"/>
          <w:lang w:eastAsia="ru-RU"/>
        </w:rPr>
        <w:t>lor</w:t>
      </w:r>
      <w:r w:rsidRPr="00125FAF">
        <w:rPr>
          <w:rFonts w:ascii="Times New Roman" w:eastAsia="Times New Roman" w:hAnsi="Times New Roman" w:cs="Times New Roman"/>
          <w:sz w:val="24"/>
          <w:szCs w:val="24"/>
          <w:lang w:eastAsia="ru-RU"/>
        </w:rPr>
        <w:t xml:space="preserve"> în măsură pentru a putea investi în modernizarea și implementarea standardelor UE, inclusiv în vederea exportării produselor sale. Republica Moldova deocamdată nu poate livra produse de origine animală în țările Uniunii Europene din cauza inexistenței trasabilității produselor de origine animală.</w:t>
      </w:r>
    </w:p>
    <w:p w14:paraId="496DC393" w14:textId="6B6455D4" w:rsidR="006364B2" w:rsidRPr="00125FAF" w:rsidRDefault="006364B2" w:rsidP="003E24C5">
      <w:pPr>
        <w:numPr>
          <w:ilvl w:val="0"/>
          <w:numId w:val="2"/>
        </w:numPr>
        <w:tabs>
          <w:tab w:val="left" w:pos="1134"/>
        </w:tabs>
        <w:spacing w:after="0" w:line="240" w:lineRule="auto"/>
        <w:ind w:firstLine="720"/>
        <w:jc w:val="both"/>
        <w:rPr>
          <w:rFonts w:ascii="Times New Roman" w:eastAsia="Times New Roman" w:hAnsi="Times New Roman" w:cs="Times New Roman"/>
          <w:sz w:val="24"/>
          <w:szCs w:val="24"/>
          <w:lang w:eastAsia="ru-RU"/>
        </w:rPr>
      </w:pPr>
      <w:r w:rsidRPr="00125FAF">
        <w:rPr>
          <w:rFonts w:ascii="Times New Roman" w:eastAsia="Times New Roman" w:hAnsi="Times New Roman" w:cs="Times New Roman"/>
          <w:sz w:val="24"/>
          <w:szCs w:val="24"/>
          <w:shd w:val="clear" w:color="auto" w:fill="FFFFFF"/>
          <w:lang w:eastAsia="ru-RU"/>
        </w:rPr>
        <w:t xml:space="preserve">Instabilitatea </w:t>
      </w:r>
      <w:proofErr w:type="spellStart"/>
      <w:r w:rsidRPr="00125FAF">
        <w:rPr>
          <w:rFonts w:ascii="Times New Roman" w:eastAsia="Times New Roman" w:hAnsi="Times New Roman" w:cs="Times New Roman"/>
          <w:sz w:val="24"/>
          <w:szCs w:val="24"/>
          <w:shd w:val="clear" w:color="auto" w:fill="FFFFFF"/>
          <w:lang w:eastAsia="ru-RU"/>
        </w:rPr>
        <w:t>legislaţiei</w:t>
      </w:r>
      <w:proofErr w:type="spellEnd"/>
      <w:r w:rsidRPr="00125FAF">
        <w:rPr>
          <w:rFonts w:ascii="Times New Roman" w:eastAsia="Times New Roman" w:hAnsi="Times New Roman" w:cs="Times New Roman"/>
          <w:sz w:val="24"/>
          <w:szCs w:val="24"/>
          <w:shd w:val="clear" w:color="auto" w:fill="FFFFFF"/>
          <w:lang w:eastAsia="ru-RU"/>
        </w:rPr>
        <w:t xml:space="preserve">, în special în domeniul politicii fiscale </w:t>
      </w:r>
      <w:proofErr w:type="spellStart"/>
      <w:r w:rsidRPr="00125FAF">
        <w:rPr>
          <w:rFonts w:ascii="Times New Roman" w:eastAsia="Times New Roman" w:hAnsi="Times New Roman" w:cs="Times New Roman"/>
          <w:sz w:val="24"/>
          <w:szCs w:val="24"/>
          <w:shd w:val="clear" w:color="auto" w:fill="FFFFFF"/>
          <w:lang w:eastAsia="ru-RU"/>
        </w:rPr>
        <w:t>şi</w:t>
      </w:r>
      <w:proofErr w:type="spellEnd"/>
      <w:r w:rsidRPr="00125FAF">
        <w:rPr>
          <w:rFonts w:ascii="Times New Roman" w:eastAsia="Times New Roman" w:hAnsi="Times New Roman" w:cs="Times New Roman"/>
          <w:sz w:val="24"/>
          <w:szCs w:val="24"/>
          <w:shd w:val="clear" w:color="auto" w:fill="FFFFFF"/>
          <w:lang w:eastAsia="ru-RU"/>
        </w:rPr>
        <w:t xml:space="preserve"> bugetare, </w:t>
      </w:r>
      <w:proofErr w:type="spellStart"/>
      <w:r w:rsidRPr="00125FAF">
        <w:rPr>
          <w:rFonts w:ascii="Times New Roman" w:eastAsia="Times New Roman" w:hAnsi="Times New Roman" w:cs="Times New Roman"/>
          <w:sz w:val="24"/>
          <w:szCs w:val="24"/>
          <w:shd w:val="clear" w:color="auto" w:fill="FFFFFF"/>
          <w:lang w:eastAsia="ru-RU"/>
        </w:rPr>
        <w:t>posibilităţile</w:t>
      </w:r>
      <w:proofErr w:type="spellEnd"/>
      <w:r w:rsidRPr="00125FAF">
        <w:rPr>
          <w:rFonts w:ascii="Times New Roman" w:eastAsia="Times New Roman" w:hAnsi="Times New Roman" w:cs="Times New Roman"/>
          <w:sz w:val="24"/>
          <w:szCs w:val="24"/>
          <w:shd w:val="clear" w:color="auto" w:fill="FFFFFF"/>
          <w:lang w:eastAsia="ru-RU"/>
        </w:rPr>
        <w:t xml:space="preserve"> reduse ale statului pentru </w:t>
      </w:r>
      <w:proofErr w:type="spellStart"/>
      <w:r w:rsidRPr="00125FAF">
        <w:rPr>
          <w:rFonts w:ascii="Times New Roman" w:eastAsia="Times New Roman" w:hAnsi="Times New Roman" w:cs="Times New Roman"/>
          <w:sz w:val="24"/>
          <w:szCs w:val="24"/>
          <w:shd w:val="clear" w:color="auto" w:fill="FFFFFF"/>
          <w:lang w:eastAsia="ru-RU"/>
        </w:rPr>
        <w:t>susţinerea</w:t>
      </w:r>
      <w:proofErr w:type="spellEnd"/>
      <w:r w:rsidRPr="00125FAF">
        <w:rPr>
          <w:rFonts w:ascii="Times New Roman" w:eastAsia="Times New Roman" w:hAnsi="Times New Roman" w:cs="Times New Roman"/>
          <w:sz w:val="24"/>
          <w:szCs w:val="24"/>
          <w:shd w:val="clear" w:color="auto" w:fill="FFFFFF"/>
          <w:lang w:eastAsia="ru-RU"/>
        </w:rPr>
        <w:t xml:space="preserve"> financiară a procesului de restructurare a întreprinderilor industriale, standardele învechite de tip GOST, care nu permit diversificarea gamei de produse </w:t>
      </w:r>
      <w:proofErr w:type="spellStart"/>
      <w:r w:rsidRPr="00125FAF">
        <w:rPr>
          <w:rFonts w:ascii="Times New Roman" w:eastAsia="Times New Roman" w:hAnsi="Times New Roman" w:cs="Times New Roman"/>
          <w:sz w:val="24"/>
          <w:szCs w:val="24"/>
          <w:shd w:val="clear" w:color="auto" w:fill="FFFFFF"/>
          <w:lang w:eastAsia="ru-RU"/>
        </w:rPr>
        <w:t>şi</w:t>
      </w:r>
      <w:proofErr w:type="spellEnd"/>
      <w:r w:rsidRPr="00125FAF">
        <w:rPr>
          <w:rFonts w:ascii="Times New Roman" w:eastAsia="Times New Roman" w:hAnsi="Times New Roman" w:cs="Times New Roman"/>
          <w:sz w:val="24"/>
          <w:szCs w:val="24"/>
          <w:shd w:val="clear" w:color="auto" w:fill="FFFFFF"/>
          <w:lang w:eastAsia="ru-RU"/>
        </w:rPr>
        <w:t xml:space="preserve"> contribuie la </w:t>
      </w:r>
      <w:proofErr w:type="spellStart"/>
      <w:r w:rsidRPr="00125FAF">
        <w:rPr>
          <w:rFonts w:ascii="Times New Roman" w:eastAsia="Times New Roman" w:hAnsi="Times New Roman" w:cs="Times New Roman"/>
          <w:sz w:val="24"/>
          <w:szCs w:val="24"/>
          <w:shd w:val="clear" w:color="auto" w:fill="FFFFFF"/>
          <w:lang w:eastAsia="ru-RU"/>
        </w:rPr>
        <w:t>menţinerea</w:t>
      </w:r>
      <w:proofErr w:type="spellEnd"/>
      <w:r w:rsidRPr="00125FAF">
        <w:rPr>
          <w:rFonts w:ascii="Times New Roman" w:eastAsia="Times New Roman" w:hAnsi="Times New Roman" w:cs="Times New Roman"/>
          <w:sz w:val="24"/>
          <w:szCs w:val="24"/>
          <w:shd w:val="clear" w:color="auto" w:fill="FFFFFF"/>
          <w:lang w:eastAsia="ru-RU"/>
        </w:rPr>
        <w:t xml:space="preserve"> nivelului înalt de emisii.</w:t>
      </w:r>
    </w:p>
    <w:p w14:paraId="12F4C43C" w14:textId="43616583" w:rsidR="006364B2" w:rsidRPr="00125FAF" w:rsidRDefault="006364B2" w:rsidP="003E24C5">
      <w:pPr>
        <w:numPr>
          <w:ilvl w:val="0"/>
          <w:numId w:val="2"/>
        </w:numPr>
        <w:tabs>
          <w:tab w:val="left" w:pos="1134"/>
        </w:tabs>
        <w:spacing w:after="0" w:line="240" w:lineRule="auto"/>
        <w:ind w:firstLine="720"/>
        <w:jc w:val="both"/>
        <w:rPr>
          <w:rFonts w:ascii="Times New Roman" w:eastAsia="Times New Roman" w:hAnsi="Times New Roman" w:cs="Times New Roman"/>
          <w:sz w:val="24"/>
          <w:szCs w:val="24"/>
          <w:lang w:eastAsia="ru-RU"/>
        </w:rPr>
      </w:pPr>
      <w:r w:rsidRPr="00125FAF">
        <w:rPr>
          <w:rFonts w:ascii="Times New Roman" w:eastAsia="Times New Roman" w:hAnsi="Times New Roman" w:cs="Times New Roman"/>
          <w:sz w:val="24"/>
          <w:szCs w:val="24"/>
          <w:shd w:val="clear" w:color="auto" w:fill="FFFFFF"/>
          <w:lang w:eastAsia="ru-RU"/>
        </w:rPr>
        <w:lastRenderedPageBreak/>
        <w:t xml:space="preserve">Lipsa unui mediu de afaceri favorabil este, de asemenea, o barieră în calea transferului tehnologic. Abilitatea întreprinderilor mici </w:t>
      </w:r>
      <w:proofErr w:type="spellStart"/>
      <w:r w:rsidRPr="00125FAF">
        <w:rPr>
          <w:rFonts w:ascii="Times New Roman" w:eastAsia="Times New Roman" w:hAnsi="Times New Roman" w:cs="Times New Roman"/>
          <w:sz w:val="24"/>
          <w:szCs w:val="24"/>
          <w:shd w:val="clear" w:color="auto" w:fill="FFFFFF"/>
          <w:lang w:eastAsia="ru-RU"/>
        </w:rPr>
        <w:t>şi</w:t>
      </w:r>
      <w:proofErr w:type="spellEnd"/>
      <w:r w:rsidRPr="00125FAF">
        <w:rPr>
          <w:rFonts w:ascii="Times New Roman" w:eastAsia="Times New Roman" w:hAnsi="Times New Roman" w:cs="Times New Roman"/>
          <w:sz w:val="24"/>
          <w:szCs w:val="24"/>
          <w:shd w:val="clear" w:color="auto" w:fill="FFFFFF"/>
          <w:lang w:eastAsia="ru-RU"/>
        </w:rPr>
        <w:t xml:space="preserve"> mijlocii</w:t>
      </w:r>
      <w:r w:rsidR="001C45C0" w:rsidRPr="00125FAF">
        <w:rPr>
          <w:rFonts w:ascii="Times New Roman" w:eastAsia="Times New Roman" w:hAnsi="Times New Roman" w:cs="Times New Roman"/>
          <w:sz w:val="24"/>
          <w:szCs w:val="24"/>
          <w:shd w:val="clear" w:color="auto" w:fill="FFFFFF"/>
          <w:lang w:eastAsia="ru-RU"/>
        </w:rPr>
        <w:t xml:space="preserve"> (care constituie 99,6%</w:t>
      </w:r>
      <w:r w:rsidR="003511D6" w:rsidRPr="00125FAF">
        <w:rPr>
          <w:rFonts w:ascii="Times New Roman" w:eastAsia="Times New Roman" w:hAnsi="Times New Roman" w:cs="Times New Roman"/>
          <w:sz w:val="24"/>
          <w:szCs w:val="24"/>
          <w:shd w:val="clear" w:color="auto" w:fill="FFFFFF"/>
          <w:lang w:eastAsia="ru-RU"/>
        </w:rPr>
        <w:t xml:space="preserve"> în 2019</w:t>
      </w:r>
      <w:r w:rsidR="001C45C0" w:rsidRPr="00125FAF">
        <w:rPr>
          <w:rStyle w:val="Referinnotdesubsol"/>
          <w:rFonts w:ascii="Times New Roman" w:eastAsia="Times New Roman" w:hAnsi="Times New Roman" w:cs="Times New Roman"/>
          <w:sz w:val="24"/>
          <w:szCs w:val="24"/>
          <w:shd w:val="clear" w:color="auto" w:fill="FFFFFF"/>
          <w:lang w:eastAsia="ru-RU"/>
        </w:rPr>
        <w:footnoteReference w:id="5"/>
      </w:r>
      <w:r w:rsidR="001C45C0" w:rsidRPr="00125FAF">
        <w:rPr>
          <w:rFonts w:ascii="Times New Roman" w:eastAsia="Times New Roman" w:hAnsi="Times New Roman" w:cs="Times New Roman"/>
          <w:sz w:val="24"/>
          <w:szCs w:val="24"/>
          <w:shd w:val="clear" w:color="auto" w:fill="FFFFFF"/>
          <w:lang w:eastAsia="ru-RU"/>
        </w:rPr>
        <w:t>)</w:t>
      </w:r>
      <w:r w:rsidR="004E2700" w:rsidRPr="00125FAF">
        <w:rPr>
          <w:rFonts w:ascii="Times New Roman" w:eastAsia="Times New Roman" w:hAnsi="Times New Roman" w:cs="Times New Roman"/>
          <w:sz w:val="24"/>
          <w:szCs w:val="24"/>
          <w:shd w:val="clear" w:color="auto" w:fill="FFFFFF"/>
          <w:lang w:eastAsia="ru-RU"/>
        </w:rPr>
        <w:t xml:space="preserve">, </w:t>
      </w:r>
      <w:r w:rsidR="001C45C0" w:rsidRPr="00125FAF">
        <w:rPr>
          <w:rFonts w:ascii="Times New Roman" w:eastAsia="Times New Roman" w:hAnsi="Times New Roman" w:cs="Times New Roman"/>
          <w:sz w:val="24"/>
          <w:szCs w:val="24"/>
          <w:shd w:val="clear" w:color="auto" w:fill="FFFFFF"/>
          <w:lang w:eastAsia="ru-RU"/>
        </w:rPr>
        <w:t xml:space="preserve">inclusiv a întreprinderilor micro, care sunt în măsură mai mare gestionate de femei (90,3%) comparativ </w:t>
      </w:r>
      <w:r w:rsidR="003511D6" w:rsidRPr="00125FAF">
        <w:rPr>
          <w:rFonts w:ascii="Times New Roman" w:eastAsia="Times New Roman" w:hAnsi="Times New Roman" w:cs="Times New Roman"/>
          <w:sz w:val="24"/>
          <w:szCs w:val="24"/>
          <w:shd w:val="clear" w:color="auto" w:fill="FFFFFF"/>
          <w:lang w:eastAsia="ru-RU"/>
        </w:rPr>
        <w:t>cu ponderea întreprinderilor micro gestionate de bărbați</w:t>
      </w:r>
      <w:r w:rsidR="001C45C0" w:rsidRPr="00125FAF">
        <w:rPr>
          <w:rFonts w:ascii="Times New Roman" w:eastAsia="Times New Roman" w:hAnsi="Times New Roman" w:cs="Times New Roman"/>
          <w:sz w:val="24"/>
          <w:szCs w:val="24"/>
          <w:shd w:val="clear" w:color="auto" w:fill="FFFFFF"/>
          <w:lang w:eastAsia="ru-RU"/>
        </w:rPr>
        <w:t xml:space="preserve"> (</w:t>
      </w:r>
      <w:r w:rsidR="003511D6" w:rsidRPr="00125FAF">
        <w:rPr>
          <w:rFonts w:ascii="Times New Roman" w:eastAsia="Times New Roman" w:hAnsi="Times New Roman" w:cs="Times New Roman"/>
          <w:sz w:val="24"/>
          <w:szCs w:val="24"/>
          <w:shd w:val="clear" w:color="auto" w:fill="FFFFFF"/>
          <w:lang w:eastAsia="ru-RU"/>
        </w:rPr>
        <w:t>82,3%</w:t>
      </w:r>
      <w:r w:rsidR="001C45C0" w:rsidRPr="00125FAF">
        <w:rPr>
          <w:rFonts w:ascii="Times New Roman" w:eastAsia="Times New Roman" w:hAnsi="Times New Roman" w:cs="Times New Roman"/>
          <w:sz w:val="24"/>
          <w:szCs w:val="24"/>
          <w:shd w:val="clear" w:color="auto" w:fill="FFFFFF"/>
          <w:lang w:eastAsia="ru-RU"/>
        </w:rPr>
        <w:t>)</w:t>
      </w:r>
      <w:r w:rsidR="004E2700" w:rsidRPr="00125FAF">
        <w:rPr>
          <w:rFonts w:ascii="Times New Roman" w:eastAsia="Times New Roman" w:hAnsi="Times New Roman" w:cs="Times New Roman"/>
          <w:sz w:val="24"/>
          <w:szCs w:val="24"/>
          <w:shd w:val="clear" w:color="auto" w:fill="FFFFFF"/>
          <w:lang w:eastAsia="ru-RU"/>
        </w:rPr>
        <w:t>,</w:t>
      </w:r>
      <w:r w:rsidRPr="00125FAF">
        <w:rPr>
          <w:rFonts w:ascii="Times New Roman" w:eastAsia="Times New Roman" w:hAnsi="Times New Roman" w:cs="Times New Roman"/>
          <w:sz w:val="24"/>
          <w:szCs w:val="24"/>
          <w:shd w:val="clear" w:color="auto" w:fill="FFFFFF"/>
          <w:lang w:eastAsia="ru-RU"/>
        </w:rPr>
        <w:t xml:space="preserve"> de a accesa </w:t>
      </w:r>
      <w:proofErr w:type="spellStart"/>
      <w:r w:rsidRPr="00125FAF">
        <w:rPr>
          <w:rFonts w:ascii="Times New Roman" w:eastAsia="Times New Roman" w:hAnsi="Times New Roman" w:cs="Times New Roman"/>
          <w:sz w:val="24"/>
          <w:szCs w:val="24"/>
          <w:shd w:val="clear" w:color="auto" w:fill="FFFFFF"/>
          <w:lang w:eastAsia="ru-RU"/>
        </w:rPr>
        <w:t>şi</w:t>
      </w:r>
      <w:proofErr w:type="spellEnd"/>
      <w:r w:rsidRPr="00125FAF">
        <w:rPr>
          <w:rFonts w:ascii="Times New Roman" w:eastAsia="Times New Roman" w:hAnsi="Times New Roman" w:cs="Times New Roman"/>
          <w:sz w:val="24"/>
          <w:szCs w:val="24"/>
          <w:shd w:val="clear" w:color="auto" w:fill="FFFFFF"/>
          <w:lang w:eastAsia="ru-RU"/>
        </w:rPr>
        <w:t xml:space="preserve"> de a absorbi </w:t>
      </w:r>
      <w:proofErr w:type="spellStart"/>
      <w:r w:rsidRPr="00125FAF">
        <w:rPr>
          <w:rFonts w:ascii="Times New Roman" w:eastAsia="Times New Roman" w:hAnsi="Times New Roman" w:cs="Times New Roman"/>
          <w:sz w:val="24"/>
          <w:szCs w:val="24"/>
          <w:shd w:val="clear" w:color="auto" w:fill="FFFFFF"/>
          <w:lang w:eastAsia="ru-RU"/>
        </w:rPr>
        <w:t>informaţiile</w:t>
      </w:r>
      <w:proofErr w:type="spellEnd"/>
      <w:r w:rsidRPr="00125FAF">
        <w:rPr>
          <w:rFonts w:ascii="Times New Roman" w:eastAsia="Times New Roman" w:hAnsi="Times New Roman" w:cs="Times New Roman"/>
          <w:sz w:val="24"/>
          <w:szCs w:val="24"/>
          <w:shd w:val="clear" w:color="auto" w:fill="FFFFFF"/>
          <w:lang w:eastAsia="ru-RU"/>
        </w:rPr>
        <w:t xml:space="preserve"> privind cele mai performante tehnologii este adesea limitată. Chiar </w:t>
      </w:r>
      <w:proofErr w:type="spellStart"/>
      <w:r w:rsidRPr="00125FAF">
        <w:rPr>
          <w:rFonts w:ascii="Times New Roman" w:eastAsia="Times New Roman" w:hAnsi="Times New Roman" w:cs="Times New Roman"/>
          <w:sz w:val="24"/>
          <w:szCs w:val="24"/>
          <w:shd w:val="clear" w:color="auto" w:fill="FFFFFF"/>
          <w:lang w:eastAsia="ru-RU"/>
        </w:rPr>
        <w:t>şi</w:t>
      </w:r>
      <w:proofErr w:type="spellEnd"/>
      <w:r w:rsidRPr="00125FAF">
        <w:rPr>
          <w:rFonts w:ascii="Times New Roman" w:eastAsia="Times New Roman" w:hAnsi="Times New Roman" w:cs="Times New Roman"/>
          <w:sz w:val="24"/>
          <w:szCs w:val="24"/>
          <w:shd w:val="clear" w:color="auto" w:fill="FFFFFF"/>
          <w:lang w:eastAsia="ru-RU"/>
        </w:rPr>
        <w:t xml:space="preserve"> marile companii au resurse tehnice limitate pentru a interpreta </w:t>
      </w:r>
      <w:proofErr w:type="spellStart"/>
      <w:r w:rsidRPr="00125FAF">
        <w:rPr>
          <w:rFonts w:ascii="Times New Roman" w:eastAsia="Times New Roman" w:hAnsi="Times New Roman" w:cs="Times New Roman"/>
          <w:sz w:val="24"/>
          <w:szCs w:val="24"/>
          <w:shd w:val="clear" w:color="auto" w:fill="FFFFFF"/>
          <w:lang w:eastAsia="ru-RU"/>
        </w:rPr>
        <w:t>şi</w:t>
      </w:r>
      <w:proofErr w:type="spellEnd"/>
      <w:r w:rsidRPr="00125FAF">
        <w:rPr>
          <w:rFonts w:ascii="Times New Roman" w:eastAsia="Times New Roman" w:hAnsi="Times New Roman" w:cs="Times New Roman"/>
          <w:sz w:val="24"/>
          <w:szCs w:val="24"/>
          <w:shd w:val="clear" w:color="auto" w:fill="FFFFFF"/>
          <w:lang w:eastAsia="ru-RU"/>
        </w:rPr>
        <w:t xml:space="preserve"> a traduce </w:t>
      </w:r>
      <w:proofErr w:type="spellStart"/>
      <w:r w:rsidRPr="00125FAF">
        <w:rPr>
          <w:rFonts w:ascii="Times New Roman" w:eastAsia="Times New Roman" w:hAnsi="Times New Roman" w:cs="Times New Roman"/>
          <w:sz w:val="24"/>
          <w:szCs w:val="24"/>
          <w:shd w:val="clear" w:color="auto" w:fill="FFFFFF"/>
          <w:lang w:eastAsia="ru-RU"/>
        </w:rPr>
        <w:t>informaţiile</w:t>
      </w:r>
      <w:proofErr w:type="spellEnd"/>
      <w:r w:rsidRPr="00125FAF">
        <w:rPr>
          <w:rFonts w:ascii="Times New Roman" w:eastAsia="Times New Roman" w:hAnsi="Times New Roman" w:cs="Times New Roman"/>
          <w:sz w:val="24"/>
          <w:szCs w:val="24"/>
          <w:shd w:val="clear" w:color="auto" w:fill="FFFFFF"/>
          <w:lang w:eastAsia="ru-RU"/>
        </w:rPr>
        <w:t xml:space="preserve"> disponibile la acest subiect.</w:t>
      </w:r>
    </w:p>
    <w:p w14:paraId="5318DF81" w14:textId="03AAA042" w:rsidR="006364B2" w:rsidRPr="00125FAF" w:rsidRDefault="006364B2" w:rsidP="003E24C5">
      <w:pPr>
        <w:numPr>
          <w:ilvl w:val="0"/>
          <w:numId w:val="2"/>
        </w:numPr>
        <w:tabs>
          <w:tab w:val="left" w:pos="1134"/>
        </w:tabs>
        <w:spacing w:after="120" w:line="240" w:lineRule="auto"/>
        <w:ind w:left="389" w:firstLine="720"/>
        <w:jc w:val="both"/>
        <w:rPr>
          <w:rFonts w:ascii="Times New Roman" w:eastAsia="Times New Roman" w:hAnsi="Times New Roman" w:cs="Times New Roman"/>
          <w:sz w:val="24"/>
          <w:szCs w:val="24"/>
          <w:lang w:eastAsia="ru-RU"/>
        </w:rPr>
      </w:pPr>
      <w:r w:rsidRPr="00125FAF">
        <w:rPr>
          <w:rFonts w:ascii="Times New Roman" w:eastAsia="Times New Roman" w:hAnsi="Times New Roman" w:cs="Times New Roman"/>
          <w:sz w:val="24"/>
          <w:szCs w:val="24"/>
          <w:shd w:val="clear" w:color="auto" w:fill="FFFFFF"/>
          <w:lang w:eastAsia="ru-RU"/>
        </w:rPr>
        <w:t xml:space="preserve">Lipsa companiilor de servicii energetice care </w:t>
      </w:r>
      <w:proofErr w:type="spellStart"/>
      <w:r w:rsidRPr="00125FAF">
        <w:rPr>
          <w:rFonts w:ascii="Times New Roman" w:eastAsia="Times New Roman" w:hAnsi="Times New Roman" w:cs="Times New Roman"/>
          <w:sz w:val="24"/>
          <w:szCs w:val="24"/>
          <w:shd w:val="clear" w:color="auto" w:fill="FFFFFF"/>
          <w:lang w:eastAsia="ru-RU"/>
        </w:rPr>
        <w:t>şi</w:t>
      </w:r>
      <w:proofErr w:type="spellEnd"/>
      <w:r w:rsidRPr="00125FAF">
        <w:rPr>
          <w:rFonts w:ascii="Times New Roman" w:eastAsia="Times New Roman" w:hAnsi="Times New Roman" w:cs="Times New Roman"/>
          <w:sz w:val="24"/>
          <w:szCs w:val="24"/>
          <w:shd w:val="clear" w:color="auto" w:fill="FFFFFF"/>
          <w:lang w:eastAsia="ru-RU"/>
        </w:rPr>
        <w:t xml:space="preserve">-ar asuma rolul de a ajuta întreprinderile mici </w:t>
      </w:r>
      <w:proofErr w:type="spellStart"/>
      <w:r w:rsidRPr="00125FAF">
        <w:rPr>
          <w:rFonts w:ascii="Times New Roman" w:eastAsia="Times New Roman" w:hAnsi="Times New Roman" w:cs="Times New Roman"/>
          <w:sz w:val="24"/>
          <w:szCs w:val="24"/>
          <w:shd w:val="clear" w:color="auto" w:fill="FFFFFF"/>
          <w:lang w:eastAsia="ru-RU"/>
        </w:rPr>
        <w:t>şi</w:t>
      </w:r>
      <w:proofErr w:type="spellEnd"/>
      <w:r w:rsidRPr="00125FAF">
        <w:rPr>
          <w:rFonts w:ascii="Times New Roman" w:eastAsia="Times New Roman" w:hAnsi="Times New Roman" w:cs="Times New Roman"/>
          <w:sz w:val="24"/>
          <w:szCs w:val="24"/>
          <w:shd w:val="clear" w:color="auto" w:fill="FFFFFF"/>
          <w:lang w:eastAsia="ru-RU"/>
        </w:rPr>
        <w:t xml:space="preserve"> mijlocii să găsească </w:t>
      </w:r>
      <w:proofErr w:type="spellStart"/>
      <w:r w:rsidRPr="00125FAF">
        <w:rPr>
          <w:rFonts w:ascii="Times New Roman" w:eastAsia="Times New Roman" w:hAnsi="Times New Roman" w:cs="Times New Roman"/>
          <w:sz w:val="24"/>
          <w:szCs w:val="24"/>
          <w:shd w:val="clear" w:color="auto" w:fill="FFFFFF"/>
          <w:lang w:eastAsia="ru-RU"/>
        </w:rPr>
        <w:t>şi</w:t>
      </w:r>
      <w:proofErr w:type="spellEnd"/>
      <w:r w:rsidRPr="00125FAF">
        <w:rPr>
          <w:rFonts w:ascii="Times New Roman" w:eastAsia="Times New Roman" w:hAnsi="Times New Roman" w:cs="Times New Roman"/>
          <w:sz w:val="24"/>
          <w:szCs w:val="24"/>
          <w:shd w:val="clear" w:color="auto" w:fill="FFFFFF"/>
          <w:lang w:eastAsia="ru-RU"/>
        </w:rPr>
        <w:t xml:space="preserve"> să </w:t>
      </w:r>
      <w:proofErr w:type="spellStart"/>
      <w:r w:rsidRPr="00125FAF">
        <w:rPr>
          <w:rFonts w:ascii="Times New Roman" w:eastAsia="Times New Roman" w:hAnsi="Times New Roman" w:cs="Times New Roman"/>
          <w:sz w:val="24"/>
          <w:szCs w:val="24"/>
          <w:shd w:val="clear" w:color="auto" w:fill="FFFFFF"/>
          <w:lang w:eastAsia="ru-RU"/>
        </w:rPr>
        <w:t>finanţeze</w:t>
      </w:r>
      <w:proofErr w:type="spellEnd"/>
      <w:r w:rsidRPr="00125FAF">
        <w:rPr>
          <w:rFonts w:ascii="Times New Roman" w:eastAsia="Times New Roman" w:hAnsi="Times New Roman" w:cs="Times New Roman"/>
          <w:sz w:val="24"/>
          <w:szCs w:val="24"/>
          <w:shd w:val="clear" w:color="auto" w:fill="FFFFFF"/>
          <w:lang w:eastAsia="ru-RU"/>
        </w:rPr>
        <w:t xml:space="preserve"> ameliorări de </w:t>
      </w:r>
      <w:proofErr w:type="spellStart"/>
      <w:r w:rsidRPr="00125FAF">
        <w:rPr>
          <w:rFonts w:ascii="Times New Roman" w:eastAsia="Times New Roman" w:hAnsi="Times New Roman" w:cs="Times New Roman"/>
          <w:sz w:val="24"/>
          <w:szCs w:val="24"/>
          <w:shd w:val="clear" w:color="auto" w:fill="FFFFFF"/>
          <w:lang w:eastAsia="ru-RU"/>
        </w:rPr>
        <w:t>eficienţă</w:t>
      </w:r>
      <w:proofErr w:type="spellEnd"/>
      <w:r w:rsidRPr="00125FAF">
        <w:rPr>
          <w:rFonts w:ascii="Times New Roman" w:eastAsia="Times New Roman" w:hAnsi="Times New Roman" w:cs="Times New Roman"/>
          <w:sz w:val="24"/>
          <w:szCs w:val="24"/>
          <w:shd w:val="clear" w:color="auto" w:fill="FFFFFF"/>
          <w:lang w:eastAsia="ru-RU"/>
        </w:rPr>
        <w:t xml:space="preserve">. Crearea companiilor de servicii energetice este </w:t>
      </w:r>
      <w:proofErr w:type="spellStart"/>
      <w:r w:rsidRPr="00125FAF">
        <w:rPr>
          <w:rFonts w:ascii="Times New Roman" w:eastAsia="Times New Roman" w:hAnsi="Times New Roman" w:cs="Times New Roman"/>
          <w:sz w:val="24"/>
          <w:szCs w:val="24"/>
          <w:shd w:val="clear" w:color="auto" w:fill="FFFFFF"/>
          <w:lang w:eastAsia="ru-RU"/>
        </w:rPr>
        <w:t>constrînsă</w:t>
      </w:r>
      <w:proofErr w:type="spellEnd"/>
      <w:r w:rsidRPr="00125FAF">
        <w:rPr>
          <w:rFonts w:ascii="Times New Roman" w:eastAsia="Times New Roman" w:hAnsi="Times New Roman" w:cs="Times New Roman"/>
          <w:sz w:val="24"/>
          <w:szCs w:val="24"/>
          <w:shd w:val="clear" w:color="auto" w:fill="FFFFFF"/>
          <w:lang w:eastAsia="ru-RU"/>
        </w:rPr>
        <w:t xml:space="preserve"> de indisponibilitatea capitalului de pornire din partea </w:t>
      </w:r>
      <w:proofErr w:type="spellStart"/>
      <w:r w:rsidRPr="00125FAF">
        <w:rPr>
          <w:rFonts w:ascii="Times New Roman" w:eastAsia="Times New Roman" w:hAnsi="Times New Roman" w:cs="Times New Roman"/>
          <w:sz w:val="24"/>
          <w:szCs w:val="24"/>
          <w:shd w:val="clear" w:color="auto" w:fill="FFFFFF"/>
          <w:lang w:eastAsia="ru-RU"/>
        </w:rPr>
        <w:t>instituţiilor</w:t>
      </w:r>
      <w:proofErr w:type="spellEnd"/>
      <w:r w:rsidRPr="00125FAF">
        <w:rPr>
          <w:rFonts w:ascii="Times New Roman" w:eastAsia="Times New Roman" w:hAnsi="Times New Roman" w:cs="Times New Roman"/>
          <w:sz w:val="24"/>
          <w:szCs w:val="24"/>
          <w:shd w:val="clear" w:color="auto" w:fill="FFFFFF"/>
          <w:lang w:eastAsia="ru-RU"/>
        </w:rPr>
        <w:t xml:space="preserve"> financiare care nu </w:t>
      </w:r>
      <w:proofErr w:type="spellStart"/>
      <w:r w:rsidRPr="00125FAF">
        <w:rPr>
          <w:rFonts w:ascii="Times New Roman" w:eastAsia="Times New Roman" w:hAnsi="Times New Roman" w:cs="Times New Roman"/>
          <w:sz w:val="24"/>
          <w:szCs w:val="24"/>
          <w:shd w:val="clear" w:color="auto" w:fill="FFFFFF"/>
          <w:lang w:eastAsia="ru-RU"/>
        </w:rPr>
        <w:t>sînt</w:t>
      </w:r>
      <w:proofErr w:type="spellEnd"/>
      <w:r w:rsidRPr="00125FAF">
        <w:rPr>
          <w:rFonts w:ascii="Times New Roman" w:eastAsia="Times New Roman" w:hAnsi="Times New Roman" w:cs="Times New Roman"/>
          <w:sz w:val="24"/>
          <w:szCs w:val="24"/>
          <w:shd w:val="clear" w:color="auto" w:fill="FFFFFF"/>
          <w:lang w:eastAsia="ru-RU"/>
        </w:rPr>
        <w:t xml:space="preserve"> </w:t>
      </w:r>
      <w:proofErr w:type="spellStart"/>
      <w:r w:rsidRPr="00125FAF">
        <w:rPr>
          <w:rFonts w:ascii="Times New Roman" w:eastAsia="Times New Roman" w:hAnsi="Times New Roman" w:cs="Times New Roman"/>
          <w:sz w:val="24"/>
          <w:szCs w:val="24"/>
          <w:shd w:val="clear" w:color="auto" w:fill="FFFFFF"/>
          <w:lang w:eastAsia="ru-RU"/>
        </w:rPr>
        <w:t>obişnuite</w:t>
      </w:r>
      <w:proofErr w:type="spellEnd"/>
      <w:r w:rsidRPr="00125FAF">
        <w:rPr>
          <w:rFonts w:ascii="Times New Roman" w:eastAsia="Times New Roman" w:hAnsi="Times New Roman" w:cs="Times New Roman"/>
          <w:sz w:val="24"/>
          <w:szCs w:val="24"/>
          <w:shd w:val="clear" w:color="auto" w:fill="FFFFFF"/>
          <w:lang w:eastAsia="ru-RU"/>
        </w:rPr>
        <w:t xml:space="preserve"> cu modelul de afaceri al acestor </w:t>
      </w:r>
      <w:proofErr w:type="spellStart"/>
      <w:r w:rsidRPr="00125FAF">
        <w:rPr>
          <w:rFonts w:ascii="Times New Roman" w:eastAsia="Times New Roman" w:hAnsi="Times New Roman" w:cs="Times New Roman"/>
          <w:sz w:val="24"/>
          <w:szCs w:val="24"/>
          <w:shd w:val="clear" w:color="auto" w:fill="FFFFFF"/>
          <w:lang w:eastAsia="ru-RU"/>
        </w:rPr>
        <w:t>organizaţii</w:t>
      </w:r>
      <w:proofErr w:type="spellEnd"/>
      <w:r w:rsidRPr="00125FAF">
        <w:rPr>
          <w:rFonts w:ascii="Times New Roman" w:eastAsia="Times New Roman" w:hAnsi="Times New Roman" w:cs="Times New Roman"/>
          <w:sz w:val="24"/>
          <w:szCs w:val="24"/>
          <w:shd w:val="clear" w:color="auto" w:fill="FFFFFF"/>
          <w:lang w:eastAsia="ru-RU"/>
        </w:rPr>
        <w:t>.</w:t>
      </w:r>
    </w:p>
    <w:p w14:paraId="37B16541" w14:textId="17D74ED1" w:rsidR="006364B2" w:rsidRPr="00125FAF" w:rsidRDefault="006364B2" w:rsidP="001F2F2D">
      <w:pPr>
        <w:spacing w:after="120" w:line="240" w:lineRule="auto"/>
        <w:ind w:firstLine="720"/>
        <w:jc w:val="both"/>
        <w:outlineLvl w:val="2"/>
        <w:rPr>
          <w:rFonts w:ascii="Times New Roman" w:eastAsia="Times New Roman" w:hAnsi="Times New Roman" w:cs="Times New Roman"/>
          <w:b/>
          <w:bCs/>
          <w:color w:val="000000"/>
          <w:sz w:val="24"/>
          <w:szCs w:val="24"/>
          <w:lang w:eastAsia="ru-RU"/>
        </w:rPr>
      </w:pPr>
      <w:r w:rsidRPr="00125FAF">
        <w:rPr>
          <w:rFonts w:ascii="Times New Roman" w:eastAsia="Times New Roman" w:hAnsi="Times New Roman" w:cs="Times New Roman"/>
          <w:b/>
          <w:bCs/>
          <w:color w:val="000000"/>
          <w:sz w:val="24"/>
          <w:szCs w:val="24"/>
          <w:lang w:eastAsia="ru-RU"/>
        </w:rPr>
        <w:t>2.</w:t>
      </w:r>
      <w:r w:rsidR="00403E3C" w:rsidRPr="00125FAF">
        <w:rPr>
          <w:rFonts w:ascii="Times New Roman" w:eastAsia="Times New Roman" w:hAnsi="Times New Roman" w:cs="Times New Roman"/>
          <w:b/>
          <w:bCs/>
          <w:color w:val="000000"/>
          <w:sz w:val="24"/>
          <w:szCs w:val="24"/>
          <w:lang w:eastAsia="ru-RU"/>
        </w:rPr>
        <w:t>2.</w:t>
      </w:r>
      <w:r w:rsidRPr="00125FAF">
        <w:rPr>
          <w:rFonts w:ascii="Times New Roman" w:eastAsia="Times New Roman" w:hAnsi="Times New Roman" w:cs="Times New Roman"/>
          <w:b/>
          <w:bCs/>
          <w:color w:val="000000"/>
          <w:sz w:val="24"/>
          <w:szCs w:val="24"/>
          <w:lang w:eastAsia="ru-RU"/>
        </w:rPr>
        <w:t xml:space="preserve">5. </w:t>
      </w:r>
      <w:proofErr w:type="spellStart"/>
      <w:r w:rsidRPr="00125FAF">
        <w:rPr>
          <w:rFonts w:ascii="Times New Roman" w:eastAsia="Times New Roman" w:hAnsi="Times New Roman" w:cs="Times New Roman"/>
          <w:b/>
          <w:bCs/>
          <w:color w:val="000000"/>
          <w:sz w:val="24"/>
          <w:szCs w:val="24"/>
          <w:lang w:eastAsia="ru-RU"/>
        </w:rPr>
        <w:t>Contribuţia</w:t>
      </w:r>
      <w:proofErr w:type="spellEnd"/>
      <w:r w:rsidRPr="00125FAF">
        <w:rPr>
          <w:rFonts w:ascii="Times New Roman" w:eastAsia="Times New Roman" w:hAnsi="Times New Roman" w:cs="Times New Roman"/>
          <w:b/>
          <w:bCs/>
          <w:color w:val="000000"/>
          <w:sz w:val="24"/>
          <w:szCs w:val="24"/>
          <w:lang w:eastAsia="ru-RU"/>
        </w:rPr>
        <w:t xml:space="preserve"> </w:t>
      </w:r>
      <w:r w:rsidRPr="00125FAF">
        <w:rPr>
          <w:rFonts w:ascii="Times New Roman" w:eastAsia="Times New Roman" w:hAnsi="Times New Roman" w:cs="Times New Roman"/>
          <w:b/>
          <w:bCs/>
          <w:iCs/>
          <w:color w:val="000000"/>
          <w:sz w:val="24"/>
          <w:szCs w:val="24"/>
          <w:lang w:eastAsia="ru-RU"/>
        </w:rPr>
        <w:t xml:space="preserve">sectorului </w:t>
      </w:r>
      <w:r w:rsidRPr="00125FAF">
        <w:rPr>
          <w:rFonts w:ascii="Times New Roman" w:eastAsia="Times New Roman" w:hAnsi="Times New Roman" w:cs="Times New Roman"/>
          <w:b/>
          <w:bCs/>
          <w:i/>
          <w:color w:val="000000"/>
          <w:sz w:val="24"/>
          <w:szCs w:val="24"/>
          <w:lang w:eastAsia="ru-RU"/>
        </w:rPr>
        <w:t xml:space="preserve">agricol </w:t>
      </w:r>
      <w:r w:rsidRPr="00125FAF">
        <w:rPr>
          <w:rFonts w:ascii="Times New Roman" w:eastAsia="Times New Roman" w:hAnsi="Times New Roman" w:cs="Times New Roman"/>
          <w:b/>
          <w:bCs/>
          <w:color w:val="000000"/>
          <w:sz w:val="24"/>
          <w:szCs w:val="24"/>
          <w:lang w:eastAsia="ru-RU"/>
        </w:rPr>
        <w:t xml:space="preserve">la dezvoltarea cu emisii reduse </w:t>
      </w:r>
      <w:proofErr w:type="spellStart"/>
      <w:r w:rsidRPr="00125FAF">
        <w:rPr>
          <w:rFonts w:ascii="Times New Roman" w:eastAsia="Times New Roman" w:hAnsi="Times New Roman" w:cs="Times New Roman"/>
          <w:b/>
          <w:bCs/>
          <w:color w:val="000000"/>
          <w:sz w:val="24"/>
          <w:szCs w:val="24"/>
          <w:lang w:eastAsia="ru-RU"/>
        </w:rPr>
        <w:t>şi</w:t>
      </w:r>
      <w:proofErr w:type="spellEnd"/>
      <w:r w:rsidRPr="00125FAF">
        <w:rPr>
          <w:rFonts w:ascii="Times New Roman" w:eastAsia="Times New Roman" w:hAnsi="Times New Roman" w:cs="Times New Roman"/>
          <w:b/>
          <w:bCs/>
          <w:color w:val="000000"/>
          <w:sz w:val="24"/>
          <w:szCs w:val="24"/>
          <w:lang w:eastAsia="ru-RU"/>
        </w:rPr>
        <w:t xml:space="preserve"> problemele identificate în acest sector</w:t>
      </w:r>
    </w:p>
    <w:p w14:paraId="2B86465B" w14:textId="77777777" w:rsidR="00CC2EE5" w:rsidRPr="00125FAF" w:rsidRDefault="00CC2EE5" w:rsidP="006364B2">
      <w:pPr>
        <w:spacing w:after="0" w:line="240" w:lineRule="auto"/>
        <w:ind w:firstLine="720"/>
        <w:jc w:val="both"/>
        <w:outlineLvl w:val="2"/>
        <w:rPr>
          <w:rFonts w:ascii="Times New Roman" w:eastAsia="Times New Roman" w:hAnsi="Times New Roman" w:cs="Times New Roman"/>
          <w:bCs/>
          <w:sz w:val="24"/>
          <w:szCs w:val="24"/>
          <w:lang w:eastAsia="ru-RU"/>
        </w:rPr>
      </w:pPr>
      <w:r w:rsidRPr="00125FAF">
        <w:rPr>
          <w:rFonts w:ascii="Times New Roman" w:eastAsia="Times New Roman" w:hAnsi="Times New Roman" w:cs="Times New Roman"/>
          <w:bCs/>
          <w:sz w:val="24"/>
          <w:szCs w:val="24"/>
          <w:lang w:eastAsia="ru-RU"/>
        </w:rPr>
        <w:t xml:space="preserve">În sectorul agricol sunt prevăzute mai multe </w:t>
      </w:r>
      <w:proofErr w:type="spellStart"/>
      <w:r w:rsidRPr="00125FAF">
        <w:rPr>
          <w:rFonts w:ascii="Times New Roman" w:eastAsia="Times New Roman" w:hAnsi="Times New Roman" w:cs="Times New Roman"/>
          <w:bCs/>
          <w:sz w:val="24"/>
          <w:szCs w:val="24"/>
          <w:lang w:eastAsia="ru-RU"/>
        </w:rPr>
        <w:t>acţiuni</w:t>
      </w:r>
      <w:proofErr w:type="spellEnd"/>
      <w:r w:rsidRPr="00125FAF">
        <w:rPr>
          <w:rFonts w:ascii="Times New Roman" w:eastAsia="Times New Roman" w:hAnsi="Times New Roman" w:cs="Times New Roman"/>
          <w:bCs/>
          <w:sz w:val="24"/>
          <w:szCs w:val="24"/>
          <w:lang w:eastAsia="ru-RU"/>
        </w:rPr>
        <w:t xml:space="preserve"> orientate spre dezvoltare cu emisii reduse. Astfel,</w:t>
      </w:r>
    </w:p>
    <w:p w14:paraId="5945DF6F" w14:textId="1E5BC645" w:rsidR="00C538DF" w:rsidRPr="00125FAF" w:rsidRDefault="00C538DF" w:rsidP="001F2F2D">
      <w:pPr>
        <w:spacing w:after="0" w:line="240" w:lineRule="auto"/>
        <w:ind w:firstLine="426"/>
        <w:jc w:val="both"/>
        <w:rPr>
          <w:rFonts w:ascii="Times New Roman" w:eastAsia="Times New Roman" w:hAnsi="Times New Roman" w:cs="Times New Roman"/>
          <w:color w:val="000000"/>
          <w:sz w:val="24"/>
          <w:szCs w:val="24"/>
          <w:shd w:val="clear" w:color="auto" w:fill="FFFFFF"/>
          <w:lang w:eastAsia="ru-RU"/>
        </w:rPr>
      </w:pPr>
      <w:r w:rsidRPr="00125FAF">
        <w:rPr>
          <w:rFonts w:ascii="Times New Roman" w:eastAsia="Times New Roman" w:hAnsi="Times New Roman" w:cs="Times New Roman"/>
          <w:color w:val="000000"/>
          <w:sz w:val="24"/>
          <w:szCs w:val="24"/>
          <w:shd w:val="clear" w:color="auto" w:fill="FFFFFF"/>
          <w:lang w:eastAsia="ru-RU"/>
        </w:rPr>
        <w:t>1</w:t>
      </w:r>
      <w:r w:rsidR="007909C8" w:rsidRPr="00125FAF">
        <w:rPr>
          <w:rFonts w:ascii="Times New Roman" w:eastAsia="Times New Roman" w:hAnsi="Times New Roman" w:cs="Times New Roman"/>
          <w:color w:val="000000"/>
          <w:sz w:val="24"/>
          <w:szCs w:val="24"/>
          <w:shd w:val="clear" w:color="auto" w:fill="FFFFFF"/>
          <w:lang w:eastAsia="ru-RU"/>
        </w:rPr>
        <w:t>3</w:t>
      </w:r>
      <w:r w:rsidRPr="00125FAF">
        <w:rPr>
          <w:rFonts w:ascii="Times New Roman" w:eastAsia="Times New Roman" w:hAnsi="Times New Roman" w:cs="Times New Roman"/>
          <w:color w:val="000000"/>
          <w:sz w:val="24"/>
          <w:szCs w:val="24"/>
          <w:shd w:val="clear" w:color="auto" w:fill="FFFFFF"/>
          <w:lang w:eastAsia="ru-RU"/>
        </w:rPr>
        <w:t xml:space="preserve">. </w:t>
      </w:r>
      <w:r w:rsidRPr="00125FAF">
        <w:rPr>
          <w:rFonts w:ascii="Times New Roman" w:eastAsia="Times New Roman" w:hAnsi="Times New Roman" w:cs="Times New Roman"/>
          <w:sz w:val="24"/>
          <w:szCs w:val="24"/>
          <w:lang w:eastAsia="ru-RU"/>
        </w:rPr>
        <w:t>Obiectiv</w:t>
      </w:r>
      <w:r w:rsidR="00CC2EE5" w:rsidRPr="00125FAF">
        <w:rPr>
          <w:rFonts w:ascii="Times New Roman" w:eastAsia="Times New Roman" w:hAnsi="Times New Roman" w:cs="Times New Roman"/>
          <w:sz w:val="24"/>
          <w:szCs w:val="24"/>
          <w:lang w:eastAsia="ru-RU"/>
        </w:rPr>
        <w:t xml:space="preserve">ele specifice la capitolul schimbarea climei ale </w:t>
      </w:r>
      <w:r w:rsidRPr="00125FAF">
        <w:rPr>
          <w:rFonts w:ascii="Times New Roman" w:eastAsia="Times New Roman" w:hAnsi="Times New Roman" w:cs="Times New Roman"/>
          <w:sz w:val="24"/>
          <w:szCs w:val="24"/>
          <w:lang w:eastAsia="ru-RU"/>
        </w:rPr>
        <w:t xml:space="preserve">Strategiei de mediu pentru anii 2014-2023 și Planul de acțiuni pentru implementarea acesteia, </w:t>
      </w:r>
      <w:r w:rsidR="00DE6638" w:rsidRPr="00125FAF">
        <w:rPr>
          <w:rFonts w:ascii="Times New Roman" w:eastAsia="Times New Roman" w:hAnsi="Times New Roman" w:cs="Times New Roman"/>
          <w:sz w:val="24"/>
          <w:szCs w:val="24"/>
          <w:lang w:eastAsia="ru-RU"/>
        </w:rPr>
        <w:t xml:space="preserve">HG 301/2014, </w:t>
      </w:r>
      <w:r w:rsidR="00CC2EE5" w:rsidRPr="00125FAF">
        <w:rPr>
          <w:rFonts w:ascii="Times New Roman" w:eastAsia="Times New Roman" w:hAnsi="Times New Roman" w:cs="Times New Roman"/>
          <w:sz w:val="24"/>
          <w:szCs w:val="24"/>
          <w:lang w:eastAsia="ru-RU"/>
        </w:rPr>
        <w:t xml:space="preserve">rezidă în </w:t>
      </w:r>
      <w:r w:rsidRPr="00125FAF">
        <w:rPr>
          <w:rFonts w:ascii="Times New Roman" w:eastAsia="Times New Roman" w:hAnsi="Times New Roman" w:cs="Times New Roman"/>
          <w:color w:val="000000"/>
          <w:sz w:val="24"/>
          <w:szCs w:val="24"/>
          <w:shd w:val="clear" w:color="auto" w:fill="FFFFFF"/>
          <w:lang w:eastAsia="ru-RU"/>
        </w:rPr>
        <w:t>„Integrarea principiilor de protecție a mediului, dezvoltare</w:t>
      </w:r>
      <w:r w:rsidR="00EB3FA8" w:rsidRPr="00125FAF">
        <w:rPr>
          <w:rFonts w:ascii="Times New Roman" w:eastAsia="Times New Roman" w:hAnsi="Times New Roman" w:cs="Times New Roman"/>
          <w:color w:val="000000"/>
          <w:sz w:val="24"/>
          <w:szCs w:val="24"/>
          <w:shd w:val="clear" w:color="auto" w:fill="FFFFFF"/>
          <w:lang w:eastAsia="ru-RU"/>
        </w:rPr>
        <w:t>a</w:t>
      </w:r>
      <w:r w:rsidRPr="00125FAF">
        <w:rPr>
          <w:rFonts w:ascii="Times New Roman" w:eastAsia="Times New Roman" w:hAnsi="Times New Roman" w:cs="Times New Roman"/>
          <w:color w:val="000000"/>
          <w:sz w:val="24"/>
          <w:szCs w:val="24"/>
          <w:shd w:val="clear" w:color="auto" w:fill="FFFFFF"/>
          <w:lang w:eastAsia="ru-RU"/>
        </w:rPr>
        <w:t xml:space="preserve"> durabilă și dezvoltare</w:t>
      </w:r>
      <w:r w:rsidR="00EB3FA8" w:rsidRPr="00125FAF">
        <w:rPr>
          <w:rFonts w:ascii="Times New Roman" w:eastAsia="Times New Roman" w:hAnsi="Times New Roman" w:cs="Times New Roman"/>
          <w:color w:val="000000"/>
          <w:sz w:val="24"/>
          <w:szCs w:val="24"/>
          <w:shd w:val="clear" w:color="auto" w:fill="FFFFFF"/>
          <w:lang w:eastAsia="ru-RU"/>
        </w:rPr>
        <w:t>a</w:t>
      </w:r>
      <w:r w:rsidRPr="00125FAF">
        <w:rPr>
          <w:rFonts w:ascii="Times New Roman" w:eastAsia="Times New Roman" w:hAnsi="Times New Roman" w:cs="Times New Roman"/>
          <w:color w:val="000000"/>
          <w:sz w:val="24"/>
          <w:szCs w:val="24"/>
          <w:shd w:val="clear" w:color="auto" w:fill="FFFFFF"/>
          <w:lang w:eastAsia="ru-RU"/>
        </w:rPr>
        <w:t xml:space="preserve"> economică verde, adaptare</w:t>
      </w:r>
      <w:r w:rsidR="00EB3FA8" w:rsidRPr="00125FAF">
        <w:rPr>
          <w:rFonts w:ascii="Times New Roman" w:eastAsia="Times New Roman" w:hAnsi="Times New Roman" w:cs="Times New Roman"/>
          <w:color w:val="000000"/>
          <w:sz w:val="24"/>
          <w:szCs w:val="24"/>
          <w:shd w:val="clear" w:color="auto" w:fill="FFFFFF"/>
          <w:lang w:eastAsia="ru-RU"/>
        </w:rPr>
        <w:t>a</w:t>
      </w:r>
      <w:r w:rsidRPr="00125FAF">
        <w:rPr>
          <w:rFonts w:ascii="Times New Roman" w:eastAsia="Times New Roman" w:hAnsi="Times New Roman" w:cs="Times New Roman"/>
          <w:color w:val="000000"/>
          <w:sz w:val="24"/>
          <w:szCs w:val="24"/>
          <w:shd w:val="clear" w:color="auto" w:fill="FFFFFF"/>
          <w:lang w:eastAsia="ru-RU"/>
        </w:rPr>
        <w:t xml:space="preserve"> la schimbările climatice în toate sectoarele economiei naționale”</w:t>
      </w:r>
      <w:r w:rsidR="00CC2EE5" w:rsidRPr="00125FAF">
        <w:rPr>
          <w:rFonts w:ascii="Times New Roman" w:eastAsia="Times New Roman" w:hAnsi="Times New Roman" w:cs="Times New Roman"/>
          <w:color w:val="000000"/>
          <w:sz w:val="24"/>
          <w:szCs w:val="24"/>
          <w:shd w:val="clear" w:color="auto" w:fill="FFFFFF"/>
          <w:lang w:eastAsia="ru-RU"/>
        </w:rPr>
        <w:t>, „Asigurarea utilizării raționale, protecției și conservării resurselor naturale”</w:t>
      </w:r>
      <w:r w:rsidR="0033762D" w:rsidRPr="00125FAF">
        <w:rPr>
          <w:rFonts w:ascii="Times New Roman" w:eastAsia="Times New Roman" w:hAnsi="Times New Roman" w:cs="Times New Roman"/>
          <w:color w:val="000000"/>
          <w:sz w:val="24"/>
          <w:szCs w:val="24"/>
          <w:shd w:val="clear" w:color="auto" w:fill="FFFFFF"/>
          <w:lang w:eastAsia="ru-RU"/>
        </w:rPr>
        <w:t xml:space="preserve">, precum </w:t>
      </w:r>
      <w:proofErr w:type="spellStart"/>
      <w:r w:rsidR="0033762D" w:rsidRPr="00125FAF">
        <w:rPr>
          <w:rFonts w:ascii="Times New Roman" w:eastAsia="Times New Roman" w:hAnsi="Times New Roman" w:cs="Times New Roman"/>
          <w:color w:val="000000"/>
          <w:sz w:val="24"/>
          <w:szCs w:val="24"/>
          <w:shd w:val="clear" w:color="auto" w:fill="FFFFFF"/>
          <w:lang w:eastAsia="ru-RU"/>
        </w:rPr>
        <w:t>şi</w:t>
      </w:r>
      <w:proofErr w:type="spellEnd"/>
      <w:r w:rsidR="0033762D" w:rsidRPr="00125FAF">
        <w:rPr>
          <w:rFonts w:ascii="Times New Roman" w:eastAsia="Times New Roman" w:hAnsi="Times New Roman" w:cs="Times New Roman"/>
          <w:color w:val="000000"/>
          <w:sz w:val="24"/>
          <w:szCs w:val="24"/>
          <w:shd w:val="clear" w:color="auto" w:fill="FFFFFF"/>
          <w:lang w:eastAsia="ru-RU"/>
        </w:rPr>
        <w:t xml:space="preserve"> „Crearea sistemului de management integrat al calității aerului, reducerea cu 30% a emisiilor de poluanți în atmosferă până în anul 2023 și cu cel puțin 20% a gazelor cu efect de seră până în anul 2020, comparativ cu scenariul liniei de bază”</w:t>
      </w:r>
      <w:r w:rsidR="00CC2EE5" w:rsidRPr="00125FAF">
        <w:rPr>
          <w:rFonts w:ascii="Times New Roman" w:eastAsia="Times New Roman" w:hAnsi="Times New Roman" w:cs="Times New Roman"/>
          <w:color w:val="000000"/>
          <w:sz w:val="24"/>
          <w:szCs w:val="24"/>
          <w:shd w:val="clear" w:color="auto" w:fill="FFFFFF"/>
          <w:lang w:eastAsia="ru-RU"/>
        </w:rPr>
        <w:t xml:space="preserve">. În acest sens este prevăzută îmbunătățirea calității solurilor </w:t>
      </w:r>
      <w:proofErr w:type="spellStart"/>
      <w:r w:rsidR="00CC2EE5" w:rsidRPr="00125FAF">
        <w:rPr>
          <w:rFonts w:ascii="Times New Roman" w:eastAsia="Times New Roman" w:hAnsi="Times New Roman" w:cs="Times New Roman"/>
          <w:color w:val="000000"/>
          <w:sz w:val="24"/>
          <w:szCs w:val="24"/>
          <w:shd w:val="clear" w:color="auto" w:fill="FFFFFF"/>
          <w:lang w:eastAsia="ru-RU"/>
        </w:rPr>
        <w:t>şi</w:t>
      </w:r>
      <w:proofErr w:type="spellEnd"/>
      <w:r w:rsidR="00CC2EE5" w:rsidRPr="00125FAF">
        <w:rPr>
          <w:rFonts w:ascii="Times New Roman" w:eastAsia="Times New Roman" w:hAnsi="Times New Roman" w:cs="Times New Roman"/>
          <w:color w:val="000000"/>
          <w:sz w:val="24"/>
          <w:szCs w:val="24"/>
          <w:shd w:val="clear" w:color="auto" w:fill="FFFFFF"/>
          <w:lang w:eastAsia="ru-RU"/>
        </w:rPr>
        <w:t xml:space="preserve"> reconstrucția ecologică a terenurilor degradate, afectate de alunecări </w:t>
      </w:r>
      <w:proofErr w:type="spellStart"/>
      <w:r w:rsidR="00CC2EE5" w:rsidRPr="00125FAF">
        <w:rPr>
          <w:rFonts w:ascii="Times New Roman" w:eastAsia="Times New Roman" w:hAnsi="Times New Roman" w:cs="Times New Roman"/>
          <w:color w:val="000000"/>
          <w:sz w:val="24"/>
          <w:szCs w:val="24"/>
          <w:shd w:val="clear" w:color="auto" w:fill="FFFFFF"/>
          <w:lang w:eastAsia="ru-RU"/>
        </w:rPr>
        <w:t>şi</w:t>
      </w:r>
      <w:proofErr w:type="spellEnd"/>
      <w:r w:rsidR="00CC2EE5" w:rsidRPr="00125FAF">
        <w:rPr>
          <w:rFonts w:ascii="Times New Roman" w:eastAsia="Times New Roman" w:hAnsi="Times New Roman" w:cs="Times New Roman"/>
          <w:color w:val="000000"/>
          <w:sz w:val="24"/>
          <w:szCs w:val="24"/>
          <w:shd w:val="clear" w:color="auto" w:fill="FFFFFF"/>
          <w:lang w:eastAsia="ru-RU"/>
        </w:rPr>
        <w:t xml:space="preserve"> a fâșiilor de protecție a terenurilor agricole în proporție de 100%, precum </w:t>
      </w:r>
      <w:proofErr w:type="spellStart"/>
      <w:r w:rsidR="00CC2EE5" w:rsidRPr="00125FAF">
        <w:rPr>
          <w:rFonts w:ascii="Times New Roman" w:eastAsia="Times New Roman" w:hAnsi="Times New Roman" w:cs="Times New Roman"/>
          <w:color w:val="000000"/>
          <w:sz w:val="24"/>
          <w:szCs w:val="24"/>
          <w:shd w:val="clear" w:color="auto" w:fill="FFFFFF"/>
          <w:lang w:eastAsia="ru-RU"/>
        </w:rPr>
        <w:t>şi</w:t>
      </w:r>
      <w:proofErr w:type="spellEnd"/>
      <w:r w:rsidR="00CC2EE5" w:rsidRPr="00125FAF">
        <w:rPr>
          <w:rFonts w:ascii="Times New Roman" w:eastAsia="Times New Roman" w:hAnsi="Times New Roman" w:cs="Times New Roman"/>
          <w:color w:val="000000"/>
          <w:sz w:val="24"/>
          <w:szCs w:val="24"/>
          <w:shd w:val="clear" w:color="auto" w:fill="FFFFFF"/>
          <w:lang w:eastAsia="ru-RU"/>
        </w:rPr>
        <w:t xml:space="preserve"> gestionarea durabilă </w:t>
      </w:r>
      <w:proofErr w:type="spellStart"/>
      <w:r w:rsidR="00CC2EE5" w:rsidRPr="00125FAF">
        <w:rPr>
          <w:rFonts w:ascii="Times New Roman" w:eastAsia="Times New Roman" w:hAnsi="Times New Roman" w:cs="Times New Roman"/>
          <w:color w:val="000000"/>
          <w:sz w:val="24"/>
          <w:szCs w:val="24"/>
          <w:shd w:val="clear" w:color="auto" w:fill="FFFFFF"/>
          <w:lang w:eastAsia="ru-RU"/>
        </w:rPr>
        <w:t>şi</w:t>
      </w:r>
      <w:proofErr w:type="spellEnd"/>
      <w:r w:rsidR="00CC2EE5" w:rsidRPr="00125FAF">
        <w:rPr>
          <w:rFonts w:ascii="Times New Roman" w:eastAsia="Times New Roman" w:hAnsi="Times New Roman" w:cs="Times New Roman"/>
          <w:color w:val="000000"/>
          <w:sz w:val="24"/>
          <w:szCs w:val="24"/>
          <w:shd w:val="clear" w:color="auto" w:fill="FFFFFF"/>
          <w:lang w:eastAsia="ru-RU"/>
        </w:rPr>
        <w:t xml:space="preserve"> protecția resurselor minerale utile.</w:t>
      </w:r>
    </w:p>
    <w:p w14:paraId="68997F03" w14:textId="2DF196C9" w:rsidR="00C538DF" w:rsidRPr="00125FAF" w:rsidRDefault="0033762D" w:rsidP="001F2F2D">
      <w:pPr>
        <w:spacing w:after="0" w:line="240" w:lineRule="auto"/>
        <w:ind w:firstLine="426"/>
        <w:jc w:val="both"/>
        <w:rPr>
          <w:rFonts w:ascii="Times New Roman" w:eastAsia="Times New Roman" w:hAnsi="Times New Roman" w:cs="Times New Roman"/>
          <w:color w:val="000000"/>
          <w:sz w:val="24"/>
          <w:szCs w:val="24"/>
        </w:rPr>
      </w:pPr>
      <w:r w:rsidRPr="00125FAF">
        <w:rPr>
          <w:rFonts w:ascii="Times New Roman" w:eastAsia="Times New Roman" w:hAnsi="Times New Roman" w:cs="Times New Roman"/>
          <w:color w:val="000000"/>
          <w:sz w:val="24"/>
          <w:szCs w:val="24"/>
          <w:shd w:val="clear" w:color="auto" w:fill="FFFFFF"/>
          <w:lang w:eastAsia="ru-RU"/>
        </w:rPr>
        <w:t xml:space="preserve">O </w:t>
      </w:r>
      <w:proofErr w:type="spellStart"/>
      <w:r w:rsidRPr="00125FAF">
        <w:rPr>
          <w:rFonts w:ascii="Times New Roman" w:eastAsia="Times New Roman" w:hAnsi="Times New Roman" w:cs="Times New Roman"/>
          <w:color w:val="000000"/>
          <w:sz w:val="24"/>
          <w:szCs w:val="24"/>
          <w:shd w:val="clear" w:color="auto" w:fill="FFFFFF"/>
          <w:lang w:eastAsia="ru-RU"/>
        </w:rPr>
        <w:t>condiţie</w:t>
      </w:r>
      <w:proofErr w:type="spellEnd"/>
      <w:r w:rsidRPr="00125FAF">
        <w:rPr>
          <w:rFonts w:ascii="Times New Roman" w:eastAsia="Times New Roman" w:hAnsi="Times New Roman" w:cs="Times New Roman"/>
          <w:color w:val="000000"/>
          <w:sz w:val="24"/>
          <w:szCs w:val="24"/>
          <w:shd w:val="clear" w:color="auto" w:fill="FFFFFF"/>
          <w:lang w:eastAsia="ru-RU"/>
        </w:rPr>
        <w:t xml:space="preserve"> importantă pentru a trece la o agricultură durabilă este reducerea numărului de lucrări ale solului prin implementarea sistemelor conservative de lucrare a solului</w:t>
      </w:r>
      <w:r w:rsidR="00B566C6" w:rsidRPr="00125FAF">
        <w:rPr>
          <w:rFonts w:ascii="Times New Roman" w:eastAsia="Times New Roman" w:hAnsi="Times New Roman" w:cs="Times New Roman"/>
          <w:color w:val="000000"/>
          <w:sz w:val="24"/>
          <w:szCs w:val="24"/>
          <w:shd w:val="clear" w:color="auto" w:fill="FFFFFF"/>
          <w:lang w:eastAsia="ru-RU"/>
        </w:rPr>
        <w:t xml:space="preserve"> </w:t>
      </w:r>
      <w:r w:rsidRPr="00125FAF">
        <w:rPr>
          <w:rFonts w:ascii="Times New Roman" w:eastAsia="Times New Roman" w:hAnsi="Times New Roman" w:cs="Times New Roman"/>
          <w:color w:val="000000"/>
          <w:sz w:val="24"/>
          <w:szCs w:val="24"/>
          <w:shd w:val="clear" w:color="auto" w:fill="FFFFFF"/>
          <w:lang w:eastAsia="ru-RU"/>
        </w:rPr>
        <w:t>„mini-</w:t>
      </w:r>
      <w:proofErr w:type="spellStart"/>
      <w:r w:rsidRPr="00125FAF">
        <w:rPr>
          <w:rFonts w:ascii="Times New Roman" w:eastAsia="Times New Roman" w:hAnsi="Times New Roman" w:cs="Times New Roman"/>
          <w:color w:val="000000"/>
          <w:sz w:val="24"/>
          <w:szCs w:val="24"/>
          <w:shd w:val="clear" w:color="auto" w:fill="FFFFFF"/>
          <w:lang w:eastAsia="ru-RU"/>
        </w:rPr>
        <w:t>till</w:t>
      </w:r>
      <w:proofErr w:type="spellEnd"/>
      <w:r w:rsidRPr="00125FAF">
        <w:rPr>
          <w:rFonts w:ascii="Times New Roman" w:eastAsia="Times New Roman" w:hAnsi="Times New Roman" w:cs="Times New Roman"/>
          <w:color w:val="000000"/>
          <w:sz w:val="24"/>
          <w:szCs w:val="24"/>
          <w:shd w:val="clear" w:color="auto" w:fill="FFFFFF"/>
          <w:lang w:eastAsia="ru-RU"/>
        </w:rPr>
        <w:t xml:space="preserve">” </w:t>
      </w:r>
      <w:proofErr w:type="spellStart"/>
      <w:r w:rsidRPr="00125FAF">
        <w:rPr>
          <w:rFonts w:ascii="Times New Roman" w:eastAsia="Times New Roman" w:hAnsi="Times New Roman" w:cs="Times New Roman"/>
          <w:color w:val="000000"/>
          <w:sz w:val="24"/>
          <w:szCs w:val="24"/>
          <w:shd w:val="clear" w:color="auto" w:fill="FFFFFF"/>
          <w:lang w:eastAsia="ru-RU"/>
        </w:rPr>
        <w:t>şi</w:t>
      </w:r>
      <w:proofErr w:type="spellEnd"/>
      <w:r w:rsidRPr="00125FAF">
        <w:rPr>
          <w:rFonts w:ascii="Times New Roman" w:eastAsia="Times New Roman" w:hAnsi="Times New Roman" w:cs="Times New Roman"/>
          <w:color w:val="000000"/>
          <w:sz w:val="24"/>
          <w:szCs w:val="24"/>
          <w:shd w:val="clear" w:color="auto" w:fill="FFFFFF"/>
          <w:lang w:eastAsia="ru-RU"/>
        </w:rPr>
        <w:t xml:space="preserve"> „</w:t>
      </w:r>
      <w:proofErr w:type="spellStart"/>
      <w:r w:rsidRPr="00125FAF">
        <w:rPr>
          <w:rFonts w:ascii="Times New Roman" w:eastAsia="Times New Roman" w:hAnsi="Times New Roman" w:cs="Times New Roman"/>
          <w:color w:val="000000"/>
          <w:sz w:val="24"/>
          <w:szCs w:val="24"/>
          <w:shd w:val="clear" w:color="auto" w:fill="FFFFFF"/>
          <w:lang w:eastAsia="ru-RU"/>
        </w:rPr>
        <w:t>no-till</w:t>
      </w:r>
      <w:proofErr w:type="spellEnd"/>
      <w:r w:rsidRPr="00125FAF">
        <w:rPr>
          <w:rFonts w:ascii="Times New Roman" w:eastAsia="Times New Roman" w:hAnsi="Times New Roman" w:cs="Times New Roman"/>
          <w:color w:val="000000"/>
          <w:sz w:val="24"/>
          <w:szCs w:val="24"/>
          <w:shd w:val="clear" w:color="auto" w:fill="FFFFFF"/>
          <w:lang w:eastAsia="ru-RU"/>
        </w:rPr>
        <w:t xml:space="preserve">”. </w:t>
      </w:r>
      <w:r w:rsidR="00C538DF" w:rsidRPr="00125FAF">
        <w:rPr>
          <w:rFonts w:ascii="Times New Roman" w:eastAsia="Times New Roman" w:hAnsi="Times New Roman" w:cs="Times New Roman"/>
          <w:color w:val="000000"/>
          <w:sz w:val="24"/>
          <w:szCs w:val="24"/>
        </w:rPr>
        <w:t xml:space="preserve">Conform Rapoartelor privind implementarea Strategiei Naționale de Dezvoltare Agricolă și Rurală pentru anii 2014-2020 al Ministerului Agriculturii, Dezvoltării Regionale și Mediului, suprafața de teren agricol cultivat sub tehnologia </w:t>
      </w:r>
      <w:proofErr w:type="spellStart"/>
      <w:r w:rsidR="00C538DF" w:rsidRPr="00125FAF">
        <w:rPr>
          <w:rFonts w:ascii="Times New Roman" w:eastAsia="Times New Roman" w:hAnsi="Times New Roman" w:cs="Times New Roman"/>
          <w:color w:val="000000"/>
          <w:sz w:val="24"/>
          <w:szCs w:val="24"/>
        </w:rPr>
        <w:t>no-till</w:t>
      </w:r>
      <w:proofErr w:type="spellEnd"/>
      <w:r w:rsidR="00C538DF" w:rsidRPr="00125FAF">
        <w:rPr>
          <w:rFonts w:ascii="Times New Roman" w:eastAsia="Times New Roman" w:hAnsi="Times New Roman" w:cs="Times New Roman"/>
          <w:color w:val="000000"/>
          <w:sz w:val="24"/>
          <w:szCs w:val="24"/>
        </w:rPr>
        <w:t>/mini-</w:t>
      </w:r>
      <w:proofErr w:type="spellStart"/>
      <w:r w:rsidR="00C538DF" w:rsidRPr="00125FAF">
        <w:rPr>
          <w:rFonts w:ascii="Times New Roman" w:eastAsia="Times New Roman" w:hAnsi="Times New Roman" w:cs="Times New Roman"/>
          <w:color w:val="000000"/>
          <w:sz w:val="24"/>
          <w:szCs w:val="24"/>
        </w:rPr>
        <w:t>till</w:t>
      </w:r>
      <w:proofErr w:type="spellEnd"/>
      <w:r w:rsidR="00C538DF" w:rsidRPr="00125FAF">
        <w:rPr>
          <w:rFonts w:ascii="Times New Roman" w:eastAsia="Times New Roman" w:hAnsi="Times New Roman" w:cs="Times New Roman"/>
          <w:color w:val="000000"/>
          <w:sz w:val="24"/>
          <w:szCs w:val="24"/>
        </w:rPr>
        <w:t xml:space="preserve">, a variat </w:t>
      </w:r>
      <w:r w:rsidRPr="00125FAF">
        <w:rPr>
          <w:rFonts w:ascii="Times New Roman" w:eastAsia="Times New Roman" w:hAnsi="Times New Roman" w:cs="Times New Roman"/>
          <w:color w:val="000000"/>
          <w:sz w:val="24"/>
          <w:szCs w:val="24"/>
        </w:rPr>
        <w:t xml:space="preserve">între </w:t>
      </w:r>
      <w:r w:rsidR="00C538DF" w:rsidRPr="00125FAF">
        <w:rPr>
          <w:rFonts w:ascii="Times New Roman" w:eastAsia="Times New Roman" w:hAnsi="Times New Roman" w:cs="Times New Roman"/>
          <w:color w:val="000000"/>
          <w:sz w:val="24"/>
          <w:szCs w:val="24"/>
        </w:rPr>
        <w:t>51</w:t>
      </w:r>
      <w:r w:rsidR="0048189B" w:rsidRPr="00125FAF">
        <w:rPr>
          <w:rFonts w:ascii="Times New Roman" w:eastAsia="Times New Roman" w:hAnsi="Times New Roman" w:cs="Times New Roman"/>
          <w:color w:val="000000"/>
          <w:sz w:val="24"/>
          <w:szCs w:val="24"/>
        </w:rPr>
        <w:t>,</w:t>
      </w:r>
      <w:r w:rsidR="00C538DF" w:rsidRPr="00125FAF">
        <w:rPr>
          <w:rFonts w:ascii="Times New Roman" w:eastAsia="Times New Roman" w:hAnsi="Times New Roman" w:cs="Times New Roman"/>
          <w:color w:val="000000"/>
          <w:sz w:val="24"/>
          <w:szCs w:val="24"/>
        </w:rPr>
        <w:t xml:space="preserve">0 </w:t>
      </w:r>
      <w:r w:rsidRPr="00125FAF">
        <w:rPr>
          <w:rFonts w:ascii="Times New Roman" w:eastAsia="Times New Roman" w:hAnsi="Times New Roman" w:cs="Times New Roman"/>
          <w:color w:val="000000"/>
          <w:sz w:val="24"/>
          <w:szCs w:val="24"/>
        </w:rPr>
        <w:t xml:space="preserve">– 133 </w:t>
      </w:r>
      <w:r w:rsidR="00C538DF" w:rsidRPr="00125FAF">
        <w:rPr>
          <w:rFonts w:ascii="Times New Roman" w:eastAsia="Times New Roman" w:hAnsi="Times New Roman" w:cs="Times New Roman"/>
          <w:color w:val="000000"/>
          <w:sz w:val="24"/>
          <w:szCs w:val="24"/>
        </w:rPr>
        <w:t xml:space="preserve">mii ha </w:t>
      </w:r>
      <w:r w:rsidRPr="00125FAF">
        <w:rPr>
          <w:rFonts w:ascii="Times New Roman" w:eastAsia="Times New Roman" w:hAnsi="Times New Roman" w:cs="Times New Roman"/>
          <w:color w:val="000000"/>
          <w:sz w:val="24"/>
          <w:szCs w:val="24"/>
        </w:rPr>
        <w:t xml:space="preserve">pe an în perioada anilor 2013 – 2019, </w:t>
      </w:r>
      <w:r w:rsidR="00C538DF" w:rsidRPr="00125FAF">
        <w:rPr>
          <w:rFonts w:ascii="Times New Roman" w:eastAsia="Times New Roman" w:hAnsi="Times New Roman" w:cs="Times New Roman"/>
          <w:color w:val="000000"/>
          <w:sz w:val="24"/>
          <w:szCs w:val="24"/>
        </w:rPr>
        <w:t>dator</w:t>
      </w:r>
      <w:r w:rsidRPr="00125FAF">
        <w:rPr>
          <w:rFonts w:ascii="Times New Roman" w:eastAsia="Times New Roman" w:hAnsi="Times New Roman" w:cs="Times New Roman"/>
          <w:color w:val="000000"/>
          <w:sz w:val="24"/>
          <w:szCs w:val="24"/>
        </w:rPr>
        <w:t>ate</w:t>
      </w:r>
      <w:r w:rsidR="00C538DF" w:rsidRPr="00125FAF">
        <w:rPr>
          <w:rFonts w:ascii="Times New Roman" w:eastAsia="Times New Roman" w:hAnsi="Times New Roman" w:cs="Times New Roman"/>
          <w:color w:val="000000"/>
          <w:sz w:val="24"/>
          <w:szCs w:val="24"/>
        </w:rPr>
        <w:t xml:space="preserve"> în mare parte subvenționărilor alocate la tehnica agricolă procurată de către fermieri prin intermediul proiectelor investiționale IFAD-V, IFAD-VI, MAC-P și 2KR.</w:t>
      </w:r>
    </w:p>
    <w:p w14:paraId="63AA8030" w14:textId="658703FE" w:rsidR="00C538DF" w:rsidRPr="00125FAF" w:rsidRDefault="00172BE3" w:rsidP="001F2F2D">
      <w:pPr>
        <w:spacing w:after="0" w:line="240" w:lineRule="auto"/>
        <w:ind w:firstLine="567"/>
        <w:jc w:val="both"/>
        <w:rPr>
          <w:rFonts w:ascii="Times New Roman" w:eastAsia="Times New Roman" w:hAnsi="Times New Roman" w:cs="Times New Roman"/>
          <w:bCs/>
          <w:sz w:val="24"/>
          <w:szCs w:val="24"/>
          <w:lang w:eastAsia="ru-RU"/>
        </w:rPr>
      </w:pPr>
      <w:r w:rsidRPr="00125FAF">
        <w:rPr>
          <w:rFonts w:ascii="Times New Roman" w:eastAsia="Times New Roman" w:hAnsi="Times New Roman" w:cs="Times New Roman"/>
          <w:bCs/>
          <w:sz w:val="24"/>
          <w:szCs w:val="24"/>
          <w:lang w:eastAsia="ru-RU"/>
        </w:rPr>
        <w:t xml:space="preserve">Drept urmare a </w:t>
      </w:r>
      <w:r w:rsidR="00C538DF" w:rsidRPr="00125FAF">
        <w:rPr>
          <w:rFonts w:ascii="Times New Roman" w:eastAsia="Times New Roman" w:hAnsi="Times New Roman" w:cs="Times New Roman"/>
          <w:bCs/>
          <w:sz w:val="24"/>
          <w:szCs w:val="24"/>
          <w:lang w:eastAsia="ru-RU"/>
        </w:rPr>
        <w:t>H</w:t>
      </w:r>
      <w:r w:rsidR="00DE6638" w:rsidRPr="00125FAF">
        <w:rPr>
          <w:rFonts w:ascii="Times New Roman" w:eastAsia="Times New Roman" w:hAnsi="Times New Roman" w:cs="Times New Roman"/>
          <w:bCs/>
          <w:sz w:val="24"/>
          <w:szCs w:val="24"/>
          <w:lang w:eastAsia="ru-RU"/>
        </w:rPr>
        <w:t xml:space="preserve">G </w:t>
      </w:r>
      <w:r w:rsidR="00C538DF" w:rsidRPr="00125FAF">
        <w:rPr>
          <w:rFonts w:ascii="Times New Roman" w:eastAsia="Times New Roman" w:hAnsi="Times New Roman" w:cs="Times New Roman"/>
          <w:bCs/>
          <w:sz w:val="24"/>
          <w:szCs w:val="24"/>
          <w:lang w:eastAsia="ru-RU"/>
        </w:rPr>
        <w:t>455</w:t>
      </w:r>
      <w:r w:rsidR="00DE6638" w:rsidRPr="00125FAF">
        <w:rPr>
          <w:rFonts w:ascii="Times New Roman" w:eastAsia="Times New Roman" w:hAnsi="Times New Roman" w:cs="Times New Roman"/>
          <w:bCs/>
          <w:sz w:val="24"/>
          <w:szCs w:val="24"/>
          <w:lang w:eastAsia="ru-RU"/>
        </w:rPr>
        <w:t>/</w:t>
      </w:r>
      <w:r w:rsidR="00C538DF" w:rsidRPr="00125FAF">
        <w:rPr>
          <w:rFonts w:ascii="Times New Roman" w:eastAsia="Times New Roman" w:hAnsi="Times New Roman" w:cs="Times New Roman"/>
          <w:bCs/>
          <w:sz w:val="24"/>
          <w:szCs w:val="24"/>
          <w:lang w:eastAsia="ru-RU"/>
        </w:rPr>
        <w:t>2017 cu privire la modul de repartizare a mijloacelor Fondului Național de Dezvoltare a Agriculturii și Mediului Rural (FNDAMR)</w:t>
      </w:r>
      <w:r w:rsidRPr="00125FAF">
        <w:rPr>
          <w:rFonts w:ascii="Times New Roman" w:eastAsia="Times New Roman" w:hAnsi="Times New Roman" w:cs="Times New Roman"/>
          <w:bCs/>
          <w:sz w:val="24"/>
          <w:szCs w:val="24"/>
          <w:lang w:eastAsia="ru-RU"/>
        </w:rPr>
        <w:t>, p</w:t>
      </w:r>
      <w:r w:rsidR="00C538DF" w:rsidRPr="00125FAF">
        <w:rPr>
          <w:rFonts w:ascii="Times New Roman" w:eastAsia="Times New Roman" w:hAnsi="Times New Roman" w:cs="Times New Roman"/>
          <w:bCs/>
          <w:sz w:val="24"/>
          <w:szCs w:val="24"/>
          <w:lang w:eastAsia="ru-RU"/>
        </w:rPr>
        <w:t>entru subvenționarea tehnicii și utilajului agricol, inclusiv mini-</w:t>
      </w:r>
      <w:proofErr w:type="spellStart"/>
      <w:r w:rsidR="00C538DF" w:rsidRPr="00125FAF">
        <w:rPr>
          <w:rFonts w:ascii="Times New Roman" w:eastAsia="Times New Roman" w:hAnsi="Times New Roman" w:cs="Times New Roman"/>
          <w:bCs/>
          <w:sz w:val="24"/>
          <w:szCs w:val="24"/>
          <w:lang w:eastAsia="ru-RU"/>
        </w:rPr>
        <w:t>till</w:t>
      </w:r>
      <w:proofErr w:type="spellEnd"/>
      <w:r w:rsidR="00C538DF" w:rsidRPr="00125FAF">
        <w:rPr>
          <w:rFonts w:ascii="Times New Roman" w:eastAsia="Times New Roman" w:hAnsi="Times New Roman" w:cs="Times New Roman"/>
          <w:bCs/>
          <w:sz w:val="24"/>
          <w:szCs w:val="24"/>
          <w:lang w:eastAsia="ru-RU"/>
        </w:rPr>
        <w:t xml:space="preserve"> și </w:t>
      </w:r>
      <w:proofErr w:type="spellStart"/>
      <w:r w:rsidR="00C538DF" w:rsidRPr="00125FAF">
        <w:rPr>
          <w:rFonts w:ascii="Times New Roman" w:eastAsia="Times New Roman" w:hAnsi="Times New Roman" w:cs="Times New Roman"/>
          <w:bCs/>
          <w:sz w:val="24"/>
          <w:szCs w:val="24"/>
          <w:lang w:eastAsia="ru-RU"/>
        </w:rPr>
        <w:t>no-till</w:t>
      </w:r>
      <w:proofErr w:type="spellEnd"/>
      <w:r w:rsidR="00C538DF" w:rsidRPr="00125FAF">
        <w:rPr>
          <w:rFonts w:ascii="Times New Roman" w:eastAsia="Times New Roman" w:hAnsi="Times New Roman" w:cs="Times New Roman"/>
          <w:bCs/>
          <w:sz w:val="24"/>
          <w:szCs w:val="24"/>
          <w:lang w:eastAsia="ru-RU"/>
        </w:rPr>
        <w:t>, în anul 2019 au fost depuse 2246 cereri de solicitare a sprijinului financiar în suma subvenției solicitate de 245</w:t>
      </w:r>
      <w:r w:rsidR="0048189B" w:rsidRPr="00125FAF">
        <w:rPr>
          <w:rFonts w:ascii="Times New Roman" w:eastAsia="Times New Roman" w:hAnsi="Times New Roman" w:cs="Times New Roman"/>
          <w:bCs/>
          <w:sz w:val="24"/>
          <w:szCs w:val="24"/>
          <w:lang w:eastAsia="ru-RU"/>
        </w:rPr>
        <w:t>,</w:t>
      </w:r>
      <w:r w:rsidR="00C538DF" w:rsidRPr="00125FAF">
        <w:rPr>
          <w:rFonts w:ascii="Times New Roman" w:eastAsia="Times New Roman" w:hAnsi="Times New Roman" w:cs="Times New Roman"/>
          <w:bCs/>
          <w:sz w:val="24"/>
          <w:szCs w:val="24"/>
          <w:lang w:eastAsia="ru-RU"/>
        </w:rPr>
        <w:t>8 mil lei, ceea ce constituie 20</w:t>
      </w:r>
      <w:r w:rsidR="0048189B" w:rsidRPr="00125FAF">
        <w:rPr>
          <w:rFonts w:ascii="Times New Roman" w:eastAsia="Times New Roman" w:hAnsi="Times New Roman" w:cs="Times New Roman"/>
          <w:bCs/>
          <w:sz w:val="24"/>
          <w:szCs w:val="24"/>
          <w:lang w:eastAsia="ru-RU"/>
        </w:rPr>
        <w:t>,</w:t>
      </w:r>
      <w:r w:rsidR="00C538DF" w:rsidRPr="00125FAF">
        <w:rPr>
          <w:rFonts w:ascii="Times New Roman" w:eastAsia="Times New Roman" w:hAnsi="Times New Roman" w:cs="Times New Roman"/>
          <w:bCs/>
          <w:sz w:val="24"/>
          <w:szCs w:val="24"/>
          <w:lang w:eastAsia="ru-RU"/>
        </w:rPr>
        <w:t>8% din valoarea subvențiilor solicitate.</w:t>
      </w:r>
    </w:p>
    <w:p w14:paraId="1F049312" w14:textId="2EF98104" w:rsidR="00C538DF" w:rsidRPr="00125FAF" w:rsidRDefault="00CC291E" w:rsidP="001F2F2D">
      <w:pPr>
        <w:spacing w:after="0" w:line="240" w:lineRule="auto"/>
        <w:ind w:firstLine="567"/>
        <w:contextualSpacing/>
        <w:jc w:val="both"/>
        <w:rPr>
          <w:rFonts w:ascii="Times New Roman" w:eastAsia="Times New Roman" w:hAnsi="Times New Roman" w:cs="Times New Roman"/>
          <w:sz w:val="24"/>
          <w:szCs w:val="24"/>
        </w:rPr>
      </w:pPr>
      <w:r w:rsidRPr="00125FAF">
        <w:rPr>
          <w:rFonts w:ascii="Times New Roman" w:eastAsia="Times New Roman" w:hAnsi="Times New Roman" w:cs="Times New Roman"/>
          <w:bCs/>
          <w:sz w:val="24"/>
          <w:szCs w:val="24"/>
        </w:rPr>
        <w:t>1</w:t>
      </w:r>
      <w:r w:rsidR="007909C8" w:rsidRPr="00125FAF">
        <w:rPr>
          <w:rFonts w:ascii="Times New Roman" w:eastAsia="Times New Roman" w:hAnsi="Times New Roman" w:cs="Times New Roman"/>
          <w:bCs/>
          <w:sz w:val="24"/>
          <w:szCs w:val="24"/>
        </w:rPr>
        <w:t>4</w:t>
      </w:r>
      <w:r w:rsidRPr="00125FAF">
        <w:rPr>
          <w:rFonts w:ascii="Times New Roman" w:eastAsia="Times New Roman" w:hAnsi="Times New Roman" w:cs="Times New Roman"/>
          <w:bCs/>
          <w:sz w:val="24"/>
          <w:szCs w:val="24"/>
        </w:rPr>
        <w:t xml:space="preserve">. </w:t>
      </w:r>
      <w:r w:rsidR="00C538DF" w:rsidRPr="00125FAF">
        <w:rPr>
          <w:rFonts w:ascii="Times New Roman" w:eastAsia="Times New Roman" w:hAnsi="Times New Roman" w:cs="Times New Roman"/>
          <w:bCs/>
          <w:sz w:val="24"/>
          <w:szCs w:val="24"/>
        </w:rPr>
        <w:t xml:space="preserve">Programul de îmbunătățiri funciare în scopul asigurării managementului durabil al resurselor de sol pentru anii 2021-2025 și Planul de acțiuni privind implementarea acestuia pentru anii 2021-2023, aprobat în ședința Guvernului din 9 decembrie 2020, </w:t>
      </w:r>
      <w:r w:rsidR="00C538DF" w:rsidRPr="00125FAF">
        <w:rPr>
          <w:rFonts w:ascii="Times New Roman" w:eastAsia="Times New Roman" w:hAnsi="Times New Roman" w:cs="Times New Roman"/>
          <w:sz w:val="24"/>
          <w:szCs w:val="24"/>
        </w:rPr>
        <w:t xml:space="preserve">a fost elaborat cu scopul </w:t>
      </w:r>
      <w:r w:rsidR="00172BE3" w:rsidRPr="00125FAF">
        <w:rPr>
          <w:rFonts w:ascii="Times New Roman" w:eastAsia="Times New Roman" w:hAnsi="Times New Roman" w:cs="Times New Roman"/>
          <w:sz w:val="24"/>
          <w:szCs w:val="24"/>
        </w:rPr>
        <w:t>realizării</w:t>
      </w:r>
      <w:r w:rsidR="00C538DF" w:rsidRPr="00125FAF">
        <w:rPr>
          <w:rFonts w:ascii="Times New Roman" w:eastAsia="Times New Roman" w:hAnsi="Times New Roman" w:cs="Times New Roman"/>
          <w:sz w:val="24"/>
          <w:szCs w:val="24"/>
        </w:rPr>
        <w:t xml:space="preserve"> măsuri</w:t>
      </w:r>
      <w:r w:rsidR="00172BE3" w:rsidRPr="00125FAF">
        <w:rPr>
          <w:rFonts w:ascii="Times New Roman" w:eastAsia="Times New Roman" w:hAnsi="Times New Roman" w:cs="Times New Roman"/>
          <w:sz w:val="24"/>
          <w:szCs w:val="24"/>
        </w:rPr>
        <w:t>lor</w:t>
      </w:r>
      <w:r w:rsidR="00C538DF" w:rsidRPr="00125FAF">
        <w:rPr>
          <w:rFonts w:ascii="Times New Roman" w:eastAsia="Times New Roman" w:hAnsi="Times New Roman" w:cs="Times New Roman"/>
          <w:sz w:val="24"/>
          <w:szCs w:val="24"/>
        </w:rPr>
        <w:t xml:space="preserve"> de prevenire, stopare a degradării solurilor și sporir</w:t>
      </w:r>
      <w:r w:rsidR="00172BE3" w:rsidRPr="00125FAF">
        <w:rPr>
          <w:rFonts w:ascii="Times New Roman" w:eastAsia="Times New Roman" w:hAnsi="Times New Roman" w:cs="Times New Roman"/>
          <w:sz w:val="24"/>
          <w:szCs w:val="24"/>
        </w:rPr>
        <w:t>ii</w:t>
      </w:r>
      <w:r w:rsidR="00C538DF" w:rsidRPr="00125FAF">
        <w:rPr>
          <w:rFonts w:ascii="Times New Roman" w:eastAsia="Times New Roman" w:hAnsi="Times New Roman" w:cs="Times New Roman"/>
          <w:sz w:val="24"/>
          <w:szCs w:val="24"/>
        </w:rPr>
        <w:t xml:space="preserve"> fertilității acestora. Programul va fi divizat pe etape de realizare, de trei ani și respectiv doi ani. </w:t>
      </w:r>
      <w:r w:rsidR="00EB3FA8" w:rsidRPr="00125FAF">
        <w:rPr>
          <w:rFonts w:ascii="Times New Roman" w:eastAsia="Times New Roman" w:hAnsi="Times New Roman" w:cs="Times New Roman"/>
          <w:sz w:val="24"/>
          <w:szCs w:val="24"/>
        </w:rPr>
        <w:t xml:space="preserve">Se prevede implementarea practicilor agricole prietenoase mediului ce vor permite obținerea recoltelor scontate prin aplicarea metodelor de sporire a fertilității solurilor: sistemul de lucrări pentru conservarea solului, asolamente, structura rațională a suprafețelor culturilor agricole, fertilizarea </w:t>
      </w:r>
      <w:r w:rsidR="00EB3FA8" w:rsidRPr="00125FAF">
        <w:rPr>
          <w:rFonts w:ascii="Times New Roman" w:eastAsia="Times New Roman" w:hAnsi="Times New Roman" w:cs="Times New Roman"/>
          <w:sz w:val="24"/>
          <w:szCs w:val="24"/>
        </w:rPr>
        <w:lastRenderedPageBreak/>
        <w:t>complexă cu îngrășăminte organice și minerale, implementarea amenajărilor hidroameliorative etc.</w:t>
      </w:r>
    </w:p>
    <w:p w14:paraId="0D8AE705" w14:textId="0B140106" w:rsidR="00C538DF" w:rsidRPr="00125FAF" w:rsidRDefault="00C538DF" w:rsidP="001F2F2D">
      <w:pPr>
        <w:spacing w:after="0" w:line="240" w:lineRule="auto"/>
        <w:ind w:firstLine="567"/>
        <w:contextualSpacing/>
        <w:jc w:val="both"/>
        <w:rPr>
          <w:rFonts w:ascii="Times New Roman" w:eastAsia="Times New Roman" w:hAnsi="Times New Roman" w:cs="Times New Roman"/>
          <w:bCs/>
          <w:sz w:val="24"/>
          <w:szCs w:val="24"/>
        </w:rPr>
      </w:pPr>
      <w:r w:rsidRPr="00125FAF">
        <w:rPr>
          <w:rFonts w:ascii="Times New Roman" w:eastAsia="Times New Roman" w:hAnsi="Times New Roman" w:cs="Times New Roman"/>
          <w:bCs/>
          <w:sz w:val="24"/>
          <w:szCs w:val="24"/>
        </w:rPr>
        <w:t>Pentru realizarea Planului de acțiuni privind implementarea Programului în perioada anilor 2021-2025, au fost planificate mijloace financiare estimative echivalentul la 4</w:t>
      </w:r>
      <w:r w:rsidR="0048189B" w:rsidRPr="00125FAF">
        <w:rPr>
          <w:rFonts w:ascii="Times New Roman" w:eastAsia="Times New Roman" w:hAnsi="Times New Roman" w:cs="Times New Roman"/>
          <w:bCs/>
          <w:sz w:val="24"/>
          <w:szCs w:val="24"/>
        </w:rPr>
        <w:t>,</w:t>
      </w:r>
      <w:r w:rsidRPr="00125FAF">
        <w:rPr>
          <w:rFonts w:ascii="Times New Roman" w:eastAsia="Times New Roman" w:hAnsi="Times New Roman" w:cs="Times New Roman"/>
          <w:bCs/>
          <w:sz w:val="24"/>
          <w:szCs w:val="24"/>
        </w:rPr>
        <w:t>278 miliarde lei, inclusiv 59</w:t>
      </w:r>
      <w:r w:rsidR="0048189B" w:rsidRPr="00125FAF">
        <w:rPr>
          <w:rFonts w:ascii="Times New Roman" w:eastAsia="Times New Roman" w:hAnsi="Times New Roman" w:cs="Times New Roman"/>
          <w:bCs/>
          <w:sz w:val="24"/>
          <w:szCs w:val="24"/>
        </w:rPr>
        <w:t>,</w:t>
      </w:r>
      <w:r w:rsidRPr="00125FAF">
        <w:rPr>
          <w:rFonts w:ascii="Times New Roman" w:eastAsia="Times New Roman" w:hAnsi="Times New Roman" w:cs="Times New Roman"/>
          <w:bCs/>
          <w:sz w:val="24"/>
          <w:szCs w:val="24"/>
        </w:rPr>
        <w:t>626 mil lei din bugetul de stat, respectiv 4</w:t>
      </w:r>
      <w:r w:rsidR="0048189B" w:rsidRPr="00125FAF">
        <w:rPr>
          <w:rFonts w:ascii="Times New Roman" w:eastAsia="Times New Roman" w:hAnsi="Times New Roman" w:cs="Times New Roman"/>
          <w:bCs/>
          <w:sz w:val="24"/>
          <w:szCs w:val="24"/>
        </w:rPr>
        <w:t>,</w:t>
      </w:r>
      <w:r w:rsidRPr="00125FAF">
        <w:rPr>
          <w:rFonts w:ascii="Times New Roman" w:eastAsia="Times New Roman" w:hAnsi="Times New Roman" w:cs="Times New Roman"/>
          <w:bCs/>
          <w:sz w:val="24"/>
          <w:szCs w:val="24"/>
        </w:rPr>
        <w:t>219 miliarde lei din surse externe.</w:t>
      </w:r>
    </w:p>
    <w:p w14:paraId="24CD5740" w14:textId="0AE18B54" w:rsidR="001B2C56" w:rsidRPr="00125FAF" w:rsidRDefault="001B2C56" w:rsidP="001B2C56">
      <w:pPr>
        <w:spacing w:after="0"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125FAF">
        <w:rPr>
          <w:rFonts w:ascii="Times New Roman" w:eastAsia="Times New Roman" w:hAnsi="Times New Roman" w:cs="Times New Roman"/>
          <w:color w:val="000000"/>
          <w:sz w:val="24"/>
          <w:szCs w:val="24"/>
          <w:shd w:val="clear" w:color="auto" w:fill="FFFFFF"/>
          <w:lang w:eastAsia="ru-RU"/>
        </w:rPr>
        <w:t>I</w:t>
      </w:r>
      <w:r w:rsidRPr="00125FAF">
        <w:rPr>
          <w:rFonts w:ascii="Times New Roman" w:eastAsia="Times New Roman" w:hAnsi="Times New Roman" w:cs="Times New Roman"/>
          <w:color w:val="000000"/>
          <w:sz w:val="24"/>
          <w:szCs w:val="24"/>
          <w:lang w:eastAsia="ru-RU"/>
        </w:rPr>
        <w:t xml:space="preserve">mplementarea </w:t>
      </w:r>
      <w:r w:rsidRPr="00125FAF">
        <w:rPr>
          <w:rFonts w:ascii="Times New Roman" w:eastAsia="Times New Roman" w:hAnsi="Times New Roman" w:cs="Times New Roman"/>
          <w:color w:val="000000"/>
          <w:sz w:val="24"/>
          <w:szCs w:val="24"/>
          <w:shd w:val="clear" w:color="auto" w:fill="FFFFFF"/>
          <w:lang w:eastAsia="ru-RU"/>
        </w:rPr>
        <w:t xml:space="preserve">politicilor durabile de </w:t>
      </w:r>
      <w:proofErr w:type="spellStart"/>
      <w:r w:rsidRPr="00125FAF">
        <w:rPr>
          <w:rFonts w:ascii="Times New Roman" w:eastAsia="Times New Roman" w:hAnsi="Times New Roman" w:cs="Times New Roman"/>
          <w:color w:val="000000"/>
          <w:sz w:val="24"/>
          <w:szCs w:val="24"/>
          <w:shd w:val="clear" w:color="auto" w:fill="FFFFFF"/>
          <w:lang w:eastAsia="ru-RU"/>
        </w:rPr>
        <w:t>creştere</w:t>
      </w:r>
      <w:proofErr w:type="spellEnd"/>
      <w:r w:rsidRPr="00125FAF">
        <w:rPr>
          <w:rFonts w:ascii="Times New Roman" w:eastAsia="Times New Roman" w:hAnsi="Times New Roman" w:cs="Times New Roman"/>
          <w:color w:val="000000"/>
          <w:sz w:val="24"/>
          <w:szCs w:val="24"/>
          <w:shd w:val="clear" w:color="auto" w:fill="FFFFFF"/>
          <w:lang w:eastAsia="ru-RU"/>
        </w:rPr>
        <w:t xml:space="preserve"> a animalelor </w:t>
      </w:r>
      <w:r w:rsidRPr="00125FAF">
        <w:rPr>
          <w:rFonts w:ascii="Times New Roman" w:eastAsia="Times New Roman" w:hAnsi="Times New Roman" w:cs="Times New Roman"/>
          <w:color w:val="000000"/>
          <w:sz w:val="24"/>
          <w:szCs w:val="24"/>
          <w:shd w:val="clear" w:color="auto" w:fill="FFFFFF"/>
        </w:rPr>
        <w:t>(subvenționarea în zootehnie inclusiv subvenționarea directă per cap de animal (</w:t>
      </w:r>
      <w:r w:rsidRPr="00125FAF">
        <w:rPr>
          <w:rFonts w:ascii="Times New Roman" w:eastAsia="Times New Roman" w:hAnsi="Times New Roman" w:cs="Times New Roman"/>
          <w:sz w:val="24"/>
          <w:szCs w:val="24"/>
        </w:rPr>
        <w:t xml:space="preserve">HG </w:t>
      </w:r>
      <w:r w:rsidR="004573D0" w:rsidRPr="00125FAF">
        <w:rPr>
          <w:rFonts w:ascii="Times New Roman" w:eastAsia="Times New Roman" w:hAnsi="Times New Roman" w:cs="Times New Roman"/>
          <w:sz w:val="24"/>
          <w:szCs w:val="24"/>
        </w:rPr>
        <w:t xml:space="preserve">nr. </w:t>
      </w:r>
      <w:r w:rsidRPr="00125FAF">
        <w:rPr>
          <w:rFonts w:ascii="Times New Roman" w:eastAsia="Times New Roman" w:hAnsi="Times New Roman" w:cs="Times New Roman"/>
          <w:sz w:val="24"/>
          <w:szCs w:val="24"/>
        </w:rPr>
        <w:t>836/2020))</w:t>
      </w:r>
      <w:r w:rsidR="00B566C6" w:rsidRPr="00125FAF">
        <w:rPr>
          <w:rFonts w:ascii="Times New Roman" w:eastAsia="Times New Roman" w:hAnsi="Times New Roman" w:cs="Times New Roman"/>
          <w:sz w:val="24"/>
          <w:szCs w:val="24"/>
        </w:rPr>
        <w:t xml:space="preserve"> </w:t>
      </w:r>
      <w:r w:rsidRPr="00125FAF">
        <w:rPr>
          <w:rFonts w:ascii="Times New Roman" w:eastAsia="Times New Roman" w:hAnsi="Times New Roman" w:cs="Times New Roman"/>
          <w:color w:val="000000"/>
          <w:sz w:val="24"/>
          <w:szCs w:val="24"/>
          <w:shd w:val="clear" w:color="auto" w:fill="FFFFFF"/>
          <w:lang w:eastAsia="ru-RU"/>
        </w:rPr>
        <w:t xml:space="preserve">contribuie la minimizarea emisiilor de gaze cu efect de seră provenite de la </w:t>
      </w:r>
      <w:proofErr w:type="spellStart"/>
      <w:r w:rsidRPr="00125FAF">
        <w:rPr>
          <w:rFonts w:ascii="Times New Roman" w:eastAsia="Times New Roman" w:hAnsi="Times New Roman" w:cs="Times New Roman"/>
          <w:color w:val="000000"/>
          <w:sz w:val="24"/>
          <w:szCs w:val="24"/>
          <w:shd w:val="clear" w:color="auto" w:fill="FFFFFF"/>
          <w:lang w:eastAsia="ru-RU"/>
        </w:rPr>
        <w:t>dejecţiile</w:t>
      </w:r>
      <w:proofErr w:type="spellEnd"/>
      <w:r w:rsidRPr="00125FAF">
        <w:rPr>
          <w:rFonts w:ascii="Times New Roman" w:eastAsia="Times New Roman" w:hAnsi="Times New Roman" w:cs="Times New Roman"/>
          <w:color w:val="000000"/>
          <w:sz w:val="24"/>
          <w:szCs w:val="24"/>
          <w:shd w:val="clear" w:color="auto" w:fill="FFFFFF"/>
          <w:lang w:eastAsia="ru-RU"/>
        </w:rPr>
        <w:t xml:space="preserve"> animaliere, inclusiv ca urmare a aplicării practicilor durabile de management al acestora, precum </w:t>
      </w:r>
      <w:proofErr w:type="spellStart"/>
      <w:r w:rsidRPr="00125FAF">
        <w:rPr>
          <w:rFonts w:ascii="Times New Roman" w:eastAsia="Times New Roman" w:hAnsi="Times New Roman" w:cs="Times New Roman"/>
          <w:color w:val="000000"/>
          <w:sz w:val="24"/>
          <w:szCs w:val="24"/>
          <w:shd w:val="clear" w:color="auto" w:fill="FFFFFF"/>
          <w:lang w:eastAsia="ru-RU"/>
        </w:rPr>
        <w:t>şi</w:t>
      </w:r>
      <w:proofErr w:type="spellEnd"/>
      <w:r w:rsidRPr="00125FAF">
        <w:rPr>
          <w:rFonts w:ascii="Times New Roman" w:eastAsia="Times New Roman" w:hAnsi="Times New Roman" w:cs="Times New Roman"/>
          <w:color w:val="000000"/>
          <w:sz w:val="24"/>
          <w:szCs w:val="24"/>
          <w:shd w:val="clear" w:color="auto" w:fill="FFFFFF"/>
          <w:lang w:eastAsia="ru-RU"/>
        </w:rPr>
        <w:t xml:space="preserve"> utilizării tehnologiilor de recuperare a emisiilor de metan </w:t>
      </w:r>
      <w:r w:rsidRPr="00125FAF">
        <w:rPr>
          <w:rFonts w:ascii="Times New Roman" w:eastAsia="Times New Roman" w:hAnsi="Times New Roman" w:cs="Times New Roman"/>
          <w:color w:val="000000"/>
          <w:sz w:val="24"/>
          <w:szCs w:val="24"/>
          <w:shd w:val="clear" w:color="auto" w:fill="FFFFFF"/>
        </w:rPr>
        <w:t>prin organizarea producerii biogazului</w:t>
      </w:r>
      <w:r w:rsidR="00D4322A" w:rsidRPr="00125FAF">
        <w:rPr>
          <w:rFonts w:ascii="Times New Roman" w:eastAsia="Times New Roman" w:hAnsi="Times New Roman" w:cs="Times New Roman"/>
          <w:color w:val="000000"/>
          <w:sz w:val="24"/>
          <w:szCs w:val="24"/>
          <w:shd w:val="clear" w:color="auto" w:fill="FFFFFF"/>
          <w:lang w:eastAsia="ru-RU"/>
        </w:rPr>
        <w:t>.</w:t>
      </w:r>
    </w:p>
    <w:p w14:paraId="2CCB130A" w14:textId="77777777" w:rsidR="00C538DF" w:rsidRPr="00125FAF" w:rsidRDefault="00C538DF" w:rsidP="001F2F2D">
      <w:pPr>
        <w:tabs>
          <w:tab w:val="num" w:pos="0"/>
          <w:tab w:val="num" w:pos="1152"/>
        </w:tabs>
        <w:spacing w:before="120" w:after="120" w:line="240" w:lineRule="auto"/>
        <w:ind w:firstLine="432"/>
        <w:jc w:val="both"/>
        <w:outlineLvl w:val="5"/>
        <w:rPr>
          <w:rFonts w:ascii="Times New Roman" w:eastAsia="Times New Roman" w:hAnsi="Times New Roman" w:cs="Times New Roman"/>
          <w:b/>
          <w:sz w:val="24"/>
          <w:szCs w:val="24"/>
          <w:lang w:eastAsia="nb-NO"/>
        </w:rPr>
      </w:pPr>
      <w:r w:rsidRPr="00125FAF">
        <w:rPr>
          <w:rFonts w:ascii="Times New Roman" w:eastAsia="Times New Roman" w:hAnsi="Times New Roman" w:cs="Times New Roman"/>
          <w:b/>
          <w:sz w:val="24"/>
          <w:szCs w:val="24"/>
          <w:lang w:eastAsia="nb-NO"/>
        </w:rPr>
        <w:t>Probleme</w:t>
      </w:r>
      <w:r w:rsidR="005D2A30" w:rsidRPr="00125FAF">
        <w:rPr>
          <w:rFonts w:ascii="Times New Roman" w:eastAsia="Times New Roman" w:hAnsi="Times New Roman" w:cs="Times New Roman"/>
          <w:b/>
          <w:sz w:val="24"/>
          <w:szCs w:val="24"/>
          <w:lang w:eastAsia="nb-NO"/>
        </w:rPr>
        <w:t>le</w:t>
      </w:r>
      <w:r w:rsidRPr="00125FAF">
        <w:rPr>
          <w:rFonts w:ascii="Times New Roman" w:eastAsia="Times New Roman" w:hAnsi="Times New Roman" w:cs="Times New Roman"/>
          <w:b/>
          <w:sz w:val="24"/>
          <w:szCs w:val="24"/>
          <w:lang w:eastAsia="nb-NO"/>
        </w:rPr>
        <w:t xml:space="preserve"> evidențiate</w:t>
      </w:r>
      <w:r w:rsidR="005D2A30" w:rsidRPr="00125FAF">
        <w:rPr>
          <w:rFonts w:ascii="Times New Roman" w:eastAsia="Times New Roman" w:hAnsi="Times New Roman" w:cs="Times New Roman"/>
          <w:b/>
          <w:sz w:val="24"/>
          <w:szCs w:val="24"/>
          <w:lang w:eastAsia="nb-NO"/>
        </w:rPr>
        <w:t>:</w:t>
      </w:r>
    </w:p>
    <w:p w14:paraId="05A63815" w14:textId="09AADEE0" w:rsidR="00C538DF" w:rsidRPr="00125FAF" w:rsidRDefault="00C538DF" w:rsidP="001F2F2D">
      <w:pPr>
        <w:autoSpaceDE w:val="0"/>
        <w:autoSpaceDN w:val="0"/>
        <w:adjustRightInd w:val="0"/>
        <w:snapToGrid w:val="0"/>
        <w:spacing w:after="0" w:line="240" w:lineRule="auto"/>
        <w:ind w:firstLine="426"/>
        <w:jc w:val="both"/>
        <w:rPr>
          <w:rFonts w:ascii="Times New Roman" w:eastAsia="Times New Roman" w:hAnsi="Times New Roman" w:cs="Times New Roman"/>
          <w:color w:val="000000"/>
          <w:sz w:val="24"/>
          <w:szCs w:val="24"/>
        </w:rPr>
      </w:pPr>
      <w:r w:rsidRPr="00125FAF">
        <w:rPr>
          <w:rFonts w:ascii="Times New Roman" w:eastAsia="Times New Roman" w:hAnsi="Times New Roman" w:cs="Times New Roman"/>
          <w:color w:val="000000"/>
          <w:sz w:val="24"/>
          <w:szCs w:val="24"/>
        </w:rPr>
        <w:t>Agricultura în Republica Moldova este o activitate volatilă și foarte vulnerabilă la riscuri, fiind susceptibilă în special la factorii climatici (precum secetele, înghețurile, inundațiile, căderile de grindină, eroziunile și alunecările de teren). Reducerea dependenței de astfel de fenomene este o provocare majoră pentru acest sector.</w:t>
      </w:r>
    </w:p>
    <w:p w14:paraId="54C2421D" w14:textId="77777777" w:rsidR="00C538DF" w:rsidRPr="00125FAF" w:rsidRDefault="00C538DF" w:rsidP="001F2F2D">
      <w:pPr>
        <w:autoSpaceDE w:val="0"/>
        <w:autoSpaceDN w:val="0"/>
        <w:adjustRightInd w:val="0"/>
        <w:snapToGrid w:val="0"/>
        <w:spacing w:after="120" w:line="240" w:lineRule="auto"/>
        <w:ind w:firstLine="432"/>
        <w:jc w:val="both"/>
        <w:rPr>
          <w:rFonts w:ascii="Times New Roman" w:eastAsia="Times New Roman" w:hAnsi="Times New Roman" w:cs="Times New Roman"/>
          <w:color w:val="000000"/>
          <w:sz w:val="24"/>
          <w:szCs w:val="24"/>
        </w:rPr>
      </w:pPr>
      <w:r w:rsidRPr="00125FAF">
        <w:rPr>
          <w:rFonts w:ascii="Times New Roman" w:eastAsia="Times New Roman" w:hAnsi="Times New Roman" w:cs="Times New Roman"/>
          <w:color w:val="000000"/>
          <w:sz w:val="24"/>
          <w:szCs w:val="24"/>
        </w:rPr>
        <w:t>Cele mai relevante bariere în calea de dezvoltare cu emisii reduse de carbon a sectorului sunt asociate cu:</w:t>
      </w:r>
    </w:p>
    <w:p w14:paraId="3B6F2D20" w14:textId="77777777" w:rsidR="00C538DF" w:rsidRPr="00125FAF" w:rsidRDefault="00C538DF" w:rsidP="003E24C5">
      <w:pPr>
        <w:numPr>
          <w:ilvl w:val="0"/>
          <w:numId w:val="8"/>
        </w:numPr>
        <w:tabs>
          <w:tab w:val="num" w:pos="567"/>
        </w:tabs>
        <w:autoSpaceDE w:val="0"/>
        <w:autoSpaceDN w:val="0"/>
        <w:adjustRightInd w:val="0"/>
        <w:snapToGrid w:val="0"/>
        <w:spacing w:after="0" w:line="240" w:lineRule="auto"/>
        <w:ind w:left="567"/>
        <w:jc w:val="both"/>
        <w:rPr>
          <w:rFonts w:ascii="Times New Roman" w:eastAsia="Times New Roman" w:hAnsi="Times New Roman" w:cs="Times New Roman"/>
          <w:sz w:val="24"/>
          <w:szCs w:val="24"/>
        </w:rPr>
      </w:pPr>
      <w:r w:rsidRPr="00125FAF">
        <w:rPr>
          <w:rFonts w:ascii="Times New Roman" w:eastAsia="Times New Roman" w:hAnsi="Times New Roman" w:cs="Times New Roman"/>
          <w:sz w:val="24"/>
          <w:szCs w:val="24"/>
        </w:rPr>
        <w:t xml:space="preserve">alocații bugetare reduse, în special pentru renovarea bazei </w:t>
      </w:r>
      <w:proofErr w:type="spellStart"/>
      <w:r w:rsidRPr="00125FAF">
        <w:rPr>
          <w:rFonts w:ascii="Times New Roman" w:eastAsia="Times New Roman" w:hAnsi="Times New Roman" w:cs="Times New Roman"/>
          <w:sz w:val="24"/>
          <w:szCs w:val="24"/>
        </w:rPr>
        <w:t>tehnico</w:t>
      </w:r>
      <w:proofErr w:type="spellEnd"/>
      <w:r w:rsidRPr="00125FAF">
        <w:rPr>
          <w:rFonts w:ascii="Times New Roman" w:eastAsia="Times New Roman" w:hAnsi="Times New Roman" w:cs="Times New Roman"/>
          <w:sz w:val="24"/>
          <w:szCs w:val="24"/>
        </w:rPr>
        <w:t>–materiale, investiții capitale reduse pentru renovarea patrimoniului;</w:t>
      </w:r>
    </w:p>
    <w:p w14:paraId="3322EF41" w14:textId="09AC9917" w:rsidR="00C538DF" w:rsidRPr="00125FAF" w:rsidRDefault="00C538DF" w:rsidP="003E24C5">
      <w:pPr>
        <w:numPr>
          <w:ilvl w:val="0"/>
          <w:numId w:val="8"/>
        </w:numPr>
        <w:tabs>
          <w:tab w:val="num" w:pos="567"/>
        </w:tabs>
        <w:autoSpaceDE w:val="0"/>
        <w:autoSpaceDN w:val="0"/>
        <w:adjustRightInd w:val="0"/>
        <w:snapToGrid w:val="0"/>
        <w:spacing w:after="0" w:line="240" w:lineRule="auto"/>
        <w:ind w:left="567"/>
        <w:jc w:val="both"/>
        <w:rPr>
          <w:rFonts w:ascii="Times New Roman" w:eastAsia="Times New Roman" w:hAnsi="Times New Roman" w:cs="Times New Roman"/>
          <w:sz w:val="24"/>
          <w:szCs w:val="24"/>
        </w:rPr>
      </w:pPr>
      <w:r w:rsidRPr="00125FAF">
        <w:rPr>
          <w:rFonts w:ascii="Times New Roman" w:eastAsia="Times New Roman" w:hAnsi="Times New Roman" w:cs="Times New Roman"/>
          <w:sz w:val="24"/>
          <w:szCs w:val="24"/>
        </w:rPr>
        <w:t>acoperirea financiară relativ insuficientă a Fondului Național de Dezvoltare a Agriculturii și Mediului Rural (în perioada 2016-2020, subvențiile agricole au variat doar între minimum 1</w:t>
      </w:r>
      <w:r w:rsidR="0048189B" w:rsidRPr="00125FAF">
        <w:rPr>
          <w:rFonts w:ascii="Times New Roman" w:eastAsia="Times New Roman" w:hAnsi="Times New Roman" w:cs="Times New Roman"/>
          <w:sz w:val="24"/>
          <w:szCs w:val="24"/>
        </w:rPr>
        <w:t>,</w:t>
      </w:r>
      <w:r w:rsidRPr="00125FAF">
        <w:rPr>
          <w:rFonts w:ascii="Times New Roman" w:eastAsia="Times New Roman" w:hAnsi="Times New Roman" w:cs="Times New Roman"/>
          <w:sz w:val="24"/>
          <w:szCs w:val="24"/>
        </w:rPr>
        <w:t>9% (2020)</w:t>
      </w:r>
      <w:r w:rsidRPr="00125FAF">
        <w:rPr>
          <w:rFonts w:ascii="Times New Roman" w:eastAsia="Times New Roman" w:hAnsi="Times New Roman" w:cs="Times New Roman"/>
          <w:sz w:val="24"/>
          <w:szCs w:val="24"/>
          <w:vertAlign w:val="superscript"/>
        </w:rPr>
        <w:footnoteReference w:id="6"/>
      </w:r>
      <w:r w:rsidRPr="00125FAF">
        <w:rPr>
          <w:rFonts w:ascii="Times New Roman" w:eastAsia="Times New Roman" w:hAnsi="Times New Roman" w:cs="Times New Roman"/>
          <w:sz w:val="24"/>
          <w:szCs w:val="24"/>
        </w:rPr>
        <w:t xml:space="preserve"> și maximum 2</w:t>
      </w:r>
      <w:r w:rsidR="0048189B" w:rsidRPr="00125FAF">
        <w:rPr>
          <w:rFonts w:ascii="Times New Roman" w:eastAsia="Times New Roman" w:hAnsi="Times New Roman" w:cs="Times New Roman"/>
          <w:sz w:val="24"/>
          <w:szCs w:val="24"/>
        </w:rPr>
        <w:t>,</w:t>
      </w:r>
      <w:r w:rsidRPr="00125FAF">
        <w:rPr>
          <w:rFonts w:ascii="Times New Roman" w:eastAsia="Times New Roman" w:hAnsi="Times New Roman" w:cs="Times New Roman"/>
          <w:sz w:val="24"/>
          <w:szCs w:val="24"/>
        </w:rPr>
        <w:t>5% (2016)</w:t>
      </w:r>
      <w:r w:rsidRPr="00125FAF">
        <w:rPr>
          <w:rFonts w:ascii="Times New Roman" w:eastAsia="Times New Roman" w:hAnsi="Times New Roman" w:cs="Times New Roman"/>
          <w:sz w:val="24"/>
          <w:szCs w:val="24"/>
          <w:vertAlign w:val="superscript"/>
        </w:rPr>
        <w:footnoteReference w:id="7"/>
      </w:r>
      <w:r w:rsidRPr="00125FAF">
        <w:rPr>
          <w:rFonts w:ascii="Times New Roman" w:eastAsia="Times New Roman" w:hAnsi="Times New Roman" w:cs="Times New Roman"/>
          <w:sz w:val="24"/>
          <w:szCs w:val="24"/>
        </w:rPr>
        <w:t>, din cheltuielile bugetare);</w:t>
      </w:r>
    </w:p>
    <w:p w14:paraId="5E416727" w14:textId="77777777" w:rsidR="00C538DF" w:rsidRPr="00125FAF" w:rsidRDefault="00C538DF" w:rsidP="003E24C5">
      <w:pPr>
        <w:numPr>
          <w:ilvl w:val="0"/>
          <w:numId w:val="8"/>
        </w:numPr>
        <w:tabs>
          <w:tab w:val="num" w:pos="567"/>
        </w:tabs>
        <w:autoSpaceDE w:val="0"/>
        <w:autoSpaceDN w:val="0"/>
        <w:adjustRightInd w:val="0"/>
        <w:snapToGrid w:val="0"/>
        <w:spacing w:after="0" w:line="240" w:lineRule="auto"/>
        <w:ind w:left="567"/>
        <w:jc w:val="both"/>
        <w:rPr>
          <w:rFonts w:ascii="Times New Roman" w:eastAsia="Times New Roman" w:hAnsi="Times New Roman" w:cs="Times New Roman"/>
          <w:sz w:val="24"/>
          <w:szCs w:val="24"/>
        </w:rPr>
      </w:pPr>
      <w:r w:rsidRPr="00125FAF">
        <w:rPr>
          <w:rFonts w:ascii="Times New Roman" w:eastAsia="Times New Roman" w:hAnsi="Times New Roman" w:cs="Times New Roman"/>
          <w:sz w:val="24"/>
          <w:szCs w:val="24"/>
        </w:rPr>
        <w:t>gradul insuficient de dezvoltare a pieței de asigurări în agricultură;</w:t>
      </w:r>
    </w:p>
    <w:p w14:paraId="0E1F3B82" w14:textId="77777777" w:rsidR="00C538DF" w:rsidRPr="00125FAF" w:rsidRDefault="00C538DF" w:rsidP="003E24C5">
      <w:pPr>
        <w:numPr>
          <w:ilvl w:val="0"/>
          <w:numId w:val="8"/>
        </w:numPr>
        <w:tabs>
          <w:tab w:val="num" w:pos="567"/>
        </w:tabs>
        <w:autoSpaceDE w:val="0"/>
        <w:autoSpaceDN w:val="0"/>
        <w:adjustRightInd w:val="0"/>
        <w:snapToGrid w:val="0"/>
        <w:spacing w:after="0" w:line="240" w:lineRule="auto"/>
        <w:ind w:left="567"/>
        <w:jc w:val="both"/>
        <w:rPr>
          <w:rFonts w:ascii="Times New Roman" w:eastAsia="Times New Roman" w:hAnsi="Times New Roman" w:cs="Times New Roman"/>
          <w:sz w:val="24"/>
          <w:szCs w:val="24"/>
        </w:rPr>
      </w:pPr>
      <w:r w:rsidRPr="00125FAF">
        <w:rPr>
          <w:rFonts w:ascii="Times New Roman" w:eastAsia="Times New Roman" w:hAnsi="Times New Roman" w:cs="Times New Roman"/>
          <w:sz w:val="24"/>
          <w:szCs w:val="24"/>
        </w:rPr>
        <w:t xml:space="preserve">fragmentarea excesivă a terenurilor agricole, fapt ce contribuie la scăderea randamentului producției agricole prin nerespectarea tehnologiilor de lucrare a solului și de protecție </w:t>
      </w:r>
      <w:proofErr w:type="spellStart"/>
      <w:r w:rsidRPr="00125FAF">
        <w:rPr>
          <w:rFonts w:ascii="Times New Roman" w:eastAsia="Times New Roman" w:hAnsi="Times New Roman" w:cs="Times New Roman"/>
          <w:sz w:val="24"/>
          <w:szCs w:val="24"/>
        </w:rPr>
        <w:t>antierozională</w:t>
      </w:r>
      <w:proofErr w:type="spellEnd"/>
      <w:r w:rsidRPr="00125FAF">
        <w:rPr>
          <w:rFonts w:ascii="Times New Roman" w:eastAsia="Times New Roman" w:hAnsi="Times New Roman" w:cs="Times New Roman"/>
          <w:sz w:val="24"/>
          <w:szCs w:val="24"/>
        </w:rPr>
        <w:t xml:space="preserve"> a terenurilor agricole;</w:t>
      </w:r>
    </w:p>
    <w:p w14:paraId="5F3A92C3" w14:textId="77777777" w:rsidR="00C538DF" w:rsidRPr="00125FAF" w:rsidRDefault="00C538DF" w:rsidP="003E24C5">
      <w:pPr>
        <w:numPr>
          <w:ilvl w:val="0"/>
          <w:numId w:val="8"/>
        </w:numPr>
        <w:tabs>
          <w:tab w:val="num" w:pos="567"/>
        </w:tabs>
        <w:autoSpaceDE w:val="0"/>
        <w:autoSpaceDN w:val="0"/>
        <w:adjustRightInd w:val="0"/>
        <w:snapToGrid w:val="0"/>
        <w:spacing w:after="0" w:line="240" w:lineRule="auto"/>
        <w:ind w:left="567"/>
        <w:jc w:val="both"/>
        <w:rPr>
          <w:rFonts w:ascii="Times New Roman" w:eastAsia="Times New Roman" w:hAnsi="Times New Roman" w:cs="Times New Roman"/>
          <w:sz w:val="24"/>
          <w:szCs w:val="24"/>
        </w:rPr>
      </w:pPr>
      <w:r w:rsidRPr="00125FAF">
        <w:rPr>
          <w:rFonts w:ascii="Times New Roman" w:eastAsia="Times New Roman" w:hAnsi="Times New Roman" w:cs="Times New Roman"/>
          <w:sz w:val="24"/>
          <w:szCs w:val="24"/>
        </w:rPr>
        <w:t>dezvoltarea insuficientă a agriculturii conservative bazată pe tehnologiile „</w:t>
      </w:r>
      <w:proofErr w:type="spellStart"/>
      <w:r w:rsidRPr="00125FAF">
        <w:rPr>
          <w:rFonts w:ascii="Times New Roman" w:eastAsia="Times New Roman" w:hAnsi="Times New Roman" w:cs="Times New Roman"/>
          <w:sz w:val="24"/>
          <w:szCs w:val="24"/>
        </w:rPr>
        <w:t>no-till</w:t>
      </w:r>
      <w:proofErr w:type="spellEnd"/>
      <w:r w:rsidRPr="00125FAF">
        <w:rPr>
          <w:rFonts w:ascii="Times New Roman" w:eastAsia="Times New Roman" w:hAnsi="Times New Roman" w:cs="Times New Roman"/>
          <w:sz w:val="24"/>
          <w:szCs w:val="24"/>
        </w:rPr>
        <w:t>” și „mini-</w:t>
      </w:r>
      <w:proofErr w:type="spellStart"/>
      <w:r w:rsidRPr="00125FAF">
        <w:rPr>
          <w:rFonts w:ascii="Times New Roman" w:eastAsia="Times New Roman" w:hAnsi="Times New Roman" w:cs="Times New Roman"/>
          <w:sz w:val="24"/>
          <w:szCs w:val="24"/>
        </w:rPr>
        <w:t>till</w:t>
      </w:r>
      <w:proofErr w:type="spellEnd"/>
      <w:r w:rsidRPr="00125FAF">
        <w:rPr>
          <w:rFonts w:ascii="Times New Roman" w:eastAsia="Times New Roman" w:hAnsi="Times New Roman" w:cs="Times New Roman"/>
          <w:sz w:val="24"/>
          <w:szCs w:val="24"/>
        </w:rPr>
        <w:t>” cu subsolaj de lucrare a solului și menținerea bilanțului pozitiv al humusului, azotului și carbonului în sol prin utilizarea sistemică a îngrășămintelor verzi de măzăriche;</w:t>
      </w:r>
    </w:p>
    <w:p w14:paraId="651D26F1" w14:textId="77777777" w:rsidR="00C538DF" w:rsidRPr="00125FAF" w:rsidRDefault="00C538DF" w:rsidP="003E24C5">
      <w:pPr>
        <w:numPr>
          <w:ilvl w:val="0"/>
          <w:numId w:val="8"/>
        </w:numPr>
        <w:tabs>
          <w:tab w:val="num" w:pos="567"/>
        </w:tabs>
        <w:autoSpaceDE w:val="0"/>
        <w:autoSpaceDN w:val="0"/>
        <w:adjustRightInd w:val="0"/>
        <w:snapToGrid w:val="0"/>
        <w:spacing w:after="0" w:line="240" w:lineRule="auto"/>
        <w:ind w:left="567"/>
        <w:jc w:val="both"/>
        <w:rPr>
          <w:rFonts w:ascii="Times New Roman" w:eastAsia="Times New Roman" w:hAnsi="Times New Roman" w:cs="Times New Roman"/>
          <w:sz w:val="24"/>
          <w:szCs w:val="24"/>
        </w:rPr>
      </w:pPr>
      <w:r w:rsidRPr="00125FAF">
        <w:rPr>
          <w:rFonts w:ascii="Times New Roman" w:eastAsia="Times New Roman" w:hAnsi="Times New Roman" w:cs="Times New Roman"/>
          <w:sz w:val="24"/>
          <w:szCs w:val="24"/>
        </w:rPr>
        <w:t>fertilizarea insuficientă și neechilibrată a culturilor agricole cu îngrășăminte chimice, secătuirea treptată a rezervelor de fosfor și potasiu din sol cu efect negativ asupra volumului și calității producției agricole;</w:t>
      </w:r>
    </w:p>
    <w:p w14:paraId="2A6BDF2B" w14:textId="77777777" w:rsidR="00C538DF" w:rsidRPr="00125FAF" w:rsidRDefault="00C538DF" w:rsidP="003E24C5">
      <w:pPr>
        <w:numPr>
          <w:ilvl w:val="0"/>
          <w:numId w:val="8"/>
        </w:numPr>
        <w:tabs>
          <w:tab w:val="num" w:pos="567"/>
        </w:tabs>
        <w:autoSpaceDE w:val="0"/>
        <w:autoSpaceDN w:val="0"/>
        <w:adjustRightInd w:val="0"/>
        <w:snapToGrid w:val="0"/>
        <w:spacing w:after="0" w:line="240" w:lineRule="auto"/>
        <w:ind w:left="567"/>
        <w:jc w:val="both"/>
        <w:rPr>
          <w:rFonts w:ascii="Times New Roman" w:eastAsia="Times New Roman" w:hAnsi="Times New Roman" w:cs="Times New Roman"/>
          <w:sz w:val="24"/>
          <w:szCs w:val="24"/>
        </w:rPr>
      </w:pPr>
      <w:r w:rsidRPr="00125FAF">
        <w:rPr>
          <w:rFonts w:ascii="Times New Roman" w:eastAsia="Times New Roman" w:hAnsi="Times New Roman" w:cs="Times New Roman"/>
          <w:sz w:val="24"/>
          <w:szCs w:val="24"/>
        </w:rPr>
        <w:t xml:space="preserve">utilizarea insuficientă pe terenurile arabile a îngrășămintelor organice, ce duc la micșorarea eficienței îngrășămintelor chimice, formarea unui bilanț profund negativ al humusului și carbonului în sol, majorarea emisiilor gazelor cu efect de seră, destructurarea, compactarea puternică a stratului arabil și majorarea riscului manifestării secetei pedologice cu urmări grave pentru starea de calitate </w:t>
      </w:r>
      <w:proofErr w:type="spellStart"/>
      <w:r w:rsidR="005D2A30" w:rsidRPr="00125FAF">
        <w:rPr>
          <w:rFonts w:ascii="Times New Roman" w:eastAsia="Times New Roman" w:hAnsi="Times New Roman" w:cs="Times New Roman"/>
          <w:sz w:val="24"/>
          <w:szCs w:val="24"/>
        </w:rPr>
        <w:t>şi</w:t>
      </w:r>
      <w:proofErr w:type="spellEnd"/>
      <w:r w:rsidRPr="00125FAF">
        <w:rPr>
          <w:rFonts w:ascii="Times New Roman" w:eastAsia="Times New Roman" w:hAnsi="Times New Roman" w:cs="Times New Roman"/>
          <w:sz w:val="24"/>
          <w:szCs w:val="24"/>
        </w:rPr>
        <w:t xml:space="preserve"> capacitatea de producție a solurilor agricole;</w:t>
      </w:r>
    </w:p>
    <w:p w14:paraId="075D3284" w14:textId="77777777" w:rsidR="00C538DF" w:rsidRPr="00125FAF" w:rsidRDefault="00C538DF" w:rsidP="003E24C5">
      <w:pPr>
        <w:numPr>
          <w:ilvl w:val="0"/>
          <w:numId w:val="8"/>
        </w:numPr>
        <w:tabs>
          <w:tab w:val="num" w:pos="567"/>
        </w:tabs>
        <w:autoSpaceDE w:val="0"/>
        <w:autoSpaceDN w:val="0"/>
        <w:adjustRightInd w:val="0"/>
        <w:snapToGrid w:val="0"/>
        <w:spacing w:after="0" w:line="240" w:lineRule="auto"/>
        <w:ind w:left="567"/>
        <w:jc w:val="both"/>
        <w:rPr>
          <w:rFonts w:ascii="Times New Roman" w:eastAsia="Times New Roman" w:hAnsi="Times New Roman" w:cs="Times New Roman"/>
          <w:sz w:val="24"/>
          <w:szCs w:val="24"/>
        </w:rPr>
      </w:pPr>
      <w:r w:rsidRPr="00125FAF">
        <w:rPr>
          <w:rFonts w:ascii="Times New Roman" w:eastAsia="Times New Roman" w:hAnsi="Times New Roman" w:cs="Times New Roman"/>
          <w:sz w:val="24"/>
          <w:szCs w:val="24"/>
        </w:rPr>
        <w:t>lipsa investițiilor pentru redresarea sectorului zootehnic și pentru implementarea unor sisteme durabile de management al dejecțiilor animaliere;</w:t>
      </w:r>
    </w:p>
    <w:p w14:paraId="1D67A6C8" w14:textId="77777777" w:rsidR="00C538DF" w:rsidRPr="00125FAF" w:rsidRDefault="00C538DF" w:rsidP="003E24C5">
      <w:pPr>
        <w:numPr>
          <w:ilvl w:val="0"/>
          <w:numId w:val="8"/>
        </w:numPr>
        <w:tabs>
          <w:tab w:val="num" w:pos="567"/>
        </w:tabs>
        <w:autoSpaceDE w:val="0"/>
        <w:autoSpaceDN w:val="0"/>
        <w:adjustRightInd w:val="0"/>
        <w:snapToGrid w:val="0"/>
        <w:spacing w:after="0" w:line="240" w:lineRule="auto"/>
        <w:ind w:left="567"/>
        <w:jc w:val="both"/>
        <w:rPr>
          <w:rFonts w:ascii="Times New Roman" w:eastAsia="Times New Roman" w:hAnsi="Times New Roman" w:cs="Times New Roman"/>
          <w:sz w:val="24"/>
          <w:szCs w:val="24"/>
        </w:rPr>
      </w:pPr>
      <w:r w:rsidRPr="00125FAF">
        <w:rPr>
          <w:rFonts w:ascii="Times New Roman" w:eastAsia="Times New Roman" w:hAnsi="Times New Roman" w:cs="Times New Roman"/>
          <w:sz w:val="24"/>
          <w:szCs w:val="24"/>
        </w:rPr>
        <w:t>posibilități reduse de procurare a animalelor de prăsilă și utilajului performant, respectiv politica de prețuri neeficientă la achiziționarea materiei prime pentru sectorul zootehnie;</w:t>
      </w:r>
    </w:p>
    <w:p w14:paraId="2C75FC4E" w14:textId="77777777" w:rsidR="00C538DF" w:rsidRPr="00125FAF" w:rsidRDefault="00C538DF" w:rsidP="003E24C5">
      <w:pPr>
        <w:numPr>
          <w:ilvl w:val="0"/>
          <w:numId w:val="8"/>
        </w:numPr>
        <w:tabs>
          <w:tab w:val="num" w:pos="567"/>
        </w:tabs>
        <w:autoSpaceDE w:val="0"/>
        <w:autoSpaceDN w:val="0"/>
        <w:adjustRightInd w:val="0"/>
        <w:snapToGrid w:val="0"/>
        <w:spacing w:after="0" w:line="240" w:lineRule="auto"/>
        <w:ind w:left="567"/>
        <w:jc w:val="both"/>
        <w:rPr>
          <w:rFonts w:ascii="Times New Roman" w:eastAsia="Times New Roman" w:hAnsi="Times New Roman" w:cs="Times New Roman"/>
          <w:sz w:val="24"/>
          <w:szCs w:val="24"/>
        </w:rPr>
      </w:pPr>
      <w:r w:rsidRPr="00125FAF">
        <w:rPr>
          <w:rFonts w:ascii="Times New Roman" w:eastAsia="Times New Roman" w:hAnsi="Times New Roman" w:cs="Times New Roman"/>
          <w:sz w:val="24"/>
          <w:szCs w:val="24"/>
        </w:rPr>
        <w:t>lipsa unei abordări integrate și comprehensive cu privire la utilizarea eficientă a resurselor de energie regenerabilă (deșeurilor agricole, dejecțiilor animaliere);</w:t>
      </w:r>
    </w:p>
    <w:p w14:paraId="455D1846" w14:textId="77777777" w:rsidR="00C538DF" w:rsidRPr="00125FAF" w:rsidRDefault="00C538DF" w:rsidP="003E24C5">
      <w:pPr>
        <w:numPr>
          <w:ilvl w:val="0"/>
          <w:numId w:val="8"/>
        </w:numPr>
        <w:tabs>
          <w:tab w:val="num" w:pos="567"/>
        </w:tabs>
        <w:autoSpaceDE w:val="0"/>
        <w:autoSpaceDN w:val="0"/>
        <w:adjustRightInd w:val="0"/>
        <w:snapToGrid w:val="0"/>
        <w:spacing w:after="0" w:line="240" w:lineRule="auto"/>
        <w:ind w:left="567"/>
        <w:jc w:val="both"/>
        <w:rPr>
          <w:rFonts w:ascii="Times New Roman" w:eastAsia="Times New Roman" w:hAnsi="Times New Roman" w:cs="Times New Roman"/>
          <w:sz w:val="24"/>
          <w:szCs w:val="24"/>
        </w:rPr>
      </w:pPr>
      <w:r w:rsidRPr="00125FAF">
        <w:rPr>
          <w:rFonts w:ascii="Times New Roman" w:eastAsia="Times New Roman" w:hAnsi="Times New Roman" w:cs="Times New Roman"/>
          <w:sz w:val="24"/>
          <w:szCs w:val="24"/>
        </w:rPr>
        <w:t>dezvoltarea nesemnificativă a segmentelor lanțului valoric a produselor agricole cu valoare adăugată înaltă;</w:t>
      </w:r>
    </w:p>
    <w:p w14:paraId="1F790A67" w14:textId="77777777" w:rsidR="00C538DF" w:rsidRPr="00125FAF" w:rsidRDefault="00C538DF" w:rsidP="003E24C5">
      <w:pPr>
        <w:numPr>
          <w:ilvl w:val="0"/>
          <w:numId w:val="8"/>
        </w:numPr>
        <w:tabs>
          <w:tab w:val="num" w:pos="567"/>
        </w:tabs>
        <w:autoSpaceDE w:val="0"/>
        <w:autoSpaceDN w:val="0"/>
        <w:adjustRightInd w:val="0"/>
        <w:snapToGrid w:val="0"/>
        <w:spacing w:after="0" w:line="240" w:lineRule="auto"/>
        <w:ind w:left="567"/>
        <w:jc w:val="both"/>
        <w:rPr>
          <w:rFonts w:ascii="Times New Roman" w:eastAsia="Times New Roman" w:hAnsi="Times New Roman" w:cs="Times New Roman"/>
          <w:sz w:val="24"/>
          <w:szCs w:val="24"/>
        </w:rPr>
      </w:pPr>
      <w:r w:rsidRPr="00125FAF">
        <w:rPr>
          <w:rFonts w:ascii="Times New Roman" w:eastAsia="Times New Roman" w:hAnsi="Times New Roman" w:cs="Times New Roman"/>
          <w:sz w:val="24"/>
          <w:szCs w:val="24"/>
        </w:rPr>
        <w:lastRenderedPageBreak/>
        <w:t>sistem statistic ineficient de evidență a culturilor agricole, efectivului de animale și păsări domestice;</w:t>
      </w:r>
    </w:p>
    <w:p w14:paraId="29C19828" w14:textId="554D3331" w:rsidR="001B2C56" w:rsidRPr="00125FAF" w:rsidRDefault="001B2C56" w:rsidP="003E24C5">
      <w:pPr>
        <w:numPr>
          <w:ilvl w:val="0"/>
          <w:numId w:val="8"/>
        </w:numPr>
        <w:tabs>
          <w:tab w:val="clear" w:pos="720"/>
        </w:tabs>
        <w:autoSpaceDE w:val="0"/>
        <w:autoSpaceDN w:val="0"/>
        <w:adjustRightInd w:val="0"/>
        <w:snapToGrid w:val="0"/>
        <w:spacing w:after="0" w:line="240" w:lineRule="auto"/>
        <w:ind w:left="540"/>
        <w:jc w:val="both"/>
        <w:rPr>
          <w:rFonts w:ascii="Times New Roman" w:eastAsia="Times New Roman" w:hAnsi="Times New Roman" w:cs="Times New Roman"/>
          <w:color w:val="000000"/>
          <w:sz w:val="24"/>
          <w:szCs w:val="24"/>
        </w:rPr>
      </w:pPr>
      <w:r w:rsidRPr="00125FAF">
        <w:rPr>
          <w:rFonts w:ascii="Times New Roman" w:eastAsia="Times New Roman" w:hAnsi="Times New Roman" w:cs="Times New Roman"/>
          <w:color w:val="000000"/>
          <w:sz w:val="24"/>
          <w:szCs w:val="24"/>
        </w:rPr>
        <w:t xml:space="preserve">lipsa unui program de stat referitor la dezvoltarea principalei ramuri ale zootehnie (căreia </w:t>
      </w:r>
      <w:r w:rsidR="00F13925" w:rsidRPr="00125FAF">
        <w:rPr>
          <w:rFonts w:ascii="Times New Roman" w:eastAsia="Times New Roman" w:hAnsi="Times New Roman" w:cs="Times New Roman"/>
          <w:color w:val="000000"/>
          <w:sz w:val="24"/>
          <w:szCs w:val="24"/>
        </w:rPr>
        <w:t>îi</w:t>
      </w:r>
      <w:r w:rsidRPr="00125FAF">
        <w:rPr>
          <w:rFonts w:ascii="Times New Roman" w:eastAsia="Times New Roman" w:hAnsi="Times New Roman" w:cs="Times New Roman"/>
          <w:color w:val="000000"/>
          <w:sz w:val="24"/>
          <w:szCs w:val="24"/>
        </w:rPr>
        <w:t xml:space="preserve"> revine și cea mai mare parte a emisiilor de GES) - creșterea bovinelor de lapte și carne;</w:t>
      </w:r>
    </w:p>
    <w:p w14:paraId="5B97E58C" w14:textId="0351DC59" w:rsidR="001B2C56" w:rsidRPr="00125FAF" w:rsidRDefault="001B2C56" w:rsidP="003E24C5">
      <w:pPr>
        <w:numPr>
          <w:ilvl w:val="0"/>
          <w:numId w:val="8"/>
        </w:numPr>
        <w:autoSpaceDE w:val="0"/>
        <w:autoSpaceDN w:val="0"/>
        <w:adjustRightInd w:val="0"/>
        <w:snapToGrid w:val="0"/>
        <w:spacing w:after="120" w:line="240" w:lineRule="auto"/>
        <w:ind w:left="547"/>
        <w:jc w:val="both"/>
        <w:rPr>
          <w:rFonts w:ascii="Times New Roman" w:eastAsia="Times New Roman" w:hAnsi="Times New Roman" w:cs="Times New Roman"/>
          <w:color w:val="000000"/>
          <w:sz w:val="24"/>
          <w:szCs w:val="24"/>
        </w:rPr>
      </w:pPr>
      <w:r w:rsidRPr="00125FAF">
        <w:rPr>
          <w:rFonts w:ascii="Times New Roman" w:eastAsia="Times New Roman" w:hAnsi="Times New Roman" w:cs="Times New Roman"/>
          <w:color w:val="000000"/>
          <w:sz w:val="24"/>
          <w:szCs w:val="24"/>
        </w:rPr>
        <w:t>insuficiența de specialiști în domeniu din cauza exodului masiv al populației rurale în căutarea unui loc de muncă mai bine plătit.</w:t>
      </w:r>
    </w:p>
    <w:p w14:paraId="64DA6120" w14:textId="70D39B93" w:rsidR="00C538DF" w:rsidRPr="00125FAF" w:rsidRDefault="00CC291E" w:rsidP="001F2F2D">
      <w:pPr>
        <w:spacing w:after="0" w:line="240" w:lineRule="auto"/>
        <w:ind w:right="-2" w:firstLine="426"/>
        <w:jc w:val="both"/>
        <w:rPr>
          <w:rFonts w:ascii="Times New Roman" w:eastAsia="Times New Roman" w:hAnsi="Times New Roman" w:cs="Times New Roman"/>
          <w:sz w:val="24"/>
          <w:szCs w:val="24"/>
        </w:rPr>
      </w:pPr>
      <w:r w:rsidRPr="00125FAF">
        <w:rPr>
          <w:rFonts w:ascii="Times New Roman" w:eastAsia="Times New Roman" w:hAnsi="Times New Roman" w:cs="Times New Roman"/>
          <w:sz w:val="24"/>
          <w:szCs w:val="24"/>
        </w:rPr>
        <w:t>Strategiile și programele sectoriale aprobate până în prezent nu au avut suficienți sorți de izbândă. Drept urmare, în ultimii 20 ani agricultura Republicii Moldova a fost bazată preponderent pe exploatarea fertilității naturale a solurilor (conținutului existent de humus în soluri acumulat pe parcurs de milenii).</w:t>
      </w:r>
    </w:p>
    <w:p w14:paraId="28CCF08D" w14:textId="4D6AD0B0" w:rsidR="00C538DF" w:rsidRPr="00125FAF" w:rsidRDefault="00C538DF" w:rsidP="001F2F2D">
      <w:pPr>
        <w:spacing w:after="0" w:line="240" w:lineRule="auto"/>
        <w:ind w:firstLine="426"/>
        <w:jc w:val="both"/>
        <w:rPr>
          <w:rFonts w:ascii="Times New Roman" w:eastAsia="Times New Roman" w:hAnsi="Times New Roman" w:cs="Times New Roman"/>
          <w:color w:val="000000"/>
          <w:sz w:val="24"/>
          <w:szCs w:val="24"/>
        </w:rPr>
      </w:pPr>
      <w:r w:rsidRPr="00125FAF">
        <w:rPr>
          <w:rFonts w:ascii="Times New Roman" w:eastAsia="Times New Roman" w:hAnsi="Times New Roman" w:cs="Times New Roman"/>
          <w:color w:val="000000"/>
          <w:sz w:val="24"/>
          <w:szCs w:val="24"/>
        </w:rPr>
        <w:t xml:space="preserve">Au fost excluse din asolamentele exploatațiilor agricole culturile furajere și o parte din culturile tehnice, inclusiv tutunul, parțial sfecla de zahăr, dar și legumele, cartoful, culturile </w:t>
      </w:r>
      <w:proofErr w:type="spellStart"/>
      <w:r w:rsidRPr="00125FAF">
        <w:rPr>
          <w:rFonts w:ascii="Times New Roman" w:eastAsia="Times New Roman" w:hAnsi="Times New Roman" w:cs="Times New Roman"/>
          <w:color w:val="000000"/>
          <w:sz w:val="24"/>
          <w:szCs w:val="24"/>
        </w:rPr>
        <w:t>etero</w:t>
      </w:r>
      <w:proofErr w:type="spellEnd"/>
      <w:r w:rsidRPr="00125FAF">
        <w:rPr>
          <w:rFonts w:ascii="Times New Roman" w:eastAsia="Times New Roman" w:hAnsi="Times New Roman" w:cs="Times New Roman"/>
          <w:color w:val="000000"/>
          <w:sz w:val="24"/>
          <w:szCs w:val="24"/>
        </w:rPr>
        <w:t>-oleaginoase, plantele medicinale și alte produse cu valoarea adăugată sporită. S-a micșorat semnificativ producția produselor zootehnice de bază ca urmare a faptului că în sectorul zootehnic prevalează producția de scară mică în gospodării individuale în care predomină tehnologiile extensive de producere. Drept consecință, s-a redus productivitatea sectorului, și s-a intensificat poluarea mediului, deoarece dejecțiile animaliere generate nu sunt administrate pe câmpuri în calitate de</w:t>
      </w:r>
      <w:r w:rsidR="00B566C6" w:rsidRPr="00125FAF">
        <w:rPr>
          <w:rFonts w:ascii="Times New Roman" w:eastAsia="Times New Roman" w:hAnsi="Times New Roman" w:cs="Times New Roman"/>
          <w:color w:val="000000"/>
          <w:sz w:val="24"/>
          <w:szCs w:val="24"/>
        </w:rPr>
        <w:t xml:space="preserve"> </w:t>
      </w:r>
      <w:r w:rsidRPr="00125FAF">
        <w:rPr>
          <w:rFonts w:ascii="Times New Roman" w:eastAsia="Times New Roman" w:hAnsi="Times New Roman" w:cs="Times New Roman"/>
          <w:color w:val="000000"/>
          <w:sz w:val="24"/>
          <w:szCs w:val="24"/>
        </w:rPr>
        <w:t>îngrășăminte organice, ci rămân depozitate în perimetrul localităților rurale, agravând situația ecologică și sanitară a spațiului rural.</w:t>
      </w:r>
    </w:p>
    <w:p w14:paraId="1AE87C2A" w14:textId="16C9FF84" w:rsidR="006364B2" w:rsidRPr="00125FAF" w:rsidRDefault="006364B2" w:rsidP="001F2F2D">
      <w:pPr>
        <w:spacing w:before="120" w:after="120" w:line="240" w:lineRule="auto"/>
        <w:ind w:firstLine="720"/>
        <w:jc w:val="both"/>
        <w:outlineLvl w:val="2"/>
        <w:rPr>
          <w:rFonts w:ascii="Times New Roman" w:eastAsia="Times New Roman" w:hAnsi="Times New Roman" w:cs="Times New Roman"/>
          <w:b/>
          <w:bCs/>
          <w:sz w:val="24"/>
          <w:szCs w:val="24"/>
          <w:lang w:eastAsia="ru-RU"/>
        </w:rPr>
      </w:pPr>
      <w:r w:rsidRPr="00125FAF">
        <w:rPr>
          <w:rFonts w:ascii="Times New Roman" w:eastAsia="Times New Roman" w:hAnsi="Times New Roman" w:cs="Times New Roman"/>
          <w:b/>
          <w:bCs/>
          <w:color w:val="000000"/>
          <w:sz w:val="24"/>
          <w:szCs w:val="24"/>
          <w:lang w:eastAsia="ru-RU"/>
        </w:rPr>
        <w:t>2.</w:t>
      </w:r>
      <w:r w:rsidR="00403E3C" w:rsidRPr="00125FAF">
        <w:rPr>
          <w:rFonts w:ascii="Times New Roman" w:eastAsia="Times New Roman" w:hAnsi="Times New Roman" w:cs="Times New Roman"/>
          <w:b/>
          <w:bCs/>
          <w:color w:val="000000"/>
          <w:sz w:val="24"/>
          <w:szCs w:val="24"/>
          <w:lang w:eastAsia="ru-RU"/>
        </w:rPr>
        <w:t>2.</w:t>
      </w:r>
      <w:r w:rsidRPr="00125FAF">
        <w:rPr>
          <w:rFonts w:ascii="Times New Roman" w:eastAsia="Times New Roman" w:hAnsi="Times New Roman" w:cs="Times New Roman"/>
          <w:b/>
          <w:bCs/>
          <w:color w:val="000000"/>
          <w:sz w:val="24"/>
          <w:szCs w:val="24"/>
          <w:lang w:eastAsia="ru-RU"/>
        </w:rPr>
        <w:t xml:space="preserve">6. </w:t>
      </w:r>
      <w:proofErr w:type="spellStart"/>
      <w:r w:rsidRPr="00125FAF">
        <w:rPr>
          <w:rFonts w:ascii="Times New Roman" w:eastAsia="Times New Roman" w:hAnsi="Times New Roman" w:cs="Times New Roman"/>
          <w:b/>
          <w:bCs/>
          <w:color w:val="000000"/>
          <w:sz w:val="24"/>
          <w:szCs w:val="24"/>
          <w:lang w:eastAsia="ru-RU"/>
        </w:rPr>
        <w:t>Contribuţia</w:t>
      </w:r>
      <w:proofErr w:type="spellEnd"/>
      <w:r w:rsidRPr="00125FAF">
        <w:rPr>
          <w:rFonts w:ascii="Times New Roman" w:eastAsia="Times New Roman" w:hAnsi="Times New Roman" w:cs="Times New Roman"/>
          <w:b/>
          <w:bCs/>
          <w:color w:val="000000"/>
          <w:sz w:val="24"/>
          <w:szCs w:val="24"/>
          <w:lang w:eastAsia="ru-RU"/>
        </w:rPr>
        <w:t xml:space="preserve"> </w:t>
      </w:r>
      <w:r w:rsidRPr="00125FAF">
        <w:rPr>
          <w:rFonts w:ascii="Times New Roman" w:eastAsia="Times New Roman" w:hAnsi="Times New Roman" w:cs="Times New Roman"/>
          <w:b/>
          <w:bCs/>
          <w:iCs/>
          <w:color w:val="000000"/>
          <w:sz w:val="24"/>
          <w:szCs w:val="24"/>
          <w:lang w:eastAsia="ru-RU"/>
        </w:rPr>
        <w:t xml:space="preserve">sectorului </w:t>
      </w:r>
      <w:r w:rsidR="003242D8" w:rsidRPr="003242D8">
        <w:rPr>
          <w:rFonts w:ascii="Times New Roman" w:eastAsia="Times New Roman" w:hAnsi="Times New Roman" w:cs="Times New Roman"/>
          <w:b/>
          <w:bCs/>
          <w:i/>
          <w:color w:val="000000"/>
          <w:sz w:val="24"/>
          <w:szCs w:val="24"/>
          <w:lang w:eastAsia="ru-RU"/>
        </w:rPr>
        <w:t>Folosința terenurilor, schimbarea categoriei de folosință a terenurilor și silvicultura</w:t>
      </w:r>
      <w:r w:rsidR="003242D8">
        <w:rPr>
          <w:rFonts w:ascii="Times New Roman" w:eastAsia="Times New Roman" w:hAnsi="Times New Roman" w:cs="Times New Roman"/>
          <w:b/>
          <w:bCs/>
          <w:i/>
          <w:color w:val="000000"/>
          <w:sz w:val="24"/>
          <w:szCs w:val="24"/>
          <w:lang w:eastAsia="ru-RU"/>
        </w:rPr>
        <w:t xml:space="preserve"> </w:t>
      </w:r>
      <w:r w:rsidR="003242D8" w:rsidRPr="003242D8">
        <w:rPr>
          <w:rFonts w:ascii="Times New Roman" w:eastAsia="Times New Roman" w:hAnsi="Times New Roman" w:cs="Times New Roman"/>
          <w:b/>
          <w:bCs/>
          <w:i/>
          <w:color w:val="000000"/>
          <w:sz w:val="24"/>
          <w:szCs w:val="24"/>
          <w:lang w:eastAsia="ru-RU"/>
        </w:rPr>
        <w:t>(</w:t>
      </w:r>
      <w:r w:rsidR="003242D8" w:rsidRPr="003242D8">
        <w:rPr>
          <w:rFonts w:ascii="Times New Roman" w:eastAsia="Times New Roman" w:hAnsi="Times New Roman" w:cs="Times New Roman"/>
          <w:b/>
          <w:i/>
          <w:color w:val="000000"/>
          <w:sz w:val="24"/>
          <w:szCs w:val="24"/>
        </w:rPr>
        <w:t>FTSCFTS</w:t>
      </w:r>
      <w:r w:rsidR="003242D8" w:rsidRPr="003242D8">
        <w:rPr>
          <w:rFonts w:ascii="Times New Roman" w:eastAsia="Times New Roman" w:hAnsi="Times New Roman" w:cs="Times New Roman"/>
          <w:b/>
          <w:bCs/>
          <w:i/>
          <w:color w:val="000000"/>
          <w:sz w:val="24"/>
          <w:szCs w:val="24"/>
          <w:lang w:eastAsia="ru-RU"/>
        </w:rPr>
        <w:t>)</w:t>
      </w:r>
      <w:r w:rsidR="003242D8">
        <w:rPr>
          <w:rFonts w:ascii="Times New Roman" w:eastAsia="Times New Roman" w:hAnsi="Times New Roman" w:cs="Times New Roman"/>
          <w:b/>
          <w:bCs/>
          <w:color w:val="000000"/>
          <w:sz w:val="24"/>
          <w:szCs w:val="24"/>
          <w:lang w:eastAsia="ru-RU"/>
        </w:rPr>
        <w:t xml:space="preserve"> </w:t>
      </w:r>
      <w:r w:rsidRPr="00125FAF">
        <w:rPr>
          <w:rFonts w:ascii="Times New Roman" w:eastAsia="Times New Roman" w:hAnsi="Times New Roman" w:cs="Times New Roman"/>
          <w:b/>
          <w:bCs/>
          <w:color w:val="000000"/>
          <w:sz w:val="24"/>
          <w:szCs w:val="24"/>
          <w:lang w:eastAsia="ru-RU"/>
        </w:rPr>
        <w:t xml:space="preserve">la dezvoltarea cu emisii reduse </w:t>
      </w:r>
      <w:proofErr w:type="spellStart"/>
      <w:r w:rsidRPr="00125FAF">
        <w:rPr>
          <w:rFonts w:ascii="Times New Roman" w:eastAsia="Times New Roman" w:hAnsi="Times New Roman" w:cs="Times New Roman"/>
          <w:b/>
          <w:bCs/>
          <w:color w:val="000000"/>
          <w:sz w:val="24"/>
          <w:szCs w:val="24"/>
          <w:lang w:eastAsia="ru-RU"/>
        </w:rPr>
        <w:t>şi</w:t>
      </w:r>
      <w:proofErr w:type="spellEnd"/>
      <w:r w:rsidRPr="00125FAF">
        <w:rPr>
          <w:rFonts w:ascii="Times New Roman" w:eastAsia="Times New Roman" w:hAnsi="Times New Roman" w:cs="Times New Roman"/>
          <w:b/>
          <w:bCs/>
          <w:color w:val="000000"/>
          <w:sz w:val="24"/>
          <w:szCs w:val="24"/>
          <w:lang w:eastAsia="ru-RU"/>
        </w:rPr>
        <w:t xml:space="preserve"> problemele identificate în acest sector</w:t>
      </w:r>
    </w:p>
    <w:p w14:paraId="5EB317B2" w14:textId="10025F63" w:rsidR="003242D8" w:rsidRPr="00AE2362" w:rsidRDefault="006364B2" w:rsidP="003242D8">
      <w:pPr>
        <w:pStyle w:val="Corptext"/>
        <w:spacing w:before="60" w:after="60" w:line="240" w:lineRule="auto"/>
        <w:rPr>
          <w:snapToGrid w:val="0"/>
          <w:color w:val="000000" w:themeColor="text1"/>
          <w:szCs w:val="24"/>
          <w:lang w:eastAsia="en-US"/>
        </w:rPr>
      </w:pPr>
      <w:r w:rsidRPr="00125FAF">
        <w:rPr>
          <w:color w:val="000000"/>
          <w:szCs w:val="24"/>
          <w:shd w:val="clear" w:color="auto" w:fill="FFFFFF"/>
        </w:rPr>
        <w:t>1</w:t>
      </w:r>
      <w:r w:rsidR="007909C8" w:rsidRPr="00125FAF">
        <w:rPr>
          <w:color w:val="000000"/>
          <w:szCs w:val="24"/>
          <w:shd w:val="clear" w:color="auto" w:fill="FFFFFF"/>
        </w:rPr>
        <w:t>5</w:t>
      </w:r>
      <w:r w:rsidRPr="00125FAF">
        <w:rPr>
          <w:szCs w:val="24"/>
          <w:shd w:val="clear" w:color="auto" w:fill="FFFFFF"/>
        </w:rPr>
        <w:t xml:space="preserve">. </w:t>
      </w:r>
      <w:r w:rsidR="00643432" w:rsidRPr="00125FAF">
        <w:rPr>
          <w:szCs w:val="24"/>
          <w:shd w:val="clear" w:color="auto" w:fill="FFFFFF"/>
        </w:rPr>
        <w:t xml:space="preserve">Sectorul forestier contribuie la atenuarea emisiilor de carbon prin sechestrarea acestora de către </w:t>
      </w:r>
      <w:proofErr w:type="spellStart"/>
      <w:r w:rsidR="00643432" w:rsidRPr="00125FAF">
        <w:rPr>
          <w:szCs w:val="24"/>
          <w:shd w:val="clear" w:color="auto" w:fill="FFFFFF"/>
        </w:rPr>
        <w:t>vegetaţie</w:t>
      </w:r>
      <w:proofErr w:type="spellEnd"/>
      <w:r w:rsidR="00643432" w:rsidRPr="00125FAF">
        <w:rPr>
          <w:szCs w:val="24"/>
          <w:shd w:val="clear" w:color="auto" w:fill="FFFFFF"/>
        </w:rPr>
        <w:t xml:space="preserve">, precum </w:t>
      </w:r>
      <w:proofErr w:type="spellStart"/>
      <w:r w:rsidR="00643432" w:rsidRPr="00125FAF">
        <w:rPr>
          <w:szCs w:val="24"/>
          <w:shd w:val="clear" w:color="auto" w:fill="FFFFFF"/>
        </w:rPr>
        <w:t>şi</w:t>
      </w:r>
      <w:proofErr w:type="spellEnd"/>
      <w:r w:rsidR="00643432" w:rsidRPr="00125FAF">
        <w:rPr>
          <w:szCs w:val="24"/>
          <w:shd w:val="clear" w:color="auto" w:fill="FFFFFF"/>
        </w:rPr>
        <w:t xml:space="preserve"> prin substituirea combustibilului fosil cu masa lemnoasă produsă. </w:t>
      </w:r>
      <w:r w:rsidRPr="00125FAF">
        <w:rPr>
          <w:szCs w:val="24"/>
          <w:shd w:val="clear" w:color="auto" w:fill="FFFFFF"/>
        </w:rPr>
        <w:t xml:space="preserve">Politicile existente la nivelul sectorului forestier includ prevederi care, direct sau indirect, </w:t>
      </w:r>
      <w:proofErr w:type="spellStart"/>
      <w:r w:rsidRPr="00125FAF">
        <w:rPr>
          <w:szCs w:val="24"/>
          <w:shd w:val="clear" w:color="auto" w:fill="FFFFFF"/>
        </w:rPr>
        <w:t>influenţează</w:t>
      </w:r>
      <w:proofErr w:type="spellEnd"/>
      <w:r w:rsidRPr="00125FAF">
        <w:rPr>
          <w:szCs w:val="24"/>
          <w:shd w:val="clear" w:color="auto" w:fill="FFFFFF"/>
        </w:rPr>
        <w:t xml:space="preserve"> abilitatea sectorului de a spori capacitatea de captare a carbonului. Accentul este pus pe extinderea zonelor forestiere, conservarea </w:t>
      </w:r>
      <w:proofErr w:type="spellStart"/>
      <w:r w:rsidRPr="00125FAF">
        <w:rPr>
          <w:color w:val="000000"/>
          <w:szCs w:val="24"/>
          <w:shd w:val="clear" w:color="auto" w:fill="FFFFFF"/>
        </w:rPr>
        <w:t>diversităţii</w:t>
      </w:r>
      <w:proofErr w:type="spellEnd"/>
      <w:r w:rsidRPr="00125FAF">
        <w:rPr>
          <w:color w:val="000000"/>
          <w:szCs w:val="24"/>
          <w:shd w:val="clear" w:color="auto" w:fill="FFFFFF"/>
        </w:rPr>
        <w:t xml:space="preserve"> biologice, fortificarea </w:t>
      </w:r>
      <w:proofErr w:type="spellStart"/>
      <w:r w:rsidRPr="00125FAF">
        <w:rPr>
          <w:color w:val="000000"/>
          <w:szCs w:val="24"/>
          <w:shd w:val="clear" w:color="auto" w:fill="FFFFFF"/>
        </w:rPr>
        <w:t>capacităţii</w:t>
      </w:r>
      <w:proofErr w:type="spellEnd"/>
      <w:r w:rsidRPr="00125FAF">
        <w:rPr>
          <w:color w:val="000000"/>
          <w:szCs w:val="24"/>
          <w:shd w:val="clear" w:color="auto" w:fill="FFFFFF"/>
        </w:rPr>
        <w:t xml:space="preserve"> </w:t>
      </w:r>
      <w:proofErr w:type="spellStart"/>
      <w:r w:rsidRPr="00125FAF">
        <w:rPr>
          <w:color w:val="000000"/>
          <w:szCs w:val="24"/>
          <w:shd w:val="clear" w:color="auto" w:fill="FFFFFF"/>
        </w:rPr>
        <w:t>instituţionale</w:t>
      </w:r>
      <w:proofErr w:type="spellEnd"/>
      <w:r w:rsidRPr="00125FAF">
        <w:rPr>
          <w:color w:val="000000"/>
          <w:szCs w:val="24"/>
          <w:shd w:val="clear" w:color="auto" w:fill="FFFFFF"/>
        </w:rPr>
        <w:t xml:space="preserve"> </w:t>
      </w:r>
      <w:proofErr w:type="spellStart"/>
      <w:r w:rsidRPr="00125FAF">
        <w:rPr>
          <w:color w:val="000000"/>
          <w:szCs w:val="24"/>
          <w:shd w:val="clear" w:color="auto" w:fill="FFFFFF"/>
        </w:rPr>
        <w:t>şi</w:t>
      </w:r>
      <w:proofErr w:type="spellEnd"/>
      <w:r w:rsidRPr="00125FAF">
        <w:rPr>
          <w:color w:val="000000"/>
          <w:szCs w:val="24"/>
          <w:shd w:val="clear" w:color="auto" w:fill="FFFFFF"/>
        </w:rPr>
        <w:t xml:space="preserve"> umane, cooperarea </w:t>
      </w:r>
      <w:proofErr w:type="spellStart"/>
      <w:r w:rsidRPr="00125FAF">
        <w:rPr>
          <w:color w:val="000000"/>
          <w:szCs w:val="24"/>
          <w:shd w:val="clear" w:color="auto" w:fill="FFFFFF"/>
        </w:rPr>
        <w:t>internaţională</w:t>
      </w:r>
      <w:proofErr w:type="spellEnd"/>
      <w:r w:rsidRPr="00125FAF">
        <w:rPr>
          <w:color w:val="000000"/>
          <w:szCs w:val="24"/>
          <w:shd w:val="clear" w:color="auto" w:fill="FFFFFF"/>
        </w:rPr>
        <w:t xml:space="preserve"> etc.</w:t>
      </w:r>
      <w:r w:rsidR="003242D8">
        <w:rPr>
          <w:color w:val="000000"/>
          <w:szCs w:val="24"/>
          <w:shd w:val="clear" w:color="auto" w:fill="FFFFFF"/>
        </w:rPr>
        <w:t xml:space="preserve"> </w:t>
      </w:r>
      <w:r w:rsidR="003242D8" w:rsidRPr="00AE2362">
        <w:rPr>
          <w:snapToGrid w:val="0"/>
          <w:color w:val="000000" w:themeColor="text1"/>
          <w:szCs w:val="24"/>
          <w:lang w:eastAsia="en-US"/>
        </w:rPr>
        <w:t xml:space="preserve">În cadrul sectorului „FTSCFTS”, în anul 1990 </w:t>
      </w:r>
      <w:proofErr w:type="spellStart"/>
      <w:r w:rsidR="003242D8" w:rsidRPr="00AE2362">
        <w:rPr>
          <w:snapToGrid w:val="0"/>
          <w:color w:val="000000" w:themeColor="text1"/>
          <w:szCs w:val="24"/>
          <w:lang w:eastAsia="en-US"/>
        </w:rPr>
        <w:t>pajiştile</w:t>
      </w:r>
      <w:proofErr w:type="spellEnd"/>
      <w:r w:rsidR="003242D8" w:rsidRPr="00AE2362">
        <w:rPr>
          <w:snapToGrid w:val="0"/>
          <w:color w:val="000000" w:themeColor="text1"/>
          <w:szCs w:val="24"/>
          <w:lang w:eastAsia="en-US"/>
        </w:rPr>
        <w:t xml:space="preserve"> au avut o pondere de 26.6% în procesul de sechestrare de CO</w:t>
      </w:r>
      <w:r w:rsidR="003242D8" w:rsidRPr="00AE2362">
        <w:rPr>
          <w:snapToGrid w:val="0"/>
          <w:color w:val="000000" w:themeColor="text1"/>
          <w:szCs w:val="24"/>
          <w:vertAlign w:val="subscript"/>
          <w:lang w:eastAsia="en-US"/>
        </w:rPr>
        <w:t>2</w:t>
      </w:r>
      <w:r w:rsidR="003242D8" w:rsidRPr="00AE2362">
        <w:rPr>
          <w:snapToGrid w:val="0"/>
          <w:color w:val="000000" w:themeColor="text1"/>
          <w:szCs w:val="24"/>
          <w:lang w:eastAsia="en-US"/>
        </w:rPr>
        <w:t xml:space="preserve">. În anul 2019 ponderea pajiștilor în acest proces a scăzut până la 11.8% rămânând o sursă importantă în </w:t>
      </w:r>
      <w:proofErr w:type="spellStart"/>
      <w:r w:rsidR="003242D8" w:rsidRPr="00AE2362">
        <w:rPr>
          <w:snapToGrid w:val="0"/>
          <w:color w:val="000000" w:themeColor="text1"/>
          <w:szCs w:val="24"/>
          <w:lang w:eastAsia="en-US"/>
        </w:rPr>
        <w:t>bilanţul</w:t>
      </w:r>
      <w:proofErr w:type="spellEnd"/>
      <w:r w:rsidR="003242D8" w:rsidRPr="00AE2362">
        <w:rPr>
          <w:snapToGrid w:val="0"/>
          <w:color w:val="000000" w:themeColor="text1"/>
          <w:szCs w:val="24"/>
          <w:lang w:eastAsia="en-US"/>
        </w:rPr>
        <w:t xml:space="preserve"> total înregistrat pe acest sector. </w:t>
      </w:r>
    </w:p>
    <w:p w14:paraId="63F02302" w14:textId="798E2F22" w:rsidR="006364B2" w:rsidRPr="00125FAF" w:rsidRDefault="006364B2" w:rsidP="006364B2">
      <w:pPr>
        <w:spacing w:after="0" w:line="240" w:lineRule="auto"/>
        <w:ind w:firstLine="720"/>
        <w:jc w:val="both"/>
        <w:rPr>
          <w:rFonts w:ascii="Times New Roman" w:eastAsia="Times New Roman" w:hAnsi="Times New Roman" w:cs="Times New Roman"/>
          <w:sz w:val="24"/>
          <w:szCs w:val="24"/>
          <w:lang w:eastAsia="ru-RU"/>
        </w:rPr>
      </w:pPr>
    </w:p>
    <w:p w14:paraId="0E7BF612" w14:textId="76E25455" w:rsidR="006364B2" w:rsidRPr="00125FAF" w:rsidRDefault="006364B2" w:rsidP="006364B2">
      <w:pPr>
        <w:spacing w:after="0" w:line="240" w:lineRule="auto"/>
        <w:ind w:firstLine="720"/>
        <w:jc w:val="both"/>
        <w:rPr>
          <w:rFonts w:ascii="Times New Roman" w:eastAsia="Times New Roman" w:hAnsi="Times New Roman" w:cs="Times New Roman"/>
          <w:sz w:val="24"/>
          <w:szCs w:val="24"/>
          <w:lang w:eastAsia="ru-RU"/>
        </w:rPr>
      </w:pPr>
      <w:r w:rsidRPr="00125FAF">
        <w:rPr>
          <w:rFonts w:ascii="Times New Roman" w:eastAsia="Times New Roman" w:hAnsi="Times New Roman" w:cs="Times New Roman"/>
          <w:color w:val="000000"/>
          <w:sz w:val="24"/>
          <w:szCs w:val="24"/>
          <w:shd w:val="clear" w:color="auto" w:fill="FFFFFF"/>
          <w:lang w:eastAsia="ru-RU"/>
        </w:rPr>
        <w:t xml:space="preserve">În conformitate cu art. 78 </w:t>
      </w:r>
      <w:proofErr w:type="spellStart"/>
      <w:r w:rsidRPr="00125FAF">
        <w:rPr>
          <w:rFonts w:ascii="Times New Roman" w:eastAsia="Times New Roman" w:hAnsi="Times New Roman" w:cs="Times New Roman"/>
          <w:color w:val="000000"/>
          <w:sz w:val="24"/>
          <w:szCs w:val="24"/>
          <w:shd w:val="clear" w:color="auto" w:fill="FFFFFF"/>
          <w:lang w:eastAsia="ru-RU"/>
        </w:rPr>
        <w:t>şi</w:t>
      </w:r>
      <w:proofErr w:type="spellEnd"/>
      <w:r w:rsidRPr="00125FAF">
        <w:rPr>
          <w:rFonts w:ascii="Times New Roman" w:eastAsia="Times New Roman" w:hAnsi="Times New Roman" w:cs="Times New Roman"/>
          <w:color w:val="000000"/>
          <w:sz w:val="24"/>
          <w:szCs w:val="24"/>
          <w:shd w:val="clear" w:color="auto" w:fill="FFFFFF"/>
          <w:lang w:eastAsia="ru-RU"/>
        </w:rPr>
        <w:t xml:space="preserve"> 80 din Codul silvic nr. 887</w:t>
      </w:r>
      <w:r w:rsidR="00A13E20" w:rsidRPr="00125FAF">
        <w:rPr>
          <w:rFonts w:ascii="Times New Roman" w:eastAsia="Times New Roman" w:hAnsi="Times New Roman" w:cs="Times New Roman"/>
          <w:color w:val="000000"/>
          <w:sz w:val="24"/>
          <w:szCs w:val="24"/>
          <w:shd w:val="clear" w:color="auto" w:fill="FFFFFF"/>
          <w:lang w:eastAsia="ru-RU"/>
        </w:rPr>
        <w:t>/</w:t>
      </w:r>
      <w:r w:rsidRPr="00125FAF">
        <w:rPr>
          <w:rFonts w:ascii="Times New Roman" w:eastAsia="Times New Roman" w:hAnsi="Times New Roman" w:cs="Times New Roman"/>
          <w:color w:val="000000"/>
          <w:sz w:val="24"/>
          <w:szCs w:val="24"/>
          <w:shd w:val="clear" w:color="auto" w:fill="FFFFFF"/>
          <w:lang w:eastAsia="ru-RU"/>
        </w:rPr>
        <w:t xml:space="preserve">1996, </w:t>
      </w:r>
      <w:proofErr w:type="spellStart"/>
      <w:r w:rsidRPr="00125FAF">
        <w:rPr>
          <w:rFonts w:ascii="Times New Roman" w:eastAsia="Times New Roman" w:hAnsi="Times New Roman" w:cs="Times New Roman"/>
          <w:color w:val="000000"/>
          <w:sz w:val="24"/>
          <w:szCs w:val="24"/>
          <w:shd w:val="clear" w:color="auto" w:fill="FFFFFF"/>
          <w:lang w:eastAsia="ru-RU"/>
        </w:rPr>
        <w:t>sînt</w:t>
      </w:r>
      <w:proofErr w:type="spellEnd"/>
      <w:r w:rsidRPr="00125FAF">
        <w:rPr>
          <w:rFonts w:ascii="Times New Roman" w:eastAsia="Times New Roman" w:hAnsi="Times New Roman" w:cs="Times New Roman"/>
          <w:color w:val="000000"/>
          <w:sz w:val="24"/>
          <w:szCs w:val="24"/>
          <w:shd w:val="clear" w:color="auto" w:fill="FFFFFF"/>
          <w:lang w:eastAsia="ru-RU"/>
        </w:rPr>
        <w:t xml:space="preserve"> interzise fragmentarea </w:t>
      </w:r>
      <w:proofErr w:type="spellStart"/>
      <w:r w:rsidRPr="00125FAF">
        <w:rPr>
          <w:rFonts w:ascii="Times New Roman" w:eastAsia="Times New Roman" w:hAnsi="Times New Roman" w:cs="Times New Roman"/>
          <w:color w:val="000000"/>
          <w:sz w:val="24"/>
          <w:szCs w:val="24"/>
          <w:shd w:val="clear" w:color="auto" w:fill="FFFFFF"/>
          <w:lang w:eastAsia="ru-RU"/>
        </w:rPr>
        <w:t>şi</w:t>
      </w:r>
      <w:proofErr w:type="spellEnd"/>
      <w:r w:rsidRPr="00125FAF">
        <w:rPr>
          <w:rFonts w:ascii="Times New Roman" w:eastAsia="Times New Roman" w:hAnsi="Times New Roman" w:cs="Times New Roman"/>
          <w:color w:val="000000"/>
          <w:sz w:val="24"/>
          <w:szCs w:val="24"/>
          <w:shd w:val="clear" w:color="auto" w:fill="FFFFFF"/>
          <w:lang w:eastAsia="ru-RU"/>
        </w:rPr>
        <w:t xml:space="preserve"> reducerea </w:t>
      </w:r>
      <w:proofErr w:type="spellStart"/>
      <w:r w:rsidRPr="00125FAF">
        <w:rPr>
          <w:rFonts w:ascii="Times New Roman" w:eastAsia="Times New Roman" w:hAnsi="Times New Roman" w:cs="Times New Roman"/>
          <w:color w:val="000000"/>
          <w:sz w:val="24"/>
          <w:szCs w:val="24"/>
          <w:shd w:val="clear" w:color="auto" w:fill="FFFFFF"/>
          <w:lang w:eastAsia="ru-RU"/>
        </w:rPr>
        <w:t>suprafeţelor</w:t>
      </w:r>
      <w:proofErr w:type="spellEnd"/>
      <w:r w:rsidRPr="00125FAF">
        <w:rPr>
          <w:rFonts w:ascii="Times New Roman" w:eastAsia="Times New Roman" w:hAnsi="Times New Roman" w:cs="Times New Roman"/>
          <w:color w:val="000000"/>
          <w:sz w:val="24"/>
          <w:szCs w:val="24"/>
          <w:shd w:val="clear" w:color="auto" w:fill="FFFFFF"/>
          <w:lang w:eastAsia="ru-RU"/>
        </w:rPr>
        <w:t xml:space="preserve"> fondului forestier </w:t>
      </w:r>
      <w:proofErr w:type="spellStart"/>
      <w:r w:rsidRPr="00125FAF">
        <w:rPr>
          <w:rFonts w:ascii="Times New Roman" w:eastAsia="Times New Roman" w:hAnsi="Times New Roman" w:cs="Times New Roman"/>
          <w:color w:val="000000"/>
          <w:sz w:val="24"/>
          <w:szCs w:val="24"/>
          <w:shd w:val="clear" w:color="auto" w:fill="FFFFFF"/>
          <w:lang w:eastAsia="ru-RU"/>
        </w:rPr>
        <w:t>şi</w:t>
      </w:r>
      <w:proofErr w:type="spellEnd"/>
      <w:r w:rsidRPr="00125FAF">
        <w:rPr>
          <w:rFonts w:ascii="Times New Roman" w:eastAsia="Times New Roman" w:hAnsi="Times New Roman" w:cs="Times New Roman"/>
          <w:color w:val="000000"/>
          <w:sz w:val="24"/>
          <w:szCs w:val="24"/>
          <w:shd w:val="clear" w:color="auto" w:fill="FFFFFF"/>
          <w:lang w:eastAsia="ru-RU"/>
        </w:rPr>
        <w:t xml:space="preserve"> </w:t>
      </w:r>
      <w:proofErr w:type="spellStart"/>
      <w:r w:rsidRPr="00125FAF">
        <w:rPr>
          <w:rFonts w:ascii="Times New Roman" w:eastAsia="Times New Roman" w:hAnsi="Times New Roman" w:cs="Times New Roman"/>
          <w:color w:val="000000"/>
          <w:sz w:val="24"/>
          <w:szCs w:val="24"/>
          <w:shd w:val="clear" w:color="auto" w:fill="FFFFFF"/>
          <w:lang w:eastAsia="ru-RU"/>
        </w:rPr>
        <w:t>suprafeţelor</w:t>
      </w:r>
      <w:proofErr w:type="spellEnd"/>
      <w:r w:rsidRPr="00125FAF">
        <w:rPr>
          <w:rFonts w:ascii="Times New Roman" w:eastAsia="Times New Roman" w:hAnsi="Times New Roman" w:cs="Times New Roman"/>
          <w:color w:val="000000"/>
          <w:sz w:val="24"/>
          <w:szCs w:val="24"/>
          <w:shd w:val="clear" w:color="auto" w:fill="FFFFFF"/>
          <w:lang w:eastAsia="ru-RU"/>
        </w:rPr>
        <w:t xml:space="preserve"> din afara acestuia acoperite cu </w:t>
      </w:r>
      <w:proofErr w:type="spellStart"/>
      <w:r w:rsidRPr="00125FAF">
        <w:rPr>
          <w:rFonts w:ascii="Times New Roman" w:eastAsia="Times New Roman" w:hAnsi="Times New Roman" w:cs="Times New Roman"/>
          <w:color w:val="000000"/>
          <w:sz w:val="24"/>
          <w:szCs w:val="24"/>
          <w:shd w:val="clear" w:color="auto" w:fill="FFFFFF"/>
          <w:lang w:eastAsia="ru-RU"/>
        </w:rPr>
        <w:t>vegetaţie</w:t>
      </w:r>
      <w:proofErr w:type="spellEnd"/>
      <w:r w:rsidRPr="00125FAF">
        <w:rPr>
          <w:rFonts w:ascii="Times New Roman" w:eastAsia="Times New Roman" w:hAnsi="Times New Roman" w:cs="Times New Roman"/>
          <w:color w:val="000000"/>
          <w:sz w:val="24"/>
          <w:szCs w:val="24"/>
          <w:shd w:val="clear" w:color="auto" w:fill="FFFFFF"/>
          <w:lang w:eastAsia="ru-RU"/>
        </w:rPr>
        <w:t xml:space="preserve"> forestieră, cu </w:t>
      </w:r>
      <w:proofErr w:type="spellStart"/>
      <w:r w:rsidRPr="00125FAF">
        <w:rPr>
          <w:rFonts w:ascii="Times New Roman" w:eastAsia="Times New Roman" w:hAnsi="Times New Roman" w:cs="Times New Roman"/>
          <w:color w:val="000000"/>
          <w:sz w:val="24"/>
          <w:szCs w:val="24"/>
          <w:shd w:val="clear" w:color="auto" w:fill="FFFFFF"/>
          <w:lang w:eastAsia="ru-RU"/>
        </w:rPr>
        <w:t>excepţia</w:t>
      </w:r>
      <w:proofErr w:type="spellEnd"/>
      <w:r w:rsidRPr="00125FAF">
        <w:rPr>
          <w:rFonts w:ascii="Times New Roman" w:eastAsia="Times New Roman" w:hAnsi="Times New Roman" w:cs="Times New Roman"/>
          <w:color w:val="000000"/>
          <w:sz w:val="24"/>
          <w:szCs w:val="24"/>
          <w:shd w:val="clear" w:color="auto" w:fill="FFFFFF"/>
          <w:lang w:eastAsia="ru-RU"/>
        </w:rPr>
        <w:t xml:space="preserve"> cazurilor speciale.</w:t>
      </w:r>
    </w:p>
    <w:p w14:paraId="449BCB0F" w14:textId="63CA36AA" w:rsidR="006364B2" w:rsidRPr="00125FAF" w:rsidRDefault="006364B2" w:rsidP="006364B2">
      <w:pPr>
        <w:spacing w:after="0" w:line="240" w:lineRule="auto"/>
        <w:ind w:firstLine="720"/>
        <w:jc w:val="both"/>
        <w:rPr>
          <w:rFonts w:ascii="Times New Roman" w:eastAsia="Times New Roman" w:hAnsi="Times New Roman" w:cs="Times New Roman"/>
          <w:sz w:val="24"/>
          <w:szCs w:val="24"/>
          <w:lang w:eastAsia="ru-RU"/>
        </w:rPr>
      </w:pPr>
      <w:r w:rsidRPr="00125FAF">
        <w:rPr>
          <w:rFonts w:ascii="Times New Roman" w:eastAsia="Times New Roman" w:hAnsi="Times New Roman" w:cs="Times New Roman"/>
          <w:color w:val="000000"/>
          <w:sz w:val="24"/>
          <w:szCs w:val="24"/>
          <w:shd w:val="clear" w:color="auto" w:fill="FFFFFF"/>
          <w:lang w:eastAsia="ru-RU"/>
        </w:rPr>
        <w:t>Legea nr. 1041</w:t>
      </w:r>
      <w:r w:rsidR="004573D0" w:rsidRPr="00125FAF">
        <w:rPr>
          <w:rFonts w:ascii="Times New Roman" w:eastAsia="Times New Roman" w:hAnsi="Times New Roman" w:cs="Times New Roman"/>
          <w:color w:val="000000"/>
          <w:sz w:val="24"/>
          <w:szCs w:val="24"/>
          <w:shd w:val="clear" w:color="auto" w:fill="FFFFFF"/>
          <w:lang w:eastAsia="ru-RU"/>
        </w:rPr>
        <w:t>/</w:t>
      </w:r>
      <w:r w:rsidRPr="00125FAF">
        <w:rPr>
          <w:rFonts w:ascii="Times New Roman" w:eastAsia="Times New Roman" w:hAnsi="Times New Roman" w:cs="Times New Roman"/>
          <w:color w:val="000000"/>
          <w:sz w:val="24"/>
          <w:szCs w:val="24"/>
          <w:shd w:val="clear" w:color="auto" w:fill="FFFFFF"/>
          <w:lang w:eastAsia="ru-RU"/>
        </w:rPr>
        <w:t xml:space="preserve">2000 pentru ameliorarea prin împădurire a terenurilor degradate reglementează aspectele de alocare </w:t>
      </w:r>
      <w:proofErr w:type="spellStart"/>
      <w:r w:rsidRPr="00125FAF">
        <w:rPr>
          <w:rFonts w:ascii="Times New Roman" w:eastAsia="Times New Roman" w:hAnsi="Times New Roman" w:cs="Times New Roman"/>
          <w:color w:val="000000"/>
          <w:sz w:val="24"/>
          <w:szCs w:val="24"/>
          <w:shd w:val="clear" w:color="auto" w:fill="FFFFFF"/>
          <w:lang w:eastAsia="ru-RU"/>
        </w:rPr>
        <w:t>şi</w:t>
      </w:r>
      <w:proofErr w:type="spellEnd"/>
      <w:r w:rsidRPr="00125FAF">
        <w:rPr>
          <w:rFonts w:ascii="Times New Roman" w:eastAsia="Times New Roman" w:hAnsi="Times New Roman" w:cs="Times New Roman"/>
          <w:color w:val="000000"/>
          <w:sz w:val="24"/>
          <w:szCs w:val="24"/>
          <w:shd w:val="clear" w:color="auto" w:fill="FFFFFF"/>
          <w:lang w:eastAsia="ru-RU"/>
        </w:rPr>
        <w:t xml:space="preserve"> de împădurire a terenurilor degradate. </w:t>
      </w:r>
      <w:proofErr w:type="spellStart"/>
      <w:r w:rsidRPr="00125FAF">
        <w:rPr>
          <w:rFonts w:ascii="Times New Roman" w:eastAsia="Times New Roman" w:hAnsi="Times New Roman" w:cs="Times New Roman"/>
          <w:color w:val="000000"/>
          <w:sz w:val="24"/>
          <w:szCs w:val="24"/>
          <w:shd w:val="clear" w:color="auto" w:fill="FFFFFF"/>
          <w:lang w:eastAsia="ru-RU"/>
        </w:rPr>
        <w:t>Finanţarea</w:t>
      </w:r>
      <w:proofErr w:type="spellEnd"/>
      <w:r w:rsidRPr="00125FAF">
        <w:rPr>
          <w:rFonts w:ascii="Times New Roman" w:eastAsia="Times New Roman" w:hAnsi="Times New Roman" w:cs="Times New Roman"/>
          <w:color w:val="000000"/>
          <w:sz w:val="24"/>
          <w:szCs w:val="24"/>
          <w:shd w:val="clear" w:color="auto" w:fill="FFFFFF"/>
          <w:lang w:eastAsia="ru-RU"/>
        </w:rPr>
        <w:t xml:space="preserve"> lucrărilor de împădurire </w:t>
      </w:r>
      <w:proofErr w:type="spellStart"/>
      <w:r w:rsidRPr="00125FAF">
        <w:rPr>
          <w:rFonts w:ascii="Times New Roman" w:eastAsia="Times New Roman" w:hAnsi="Times New Roman" w:cs="Times New Roman"/>
          <w:color w:val="000000"/>
          <w:sz w:val="24"/>
          <w:szCs w:val="24"/>
          <w:shd w:val="clear" w:color="auto" w:fill="FFFFFF"/>
          <w:lang w:eastAsia="ru-RU"/>
        </w:rPr>
        <w:t>şi</w:t>
      </w:r>
      <w:proofErr w:type="spellEnd"/>
      <w:r w:rsidRPr="00125FAF">
        <w:rPr>
          <w:rFonts w:ascii="Times New Roman" w:eastAsia="Times New Roman" w:hAnsi="Times New Roman" w:cs="Times New Roman"/>
          <w:color w:val="000000"/>
          <w:sz w:val="24"/>
          <w:szCs w:val="24"/>
          <w:shd w:val="clear" w:color="auto" w:fill="FFFFFF"/>
          <w:lang w:eastAsia="ru-RU"/>
        </w:rPr>
        <w:t xml:space="preserve"> de plantare (proiectare, plantare </w:t>
      </w:r>
      <w:proofErr w:type="spellStart"/>
      <w:r w:rsidRPr="00125FAF">
        <w:rPr>
          <w:rFonts w:ascii="Times New Roman" w:eastAsia="Times New Roman" w:hAnsi="Times New Roman" w:cs="Times New Roman"/>
          <w:color w:val="000000"/>
          <w:sz w:val="24"/>
          <w:szCs w:val="24"/>
          <w:shd w:val="clear" w:color="auto" w:fill="FFFFFF"/>
          <w:lang w:eastAsia="ru-RU"/>
        </w:rPr>
        <w:t>şi</w:t>
      </w:r>
      <w:proofErr w:type="spellEnd"/>
      <w:r w:rsidRPr="00125FAF">
        <w:rPr>
          <w:rFonts w:ascii="Times New Roman" w:eastAsia="Times New Roman" w:hAnsi="Times New Roman" w:cs="Times New Roman"/>
          <w:color w:val="000000"/>
          <w:sz w:val="24"/>
          <w:szCs w:val="24"/>
          <w:shd w:val="clear" w:color="auto" w:fill="FFFFFF"/>
          <w:lang w:eastAsia="ru-RU"/>
        </w:rPr>
        <w:t xml:space="preserve"> îngrijirea noilor păduri </w:t>
      </w:r>
      <w:proofErr w:type="spellStart"/>
      <w:r w:rsidRPr="00125FAF">
        <w:rPr>
          <w:rFonts w:ascii="Times New Roman" w:eastAsia="Times New Roman" w:hAnsi="Times New Roman" w:cs="Times New Roman"/>
          <w:color w:val="000000"/>
          <w:sz w:val="24"/>
          <w:szCs w:val="24"/>
          <w:shd w:val="clear" w:color="auto" w:fill="FFFFFF"/>
          <w:lang w:eastAsia="ru-RU"/>
        </w:rPr>
        <w:t>şi</w:t>
      </w:r>
      <w:proofErr w:type="spellEnd"/>
      <w:r w:rsidRPr="00125FAF">
        <w:rPr>
          <w:rFonts w:ascii="Times New Roman" w:eastAsia="Times New Roman" w:hAnsi="Times New Roman" w:cs="Times New Roman"/>
          <w:color w:val="000000"/>
          <w:sz w:val="24"/>
          <w:szCs w:val="24"/>
          <w:shd w:val="clear" w:color="auto" w:fill="FFFFFF"/>
          <w:lang w:eastAsia="ru-RU"/>
        </w:rPr>
        <w:t xml:space="preserve"> perdelelor forestiere de </w:t>
      </w:r>
      <w:proofErr w:type="spellStart"/>
      <w:r w:rsidRPr="00125FAF">
        <w:rPr>
          <w:rFonts w:ascii="Times New Roman" w:eastAsia="Times New Roman" w:hAnsi="Times New Roman" w:cs="Times New Roman"/>
          <w:color w:val="000000"/>
          <w:sz w:val="24"/>
          <w:szCs w:val="24"/>
          <w:shd w:val="clear" w:color="auto" w:fill="FFFFFF"/>
          <w:lang w:eastAsia="ru-RU"/>
        </w:rPr>
        <w:t>protecţie</w:t>
      </w:r>
      <w:proofErr w:type="spellEnd"/>
      <w:r w:rsidRPr="00125FAF">
        <w:rPr>
          <w:rFonts w:ascii="Times New Roman" w:eastAsia="Times New Roman" w:hAnsi="Times New Roman" w:cs="Times New Roman"/>
          <w:color w:val="000000"/>
          <w:sz w:val="24"/>
          <w:szCs w:val="24"/>
          <w:shd w:val="clear" w:color="auto" w:fill="FFFFFF"/>
          <w:lang w:eastAsia="ru-RU"/>
        </w:rPr>
        <w:t xml:space="preserve"> </w:t>
      </w:r>
      <w:proofErr w:type="spellStart"/>
      <w:r w:rsidRPr="00125FAF">
        <w:rPr>
          <w:rFonts w:ascii="Times New Roman" w:eastAsia="Times New Roman" w:hAnsi="Times New Roman" w:cs="Times New Roman"/>
          <w:color w:val="000000"/>
          <w:sz w:val="24"/>
          <w:szCs w:val="24"/>
          <w:shd w:val="clear" w:color="auto" w:fill="FFFFFF"/>
          <w:lang w:eastAsia="ru-RU"/>
        </w:rPr>
        <w:t>pînă</w:t>
      </w:r>
      <w:proofErr w:type="spellEnd"/>
      <w:r w:rsidRPr="00125FAF">
        <w:rPr>
          <w:rFonts w:ascii="Times New Roman" w:eastAsia="Times New Roman" w:hAnsi="Times New Roman" w:cs="Times New Roman"/>
          <w:color w:val="000000"/>
          <w:sz w:val="24"/>
          <w:szCs w:val="24"/>
          <w:shd w:val="clear" w:color="auto" w:fill="FFFFFF"/>
          <w:lang w:eastAsia="ru-RU"/>
        </w:rPr>
        <w:t xml:space="preserve"> la atingerea stării de masiv) trebuie să fie realizată din fondurile destinate pentru </w:t>
      </w:r>
      <w:proofErr w:type="spellStart"/>
      <w:r w:rsidRPr="00125FAF">
        <w:rPr>
          <w:rFonts w:ascii="Times New Roman" w:eastAsia="Times New Roman" w:hAnsi="Times New Roman" w:cs="Times New Roman"/>
          <w:color w:val="000000"/>
          <w:sz w:val="24"/>
          <w:szCs w:val="24"/>
          <w:shd w:val="clear" w:color="auto" w:fill="FFFFFF"/>
          <w:lang w:eastAsia="ru-RU"/>
        </w:rPr>
        <w:t>îmbunătăţirea</w:t>
      </w:r>
      <w:proofErr w:type="spellEnd"/>
      <w:r w:rsidRPr="00125FAF">
        <w:rPr>
          <w:rFonts w:ascii="Times New Roman" w:eastAsia="Times New Roman" w:hAnsi="Times New Roman" w:cs="Times New Roman"/>
          <w:color w:val="000000"/>
          <w:sz w:val="24"/>
          <w:szCs w:val="24"/>
          <w:shd w:val="clear" w:color="auto" w:fill="FFFFFF"/>
          <w:lang w:eastAsia="ru-RU"/>
        </w:rPr>
        <w:t xml:space="preserve"> stării terenurilor degradate, </w:t>
      </w:r>
      <w:proofErr w:type="spellStart"/>
      <w:r w:rsidRPr="00125FAF">
        <w:rPr>
          <w:rFonts w:ascii="Times New Roman" w:eastAsia="Times New Roman" w:hAnsi="Times New Roman" w:cs="Times New Roman"/>
          <w:color w:val="000000"/>
          <w:sz w:val="24"/>
          <w:szCs w:val="24"/>
          <w:shd w:val="clear" w:color="auto" w:fill="FFFFFF"/>
          <w:lang w:eastAsia="ru-RU"/>
        </w:rPr>
        <w:t>alocaţiile</w:t>
      </w:r>
      <w:proofErr w:type="spellEnd"/>
      <w:r w:rsidRPr="00125FAF">
        <w:rPr>
          <w:rFonts w:ascii="Times New Roman" w:eastAsia="Times New Roman" w:hAnsi="Times New Roman" w:cs="Times New Roman"/>
          <w:color w:val="000000"/>
          <w:sz w:val="24"/>
          <w:szCs w:val="24"/>
          <w:shd w:val="clear" w:color="auto" w:fill="FFFFFF"/>
          <w:lang w:eastAsia="ru-RU"/>
        </w:rPr>
        <w:t xml:space="preserve"> din bugetul de stat, fondul ecologic </w:t>
      </w:r>
      <w:proofErr w:type="spellStart"/>
      <w:r w:rsidRPr="00125FAF">
        <w:rPr>
          <w:rFonts w:ascii="Times New Roman" w:eastAsia="Times New Roman" w:hAnsi="Times New Roman" w:cs="Times New Roman"/>
          <w:color w:val="000000"/>
          <w:sz w:val="24"/>
          <w:szCs w:val="24"/>
          <w:shd w:val="clear" w:color="auto" w:fill="FFFFFF"/>
          <w:lang w:eastAsia="ru-RU"/>
        </w:rPr>
        <w:t>naţional</w:t>
      </w:r>
      <w:proofErr w:type="spellEnd"/>
      <w:r w:rsidRPr="00125FAF">
        <w:rPr>
          <w:rFonts w:ascii="Times New Roman" w:eastAsia="Times New Roman" w:hAnsi="Times New Roman" w:cs="Times New Roman"/>
          <w:color w:val="000000"/>
          <w:sz w:val="24"/>
          <w:szCs w:val="24"/>
          <w:shd w:val="clear" w:color="auto" w:fill="FFFFFF"/>
          <w:lang w:eastAsia="ru-RU"/>
        </w:rPr>
        <w:t xml:space="preserve"> şi local, </w:t>
      </w:r>
      <w:proofErr w:type="spellStart"/>
      <w:r w:rsidRPr="00125FAF">
        <w:rPr>
          <w:rFonts w:ascii="Times New Roman" w:eastAsia="Times New Roman" w:hAnsi="Times New Roman" w:cs="Times New Roman"/>
          <w:color w:val="000000"/>
          <w:sz w:val="24"/>
          <w:szCs w:val="24"/>
          <w:shd w:val="clear" w:color="auto" w:fill="FFFFFF"/>
          <w:lang w:eastAsia="ru-RU"/>
        </w:rPr>
        <w:t>finanţare</w:t>
      </w:r>
      <w:proofErr w:type="spellEnd"/>
      <w:r w:rsidRPr="00125FAF">
        <w:rPr>
          <w:rFonts w:ascii="Times New Roman" w:eastAsia="Times New Roman" w:hAnsi="Times New Roman" w:cs="Times New Roman"/>
          <w:color w:val="000000"/>
          <w:sz w:val="24"/>
          <w:szCs w:val="24"/>
          <w:shd w:val="clear" w:color="auto" w:fill="FFFFFF"/>
          <w:lang w:eastAsia="ru-RU"/>
        </w:rPr>
        <w:t xml:space="preserve"> externă, sponsorizări etc. Autoritatea publică centrală va asigura </w:t>
      </w:r>
      <w:proofErr w:type="spellStart"/>
      <w:r w:rsidRPr="00125FAF">
        <w:rPr>
          <w:rFonts w:ascii="Times New Roman" w:eastAsia="Times New Roman" w:hAnsi="Times New Roman" w:cs="Times New Roman"/>
          <w:color w:val="000000"/>
          <w:sz w:val="24"/>
          <w:szCs w:val="24"/>
          <w:shd w:val="clear" w:color="auto" w:fill="FFFFFF"/>
          <w:lang w:eastAsia="ru-RU"/>
        </w:rPr>
        <w:t>deţinătorii</w:t>
      </w:r>
      <w:proofErr w:type="spellEnd"/>
      <w:r w:rsidRPr="00125FAF">
        <w:rPr>
          <w:rFonts w:ascii="Times New Roman" w:eastAsia="Times New Roman" w:hAnsi="Times New Roman" w:cs="Times New Roman"/>
          <w:color w:val="000000"/>
          <w:sz w:val="24"/>
          <w:szCs w:val="24"/>
          <w:shd w:val="clear" w:color="auto" w:fill="FFFFFF"/>
          <w:lang w:eastAsia="ru-RU"/>
        </w:rPr>
        <w:t xml:space="preserve"> acestor terenuri cu material forestier de reproducere </w:t>
      </w:r>
      <w:proofErr w:type="spellStart"/>
      <w:r w:rsidRPr="00125FAF">
        <w:rPr>
          <w:rFonts w:ascii="Times New Roman" w:eastAsia="Times New Roman" w:hAnsi="Times New Roman" w:cs="Times New Roman"/>
          <w:color w:val="000000"/>
          <w:sz w:val="24"/>
          <w:szCs w:val="24"/>
          <w:shd w:val="clear" w:color="auto" w:fill="FFFFFF"/>
          <w:lang w:eastAsia="ru-RU"/>
        </w:rPr>
        <w:t>şi</w:t>
      </w:r>
      <w:proofErr w:type="spellEnd"/>
      <w:r w:rsidRPr="00125FAF">
        <w:rPr>
          <w:rFonts w:ascii="Times New Roman" w:eastAsia="Times New Roman" w:hAnsi="Times New Roman" w:cs="Times New Roman"/>
          <w:color w:val="000000"/>
          <w:sz w:val="24"/>
          <w:szCs w:val="24"/>
          <w:shd w:val="clear" w:color="auto" w:fill="FFFFFF"/>
          <w:lang w:eastAsia="ru-RU"/>
        </w:rPr>
        <w:t xml:space="preserve"> va efectua împădurirea terenurilor degradate.</w:t>
      </w:r>
    </w:p>
    <w:p w14:paraId="27C9D2F8" w14:textId="77777777" w:rsidR="006364B2" w:rsidRPr="00125FAF" w:rsidRDefault="006364B2" w:rsidP="006364B2">
      <w:pPr>
        <w:spacing w:after="0" w:line="240" w:lineRule="auto"/>
        <w:ind w:firstLine="720"/>
        <w:jc w:val="both"/>
        <w:rPr>
          <w:rFonts w:ascii="Times New Roman" w:eastAsia="Times New Roman" w:hAnsi="Times New Roman" w:cs="Times New Roman"/>
          <w:sz w:val="24"/>
          <w:szCs w:val="24"/>
          <w:lang w:eastAsia="ru-RU"/>
        </w:rPr>
      </w:pPr>
      <w:r w:rsidRPr="00125FAF">
        <w:rPr>
          <w:rFonts w:ascii="Times New Roman" w:eastAsia="Times New Roman" w:hAnsi="Times New Roman" w:cs="Times New Roman"/>
          <w:color w:val="000000"/>
          <w:sz w:val="24"/>
          <w:szCs w:val="24"/>
          <w:shd w:val="clear" w:color="auto" w:fill="FFFFFF"/>
          <w:lang w:eastAsia="ru-RU"/>
        </w:rPr>
        <w:t xml:space="preserve">Conform Strategiei de mediu pentru anii 2014-2023, </w:t>
      </w:r>
      <w:proofErr w:type="spellStart"/>
      <w:r w:rsidRPr="00125FAF">
        <w:rPr>
          <w:rFonts w:ascii="Times New Roman" w:eastAsia="Times New Roman" w:hAnsi="Times New Roman" w:cs="Times New Roman"/>
          <w:color w:val="000000"/>
          <w:sz w:val="24"/>
          <w:szCs w:val="24"/>
          <w:shd w:val="clear" w:color="auto" w:fill="FFFFFF"/>
          <w:lang w:eastAsia="ru-RU"/>
        </w:rPr>
        <w:t>suprafeţele</w:t>
      </w:r>
      <w:proofErr w:type="spellEnd"/>
      <w:r w:rsidRPr="00125FAF">
        <w:rPr>
          <w:rFonts w:ascii="Times New Roman" w:eastAsia="Times New Roman" w:hAnsi="Times New Roman" w:cs="Times New Roman"/>
          <w:color w:val="000000"/>
          <w:sz w:val="24"/>
          <w:szCs w:val="24"/>
          <w:shd w:val="clear" w:color="auto" w:fill="FFFFFF"/>
          <w:lang w:eastAsia="ru-RU"/>
        </w:rPr>
        <w:t xml:space="preserve"> împădurite ale Republicii Moldova vor fi extinse </w:t>
      </w:r>
      <w:proofErr w:type="spellStart"/>
      <w:r w:rsidRPr="00125FAF">
        <w:rPr>
          <w:rFonts w:ascii="Times New Roman" w:eastAsia="Times New Roman" w:hAnsi="Times New Roman" w:cs="Times New Roman"/>
          <w:color w:val="000000"/>
          <w:sz w:val="24"/>
          <w:szCs w:val="24"/>
          <w:shd w:val="clear" w:color="auto" w:fill="FFFFFF"/>
          <w:lang w:eastAsia="ru-RU"/>
        </w:rPr>
        <w:t>pînă</w:t>
      </w:r>
      <w:proofErr w:type="spellEnd"/>
      <w:r w:rsidRPr="00125FAF">
        <w:rPr>
          <w:rFonts w:ascii="Times New Roman" w:eastAsia="Times New Roman" w:hAnsi="Times New Roman" w:cs="Times New Roman"/>
          <w:color w:val="000000"/>
          <w:sz w:val="24"/>
          <w:szCs w:val="24"/>
          <w:shd w:val="clear" w:color="auto" w:fill="FFFFFF"/>
          <w:lang w:eastAsia="ru-RU"/>
        </w:rPr>
        <w:t xml:space="preserve"> la 15% din teritoriul </w:t>
      </w:r>
      <w:proofErr w:type="spellStart"/>
      <w:r w:rsidRPr="00125FAF">
        <w:rPr>
          <w:rFonts w:ascii="Times New Roman" w:eastAsia="Times New Roman" w:hAnsi="Times New Roman" w:cs="Times New Roman"/>
          <w:color w:val="000000"/>
          <w:sz w:val="24"/>
          <w:szCs w:val="24"/>
          <w:shd w:val="clear" w:color="auto" w:fill="FFFFFF"/>
          <w:lang w:eastAsia="ru-RU"/>
        </w:rPr>
        <w:t>ţării</w:t>
      </w:r>
      <w:proofErr w:type="spellEnd"/>
      <w:r w:rsidRPr="00125FAF">
        <w:rPr>
          <w:rFonts w:ascii="Times New Roman" w:eastAsia="Times New Roman" w:hAnsi="Times New Roman" w:cs="Times New Roman"/>
          <w:color w:val="000000"/>
          <w:sz w:val="24"/>
          <w:szCs w:val="24"/>
          <w:shd w:val="clear" w:color="auto" w:fill="FFFFFF"/>
          <w:lang w:eastAsia="ru-RU"/>
        </w:rPr>
        <w:t xml:space="preserve">, activitate ce urmează a fi realizată prin plantarea a circa 150 mii ha de păduri </w:t>
      </w:r>
      <w:proofErr w:type="spellStart"/>
      <w:r w:rsidRPr="00125FAF">
        <w:rPr>
          <w:rFonts w:ascii="Times New Roman" w:eastAsia="Times New Roman" w:hAnsi="Times New Roman" w:cs="Times New Roman"/>
          <w:color w:val="000000"/>
          <w:sz w:val="24"/>
          <w:szCs w:val="24"/>
          <w:shd w:val="clear" w:color="auto" w:fill="FFFFFF"/>
          <w:lang w:eastAsia="ru-RU"/>
        </w:rPr>
        <w:t>şi</w:t>
      </w:r>
      <w:proofErr w:type="spellEnd"/>
      <w:r w:rsidRPr="00125FAF">
        <w:rPr>
          <w:rFonts w:ascii="Times New Roman" w:eastAsia="Times New Roman" w:hAnsi="Times New Roman" w:cs="Times New Roman"/>
          <w:color w:val="000000"/>
          <w:sz w:val="24"/>
          <w:szCs w:val="24"/>
          <w:shd w:val="clear" w:color="auto" w:fill="FFFFFF"/>
          <w:lang w:eastAsia="ru-RU"/>
        </w:rPr>
        <w:t xml:space="preserve"> </w:t>
      </w:r>
      <w:proofErr w:type="spellStart"/>
      <w:r w:rsidRPr="00125FAF">
        <w:rPr>
          <w:rFonts w:ascii="Times New Roman" w:eastAsia="Times New Roman" w:hAnsi="Times New Roman" w:cs="Times New Roman"/>
          <w:color w:val="000000"/>
          <w:sz w:val="24"/>
          <w:szCs w:val="24"/>
          <w:shd w:val="clear" w:color="auto" w:fill="FFFFFF"/>
          <w:lang w:eastAsia="ru-RU"/>
        </w:rPr>
        <w:t>plantaţii</w:t>
      </w:r>
      <w:proofErr w:type="spellEnd"/>
      <w:r w:rsidRPr="00125FAF">
        <w:rPr>
          <w:rFonts w:ascii="Times New Roman" w:eastAsia="Times New Roman" w:hAnsi="Times New Roman" w:cs="Times New Roman"/>
          <w:color w:val="000000"/>
          <w:sz w:val="24"/>
          <w:szCs w:val="24"/>
          <w:shd w:val="clear" w:color="auto" w:fill="FFFFFF"/>
          <w:lang w:eastAsia="ru-RU"/>
        </w:rPr>
        <w:t xml:space="preserve"> forestiere pe terenurile degradate </w:t>
      </w:r>
      <w:proofErr w:type="spellStart"/>
      <w:r w:rsidRPr="00125FAF">
        <w:rPr>
          <w:rFonts w:ascii="Times New Roman" w:eastAsia="Times New Roman" w:hAnsi="Times New Roman" w:cs="Times New Roman"/>
          <w:color w:val="000000"/>
          <w:sz w:val="24"/>
          <w:szCs w:val="24"/>
          <w:shd w:val="clear" w:color="auto" w:fill="FFFFFF"/>
          <w:lang w:eastAsia="ru-RU"/>
        </w:rPr>
        <w:t>şi</w:t>
      </w:r>
      <w:proofErr w:type="spellEnd"/>
      <w:r w:rsidRPr="00125FAF">
        <w:rPr>
          <w:rFonts w:ascii="Times New Roman" w:eastAsia="Times New Roman" w:hAnsi="Times New Roman" w:cs="Times New Roman"/>
          <w:color w:val="000000"/>
          <w:sz w:val="24"/>
          <w:szCs w:val="24"/>
          <w:shd w:val="clear" w:color="auto" w:fill="FFFFFF"/>
          <w:lang w:eastAsia="ru-RU"/>
        </w:rPr>
        <w:t xml:space="preserve"> în pădurile din cadrul fondului forestier </w:t>
      </w:r>
      <w:proofErr w:type="spellStart"/>
      <w:r w:rsidRPr="00125FAF">
        <w:rPr>
          <w:rFonts w:ascii="Times New Roman" w:eastAsia="Times New Roman" w:hAnsi="Times New Roman" w:cs="Times New Roman"/>
          <w:color w:val="000000"/>
          <w:sz w:val="24"/>
          <w:szCs w:val="24"/>
          <w:shd w:val="clear" w:color="auto" w:fill="FFFFFF"/>
          <w:lang w:eastAsia="ru-RU"/>
        </w:rPr>
        <w:t>şi</w:t>
      </w:r>
      <w:proofErr w:type="spellEnd"/>
      <w:r w:rsidRPr="00125FAF">
        <w:rPr>
          <w:rFonts w:ascii="Times New Roman" w:eastAsia="Times New Roman" w:hAnsi="Times New Roman" w:cs="Times New Roman"/>
          <w:color w:val="000000"/>
          <w:sz w:val="24"/>
          <w:szCs w:val="24"/>
          <w:shd w:val="clear" w:color="auto" w:fill="FFFFFF"/>
          <w:lang w:eastAsia="ru-RU"/>
        </w:rPr>
        <w:t xml:space="preserve"> din afara acestuia. Aceste eforturi vor reduce emisiile de gaze cu efect de seră prin sechestrarea carbonului.</w:t>
      </w:r>
    </w:p>
    <w:p w14:paraId="04AF49BE" w14:textId="77777777" w:rsidR="006364B2" w:rsidRPr="00125FAF" w:rsidRDefault="006364B2" w:rsidP="001F2F2D">
      <w:pPr>
        <w:spacing w:before="120" w:after="120" w:line="240" w:lineRule="auto"/>
        <w:ind w:firstLine="720"/>
        <w:jc w:val="both"/>
        <w:rPr>
          <w:rFonts w:ascii="Times New Roman" w:eastAsia="Times New Roman" w:hAnsi="Times New Roman" w:cs="Times New Roman"/>
          <w:b/>
          <w:sz w:val="24"/>
          <w:szCs w:val="24"/>
          <w:shd w:val="clear" w:color="auto" w:fill="FFFFFF"/>
          <w:lang w:eastAsia="ru-RU"/>
        </w:rPr>
      </w:pPr>
      <w:r w:rsidRPr="00125FAF">
        <w:rPr>
          <w:rFonts w:ascii="Times New Roman" w:eastAsia="Times New Roman" w:hAnsi="Times New Roman" w:cs="Times New Roman"/>
          <w:b/>
          <w:sz w:val="24"/>
          <w:szCs w:val="24"/>
          <w:shd w:val="clear" w:color="auto" w:fill="FFFFFF"/>
          <w:lang w:eastAsia="ru-RU"/>
        </w:rPr>
        <w:t xml:space="preserve">Problemele </w:t>
      </w:r>
      <w:proofErr w:type="spellStart"/>
      <w:r w:rsidRPr="00125FAF">
        <w:rPr>
          <w:rFonts w:ascii="Times New Roman" w:eastAsia="Times New Roman" w:hAnsi="Times New Roman" w:cs="Times New Roman"/>
          <w:b/>
          <w:sz w:val="24"/>
          <w:szCs w:val="24"/>
          <w:shd w:val="clear" w:color="auto" w:fill="FFFFFF"/>
          <w:lang w:eastAsia="ru-RU"/>
        </w:rPr>
        <w:t>evidenţiate</w:t>
      </w:r>
      <w:proofErr w:type="spellEnd"/>
      <w:r w:rsidRPr="00125FAF">
        <w:rPr>
          <w:rFonts w:ascii="Times New Roman" w:eastAsia="Times New Roman" w:hAnsi="Times New Roman" w:cs="Times New Roman"/>
          <w:b/>
          <w:sz w:val="24"/>
          <w:szCs w:val="24"/>
          <w:shd w:val="clear" w:color="auto" w:fill="FFFFFF"/>
          <w:lang w:eastAsia="ru-RU"/>
        </w:rPr>
        <w:t>:</w:t>
      </w:r>
    </w:p>
    <w:p w14:paraId="53ACA2BD" w14:textId="0DB1D1F8" w:rsidR="006364B2" w:rsidRPr="00125FAF" w:rsidRDefault="007B4E94" w:rsidP="003E24C5">
      <w:pPr>
        <w:numPr>
          <w:ilvl w:val="0"/>
          <w:numId w:val="3"/>
        </w:numPr>
        <w:tabs>
          <w:tab w:val="clear" w:pos="795"/>
          <w:tab w:val="num" w:pos="435"/>
          <w:tab w:val="left" w:pos="993"/>
        </w:tabs>
        <w:spacing w:after="0" w:line="240" w:lineRule="auto"/>
        <w:ind w:left="435"/>
        <w:jc w:val="both"/>
        <w:rPr>
          <w:rFonts w:ascii="Times New Roman" w:eastAsia="Times New Roman" w:hAnsi="Times New Roman" w:cs="Times New Roman"/>
          <w:sz w:val="24"/>
          <w:szCs w:val="24"/>
          <w:lang w:eastAsia="ru-RU"/>
        </w:rPr>
      </w:pPr>
      <w:r w:rsidRPr="00125FAF">
        <w:rPr>
          <w:rFonts w:ascii="Times New Roman" w:eastAsia="Times New Roman" w:hAnsi="Times New Roman" w:cs="Times New Roman"/>
          <w:sz w:val="24"/>
          <w:szCs w:val="24"/>
          <w:lang w:eastAsia="ru-RU"/>
        </w:rPr>
        <w:lastRenderedPageBreak/>
        <w:t xml:space="preserve">Resursele forestiere din Republica Moldova se caracterizează prin dispersarea, fragmentarea </w:t>
      </w:r>
      <w:proofErr w:type="spellStart"/>
      <w:r w:rsidRPr="00125FAF">
        <w:rPr>
          <w:rFonts w:ascii="Times New Roman" w:eastAsia="Times New Roman" w:hAnsi="Times New Roman" w:cs="Times New Roman"/>
          <w:sz w:val="24"/>
          <w:szCs w:val="24"/>
          <w:lang w:eastAsia="ru-RU"/>
        </w:rPr>
        <w:t>şi</w:t>
      </w:r>
      <w:proofErr w:type="spellEnd"/>
      <w:r w:rsidRPr="00125FAF">
        <w:rPr>
          <w:rFonts w:ascii="Times New Roman" w:eastAsia="Times New Roman" w:hAnsi="Times New Roman" w:cs="Times New Roman"/>
          <w:sz w:val="24"/>
          <w:szCs w:val="24"/>
          <w:lang w:eastAsia="ru-RU"/>
        </w:rPr>
        <w:t xml:space="preserve"> repartizarea lor neuniformă pe zonele geografice, pe teritoriul țării și sunt limitate pentru a satisface </w:t>
      </w:r>
      <w:proofErr w:type="spellStart"/>
      <w:r w:rsidRPr="00125FAF">
        <w:rPr>
          <w:rFonts w:ascii="Times New Roman" w:eastAsia="Times New Roman" w:hAnsi="Times New Roman" w:cs="Times New Roman"/>
          <w:sz w:val="24"/>
          <w:szCs w:val="24"/>
          <w:lang w:eastAsia="ru-RU"/>
        </w:rPr>
        <w:t>necesităţile</w:t>
      </w:r>
      <w:proofErr w:type="spellEnd"/>
      <w:r w:rsidRPr="00125FAF">
        <w:rPr>
          <w:rFonts w:ascii="Times New Roman" w:eastAsia="Times New Roman" w:hAnsi="Times New Roman" w:cs="Times New Roman"/>
          <w:sz w:val="24"/>
          <w:szCs w:val="24"/>
          <w:lang w:eastAsia="ru-RU"/>
        </w:rPr>
        <w:t xml:space="preserve"> economice, sociale </w:t>
      </w:r>
      <w:proofErr w:type="spellStart"/>
      <w:r w:rsidRPr="00125FAF">
        <w:rPr>
          <w:rFonts w:ascii="Times New Roman" w:eastAsia="Times New Roman" w:hAnsi="Times New Roman" w:cs="Times New Roman"/>
          <w:sz w:val="24"/>
          <w:szCs w:val="24"/>
          <w:lang w:eastAsia="ru-RU"/>
        </w:rPr>
        <w:t>şi</w:t>
      </w:r>
      <w:proofErr w:type="spellEnd"/>
      <w:r w:rsidRPr="00125FAF">
        <w:rPr>
          <w:rFonts w:ascii="Times New Roman" w:eastAsia="Times New Roman" w:hAnsi="Times New Roman" w:cs="Times New Roman"/>
          <w:sz w:val="24"/>
          <w:szCs w:val="24"/>
          <w:lang w:eastAsia="ru-RU"/>
        </w:rPr>
        <w:t xml:space="preserve"> ecologice la nivelul economiei </w:t>
      </w:r>
      <w:proofErr w:type="spellStart"/>
      <w:r w:rsidRPr="00125FAF">
        <w:rPr>
          <w:rFonts w:ascii="Times New Roman" w:eastAsia="Times New Roman" w:hAnsi="Times New Roman" w:cs="Times New Roman"/>
          <w:sz w:val="24"/>
          <w:szCs w:val="24"/>
          <w:lang w:eastAsia="ru-RU"/>
        </w:rPr>
        <w:t>naţionale</w:t>
      </w:r>
      <w:proofErr w:type="spellEnd"/>
      <w:r w:rsidRPr="00125FAF">
        <w:rPr>
          <w:rFonts w:ascii="Times New Roman" w:eastAsia="Times New Roman" w:hAnsi="Times New Roman" w:cs="Times New Roman"/>
          <w:sz w:val="24"/>
          <w:szCs w:val="24"/>
          <w:lang w:eastAsia="ru-RU"/>
        </w:rPr>
        <w:t xml:space="preserve"> </w:t>
      </w:r>
      <w:proofErr w:type="spellStart"/>
      <w:r w:rsidRPr="00125FAF">
        <w:rPr>
          <w:rFonts w:ascii="Times New Roman" w:eastAsia="Times New Roman" w:hAnsi="Times New Roman" w:cs="Times New Roman"/>
          <w:sz w:val="24"/>
          <w:szCs w:val="24"/>
          <w:lang w:eastAsia="ru-RU"/>
        </w:rPr>
        <w:t>şi</w:t>
      </w:r>
      <w:proofErr w:type="spellEnd"/>
      <w:r w:rsidRPr="00125FAF">
        <w:rPr>
          <w:rFonts w:ascii="Times New Roman" w:eastAsia="Times New Roman" w:hAnsi="Times New Roman" w:cs="Times New Roman"/>
          <w:sz w:val="24"/>
          <w:szCs w:val="24"/>
          <w:lang w:eastAsia="ru-RU"/>
        </w:rPr>
        <w:t xml:space="preserve"> cel local, al </w:t>
      </w:r>
      <w:proofErr w:type="spellStart"/>
      <w:r w:rsidRPr="00125FAF">
        <w:rPr>
          <w:rFonts w:ascii="Times New Roman" w:eastAsia="Times New Roman" w:hAnsi="Times New Roman" w:cs="Times New Roman"/>
          <w:sz w:val="24"/>
          <w:szCs w:val="24"/>
          <w:lang w:eastAsia="ru-RU"/>
        </w:rPr>
        <w:t>populaţiei</w:t>
      </w:r>
      <w:proofErr w:type="spellEnd"/>
      <w:r w:rsidRPr="00125FAF">
        <w:rPr>
          <w:rFonts w:ascii="Times New Roman" w:eastAsia="Times New Roman" w:hAnsi="Times New Roman" w:cs="Times New Roman"/>
          <w:sz w:val="24"/>
          <w:szCs w:val="24"/>
          <w:lang w:eastAsia="ru-RU"/>
        </w:rPr>
        <w:t>,</w:t>
      </w:r>
      <w:r w:rsidR="006364B2" w:rsidRPr="00125FAF">
        <w:rPr>
          <w:rFonts w:ascii="Times New Roman" w:eastAsia="Times New Roman" w:hAnsi="Times New Roman" w:cs="Times New Roman"/>
          <w:sz w:val="24"/>
          <w:szCs w:val="24"/>
          <w:lang w:eastAsia="ru-RU"/>
        </w:rPr>
        <w:t xml:space="preserve"> iar problema exploatării ilegale a pădurilor este considerată o problemă majoră a sectorului forestier. În pofida faptului că, </w:t>
      </w:r>
      <w:proofErr w:type="spellStart"/>
      <w:r w:rsidR="006364B2" w:rsidRPr="00125FAF">
        <w:rPr>
          <w:rFonts w:ascii="Times New Roman" w:eastAsia="Times New Roman" w:hAnsi="Times New Roman" w:cs="Times New Roman"/>
          <w:sz w:val="24"/>
          <w:szCs w:val="24"/>
          <w:lang w:eastAsia="ru-RU"/>
        </w:rPr>
        <w:t>începînd</w:t>
      </w:r>
      <w:proofErr w:type="spellEnd"/>
      <w:r w:rsidR="006364B2" w:rsidRPr="00125FAF">
        <w:rPr>
          <w:rFonts w:ascii="Times New Roman" w:eastAsia="Times New Roman" w:hAnsi="Times New Roman" w:cs="Times New Roman"/>
          <w:sz w:val="24"/>
          <w:szCs w:val="24"/>
          <w:lang w:eastAsia="ru-RU"/>
        </w:rPr>
        <w:t xml:space="preserve"> cu mijlocul anilor '90, au fost aprobate </w:t>
      </w:r>
      <w:proofErr w:type="spellStart"/>
      <w:r w:rsidR="006364B2" w:rsidRPr="00125FAF">
        <w:rPr>
          <w:rFonts w:ascii="Times New Roman" w:eastAsia="Times New Roman" w:hAnsi="Times New Roman" w:cs="Times New Roman"/>
          <w:sz w:val="24"/>
          <w:szCs w:val="24"/>
          <w:lang w:eastAsia="ru-RU"/>
        </w:rPr>
        <w:t>şi</w:t>
      </w:r>
      <w:proofErr w:type="spellEnd"/>
      <w:r w:rsidR="006364B2" w:rsidRPr="00125FAF">
        <w:rPr>
          <w:rFonts w:ascii="Times New Roman" w:eastAsia="Times New Roman" w:hAnsi="Times New Roman" w:cs="Times New Roman"/>
          <w:sz w:val="24"/>
          <w:szCs w:val="24"/>
          <w:lang w:eastAsia="ru-RU"/>
        </w:rPr>
        <w:t xml:space="preserve"> adoptate o serie de documente </w:t>
      </w:r>
      <w:proofErr w:type="spellStart"/>
      <w:r w:rsidR="006364B2" w:rsidRPr="00125FAF">
        <w:rPr>
          <w:rFonts w:ascii="Times New Roman" w:eastAsia="Times New Roman" w:hAnsi="Times New Roman" w:cs="Times New Roman"/>
          <w:sz w:val="24"/>
          <w:szCs w:val="24"/>
          <w:lang w:eastAsia="ru-RU"/>
        </w:rPr>
        <w:t>şi</w:t>
      </w:r>
      <w:proofErr w:type="spellEnd"/>
      <w:r w:rsidR="006364B2" w:rsidRPr="00125FAF">
        <w:rPr>
          <w:rFonts w:ascii="Times New Roman" w:eastAsia="Times New Roman" w:hAnsi="Times New Roman" w:cs="Times New Roman"/>
          <w:sz w:val="24"/>
          <w:szCs w:val="24"/>
          <w:lang w:eastAsia="ru-RU"/>
        </w:rPr>
        <w:t xml:space="preserve"> acte legislative/</w:t>
      </w:r>
      <w:r w:rsidR="00BA0E65" w:rsidRPr="00125FAF">
        <w:rPr>
          <w:rFonts w:ascii="Times New Roman" w:eastAsia="Times New Roman" w:hAnsi="Times New Roman" w:cs="Times New Roman"/>
          <w:sz w:val="24"/>
          <w:szCs w:val="24"/>
          <w:lang w:eastAsia="ru-RU"/>
        </w:rPr>
        <w:t xml:space="preserve"> </w:t>
      </w:r>
      <w:r w:rsidR="006364B2" w:rsidRPr="00125FAF">
        <w:rPr>
          <w:rFonts w:ascii="Times New Roman" w:eastAsia="Times New Roman" w:hAnsi="Times New Roman" w:cs="Times New Roman"/>
          <w:sz w:val="24"/>
          <w:szCs w:val="24"/>
          <w:lang w:eastAsia="ru-RU"/>
        </w:rPr>
        <w:t>normative de reglementare în domeniu</w:t>
      </w:r>
      <w:r w:rsidR="00FB555F" w:rsidRPr="00125FAF">
        <w:rPr>
          <w:rFonts w:ascii="Times New Roman" w:eastAsia="Times New Roman" w:hAnsi="Times New Roman" w:cs="Times New Roman"/>
          <w:sz w:val="24"/>
          <w:szCs w:val="24"/>
          <w:lang w:eastAsia="ru-RU"/>
        </w:rPr>
        <w:t>l</w:t>
      </w:r>
      <w:r w:rsidR="006364B2" w:rsidRPr="00125FAF">
        <w:rPr>
          <w:rFonts w:ascii="Times New Roman" w:eastAsia="Times New Roman" w:hAnsi="Times New Roman" w:cs="Times New Roman"/>
          <w:sz w:val="24"/>
          <w:szCs w:val="24"/>
          <w:lang w:eastAsia="ru-RU"/>
        </w:rPr>
        <w:t xml:space="preserve"> silvic privind prevenirea </w:t>
      </w:r>
      <w:proofErr w:type="spellStart"/>
      <w:r w:rsidR="006364B2" w:rsidRPr="00125FAF">
        <w:rPr>
          <w:rFonts w:ascii="Times New Roman" w:eastAsia="Times New Roman" w:hAnsi="Times New Roman" w:cs="Times New Roman"/>
          <w:sz w:val="24"/>
          <w:szCs w:val="24"/>
          <w:lang w:eastAsia="ru-RU"/>
        </w:rPr>
        <w:t>şi</w:t>
      </w:r>
      <w:proofErr w:type="spellEnd"/>
      <w:r w:rsidR="006364B2" w:rsidRPr="00125FAF">
        <w:rPr>
          <w:rFonts w:ascii="Times New Roman" w:eastAsia="Times New Roman" w:hAnsi="Times New Roman" w:cs="Times New Roman"/>
          <w:sz w:val="24"/>
          <w:szCs w:val="24"/>
          <w:lang w:eastAsia="ru-RU"/>
        </w:rPr>
        <w:t xml:space="preserve"> combaterea exploatării forestiere ilegale, studii</w:t>
      </w:r>
      <w:r w:rsidR="00BA0E65" w:rsidRPr="00125FAF">
        <w:rPr>
          <w:rFonts w:ascii="Times New Roman" w:eastAsia="Times New Roman" w:hAnsi="Times New Roman" w:cs="Times New Roman"/>
          <w:sz w:val="24"/>
          <w:szCs w:val="24"/>
          <w:lang w:eastAsia="ru-RU"/>
        </w:rPr>
        <w:t>le</w:t>
      </w:r>
      <w:r w:rsidR="006364B2" w:rsidRPr="00125FAF">
        <w:rPr>
          <w:rFonts w:ascii="Times New Roman" w:eastAsia="Times New Roman" w:hAnsi="Times New Roman" w:cs="Times New Roman"/>
          <w:sz w:val="24"/>
          <w:szCs w:val="24"/>
          <w:lang w:eastAsia="ru-RU"/>
        </w:rPr>
        <w:t xml:space="preserve"> recente arată că volumul total de lemn provenit din surse neidentificate (în principal din exploatarea forestieră ilegală) este de circa 400 mii m</w:t>
      </w:r>
      <w:r w:rsidR="006364B2" w:rsidRPr="00125FAF">
        <w:rPr>
          <w:rFonts w:ascii="Times New Roman" w:eastAsia="Times New Roman" w:hAnsi="Times New Roman" w:cs="Times New Roman"/>
          <w:sz w:val="24"/>
          <w:szCs w:val="24"/>
          <w:vertAlign w:val="superscript"/>
          <w:lang w:eastAsia="ru-RU"/>
        </w:rPr>
        <w:t>3</w:t>
      </w:r>
      <w:r w:rsidR="006364B2" w:rsidRPr="00125FAF">
        <w:rPr>
          <w:rFonts w:ascii="Times New Roman" w:eastAsia="Times New Roman" w:hAnsi="Times New Roman" w:cs="Times New Roman"/>
          <w:sz w:val="24"/>
          <w:szCs w:val="24"/>
          <w:lang w:eastAsia="ru-RU"/>
        </w:rPr>
        <w:t xml:space="preserve"> anual, ceea ce este aproximativ egal cu volumul lemnului recoltat oficial. Această problemă se datorează: puterii de cumpărare redusă a </w:t>
      </w:r>
      <w:proofErr w:type="spellStart"/>
      <w:r w:rsidR="006364B2" w:rsidRPr="00125FAF">
        <w:rPr>
          <w:rFonts w:ascii="Times New Roman" w:eastAsia="Times New Roman" w:hAnsi="Times New Roman" w:cs="Times New Roman"/>
          <w:sz w:val="24"/>
          <w:szCs w:val="24"/>
          <w:lang w:eastAsia="ru-RU"/>
        </w:rPr>
        <w:t>populaţiei</w:t>
      </w:r>
      <w:proofErr w:type="spellEnd"/>
      <w:r w:rsidR="006364B2" w:rsidRPr="00125FAF">
        <w:rPr>
          <w:rFonts w:ascii="Times New Roman" w:eastAsia="Times New Roman" w:hAnsi="Times New Roman" w:cs="Times New Roman"/>
          <w:sz w:val="24"/>
          <w:szCs w:val="24"/>
          <w:lang w:eastAsia="ru-RU"/>
        </w:rPr>
        <w:t>, care nu este capabilă să-</w:t>
      </w:r>
      <w:proofErr w:type="spellStart"/>
      <w:r w:rsidR="006364B2" w:rsidRPr="00125FAF">
        <w:rPr>
          <w:rFonts w:ascii="Times New Roman" w:eastAsia="Times New Roman" w:hAnsi="Times New Roman" w:cs="Times New Roman"/>
          <w:sz w:val="24"/>
          <w:szCs w:val="24"/>
          <w:lang w:eastAsia="ru-RU"/>
        </w:rPr>
        <w:t>şi</w:t>
      </w:r>
      <w:proofErr w:type="spellEnd"/>
      <w:r w:rsidR="006364B2" w:rsidRPr="00125FAF">
        <w:rPr>
          <w:rFonts w:ascii="Times New Roman" w:eastAsia="Times New Roman" w:hAnsi="Times New Roman" w:cs="Times New Roman"/>
          <w:sz w:val="24"/>
          <w:szCs w:val="24"/>
          <w:lang w:eastAsia="ru-RU"/>
        </w:rPr>
        <w:t xml:space="preserve"> satisfacă în mod legal </w:t>
      </w:r>
      <w:proofErr w:type="spellStart"/>
      <w:r w:rsidR="006364B2" w:rsidRPr="00125FAF">
        <w:rPr>
          <w:rFonts w:ascii="Times New Roman" w:eastAsia="Times New Roman" w:hAnsi="Times New Roman" w:cs="Times New Roman"/>
          <w:sz w:val="24"/>
          <w:szCs w:val="24"/>
          <w:lang w:eastAsia="ru-RU"/>
        </w:rPr>
        <w:t>necesităţile</w:t>
      </w:r>
      <w:proofErr w:type="spellEnd"/>
      <w:r w:rsidR="006364B2" w:rsidRPr="00125FAF">
        <w:rPr>
          <w:rFonts w:ascii="Times New Roman" w:eastAsia="Times New Roman" w:hAnsi="Times New Roman" w:cs="Times New Roman"/>
          <w:sz w:val="24"/>
          <w:szCs w:val="24"/>
          <w:lang w:eastAsia="ru-RU"/>
        </w:rPr>
        <w:t xml:space="preserve"> de lemn, în special de lemn de foc; nivelului de </w:t>
      </w:r>
      <w:proofErr w:type="spellStart"/>
      <w:r w:rsidR="006364B2" w:rsidRPr="00125FAF">
        <w:rPr>
          <w:rFonts w:ascii="Times New Roman" w:eastAsia="Times New Roman" w:hAnsi="Times New Roman" w:cs="Times New Roman"/>
          <w:sz w:val="24"/>
          <w:szCs w:val="24"/>
          <w:lang w:eastAsia="ru-RU"/>
        </w:rPr>
        <w:t>viaţă</w:t>
      </w:r>
      <w:proofErr w:type="spellEnd"/>
      <w:r w:rsidR="006364B2" w:rsidRPr="00125FAF">
        <w:rPr>
          <w:rFonts w:ascii="Times New Roman" w:eastAsia="Times New Roman" w:hAnsi="Times New Roman" w:cs="Times New Roman"/>
          <w:sz w:val="24"/>
          <w:szCs w:val="24"/>
          <w:lang w:eastAsia="ru-RU"/>
        </w:rPr>
        <w:t xml:space="preserve"> scăzut din zonele rurale </w:t>
      </w:r>
      <w:proofErr w:type="spellStart"/>
      <w:r w:rsidR="006364B2" w:rsidRPr="00125FAF">
        <w:rPr>
          <w:rFonts w:ascii="Times New Roman" w:eastAsia="Times New Roman" w:hAnsi="Times New Roman" w:cs="Times New Roman"/>
          <w:sz w:val="24"/>
          <w:szCs w:val="24"/>
          <w:lang w:eastAsia="ru-RU"/>
        </w:rPr>
        <w:t>şi</w:t>
      </w:r>
      <w:proofErr w:type="spellEnd"/>
      <w:r w:rsidR="006364B2" w:rsidRPr="00125FAF">
        <w:rPr>
          <w:rFonts w:ascii="Times New Roman" w:eastAsia="Times New Roman" w:hAnsi="Times New Roman" w:cs="Times New Roman"/>
          <w:sz w:val="24"/>
          <w:szCs w:val="24"/>
          <w:lang w:eastAsia="ru-RU"/>
        </w:rPr>
        <w:t xml:space="preserve"> lipsa altor surse de venituri; impozitelor </w:t>
      </w:r>
      <w:proofErr w:type="spellStart"/>
      <w:r w:rsidR="006364B2" w:rsidRPr="00125FAF">
        <w:rPr>
          <w:rFonts w:ascii="Times New Roman" w:eastAsia="Times New Roman" w:hAnsi="Times New Roman" w:cs="Times New Roman"/>
          <w:sz w:val="24"/>
          <w:szCs w:val="24"/>
          <w:lang w:eastAsia="ru-RU"/>
        </w:rPr>
        <w:t>şi</w:t>
      </w:r>
      <w:proofErr w:type="spellEnd"/>
      <w:r w:rsidR="006364B2" w:rsidRPr="00125FAF">
        <w:rPr>
          <w:rFonts w:ascii="Times New Roman" w:eastAsia="Times New Roman" w:hAnsi="Times New Roman" w:cs="Times New Roman"/>
          <w:sz w:val="24"/>
          <w:szCs w:val="24"/>
          <w:lang w:eastAsia="ru-RU"/>
        </w:rPr>
        <w:t xml:space="preserve"> taxelor mari la materialul lemnos </w:t>
      </w:r>
      <w:proofErr w:type="spellStart"/>
      <w:r w:rsidR="006364B2" w:rsidRPr="00125FAF">
        <w:rPr>
          <w:rFonts w:ascii="Times New Roman" w:eastAsia="Times New Roman" w:hAnsi="Times New Roman" w:cs="Times New Roman"/>
          <w:sz w:val="24"/>
          <w:szCs w:val="24"/>
          <w:lang w:eastAsia="ru-RU"/>
        </w:rPr>
        <w:t>obţinut</w:t>
      </w:r>
      <w:proofErr w:type="spellEnd"/>
      <w:r w:rsidR="006364B2" w:rsidRPr="00125FAF">
        <w:rPr>
          <w:rFonts w:ascii="Times New Roman" w:eastAsia="Times New Roman" w:hAnsi="Times New Roman" w:cs="Times New Roman"/>
          <w:sz w:val="24"/>
          <w:szCs w:val="24"/>
          <w:lang w:eastAsia="ru-RU"/>
        </w:rPr>
        <w:t xml:space="preserve"> în mod legal; faptului că ofertele de produse forestiere recoltate în mod legal nu corespund cererii interne, iar cea din urmă nu este afectată de legalitatea materialului lemnos; </w:t>
      </w:r>
      <w:proofErr w:type="spellStart"/>
      <w:r w:rsidR="006364B2" w:rsidRPr="00125FAF">
        <w:rPr>
          <w:rFonts w:ascii="Times New Roman" w:eastAsia="Times New Roman" w:hAnsi="Times New Roman" w:cs="Times New Roman"/>
          <w:sz w:val="24"/>
          <w:szCs w:val="24"/>
          <w:lang w:eastAsia="ru-RU"/>
        </w:rPr>
        <w:t>capacităţil</w:t>
      </w:r>
      <w:r w:rsidR="00FB555F" w:rsidRPr="00125FAF">
        <w:rPr>
          <w:rFonts w:ascii="Times New Roman" w:eastAsia="Times New Roman" w:hAnsi="Times New Roman" w:cs="Times New Roman"/>
          <w:sz w:val="24"/>
          <w:szCs w:val="24"/>
          <w:lang w:eastAsia="ru-RU"/>
        </w:rPr>
        <w:t>or</w:t>
      </w:r>
      <w:proofErr w:type="spellEnd"/>
      <w:r w:rsidR="006364B2" w:rsidRPr="00125FAF">
        <w:rPr>
          <w:rFonts w:ascii="Times New Roman" w:eastAsia="Times New Roman" w:hAnsi="Times New Roman" w:cs="Times New Roman"/>
          <w:sz w:val="24"/>
          <w:szCs w:val="24"/>
          <w:lang w:eastAsia="ru-RU"/>
        </w:rPr>
        <w:t xml:space="preserve"> companiilor locale de prelucrare a lemnului </w:t>
      </w:r>
      <w:r w:rsidR="00FB555F" w:rsidRPr="00125FAF">
        <w:rPr>
          <w:rFonts w:ascii="Times New Roman" w:eastAsia="Times New Roman" w:hAnsi="Times New Roman" w:cs="Times New Roman"/>
          <w:sz w:val="24"/>
          <w:szCs w:val="24"/>
          <w:lang w:eastAsia="ru-RU"/>
        </w:rPr>
        <w:t xml:space="preserve">care </w:t>
      </w:r>
      <w:proofErr w:type="spellStart"/>
      <w:r w:rsidR="006364B2" w:rsidRPr="00125FAF">
        <w:rPr>
          <w:rFonts w:ascii="Times New Roman" w:eastAsia="Times New Roman" w:hAnsi="Times New Roman" w:cs="Times New Roman"/>
          <w:sz w:val="24"/>
          <w:szCs w:val="24"/>
          <w:lang w:eastAsia="ru-RU"/>
        </w:rPr>
        <w:t>depăşesc</w:t>
      </w:r>
      <w:proofErr w:type="spellEnd"/>
      <w:r w:rsidR="006364B2" w:rsidRPr="00125FAF">
        <w:rPr>
          <w:rFonts w:ascii="Times New Roman" w:eastAsia="Times New Roman" w:hAnsi="Times New Roman" w:cs="Times New Roman"/>
          <w:sz w:val="24"/>
          <w:szCs w:val="24"/>
          <w:lang w:eastAsia="ru-RU"/>
        </w:rPr>
        <w:t xml:space="preserve"> </w:t>
      </w:r>
      <w:proofErr w:type="spellStart"/>
      <w:r w:rsidR="006364B2" w:rsidRPr="00125FAF">
        <w:rPr>
          <w:rFonts w:ascii="Times New Roman" w:eastAsia="Times New Roman" w:hAnsi="Times New Roman" w:cs="Times New Roman"/>
          <w:sz w:val="24"/>
          <w:szCs w:val="24"/>
          <w:lang w:eastAsia="ru-RU"/>
        </w:rPr>
        <w:t>cantităţile</w:t>
      </w:r>
      <w:proofErr w:type="spellEnd"/>
      <w:r w:rsidR="006364B2" w:rsidRPr="00125FAF">
        <w:rPr>
          <w:rFonts w:ascii="Times New Roman" w:eastAsia="Times New Roman" w:hAnsi="Times New Roman" w:cs="Times New Roman"/>
          <w:sz w:val="24"/>
          <w:szCs w:val="24"/>
          <w:lang w:eastAsia="ru-RU"/>
        </w:rPr>
        <w:t xml:space="preserve"> furnizate legal; lipsei personalului specializat în paza terenurilor cu </w:t>
      </w:r>
      <w:proofErr w:type="spellStart"/>
      <w:r w:rsidR="006364B2" w:rsidRPr="00125FAF">
        <w:rPr>
          <w:rFonts w:ascii="Times New Roman" w:eastAsia="Times New Roman" w:hAnsi="Times New Roman" w:cs="Times New Roman"/>
          <w:sz w:val="24"/>
          <w:szCs w:val="24"/>
          <w:lang w:eastAsia="ru-RU"/>
        </w:rPr>
        <w:t>vegetaţie</w:t>
      </w:r>
      <w:proofErr w:type="spellEnd"/>
      <w:r w:rsidR="006364B2" w:rsidRPr="00125FAF">
        <w:rPr>
          <w:rFonts w:ascii="Times New Roman" w:eastAsia="Times New Roman" w:hAnsi="Times New Roman" w:cs="Times New Roman"/>
          <w:sz w:val="24"/>
          <w:szCs w:val="24"/>
          <w:lang w:eastAsia="ru-RU"/>
        </w:rPr>
        <w:t xml:space="preserve"> forestieră la unii </w:t>
      </w:r>
      <w:proofErr w:type="spellStart"/>
      <w:r w:rsidR="006364B2" w:rsidRPr="00125FAF">
        <w:rPr>
          <w:rFonts w:ascii="Times New Roman" w:eastAsia="Times New Roman" w:hAnsi="Times New Roman" w:cs="Times New Roman"/>
          <w:sz w:val="24"/>
          <w:szCs w:val="24"/>
          <w:lang w:eastAsia="ru-RU"/>
        </w:rPr>
        <w:t>deţinători</w:t>
      </w:r>
      <w:proofErr w:type="spellEnd"/>
      <w:r w:rsidR="006364B2" w:rsidRPr="00125FAF">
        <w:rPr>
          <w:rFonts w:ascii="Times New Roman" w:eastAsia="Times New Roman" w:hAnsi="Times New Roman" w:cs="Times New Roman"/>
          <w:sz w:val="24"/>
          <w:szCs w:val="24"/>
          <w:lang w:eastAsia="ru-RU"/>
        </w:rPr>
        <w:t xml:space="preserve"> (majoritatea primăriilor); aplicării necorespunzătoare a </w:t>
      </w:r>
      <w:proofErr w:type="spellStart"/>
      <w:r w:rsidR="006364B2" w:rsidRPr="00125FAF">
        <w:rPr>
          <w:rFonts w:ascii="Times New Roman" w:eastAsia="Times New Roman" w:hAnsi="Times New Roman" w:cs="Times New Roman"/>
          <w:sz w:val="24"/>
          <w:szCs w:val="24"/>
          <w:lang w:eastAsia="ru-RU"/>
        </w:rPr>
        <w:t>legislaţiei</w:t>
      </w:r>
      <w:proofErr w:type="spellEnd"/>
      <w:r w:rsidR="006364B2" w:rsidRPr="00125FAF">
        <w:rPr>
          <w:rFonts w:ascii="Times New Roman" w:eastAsia="Times New Roman" w:hAnsi="Times New Roman" w:cs="Times New Roman"/>
          <w:sz w:val="24"/>
          <w:szCs w:val="24"/>
          <w:lang w:eastAsia="ru-RU"/>
        </w:rPr>
        <w:t xml:space="preserve"> forestiere; </w:t>
      </w:r>
      <w:r w:rsidRPr="00125FAF">
        <w:rPr>
          <w:rFonts w:ascii="Times New Roman" w:eastAsia="Times New Roman" w:hAnsi="Times New Roman" w:cs="Times New Roman"/>
          <w:sz w:val="24"/>
          <w:szCs w:val="24"/>
          <w:lang w:eastAsia="ru-RU"/>
        </w:rPr>
        <w:t xml:space="preserve">reducerii </w:t>
      </w:r>
      <w:proofErr w:type="spellStart"/>
      <w:r w:rsidRPr="00125FAF">
        <w:rPr>
          <w:rFonts w:ascii="Times New Roman" w:eastAsia="Times New Roman" w:hAnsi="Times New Roman" w:cs="Times New Roman"/>
          <w:sz w:val="24"/>
          <w:szCs w:val="24"/>
          <w:lang w:eastAsia="ru-RU"/>
        </w:rPr>
        <w:t>finanţării</w:t>
      </w:r>
      <w:proofErr w:type="spellEnd"/>
      <w:r w:rsidRPr="00125FAF">
        <w:rPr>
          <w:rFonts w:ascii="Times New Roman" w:eastAsia="Times New Roman" w:hAnsi="Times New Roman" w:cs="Times New Roman"/>
          <w:sz w:val="24"/>
          <w:szCs w:val="24"/>
          <w:lang w:eastAsia="ru-RU"/>
        </w:rPr>
        <w:t xml:space="preserve"> sectorului forestier din partea statului; </w:t>
      </w:r>
      <w:r w:rsidR="006364B2" w:rsidRPr="00125FAF">
        <w:rPr>
          <w:rFonts w:ascii="Times New Roman" w:eastAsia="Times New Roman" w:hAnsi="Times New Roman" w:cs="Times New Roman"/>
          <w:sz w:val="24"/>
          <w:szCs w:val="24"/>
          <w:lang w:eastAsia="ru-RU"/>
        </w:rPr>
        <w:t xml:space="preserve">salariilor mici ale personalului din sectorul forestier </w:t>
      </w:r>
      <w:proofErr w:type="spellStart"/>
      <w:r w:rsidR="006364B2" w:rsidRPr="00125FAF">
        <w:rPr>
          <w:rFonts w:ascii="Times New Roman" w:eastAsia="Times New Roman" w:hAnsi="Times New Roman" w:cs="Times New Roman"/>
          <w:sz w:val="24"/>
          <w:szCs w:val="24"/>
          <w:lang w:eastAsia="ru-RU"/>
        </w:rPr>
        <w:t>şi</w:t>
      </w:r>
      <w:proofErr w:type="spellEnd"/>
      <w:r w:rsidR="006364B2" w:rsidRPr="00125FAF">
        <w:rPr>
          <w:rFonts w:ascii="Times New Roman" w:eastAsia="Times New Roman" w:hAnsi="Times New Roman" w:cs="Times New Roman"/>
          <w:sz w:val="24"/>
          <w:szCs w:val="24"/>
          <w:lang w:eastAsia="ru-RU"/>
        </w:rPr>
        <w:t xml:space="preserve"> lipsei interesului material; monitorizării inadecvate a fluxului de lemn </w:t>
      </w:r>
      <w:proofErr w:type="spellStart"/>
      <w:r w:rsidR="006364B2" w:rsidRPr="00125FAF">
        <w:rPr>
          <w:rFonts w:ascii="Times New Roman" w:eastAsia="Times New Roman" w:hAnsi="Times New Roman" w:cs="Times New Roman"/>
          <w:sz w:val="24"/>
          <w:szCs w:val="24"/>
          <w:lang w:eastAsia="ru-RU"/>
        </w:rPr>
        <w:t>şi</w:t>
      </w:r>
      <w:proofErr w:type="spellEnd"/>
      <w:r w:rsidR="006364B2" w:rsidRPr="00125FAF">
        <w:rPr>
          <w:rFonts w:ascii="Times New Roman" w:eastAsia="Times New Roman" w:hAnsi="Times New Roman" w:cs="Times New Roman"/>
          <w:sz w:val="24"/>
          <w:szCs w:val="24"/>
          <w:lang w:eastAsia="ru-RU"/>
        </w:rPr>
        <w:t xml:space="preserve"> originii acestuia.</w:t>
      </w:r>
    </w:p>
    <w:p w14:paraId="20EC06A7" w14:textId="09254D74" w:rsidR="007B4E94" w:rsidRPr="00125FAF" w:rsidRDefault="007B4E94" w:rsidP="003E24C5">
      <w:pPr>
        <w:pStyle w:val="Listparagraf"/>
        <w:numPr>
          <w:ilvl w:val="0"/>
          <w:numId w:val="3"/>
        </w:numPr>
        <w:tabs>
          <w:tab w:val="clear" w:pos="795"/>
          <w:tab w:val="num" w:pos="435"/>
          <w:tab w:val="left" w:pos="993"/>
        </w:tabs>
        <w:spacing w:after="0" w:line="240" w:lineRule="auto"/>
        <w:ind w:left="435"/>
        <w:jc w:val="both"/>
        <w:rPr>
          <w:rFonts w:ascii="Times New Roman" w:eastAsia="Times New Roman" w:hAnsi="Times New Roman" w:cs="Times New Roman"/>
          <w:sz w:val="24"/>
          <w:szCs w:val="24"/>
          <w:lang w:eastAsia="ru-RU"/>
        </w:rPr>
      </w:pPr>
      <w:r w:rsidRPr="00125FAF">
        <w:rPr>
          <w:rFonts w:ascii="Times New Roman" w:eastAsia="Times New Roman" w:hAnsi="Times New Roman" w:cs="Times New Roman"/>
          <w:sz w:val="24"/>
          <w:szCs w:val="24"/>
          <w:lang w:eastAsia="ru-RU"/>
        </w:rPr>
        <w:t xml:space="preserve">Diminuarea cantitativă </w:t>
      </w:r>
      <w:proofErr w:type="spellStart"/>
      <w:r w:rsidRPr="00125FAF">
        <w:rPr>
          <w:rFonts w:ascii="Times New Roman" w:eastAsia="Times New Roman" w:hAnsi="Times New Roman" w:cs="Times New Roman"/>
          <w:sz w:val="24"/>
          <w:szCs w:val="24"/>
          <w:lang w:eastAsia="ru-RU"/>
        </w:rPr>
        <w:t>şi</w:t>
      </w:r>
      <w:proofErr w:type="spellEnd"/>
      <w:r w:rsidRPr="00125FAF">
        <w:rPr>
          <w:rFonts w:ascii="Times New Roman" w:eastAsia="Times New Roman" w:hAnsi="Times New Roman" w:cs="Times New Roman"/>
          <w:sz w:val="24"/>
          <w:szCs w:val="24"/>
          <w:lang w:eastAsia="ru-RU"/>
        </w:rPr>
        <w:t xml:space="preserve"> calitativă a pădurilor, în special a celor comunale, a </w:t>
      </w:r>
      <w:proofErr w:type="spellStart"/>
      <w:r w:rsidRPr="00125FAF">
        <w:rPr>
          <w:rFonts w:ascii="Times New Roman" w:eastAsia="Times New Roman" w:hAnsi="Times New Roman" w:cs="Times New Roman"/>
          <w:sz w:val="24"/>
          <w:szCs w:val="24"/>
          <w:lang w:eastAsia="ru-RU"/>
        </w:rPr>
        <w:t>fâşiilor</w:t>
      </w:r>
      <w:proofErr w:type="spellEnd"/>
      <w:r w:rsidRPr="00125FAF">
        <w:rPr>
          <w:rFonts w:ascii="Times New Roman" w:eastAsia="Times New Roman" w:hAnsi="Times New Roman" w:cs="Times New Roman"/>
          <w:sz w:val="24"/>
          <w:szCs w:val="24"/>
          <w:lang w:eastAsia="ru-RU"/>
        </w:rPr>
        <w:t xml:space="preserve"> de protecție a apelor </w:t>
      </w:r>
      <w:proofErr w:type="spellStart"/>
      <w:r w:rsidRPr="00125FAF">
        <w:rPr>
          <w:rFonts w:ascii="Times New Roman" w:eastAsia="Times New Roman" w:hAnsi="Times New Roman" w:cs="Times New Roman"/>
          <w:sz w:val="24"/>
          <w:szCs w:val="24"/>
          <w:lang w:eastAsia="ru-RU"/>
        </w:rPr>
        <w:t>şi</w:t>
      </w:r>
      <w:proofErr w:type="spellEnd"/>
      <w:r w:rsidRPr="00125FAF">
        <w:rPr>
          <w:rFonts w:ascii="Times New Roman" w:eastAsia="Times New Roman" w:hAnsi="Times New Roman" w:cs="Times New Roman"/>
          <w:sz w:val="24"/>
          <w:szCs w:val="24"/>
          <w:lang w:eastAsia="ru-RU"/>
        </w:rPr>
        <w:t xml:space="preserve"> terenurilor agricole, </w:t>
      </w:r>
      <w:proofErr w:type="spellStart"/>
      <w:r w:rsidRPr="00125FAF">
        <w:rPr>
          <w:rFonts w:ascii="Times New Roman" w:eastAsia="Times New Roman" w:hAnsi="Times New Roman" w:cs="Times New Roman"/>
          <w:sz w:val="24"/>
          <w:szCs w:val="24"/>
          <w:lang w:eastAsia="ru-RU"/>
        </w:rPr>
        <w:t>condiţionează</w:t>
      </w:r>
      <w:proofErr w:type="spellEnd"/>
      <w:r w:rsidRPr="00125FAF">
        <w:rPr>
          <w:rFonts w:ascii="Times New Roman" w:eastAsia="Times New Roman" w:hAnsi="Times New Roman" w:cs="Times New Roman"/>
          <w:sz w:val="24"/>
          <w:szCs w:val="24"/>
          <w:lang w:eastAsia="ru-RU"/>
        </w:rPr>
        <w:t xml:space="preserve"> intensificarea </w:t>
      </w:r>
      <w:proofErr w:type="spellStart"/>
      <w:r w:rsidRPr="00125FAF">
        <w:rPr>
          <w:rFonts w:ascii="Times New Roman" w:eastAsia="Times New Roman" w:hAnsi="Times New Roman" w:cs="Times New Roman"/>
          <w:sz w:val="24"/>
          <w:szCs w:val="24"/>
          <w:lang w:eastAsia="ru-RU"/>
        </w:rPr>
        <w:t>calamităţilor</w:t>
      </w:r>
      <w:proofErr w:type="spellEnd"/>
      <w:r w:rsidRPr="00125FAF">
        <w:rPr>
          <w:rFonts w:ascii="Times New Roman" w:eastAsia="Times New Roman" w:hAnsi="Times New Roman" w:cs="Times New Roman"/>
          <w:sz w:val="24"/>
          <w:szCs w:val="24"/>
          <w:lang w:eastAsia="ru-RU"/>
        </w:rPr>
        <w:t xml:space="preserve"> meteo-climatice, perturbarea regimului hidrologic, </w:t>
      </w:r>
      <w:proofErr w:type="spellStart"/>
      <w:r w:rsidRPr="00125FAF">
        <w:rPr>
          <w:rFonts w:ascii="Times New Roman" w:eastAsia="Times New Roman" w:hAnsi="Times New Roman" w:cs="Times New Roman"/>
          <w:sz w:val="24"/>
          <w:szCs w:val="24"/>
          <w:lang w:eastAsia="ru-RU"/>
        </w:rPr>
        <w:t>aridizarea</w:t>
      </w:r>
      <w:proofErr w:type="spellEnd"/>
      <w:r w:rsidRPr="00125FAF">
        <w:rPr>
          <w:rFonts w:ascii="Times New Roman" w:eastAsia="Times New Roman" w:hAnsi="Times New Roman" w:cs="Times New Roman"/>
          <w:sz w:val="24"/>
          <w:szCs w:val="24"/>
          <w:lang w:eastAsia="ru-RU"/>
        </w:rPr>
        <w:t xml:space="preserve"> teritoriului cu</w:t>
      </w:r>
      <w:r w:rsidR="00B566C6" w:rsidRPr="00125FAF">
        <w:rPr>
          <w:rFonts w:ascii="Times New Roman" w:eastAsia="Times New Roman" w:hAnsi="Times New Roman" w:cs="Times New Roman"/>
          <w:sz w:val="24"/>
          <w:szCs w:val="24"/>
          <w:lang w:eastAsia="ru-RU"/>
        </w:rPr>
        <w:t xml:space="preserve"> </w:t>
      </w:r>
      <w:r w:rsidRPr="00125FAF">
        <w:rPr>
          <w:rFonts w:ascii="Times New Roman" w:eastAsia="Times New Roman" w:hAnsi="Times New Roman" w:cs="Times New Roman"/>
          <w:sz w:val="24"/>
          <w:szCs w:val="24"/>
          <w:lang w:eastAsia="ru-RU"/>
        </w:rPr>
        <w:t xml:space="preserve">pierderi economice </w:t>
      </w:r>
      <w:proofErr w:type="spellStart"/>
      <w:r w:rsidRPr="00125FAF">
        <w:rPr>
          <w:rFonts w:ascii="Times New Roman" w:eastAsia="Times New Roman" w:hAnsi="Times New Roman" w:cs="Times New Roman"/>
          <w:sz w:val="24"/>
          <w:szCs w:val="24"/>
          <w:lang w:eastAsia="ru-RU"/>
        </w:rPr>
        <w:t>şi</w:t>
      </w:r>
      <w:proofErr w:type="spellEnd"/>
      <w:r w:rsidRPr="00125FAF">
        <w:rPr>
          <w:rFonts w:ascii="Times New Roman" w:eastAsia="Times New Roman" w:hAnsi="Times New Roman" w:cs="Times New Roman"/>
          <w:sz w:val="24"/>
          <w:szCs w:val="24"/>
          <w:lang w:eastAsia="ru-RU"/>
        </w:rPr>
        <w:t xml:space="preserve"> ecologice enorme.</w:t>
      </w:r>
    </w:p>
    <w:p w14:paraId="6EA8FB95" w14:textId="44A66191" w:rsidR="00FB555F" w:rsidRDefault="006364B2" w:rsidP="003E24C5">
      <w:pPr>
        <w:pStyle w:val="Listparagraf"/>
        <w:numPr>
          <w:ilvl w:val="0"/>
          <w:numId w:val="3"/>
        </w:numPr>
        <w:tabs>
          <w:tab w:val="clear" w:pos="795"/>
          <w:tab w:val="num" w:pos="450"/>
          <w:tab w:val="left" w:pos="993"/>
        </w:tabs>
        <w:spacing w:after="0" w:line="240" w:lineRule="auto"/>
        <w:ind w:left="450"/>
        <w:jc w:val="both"/>
        <w:rPr>
          <w:rFonts w:ascii="Times New Roman" w:eastAsia="Times New Roman" w:hAnsi="Times New Roman" w:cs="Times New Roman"/>
          <w:sz w:val="24"/>
          <w:szCs w:val="24"/>
          <w:lang w:eastAsia="ru-RU"/>
        </w:rPr>
      </w:pPr>
      <w:proofErr w:type="spellStart"/>
      <w:r w:rsidRPr="00125FAF">
        <w:rPr>
          <w:rFonts w:ascii="Times New Roman" w:eastAsia="Times New Roman" w:hAnsi="Times New Roman" w:cs="Times New Roman"/>
          <w:sz w:val="24"/>
          <w:szCs w:val="24"/>
          <w:lang w:eastAsia="ru-RU"/>
        </w:rPr>
        <w:t>Insuficienţa</w:t>
      </w:r>
      <w:proofErr w:type="spellEnd"/>
      <w:r w:rsidRPr="00125FAF">
        <w:rPr>
          <w:rFonts w:ascii="Times New Roman" w:eastAsia="Times New Roman" w:hAnsi="Times New Roman" w:cs="Times New Roman"/>
          <w:sz w:val="24"/>
          <w:szCs w:val="24"/>
          <w:lang w:eastAsia="ru-RU"/>
        </w:rPr>
        <w:t xml:space="preserve"> cadrului </w:t>
      </w:r>
      <w:proofErr w:type="spellStart"/>
      <w:r w:rsidRPr="00125FAF">
        <w:rPr>
          <w:rFonts w:ascii="Times New Roman" w:eastAsia="Times New Roman" w:hAnsi="Times New Roman" w:cs="Times New Roman"/>
          <w:sz w:val="24"/>
          <w:szCs w:val="24"/>
          <w:lang w:eastAsia="ru-RU"/>
        </w:rPr>
        <w:t>instituţional</w:t>
      </w:r>
      <w:proofErr w:type="spellEnd"/>
      <w:r w:rsidRPr="00125FAF">
        <w:rPr>
          <w:rFonts w:ascii="Times New Roman" w:eastAsia="Times New Roman" w:hAnsi="Times New Roman" w:cs="Times New Roman"/>
          <w:sz w:val="24"/>
          <w:szCs w:val="24"/>
          <w:lang w:eastAsia="ru-RU"/>
        </w:rPr>
        <w:t xml:space="preserve"> </w:t>
      </w:r>
      <w:proofErr w:type="spellStart"/>
      <w:r w:rsidRPr="00125FAF">
        <w:rPr>
          <w:rFonts w:ascii="Times New Roman" w:eastAsia="Times New Roman" w:hAnsi="Times New Roman" w:cs="Times New Roman"/>
          <w:sz w:val="24"/>
          <w:szCs w:val="24"/>
          <w:lang w:eastAsia="ru-RU"/>
        </w:rPr>
        <w:t>şi</w:t>
      </w:r>
      <w:proofErr w:type="spellEnd"/>
      <w:r w:rsidRPr="00125FAF">
        <w:rPr>
          <w:rFonts w:ascii="Times New Roman" w:eastAsia="Times New Roman" w:hAnsi="Times New Roman" w:cs="Times New Roman"/>
          <w:sz w:val="24"/>
          <w:szCs w:val="24"/>
          <w:lang w:eastAsia="ru-RU"/>
        </w:rPr>
        <w:t xml:space="preserve"> de management pentru obiectele </w:t>
      </w:r>
      <w:proofErr w:type="spellStart"/>
      <w:r w:rsidRPr="00125FAF">
        <w:rPr>
          <w:rFonts w:ascii="Times New Roman" w:eastAsia="Times New Roman" w:hAnsi="Times New Roman" w:cs="Times New Roman"/>
          <w:sz w:val="24"/>
          <w:szCs w:val="24"/>
          <w:lang w:eastAsia="ru-RU"/>
        </w:rPr>
        <w:t>şi</w:t>
      </w:r>
      <w:proofErr w:type="spellEnd"/>
      <w:r w:rsidRPr="00125FAF">
        <w:rPr>
          <w:rFonts w:ascii="Times New Roman" w:eastAsia="Times New Roman" w:hAnsi="Times New Roman" w:cs="Times New Roman"/>
          <w:sz w:val="24"/>
          <w:szCs w:val="24"/>
          <w:lang w:eastAsia="ru-RU"/>
        </w:rPr>
        <w:t xml:space="preserve"> complexele ariilor naturale protejate de stat </w:t>
      </w:r>
      <w:proofErr w:type="spellStart"/>
      <w:r w:rsidRPr="00125FAF">
        <w:rPr>
          <w:rFonts w:ascii="Times New Roman" w:eastAsia="Times New Roman" w:hAnsi="Times New Roman" w:cs="Times New Roman"/>
          <w:sz w:val="24"/>
          <w:szCs w:val="24"/>
          <w:lang w:eastAsia="ru-RU"/>
        </w:rPr>
        <w:t>şi</w:t>
      </w:r>
      <w:proofErr w:type="spellEnd"/>
      <w:r w:rsidRPr="00125FAF">
        <w:rPr>
          <w:rFonts w:ascii="Times New Roman" w:eastAsia="Times New Roman" w:hAnsi="Times New Roman" w:cs="Times New Roman"/>
          <w:sz w:val="24"/>
          <w:szCs w:val="24"/>
          <w:lang w:eastAsia="ru-RU"/>
        </w:rPr>
        <w:t xml:space="preserve"> lipsa surselor de </w:t>
      </w:r>
      <w:proofErr w:type="spellStart"/>
      <w:r w:rsidRPr="00125FAF">
        <w:rPr>
          <w:rFonts w:ascii="Times New Roman" w:eastAsia="Times New Roman" w:hAnsi="Times New Roman" w:cs="Times New Roman"/>
          <w:sz w:val="24"/>
          <w:szCs w:val="24"/>
          <w:lang w:eastAsia="ru-RU"/>
        </w:rPr>
        <w:t>finanţare</w:t>
      </w:r>
      <w:proofErr w:type="spellEnd"/>
      <w:r w:rsidRPr="00125FAF">
        <w:rPr>
          <w:rFonts w:ascii="Times New Roman" w:eastAsia="Times New Roman" w:hAnsi="Times New Roman" w:cs="Times New Roman"/>
          <w:sz w:val="24"/>
          <w:szCs w:val="24"/>
          <w:lang w:eastAsia="ru-RU"/>
        </w:rPr>
        <w:t xml:space="preserve"> necesare pentru asigurarea managementului durabil al acestora,</w:t>
      </w:r>
      <w:r w:rsidR="00B566C6" w:rsidRPr="00125FAF">
        <w:rPr>
          <w:rFonts w:ascii="Times New Roman" w:eastAsia="Times New Roman" w:hAnsi="Times New Roman" w:cs="Times New Roman"/>
          <w:sz w:val="24"/>
          <w:szCs w:val="24"/>
          <w:lang w:eastAsia="ru-RU"/>
        </w:rPr>
        <w:t xml:space="preserve"> </w:t>
      </w:r>
      <w:r w:rsidRPr="00125FAF">
        <w:rPr>
          <w:rFonts w:ascii="Times New Roman" w:eastAsia="Times New Roman" w:hAnsi="Times New Roman" w:cs="Times New Roman"/>
          <w:sz w:val="24"/>
          <w:szCs w:val="24"/>
          <w:lang w:eastAsia="ru-RU"/>
        </w:rPr>
        <w:t xml:space="preserve">dimensiunile insuficiente ale </w:t>
      </w:r>
      <w:proofErr w:type="spellStart"/>
      <w:r w:rsidRPr="00125FAF">
        <w:rPr>
          <w:rFonts w:ascii="Times New Roman" w:eastAsia="Times New Roman" w:hAnsi="Times New Roman" w:cs="Times New Roman"/>
          <w:sz w:val="24"/>
          <w:szCs w:val="24"/>
          <w:lang w:eastAsia="ru-RU"/>
        </w:rPr>
        <w:t>suprafeţelor</w:t>
      </w:r>
      <w:proofErr w:type="spellEnd"/>
      <w:r w:rsidRPr="00125FAF">
        <w:rPr>
          <w:rFonts w:ascii="Times New Roman" w:eastAsia="Times New Roman" w:hAnsi="Times New Roman" w:cs="Times New Roman"/>
          <w:sz w:val="24"/>
          <w:szCs w:val="24"/>
          <w:lang w:eastAsia="ru-RU"/>
        </w:rPr>
        <w:t xml:space="preserve"> ariilor naturale protejate de stat (doar 5,5% din teritoriu), precum </w:t>
      </w:r>
      <w:proofErr w:type="spellStart"/>
      <w:r w:rsidRPr="00125FAF">
        <w:rPr>
          <w:rFonts w:ascii="Times New Roman" w:eastAsia="Times New Roman" w:hAnsi="Times New Roman" w:cs="Times New Roman"/>
          <w:sz w:val="24"/>
          <w:szCs w:val="24"/>
          <w:lang w:eastAsia="ru-RU"/>
        </w:rPr>
        <w:t>şi</w:t>
      </w:r>
      <w:proofErr w:type="spellEnd"/>
      <w:r w:rsidRPr="00125FAF">
        <w:rPr>
          <w:rFonts w:ascii="Times New Roman" w:eastAsia="Times New Roman" w:hAnsi="Times New Roman" w:cs="Times New Roman"/>
          <w:sz w:val="24"/>
          <w:szCs w:val="24"/>
          <w:lang w:eastAsia="ru-RU"/>
        </w:rPr>
        <w:t xml:space="preserve"> ale celor de păduri (doar 11,1% din teritoriul </w:t>
      </w:r>
      <w:proofErr w:type="spellStart"/>
      <w:r w:rsidRPr="00125FAF">
        <w:rPr>
          <w:rFonts w:ascii="Times New Roman" w:eastAsia="Times New Roman" w:hAnsi="Times New Roman" w:cs="Times New Roman"/>
          <w:sz w:val="24"/>
          <w:szCs w:val="24"/>
          <w:lang w:eastAsia="ru-RU"/>
        </w:rPr>
        <w:t>ţării</w:t>
      </w:r>
      <w:proofErr w:type="spellEnd"/>
      <w:r w:rsidRPr="00125FAF">
        <w:rPr>
          <w:rFonts w:ascii="Times New Roman" w:eastAsia="Times New Roman" w:hAnsi="Times New Roman" w:cs="Times New Roman"/>
          <w:sz w:val="24"/>
          <w:szCs w:val="24"/>
          <w:lang w:eastAsia="ru-RU"/>
        </w:rPr>
        <w:t xml:space="preserve">), asigurarea </w:t>
      </w:r>
      <w:proofErr w:type="spellStart"/>
      <w:r w:rsidRPr="00125FAF">
        <w:rPr>
          <w:rFonts w:ascii="Times New Roman" w:eastAsia="Times New Roman" w:hAnsi="Times New Roman" w:cs="Times New Roman"/>
          <w:sz w:val="24"/>
          <w:szCs w:val="24"/>
          <w:lang w:eastAsia="ru-RU"/>
        </w:rPr>
        <w:t>şi</w:t>
      </w:r>
      <w:proofErr w:type="spellEnd"/>
      <w:r w:rsidRPr="00125FAF">
        <w:rPr>
          <w:rFonts w:ascii="Times New Roman" w:eastAsia="Times New Roman" w:hAnsi="Times New Roman" w:cs="Times New Roman"/>
          <w:sz w:val="24"/>
          <w:szCs w:val="24"/>
          <w:lang w:eastAsia="ru-RU"/>
        </w:rPr>
        <w:t xml:space="preserve"> dezvoltarea insuficientă a managementului durabil al pădurilor, </w:t>
      </w:r>
      <w:proofErr w:type="spellStart"/>
      <w:r w:rsidRPr="00125FAF">
        <w:rPr>
          <w:rFonts w:ascii="Times New Roman" w:eastAsia="Times New Roman" w:hAnsi="Times New Roman" w:cs="Times New Roman"/>
          <w:sz w:val="24"/>
          <w:szCs w:val="24"/>
          <w:lang w:eastAsia="ru-RU"/>
        </w:rPr>
        <w:t>spaţiilor</w:t>
      </w:r>
      <w:proofErr w:type="spellEnd"/>
      <w:r w:rsidRPr="00125FAF">
        <w:rPr>
          <w:rFonts w:ascii="Times New Roman" w:eastAsia="Times New Roman" w:hAnsi="Times New Roman" w:cs="Times New Roman"/>
          <w:sz w:val="24"/>
          <w:szCs w:val="24"/>
          <w:lang w:eastAsia="ru-RU"/>
        </w:rPr>
        <w:t xml:space="preserve"> verzi, </w:t>
      </w:r>
      <w:proofErr w:type="spellStart"/>
      <w:r w:rsidRPr="00125FAF">
        <w:rPr>
          <w:rFonts w:ascii="Times New Roman" w:eastAsia="Times New Roman" w:hAnsi="Times New Roman" w:cs="Times New Roman"/>
          <w:sz w:val="24"/>
          <w:szCs w:val="24"/>
          <w:lang w:eastAsia="ru-RU"/>
        </w:rPr>
        <w:t>păşunilor</w:t>
      </w:r>
      <w:proofErr w:type="spellEnd"/>
      <w:r w:rsidRPr="00125FAF">
        <w:rPr>
          <w:rFonts w:ascii="Times New Roman" w:eastAsia="Times New Roman" w:hAnsi="Times New Roman" w:cs="Times New Roman"/>
          <w:sz w:val="24"/>
          <w:szCs w:val="24"/>
          <w:lang w:eastAsia="ru-RU"/>
        </w:rPr>
        <w:t xml:space="preserve"> zonelor umede, degradarea continuă a </w:t>
      </w:r>
      <w:proofErr w:type="spellStart"/>
      <w:r w:rsidRPr="00125FAF">
        <w:rPr>
          <w:rFonts w:ascii="Times New Roman" w:eastAsia="Times New Roman" w:hAnsi="Times New Roman" w:cs="Times New Roman"/>
          <w:sz w:val="24"/>
          <w:szCs w:val="24"/>
          <w:lang w:eastAsia="ru-RU"/>
        </w:rPr>
        <w:t>fîşiilor</w:t>
      </w:r>
      <w:proofErr w:type="spellEnd"/>
      <w:r w:rsidRPr="00125FAF">
        <w:rPr>
          <w:rFonts w:ascii="Times New Roman" w:eastAsia="Times New Roman" w:hAnsi="Times New Roman" w:cs="Times New Roman"/>
          <w:sz w:val="24"/>
          <w:szCs w:val="24"/>
          <w:lang w:eastAsia="ru-RU"/>
        </w:rPr>
        <w:t xml:space="preserve"> forestiere de </w:t>
      </w:r>
      <w:proofErr w:type="spellStart"/>
      <w:r w:rsidRPr="00125FAF">
        <w:rPr>
          <w:rFonts w:ascii="Times New Roman" w:eastAsia="Times New Roman" w:hAnsi="Times New Roman" w:cs="Times New Roman"/>
          <w:sz w:val="24"/>
          <w:szCs w:val="24"/>
          <w:lang w:eastAsia="ru-RU"/>
        </w:rPr>
        <w:t>protecţie</w:t>
      </w:r>
      <w:proofErr w:type="spellEnd"/>
      <w:r w:rsidRPr="00125FAF">
        <w:rPr>
          <w:rFonts w:ascii="Times New Roman" w:eastAsia="Times New Roman" w:hAnsi="Times New Roman" w:cs="Times New Roman"/>
          <w:sz w:val="24"/>
          <w:szCs w:val="24"/>
          <w:lang w:eastAsia="ru-RU"/>
        </w:rPr>
        <w:t xml:space="preserve"> a </w:t>
      </w:r>
      <w:proofErr w:type="spellStart"/>
      <w:r w:rsidRPr="00125FAF">
        <w:rPr>
          <w:rFonts w:ascii="Times New Roman" w:eastAsia="Times New Roman" w:hAnsi="Times New Roman" w:cs="Times New Roman"/>
          <w:sz w:val="24"/>
          <w:szCs w:val="24"/>
          <w:lang w:eastAsia="ru-RU"/>
        </w:rPr>
        <w:t>rîurilor</w:t>
      </w:r>
      <w:proofErr w:type="spellEnd"/>
      <w:r w:rsidRPr="00125FAF">
        <w:rPr>
          <w:rFonts w:ascii="Times New Roman" w:eastAsia="Times New Roman" w:hAnsi="Times New Roman" w:cs="Times New Roman"/>
          <w:sz w:val="24"/>
          <w:szCs w:val="24"/>
          <w:lang w:eastAsia="ru-RU"/>
        </w:rPr>
        <w:t xml:space="preserve"> </w:t>
      </w:r>
      <w:proofErr w:type="spellStart"/>
      <w:r w:rsidRPr="00125FAF">
        <w:rPr>
          <w:rFonts w:ascii="Times New Roman" w:eastAsia="Times New Roman" w:hAnsi="Times New Roman" w:cs="Times New Roman"/>
          <w:sz w:val="24"/>
          <w:szCs w:val="24"/>
          <w:lang w:eastAsia="ru-RU"/>
        </w:rPr>
        <w:t>şi</w:t>
      </w:r>
      <w:proofErr w:type="spellEnd"/>
      <w:r w:rsidRPr="00125FAF">
        <w:rPr>
          <w:rFonts w:ascii="Times New Roman" w:eastAsia="Times New Roman" w:hAnsi="Times New Roman" w:cs="Times New Roman"/>
          <w:sz w:val="24"/>
          <w:szCs w:val="24"/>
          <w:lang w:eastAsia="ru-RU"/>
        </w:rPr>
        <w:t xml:space="preserve"> bazinelor acvatice care provoacă pierderi</w:t>
      </w:r>
      <w:r w:rsidR="00B566C6" w:rsidRPr="00125FAF">
        <w:rPr>
          <w:rFonts w:ascii="Times New Roman" w:eastAsia="Times New Roman" w:hAnsi="Times New Roman" w:cs="Times New Roman"/>
          <w:sz w:val="24"/>
          <w:szCs w:val="24"/>
          <w:lang w:eastAsia="ru-RU"/>
        </w:rPr>
        <w:t xml:space="preserve"> </w:t>
      </w:r>
      <w:r w:rsidRPr="00125FAF">
        <w:rPr>
          <w:rFonts w:ascii="Times New Roman" w:eastAsia="Times New Roman" w:hAnsi="Times New Roman" w:cs="Times New Roman"/>
          <w:sz w:val="24"/>
          <w:szCs w:val="24"/>
          <w:lang w:eastAsia="ru-RU"/>
        </w:rPr>
        <w:t xml:space="preserve">de habitate </w:t>
      </w:r>
      <w:proofErr w:type="spellStart"/>
      <w:r w:rsidRPr="00125FAF">
        <w:rPr>
          <w:rFonts w:ascii="Times New Roman" w:eastAsia="Times New Roman" w:hAnsi="Times New Roman" w:cs="Times New Roman"/>
          <w:sz w:val="24"/>
          <w:szCs w:val="24"/>
          <w:lang w:eastAsia="ru-RU"/>
        </w:rPr>
        <w:t>şi</w:t>
      </w:r>
      <w:proofErr w:type="spellEnd"/>
      <w:r w:rsidRPr="00125FAF">
        <w:rPr>
          <w:rFonts w:ascii="Times New Roman" w:eastAsia="Times New Roman" w:hAnsi="Times New Roman" w:cs="Times New Roman"/>
          <w:sz w:val="24"/>
          <w:szCs w:val="24"/>
          <w:lang w:eastAsia="ru-RU"/>
        </w:rPr>
        <w:t xml:space="preserve"> ecosisteme.</w:t>
      </w:r>
    </w:p>
    <w:p w14:paraId="7FB09849" w14:textId="77777777" w:rsidR="003A238A" w:rsidRDefault="003A238A" w:rsidP="00B64717">
      <w:pPr>
        <w:pStyle w:val="Listparagraf"/>
        <w:numPr>
          <w:ilvl w:val="0"/>
          <w:numId w:val="3"/>
        </w:numPr>
        <w:tabs>
          <w:tab w:val="left" w:pos="993"/>
        </w:tabs>
        <w:spacing w:after="0" w:line="240" w:lineRule="auto"/>
        <w:jc w:val="both"/>
        <w:rPr>
          <w:rFonts w:ascii="Times New Roman" w:eastAsia="Times New Roman" w:hAnsi="Times New Roman" w:cs="Times New Roman"/>
          <w:sz w:val="24"/>
          <w:szCs w:val="24"/>
          <w:lang w:eastAsia="ru-RU"/>
        </w:rPr>
      </w:pPr>
      <w:r w:rsidRPr="00794E49">
        <w:rPr>
          <w:rFonts w:ascii="Times New Roman" w:eastAsia="Times New Roman" w:hAnsi="Times New Roman" w:cs="Times New Roman"/>
          <w:sz w:val="24"/>
          <w:szCs w:val="24"/>
          <w:lang w:eastAsia="ru-RU"/>
        </w:rPr>
        <w:t xml:space="preserve">Sistemul practicat de management extensiv al pajiștilor, caracterizat prin lucrări minime de îngrijire aplicate sau chiar absența acestora, lipsa de corelare între capacitatea de </w:t>
      </w:r>
      <w:proofErr w:type="spellStart"/>
      <w:r w:rsidRPr="00794E49">
        <w:rPr>
          <w:rFonts w:ascii="Times New Roman" w:eastAsia="Times New Roman" w:hAnsi="Times New Roman" w:cs="Times New Roman"/>
          <w:sz w:val="24"/>
          <w:szCs w:val="24"/>
          <w:lang w:eastAsia="ru-RU"/>
        </w:rPr>
        <w:t>producţie</w:t>
      </w:r>
      <w:proofErr w:type="spellEnd"/>
      <w:r w:rsidRPr="00794E49">
        <w:rPr>
          <w:rFonts w:ascii="Times New Roman" w:eastAsia="Times New Roman" w:hAnsi="Times New Roman" w:cs="Times New Roman"/>
          <w:sz w:val="24"/>
          <w:szCs w:val="24"/>
          <w:lang w:eastAsia="ru-RU"/>
        </w:rPr>
        <w:t xml:space="preserve"> a pajiștilor și încărcătura acestora cu animale, îmbinat cu acțiunea altor factori de degradare, precum procesele </w:t>
      </w:r>
      <w:proofErr w:type="spellStart"/>
      <w:r w:rsidRPr="00794E49">
        <w:rPr>
          <w:rFonts w:ascii="Times New Roman" w:eastAsia="Times New Roman" w:hAnsi="Times New Roman" w:cs="Times New Roman"/>
          <w:sz w:val="24"/>
          <w:szCs w:val="24"/>
          <w:lang w:eastAsia="ru-RU"/>
        </w:rPr>
        <w:t>erozionale</w:t>
      </w:r>
      <w:proofErr w:type="spellEnd"/>
      <w:r w:rsidRPr="00794E49">
        <w:rPr>
          <w:rFonts w:ascii="Times New Roman" w:eastAsia="Times New Roman" w:hAnsi="Times New Roman" w:cs="Times New Roman"/>
          <w:sz w:val="24"/>
          <w:szCs w:val="24"/>
          <w:lang w:eastAsia="ru-RU"/>
        </w:rPr>
        <w:t>, invadarea cu buruieni și tufărișuri, influențează profund asupra calității și productivității pajiștilor.</w:t>
      </w:r>
    </w:p>
    <w:p w14:paraId="34CF30AA" w14:textId="77777777" w:rsidR="003A238A" w:rsidRDefault="003A238A">
      <w:pPr>
        <w:pStyle w:val="Listparagraf"/>
        <w:numPr>
          <w:ilvl w:val="0"/>
          <w:numId w:val="3"/>
        </w:numPr>
        <w:tabs>
          <w:tab w:val="left" w:pos="993"/>
        </w:tabs>
        <w:spacing w:after="0" w:line="240" w:lineRule="auto"/>
        <w:jc w:val="both"/>
        <w:rPr>
          <w:rFonts w:ascii="Times New Roman" w:eastAsia="Times New Roman" w:hAnsi="Times New Roman" w:cs="Times New Roman"/>
          <w:sz w:val="24"/>
          <w:szCs w:val="24"/>
          <w:lang w:eastAsia="ru-RU"/>
        </w:rPr>
      </w:pPr>
      <w:r w:rsidRPr="00794E49">
        <w:rPr>
          <w:rFonts w:ascii="Times New Roman" w:eastAsia="Times New Roman" w:hAnsi="Times New Roman" w:cs="Times New Roman"/>
          <w:sz w:val="24"/>
          <w:szCs w:val="24"/>
          <w:lang w:eastAsia="ru-RU"/>
        </w:rPr>
        <w:t>Practicile de transformare în pajiști a diferitor categorii de terenuri degradate, inclusiv ca principal factor de sechestrare a GES, sunt în proces de diminuare, fiind în mare parte excluse din  atenția autorităților locale și regionale.</w:t>
      </w:r>
    </w:p>
    <w:p w14:paraId="41F5FC82" w14:textId="54933B0B" w:rsidR="006364B2" w:rsidRPr="00125FAF" w:rsidRDefault="006364B2" w:rsidP="001F2F2D">
      <w:pPr>
        <w:spacing w:before="120" w:after="120" w:line="240" w:lineRule="auto"/>
        <w:ind w:firstLine="720"/>
        <w:jc w:val="both"/>
        <w:outlineLvl w:val="2"/>
        <w:rPr>
          <w:rFonts w:ascii="Times New Roman" w:eastAsia="Times New Roman" w:hAnsi="Times New Roman" w:cs="Times New Roman"/>
          <w:b/>
          <w:bCs/>
          <w:sz w:val="24"/>
          <w:szCs w:val="24"/>
          <w:lang w:eastAsia="ru-RU"/>
        </w:rPr>
      </w:pPr>
      <w:r w:rsidRPr="00125FAF">
        <w:rPr>
          <w:rFonts w:ascii="Times New Roman" w:eastAsia="Times New Roman" w:hAnsi="Times New Roman" w:cs="Times New Roman"/>
          <w:b/>
          <w:bCs/>
          <w:color w:val="000000"/>
          <w:sz w:val="24"/>
          <w:szCs w:val="24"/>
          <w:lang w:eastAsia="ru-RU"/>
        </w:rPr>
        <w:t>2.</w:t>
      </w:r>
      <w:r w:rsidR="00403E3C" w:rsidRPr="00125FAF">
        <w:rPr>
          <w:rFonts w:ascii="Times New Roman" w:eastAsia="Times New Roman" w:hAnsi="Times New Roman" w:cs="Times New Roman"/>
          <w:b/>
          <w:bCs/>
          <w:color w:val="000000"/>
          <w:sz w:val="24"/>
          <w:szCs w:val="24"/>
          <w:lang w:eastAsia="ru-RU"/>
        </w:rPr>
        <w:t>2.</w:t>
      </w:r>
      <w:r w:rsidRPr="00125FAF">
        <w:rPr>
          <w:rFonts w:ascii="Times New Roman" w:eastAsia="Times New Roman" w:hAnsi="Times New Roman" w:cs="Times New Roman"/>
          <w:b/>
          <w:bCs/>
          <w:color w:val="000000"/>
          <w:sz w:val="24"/>
          <w:szCs w:val="24"/>
          <w:lang w:eastAsia="ru-RU"/>
        </w:rPr>
        <w:t xml:space="preserve">7. </w:t>
      </w:r>
      <w:proofErr w:type="spellStart"/>
      <w:r w:rsidRPr="00125FAF">
        <w:rPr>
          <w:rFonts w:ascii="Times New Roman" w:eastAsia="Times New Roman" w:hAnsi="Times New Roman" w:cs="Times New Roman"/>
          <w:b/>
          <w:bCs/>
          <w:color w:val="000000"/>
          <w:sz w:val="24"/>
          <w:szCs w:val="24"/>
          <w:lang w:eastAsia="ru-RU"/>
        </w:rPr>
        <w:t>Contribuţia</w:t>
      </w:r>
      <w:proofErr w:type="spellEnd"/>
      <w:r w:rsidRPr="00125FAF">
        <w:rPr>
          <w:rFonts w:ascii="Times New Roman" w:eastAsia="Times New Roman" w:hAnsi="Times New Roman" w:cs="Times New Roman"/>
          <w:b/>
          <w:bCs/>
          <w:color w:val="000000"/>
          <w:sz w:val="24"/>
          <w:szCs w:val="24"/>
          <w:lang w:eastAsia="ru-RU"/>
        </w:rPr>
        <w:t xml:space="preserve"> </w:t>
      </w:r>
      <w:r w:rsidRPr="00125FAF">
        <w:rPr>
          <w:rFonts w:ascii="Times New Roman" w:eastAsia="Times New Roman" w:hAnsi="Times New Roman" w:cs="Times New Roman"/>
          <w:b/>
          <w:bCs/>
          <w:iCs/>
          <w:color w:val="000000"/>
          <w:sz w:val="24"/>
          <w:szCs w:val="24"/>
          <w:lang w:eastAsia="ru-RU"/>
        </w:rPr>
        <w:t xml:space="preserve">sectorului </w:t>
      </w:r>
      <w:proofErr w:type="spellStart"/>
      <w:r w:rsidRPr="00125FAF">
        <w:rPr>
          <w:rFonts w:ascii="Times New Roman" w:eastAsia="Times New Roman" w:hAnsi="Times New Roman" w:cs="Times New Roman"/>
          <w:b/>
          <w:bCs/>
          <w:i/>
          <w:color w:val="000000"/>
          <w:sz w:val="24"/>
          <w:szCs w:val="24"/>
          <w:lang w:eastAsia="ru-RU"/>
        </w:rPr>
        <w:t>deşeuri</w:t>
      </w:r>
      <w:proofErr w:type="spellEnd"/>
      <w:r w:rsidRPr="00125FAF">
        <w:rPr>
          <w:rFonts w:ascii="Times New Roman" w:eastAsia="Times New Roman" w:hAnsi="Times New Roman" w:cs="Times New Roman"/>
          <w:b/>
          <w:bCs/>
          <w:color w:val="000000"/>
          <w:sz w:val="24"/>
          <w:szCs w:val="24"/>
          <w:lang w:eastAsia="ru-RU"/>
        </w:rPr>
        <w:t xml:space="preserve"> la dezvoltarea cu emisii reduse </w:t>
      </w:r>
      <w:proofErr w:type="spellStart"/>
      <w:r w:rsidRPr="00125FAF">
        <w:rPr>
          <w:rFonts w:ascii="Times New Roman" w:eastAsia="Times New Roman" w:hAnsi="Times New Roman" w:cs="Times New Roman"/>
          <w:b/>
          <w:bCs/>
          <w:color w:val="000000"/>
          <w:sz w:val="24"/>
          <w:szCs w:val="24"/>
          <w:lang w:eastAsia="ru-RU"/>
        </w:rPr>
        <w:t>şi</w:t>
      </w:r>
      <w:proofErr w:type="spellEnd"/>
      <w:r w:rsidRPr="00125FAF">
        <w:rPr>
          <w:rFonts w:ascii="Times New Roman" w:eastAsia="Times New Roman" w:hAnsi="Times New Roman" w:cs="Times New Roman"/>
          <w:b/>
          <w:bCs/>
          <w:color w:val="000000"/>
          <w:sz w:val="24"/>
          <w:szCs w:val="24"/>
          <w:lang w:eastAsia="ru-RU"/>
        </w:rPr>
        <w:t xml:space="preserve"> problemele identificate în acest sector</w:t>
      </w:r>
    </w:p>
    <w:p w14:paraId="14E4CBF0" w14:textId="7FF561BE" w:rsidR="006364B2" w:rsidRPr="00125FAF" w:rsidRDefault="006364B2" w:rsidP="006364B2">
      <w:pPr>
        <w:spacing w:after="0" w:line="240" w:lineRule="auto"/>
        <w:ind w:firstLine="720"/>
        <w:jc w:val="both"/>
        <w:rPr>
          <w:rFonts w:ascii="Times New Roman" w:eastAsia="Times New Roman" w:hAnsi="Times New Roman" w:cs="Times New Roman"/>
          <w:sz w:val="24"/>
          <w:szCs w:val="24"/>
          <w:lang w:eastAsia="ru-RU"/>
        </w:rPr>
      </w:pPr>
      <w:r w:rsidRPr="00125FAF">
        <w:rPr>
          <w:rFonts w:ascii="Times New Roman" w:eastAsia="Times New Roman" w:hAnsi="Times New Roman" w:cs="Times New Roman"/>
          <w:color w:val="000000"/>
          <w:sz w:val="24"/>
          <w:szCs w:val="24"/>
          <w:shd w:val="clear" w:color="auto" w:fill="FFFFFF"/>
          <w:lang w:eastAsia="ru-RU"/>
        </w:rPr>
        <w:t>1</w:t>
      </w:r>
      <w:r w:rsidR="007909C8" w:rsidRPr="00125FAF">
        <w:rPr>
          <w:rFonts w:ascii="Times New Roman" w:eastAsia="Times New Roman" w:hAnsi="Times New Roman" w:cs="Times New Roman"/>
          <w:color w:val="000000"/>
          <w:sz w:val="24"/>
          <w:szCs w:val="24"/>
          <w:shd w:val="clear" w:color="auto" w:fill="FFFFFF"/>
          <w:lang w:eastAsia="ru-RU"/>
        </w:rPr>
        <w:t>6</w:t>
      </w:r>
      <w:r w:rsidRPr="00125FAF">
        <w:rPr>
          <w:rFonts w:ascii="Times New Roman" w:eastAsia="Times New Roman" w:hAnsi="Times New Roman" w:cs="Times New Roman"/>
          <w:color w:val="000000"/>
          <w:sz w:val="24"/>
          <w:szCs w:val="24"/>
          <w:shd w:val="clear" w:color="auto" w:fill="FFFFFF"/>
          <w:lang w:eastAsia="ru-RU"/>
        </w:rPr>
        <w:t xml:space="preserve">. </w:t>
      </w:r>
      <w:r w:rsidRPr="00125FAF">
        <w:rPr>
          <w:rFonts w:ascii="Times New Roman" w:eastAsia="Times New Roman" w:hAnsi="Times New Roman" w:cs="Times New Roman"/>
          <w:color w:val="000000"/>
          <w:sz w:val="24"/>
          <w:szCs w:val="24"/>
          <w:lang w:eastAsia="ru-RU"/>
        </w:rPr>
        <w:t xml:space="preserve">Politica </w:t>
      </w:r>
      <w:proofErr w:type="spellStart"/>
      <w:r w:rsidRPr="00125FAF">
        <w:rPr>
          <w:rFonts w:ascii="Times New Roman" w:eastAsia="Times New Roman" w:hAnsi="Times New Roman" w:cs="Times New Roman"/>
          <w:color w:val="000000"/>
          <w:sz w:val="24"/>
          <w:szCs w:val="24"/>
          <w:lang w:eastAsia="ru-RU"/>
        </w:rPr>
        <w:t>naţională</w:t>
      </w:r>
      <w:proofErr w:type="spellEnd"/>
      <w:r w:rsidRPr="00125FAF">
        <w:rPr>
          <w:rFonts w:ascii="Times New Roman" w:eastAsia="Times New Roman" w:hAnsi="Times New Roman" w:cs="Times New Roman"/>
          <w:color w:val="000000"/>
          <w:sz w:val="24"/>
          <w:szCs w:val="24"/>
          <w:lang w:eastAsia="ru-RU"/>
        </w:rPr>
        <w:t xml:space="preserve"> în domeniul gestionării </w:t>
      </w:r>
      <w:proofErr w:type="spellStart"/>
      <w:r w:rsidRPr="00125FAF">
        <w:rPr>
          <w:rFonts w:ascii="Times New Roman" w:eastAsia="Times New Roman" w:hAnsi="Times New Roman" w:cs="Times New Roman"/>
          <w:color w:val="000000"/>
          <w:sz w:val="24"/>
          <w:szCs w:val="24"/>
          <w:lang w:eastAsia="ru-RU"/>
        </w:rPr>
        <w:t>deşeurilor</w:t>
      </w:r>
      <w:proofErr w:type="spellEnd"/>
      <w:r w:rsidRPr="00125FAF">
        <w:rPr>
          <w:rFonts w:ascii="Times New Roman" w:eastAsia="Times New Roman" w:hAnsi="Times New Roman" w:cs="Times New Roman"/>
          <w:color w:val="000000"/>
          <w:sz w:val="24"/>
          <w:szCs w:val="24"/>
          <w:lang w:eastAsia="ru-RU"/>
        </w:rPr>
        <w:t xml:space="preserve"> este axată pe dezvoltarea infrastructurii </w:t>
      </w:r>
      <w:proofErr w:type="spellStart"/>
      <w:r w:rsidRPr="00125FAF">
        <w:rPr>
          <w:rFonts w:ascii="Times New Roman" w:eastAsia="Times New Roman" w:hAnsi="Times New Roman" w:cs="Times New Roman"/>
          <w:color w:val="000000"/>
          <w:sz w:val="24"/>
          <w:szCs w:val="24"/>
          <w:lang w:eastAsia="ru-RU"/>
        </w:rPr>
        <w:t>şi</w:t>
      </w:r>
      <w:proofErr w:type="spellEnd"/>
      <w:r w:rsidRPr="00125FAF">
        <w:rPr>
          <w:rFonts w:ascii="Times New Roman" w:eastAsia="Times New Roman" w:hAnsi="Times New Roman" w:cs="Times New Roman"/>
          <w:color w:val="000000"/>
          <w:sz w:val="24"/>
          <w:szCs w:val="24"/>
          <w:lang w:eastAsia="ru-RU"/>
        </w:rPr>
        <w:t xml:space="preserve"> a serviciilor necesare pentru </w:t>
      </w:r>
      <w:proofErr w:type="spellStart"/>
      <w:r w:rsidRPr="00125FAF">
        <w:rPr>
          <w:rFonts w:ascii="Times New Roman" w:eastAsia="Times New Roman" w:hAnsi="Times New Roman" w:cs="Times New Roman"/>
          <w:color w:val="000000"/>
          <w:sz w:val="24"/>
          <w:szCs w:val="24"/>
          <w:lang w:eastAsia="ru-RU"/>
        </w:rPr>
        <w:t>protecţia</w:t>
      </w:r>
      <w:proofErr w:type="spellEnd"/>
      <w:r w:rsidRPr="00125FAF">
        <w:rPr>
          <w:rFonts w:ascii="Times New Roman" w:eastAsia="Times New Roman" w:hAnsi="Times New Roman" w:cs="Times New Roman"/>
          <w:color w:val="000000"/>
          <w:sz w:val="24"/>
          <w:szCs w:val="24"/>
          <w:lang w:eastAsia="ru-RU"/>
        </w:rPr>
        <w:t xml:space="preserve">, în mod adecvat, a mediului înconjurător la nivel global, </w:t>
      </w:r>
      <w:proofErr w:type="spellStart"/>
      <w:r w:rsidRPr="00125FAF">
        <w:rPr>
          <w:rFonts w:ascii="Times New Roman" w:eastAsia="Times New Roman" w:hAnsi="Times New Roman" w:cs="Times New Roman"/>
          <w:color w:val="000000"/>
          <w:sz w:val="24"/>
          <w:szCs w:val="24"/>
          <w:lang w:eastAsia="ru-RU"/>
        </w:rPr>
        <w:t>naţional</w:t>
      </w:r>
      <w:proofErr w:type="spellEnd"/>
      <w:r w:rsidRPr="00125FAF">
        <w:rPr>
          <w:rFonts w:ascii="Times New Roman" w:eastAsia="Times New Roman" w:hAnsi="Times New Roman" w:cs="Times New Roman"/>
          <w:color w:val="000000"/>
          <w:sz w:val="24"/>
          <w:szCs w:val="24"/>
          <w:lang w:eastAsia="ru-RU"/>
        </w:rPr>
        <w:t xml:space="preserve"> </w:t>
      </w:r>
      <w:proofErr w:type="spellStart"/>
      <w:r w:rsidRPr="00125FAF">
        <w:rPr>
          <w:rFonts w:ascii="Times New Roman" w:eastAsia="Times New Roman" w:hAnsi="Times New Roman" w:cs="Times New Roman"/>
          <w:color w:val="000000"/>
          <w:sz w:val="24"/>
          <w:szCs w:val="24"/>
          <w:lang w:eastAsia="ru-RU"/>
        </w:rPr>
        <w:t>şi</w:t>
      </w:r>
      <w:proofErr w:type="spellEnd"/>
      <w:r w:rsidRPr="00125FAF">
        <w:rPr>
          <w:rFonts w:ascii="Times New Roman" w:eastAsia="Times New Roman" w:hAnsi="Times New Roman" w:cs="Times New Roman"/>
          <w:color w:val="000000"/>
          <w:sz w:val="24"/>
          <w:szCs w:val="24"/>
          <w:lang w:eastAsia="ru-RU"/>
        </w:rPr>
        <w:t xml:space="preserve"> local de efectele asociate cu gestionarea </w:t>
      </w:r>
      <w:proofErr w:type="spellStart"/>
      <w:r w:rsidRPr="00125FAF">
        <w:rPr>
          <w:rFonts w:ascii="Times New Roman" w:eastAsia="Times New Roman" w:hAnsi="Times New Roman" w:cs="Times New Roman"/>
          <w:color w:val="000000"/>
          <w:sz w:val="24"/>
          <w:szCs w:val="24"/>
          <w:lang w:eastAsia="ru-RU"/>
        </w:rPr>
        <w:t>deşeurilor</w:t>
      </w:r>
      <w:proofErr w:type="spellEnd"/>
      <w:r w:rsidRPr="00125FAF">
        <w:rPr>
          <w:rFonts w:ascii="Times New Roman" w:eastAsia="Times New Roman" w:hAnsi="Times New Roman" w:cs="Times New Roman"/>
          <w:color w:val="000000"/>
          <w:sz w:val="24"/>
          <w:szCs w:val="24"/>
          <w:lang w:eastAsia="ru-RU"/>
        </w:rPr>
        <w:t xml:space="preserve"> generate de </w:t>
      </w:r>
      <w:proofErr w:type="spellStart"/>
      <w:r w:rsidRPr="00125FAF">
        <w:rPr>
          <w:rFonts w:ascii="Times New Roman" w:eastAsia="Times New Roman" w:hAnsi="Times New Roman" w:cs="Times New Roman"/>
          <w:color w:val="000000"/>
          <w:sz w:val="24"/>
          <w:szCs w:val="24"/>
          <w:lang w:eastAsia="ru-RU"/>
        </w:rPr>
        <w:t>populaţie</w:t>
      </w:r>
      <w:proofErr w:type="spellEnd"/>
      <w:r w:rsidRPr="00125FAF">
        <w:rPr>
          <w:rFonts w:ascii="Times New Roman" w:eastAsia="Times New Roman" w:hAnsi="Times New Roman" w:cs="Times New Roman"/>
          <w:color w:val="000000"/>
          <w:sz w:val="24"/>
          <w:szCs w:val="24"/>
          <w:lang w:eastAsia="ru-RU"/>
        </w:rPr>
        <w:t xml:space="preserve">, întreprinderi </w:t>
      </w:r>
      <w:proofErr w:type="spellStart"/>
      <w:r w:rsidRPr="00125FAF">
        <w:rPr>
          <w:rFonts w:ascii="Times New Roman" w:eastAsia="Times New Roman" w:hAnsi="Times New Roman" w:cs="Times New Roman"/>
          <w:color w:val="000000"/>
          <w:sz w:val="24"/>
          <w:szCs w:val="24"/>
          <w:lang w:eastAsia="ru-RU"/>
        </w:rPr>
        <w:t>şi</w:t>
      </w:r>
      <w:proofErr w:type="spellEnd"/>
      <w:r w:rsidRPr="00125FAF">
        <w:rPr>
          <w:rFonts w:ascii="Times New Roman" w:eastAsia="Times New Roman" w:hAnsi="Times New Roman" w:cs="Times New Roman"/>
          <w:color w:val="000000"/>
          <w:sz w:val="24"/>
          <w:szCs w:val="24"/>
          <w:lang w:eastAsia="ru-RU"/>
        </w:rPr>
        <w:t xml:space="preserve"> </w:t>
      </w:r>
      <w:proofErr w:type="spellStart"/>
      <w:r w:rsidRPr="00125FAF">
        <w:rPr>
          <w:rFonts w:ascii="Times New Roman" w:eastAsia="Times New Roman" w:hAnsi="Times New Roman" w:cs="Times New Roman"/>
          <w:color w:val="000000"/>
          <w:sz w:val="24"/>
          <w:szCs w:val="24"/>
          <w:lang w:eastAsia="ru-RU"/>
        </w:rPr>
        <w:t>instituţii</w:t>
      </w:r>
      <w:proofErr w:type="spellEnd"/>
      <w:r w:rsidRPr="00125FAF">
        <w:rPr>
          <w:rFonts w:ascii="Times New Roman" w:eastAsia="Times New Roman" w:hAnsi="Times New Roman" w:cs="Times New Roman"/>
          <w:color w:val="000000"/>
          <w:sz w:val="24"/>
          <w:szCs w:val="24"/>
          <w:lang w:eastAsia="ru-RU"/>
        </w:rPr>
        <w:t xml:space="preserve">, conform prevederilor Strategiei de gestionare a </w:t>
      </w:r>
      <w:proofErr w:type="spellStart"/>
      <w:r w:rsidRPr="00125FAF">
        <w:rPr>
          <w:rFonts w:ascii="Times New Roman" w:eastAsia="Times New Roman" w:hAnsi="Times New Roman" w:cs="Times New Roman"/>
          <w:color w:val="000000"/>
          <w:sz w:val="24"/>
          <w:szCs w:val="24"/>
          <w:lang w:eastAsia="ru-RU"/>
        </w:rPr>
        <w:t>deşeurilor</w:t>
      </w:r>
      <w:proofErr w:type="spellEnd"/>
      <w:r w:rsidRPr="00125FAF">
        <w:rPr>
          <w:rFonts w:ascii="Times New Roman" w:eastAsia="Times New Roman" w:hAnsi="Times New Roman" w:cs="Times New Roman"/>
          <w:color w:val="000000"/>
          <w:sz w:val="24"/>
          <w:szCs w:val="24"/>
          <w:lang w:eastAsia="ru-RU"/>
        </w:rPr>
        <w:t xml:space="preserve"> în Republica Moldova pentru anii 2013-2027, </w:t>
      </w:r>
      <w:r w:rsidR="00BA0E65" w:rsidRPr="00125FAF">
        <w:rPr>
          <w:rFonts w:ascii="Times New Roman" w:eastAsia="Times New Roman" w:hAnsi="Times New Roman" w:cs="Times New Roman"/>
          <w:color w:val="000000"/>
          <w:sz w:val="24"/>
          <w:szCs w:val="24"/>
          <w:lang w:eastAsia="ru-RU"/>
        </w:rPr>
        <w:t xml:space="preserve">HG </w:t>
      </w:r>
      <w:r w:rsidR="00A13E20" w:rsidRPr="00125FAF">
        <w:rPr>
          <w:rFonts w:ascii="Times New Roman" w:eastAsia="Times New Roman" w:hAnsi="Times New Roman" w:cs="Times New Roman"/>
          <w:color w:val="000000"/>
          <w:sz w:val="24"/>
          <w:szCs w:val="24"/>
          <w:lang w:eastAsia="ru-RU"/>
        </w:rPr>
        <w:t xml:space="preserve">nr. </w:t>
      </w:r>
      <w:r w:rsidR="00BA0E65" w:rsidRPr="00125FAF">
        <w:rPr>
          <w:rFonts w:ascii="Times New Roman" w:eastAsia="Times New Roman" w:hAnsi="Times New Roman" w:cs="Times New Roman"/>
          <w:color w:val="000000"/>
          <w:sz w:val="24"/>
          <w:szCs w:val="24"/>
          <w:lang w:eastAsia="ru-RU"/>
        </w:rPr>
        <w:t>248/2013</w:t>
      </w:r>
      <w:r w:rsidRPr="00125FAF">
        <w:rPr>
          <w:rFonts w:ascii="Times New Roman" w:eastAsia="Times New Roman" w:hAnsi="Times New Roman" w:cs="Times New Roman"/>
          <w:color w:val="000000"/>
          <w:sz w:val="24"/>
          <w:szCs w:val="24"/>
          <w:lang w:eastAsia="ru-RU"/>
        </w:rPr>
        <w:t>.</w:t>
      </w:r>
    </w:p>
    <w:p w14:paraId="28707F52" w14:textId="3EF0D6F9" w:rsidR="001A28B2" w:rsidRPr="00125FAF" w:rsidRDefault="001A28B2" w:rsidP="001A28B2">
      <w:pPr>
        <w:spacing w:after="0" w:line="240" w:lineRule="auto"/>
        <w:ind w:firstLine="720"/>
        <w:jc w:val="both"/>
        <w:rPr>
          <w:rFonts w:ascii="Times New Roman" w:eastAsia="Times New Roman" w:hAnsi="Times New Roman" w:cs="Times New Roman"/>
          <w:color w:val="000000"/>
          <w:sz w:val="24"/>
          <w:szCs w:val="24"/>
          <w:lang w:eastAsia="ru-RU"/>
        </w:rPr>
      </w:pPr>
      <w:r w:rsidRPr="00125FAF">
        <w:rPr>
          <w:rFonts w:ascii="Times New Roman" w:eastAsia="Times New Roman" w:hAnsi="Times New Roman" w:cs="Times New Roman"/>
          <w:color w:val="000000"/>
          <w:sz w:val="24"/>
          <w:szCs w:val="24"/>
          <w:lang w:eastAsia="ru-RU"/>
        </w:rPr>
        <w:t xml:space="preserve">Pentru alinierea treptată a practicilor </w:t>
      </w:r>
      <w:proofErr w:type="spellStart"/>
      <w:r w:rsidRPr="00125FAF">
        <w:rPr>
          <w:rFonts w:ascii="Times New Roman" w:eastAsia="Times New Roman" w:hAnsi="Times New Roman" w:cs="Times New Roman"/>
          <w:color w:val="000000"/>
          <w:sz w:val="24"/>
          <w:szCs w:val="24"/>
          <w:lang w:eastAsia="ru-RU"/>
        </w:rPr>
        <w:t>naţionale</w:t>
      </w:r>
      <w:proofErr w:type="spellEnd"/>
      <w:r w:rsidRPr="00125FAF">
        <w:rPr>
          <w:rFonts w:ascii="Times New Roman" w:eastAsia="Times New Roman" w:hAnsi="Times New Roman" w:cs="Times New Roman"/>
          <w:color w:val="000000"/>
          <w:sz w:val="24"/>
          <w:szCs w:val="24"/>
          <w:lang w:eastAsia="ru-RU"/>
        </w:rPr>
        <w:t xml:space="preserve"> de gestionare a </w:t>
      </w:r>
      <w:proofErr w:type="spellStart"/>
      <w:r w:rsidRPr="00125FAF">
        <w:rPr>
          <w:rFonts w:ascii="Times New Roman" w:eastAsia="Times New Roman" w:hAnsi="Times New Roman" w:cs="Times New Roman"/>
          <w:color w:val="000000"/>
          <w:sz w:val="24"/>
          <w:szCs w:val="24"/>
          <w:lang w:eastAsia="ru-RU"/>
        </w:rPr>
        <w:t>deşeurilor</w:t>
      </w:r>
      <w:proofErr w:type="spellEnd"/>
      <w:r w:rsidRPr="00125FAF">
        <w:rPr>
          <w:rFonts w:ascii="Times New Roman" w:eastAsia="Times New Roman" w:hAnsi="Times New Roman" w:cs="Times New Roman"/>
          <w:color w:val="000000"/>
          <w:sz w:val="24"/>
          <w:szCs w:val="24"/>
          <w:lang w:eastAsia="ru-RU"/>
        </w:rPr>
        <w:t xml:space="preserve"> la cele ale Uniunii Europene, a fost adoptat cadrul legal, </w:t>
      </w:r>
      <w:proofErr w:type="spellStart"/>
      <w:r w:rsidRPr="00125FAF">
        <w:rPr>
          <w:rFonts w:ascii="Times New Roman" w:eastAsia="Times New Roman" w:hAnsi="Times New Roman" w:cs="Times New Roman"/>
          <w:color w:val="000000"/>
          <w:sz w:val="24"/>
          <w:szCs w:val="24"/>
          <w:lang w:eastAsia="ru-RU"/>
        </w:rPr>
        <w:t>instituţional</w:t>
      </w:r>
      <w:proofErr w:type="spellEnd"/>
      <w:r w:rsidRPr="00125FAF">
        <w:rPr>
          <w:rFonts w:ascii="Times New Roman" w:eastAsia="Times New Roman" w:hAnsi="Times New Roman" w:cs="Times New Roman"/>
          <w:color w:val="000000"/>
          <w:sz w:val="24"/>
          <w:szCs w:val="24"/>
          <w:lang w:eastAsia="ru-RU"/>
        </w:rPr>
        <w:t xml:space="preserve"> </w:t>
      </w:r>
      <w:proofErr w:type="spellStart"/>
      <w:r w:rsidRPr="00125FAF">
        <w:rPr>
          <w:rFonts w:ascii="Times New Roman" w:eastAsia="Times New Roman" w:hAnsi="Times New Roman" w:cs="Times New Roman"/>
          <w:color w:val="000000"/>
          <w:sz w:val="24"/>
          <w:szCs w:val="24"/>
          <w:lang w:eastAsia="ru-RU"/>
        </w:rPr>
        <w:t>şi</w:t>
      </w:r>
      <w:proofErr w:type="spellEnd"/>
      <w:r w:rsidRPr="00125FAF">
        <w:rPr>
          <w:rFonts w:ascii="Times New Roman" w:eastAsia="Times New Roman" w:hAnsi="Times New Roman" w:cs="Times New Roman"/>
          <w:color w:val="000000"/>
          <w:sz w:val="24"/>
          <w:szCs w:val="24"/>
          <w:lang w:eastAsia="ru-RU"/>
        </w:rPr>
        <w:t xml:space="preserve"> </w:t>
      </w:r>
      <w:proofErr w:type="spellStart"/>
      <w:r w:rsidRPr="00125FAF">
        <w:rPr>
          <w:rFonts w:ascii="Times New Roman" w:eastAsia="Times New Roman" w:hAnsi="Times New Roman" w:cs="Times New Roman"/>
          <w:color w:val="000000"/>
          <w:sz w:val="24"/>
          <w:szCs w:val="24"/>
          <w:lang w:eastAsia="ru-RU"/>
        </w:rPr>
        <w:t>informaţional</w:t>
      </w:r>
      <w:proofErr w:type="spellEnd"/>
      <w:r w:rsidRPr="00125FAF">
        <w:rPr>
          <w:rFonts w:ascii="Times New Roman" w:eastAsia="Times New Roman" w:hAnsi="Times New Roman" w:cs="Times New Roman"/>
          <w:color w:val="000000"/>
          <w:sz w:val="24"/>
          <w:szCs w:val="24"/>
          <w:lang w:eastAsia="ru-RU"/>
        </w:rPr>
        <w:t xml:space="preserve"> respectiv. Astfel Legea 209</w:t>
      </w:r>
      <w:r w:rsidR="00BA0E65" w:rsidRPr="00125FAF">
        <w:rPr>
          <w:rFonts w:ascii="Times New Roman" w:eastAsia="Times New Roman" w:hAnsi="Times New Roman" w:cs="Times New Roman"/>
          <w:color w:val="000000"/>
          <w:sz w:val="24"/>
          <w:szCs w:val="24"/>
          <w:lang w:eastAsia="ru-RU"/>
        </w:rPr>
        <w:t>/2016</w:t>
      </w:r>
      <w:r w:rsidRPr="00125FAF">
        <w:rPr>
          <w:rFonts w:ascii="Times New Roman" w:eastAsia="Times New Roman" w:hAnsi="Times New Roman" w:cs="Times New Roman"/>
          <w:color w:val="000000"/>
          <w:sz w:val="24"/>
          <w:szCs w:val="24"/>
          <w:lang w:eastAsia="ru-RU"/>
        </w:rPr>
        <w:t xml:space="preserve"> cu privire la deșeuri transpune în legislația națională Directiva 2008/98/CE </w:t>
      </w:r>
      <w:proofErr w:type="spellStart"/>
      <w:r w:rsidRPr="00125FAF">
        <w:rPr>
          <w:rFonts w:ascii="Times New Roman" w:eastAsia="Times New Roman" w:hAnsi="Times New Roman" w:cs="Times New Roman"/>
          <w:color w:val="000000"/>
          <w:sz w:val="24"/>
          <w:szCs w:val="24"/>
          <w:lang w:eastAsia="ru-RU"/>
        </w:rPr>
        <w:t>şi</w:t>
      </w:r>
      <w:proofErr w:type="spellEnd"/>
      <w:r w:rsidRPr="00125FAF">
        <w:rPr>
          <w:rFonts w:ascii="Times New Roman" w:eastAsia="Times New Roman" w:hAnsi="Times New Roman" w:cs="Times New Roman"/>
          <w:color w:val="000000"/>
          <w:sz w:val="24"/>
          <w:szCs w:val="24"/>
          <w:lang w:eastAsia="ru-RU"/>
        </w:rPr>
        <w:t xml:space="preserve"> alte 9 acte europene</w:t>
      </w:r>
      <w:r w:rsidR="00F33164" w:rsidRPr="00125FAF">
        <w:rPr>
          <w:rFonts w:ascii="Times New Roman" w:eastAsia="Times New Roman" w:hAnsi="Times New Roman" w:cs="Times New Roman"/>
          <w:color w:val="000000"/>
          <w:sz w:val="24"/>
          <w:szCs w:val="24"/>
          <w:lang w:eastAsia="ru-RU"/>
        </w:rPr>
        <w:t>. Î</w:t>
      </w:r>
      <w:r w:rsidRPr="00125FAF">
        <w:rPr>
          <w:rFonts w:ascii="Times New Roman" w:eastAsia="Times New Roman" w:hAnsi="Times New Roman" w:cs="Times New Roman"/>
          <w:color w:val="000000"/>
          <w:sz w:val="24"/>
          <w:szCs w:val="24"/>
          <w:lang w:eastAsia="ru-RU"/>
        </w:rPr>
        <w:t xml:space="preserve">n perioada 2018-2020 au fost adoptate mai multe acte legislative pentru </w:t>
      </w:r>
      <w:r w:rsidRPr="00125FAF">
        <w:rPr>
          <w:rFonts w:ascii="Times New Roman" w:eastAsia="Times New Roman" w:hAnsi="Times New Roman" w:cs="Times New Roman"/>
          <w:color w:val="000000"/>
          <w:sz w:val="24"/>
          <w:szCs w:val="24"/>
          <w:lang w:eastAsia="ru-RU"/>
        </w:rPr>
        <w:lastRenderedPageBreak/>
        <w:t>aplicare</w:t>
      </w:r>
      <w:r w:rsidR="00F33164" w:rsidRPr="00125FAF">
        <w:rPr>
          <w:rFonts w:ascii="Times New Roman" w:eastAsia="Times New Roman" w:hAnsi="Times New Roman" w:cs="Times New Roman"/>
          <w:color w:val="000000"/>
          <w:sz w:val="24"/>
          <w:szCs w:val="24"/>
          <w:lang w:eastAsia="ru-RU"/>
        </w:rPr>
        <w:t>a</w:t>
      </w:r>
      <w:r w:rsidRPr="00125FAF">
        <w:rPr>
          <w:rFonts w:ascii="Times New Roman" w:eastAsia="Times New Roman" w:hAnsi="Times New Roman" w:cs="Times New Roman"/>
          <w:color w:val="000000"/>
          <w:sz w:val="24"/>
          <w:szCs w:val="24"/>
          <w:lang w:eastAsia="ru-RU"/>
        </w:rPr>
        <w:t xml:space="preserve"> coerentă a Legii </w:t>
      </w:r>
      <w:r w:rsidR="00F33164" w:rsidRPr="00125FAF">
        <w:rPr>
          <w:rFonts w:ascii="Times New Roman" w:eastAsia="Times New Roman" w:hAnsi="Times New Roman" w:cs="Times New Roman"/>
          <w:color w:val="000000"/>
          <w:sz w:val="24"/>
          <w:szCs w:val="24"/>
          <w:lang w:eastAsia="ru-RU"/>
        </w:rPr>
        <w:t>în cauză. Totodată, p</w:t>
      </w:r>
      <w:r w:rsidRPr="00125FAF">
        <w:rPr>
          <w:rFonts w:ascii="Times New Roman" w:eastAsia="Times New Roman" w:hAnsi="Times New Roman" w:cs="Times New Roman"/>
          <w:color w:val="000000"/>
          <w:sz w:val="24"/>
          <w:szCs w:val="24"/>
          <w:lang w:eastAsia="ru-RU"/>
        </w:rPr>
        <w:t xml:space="preserve">roiectul Regulamentului privind depozitarea deșeurilor care are drept obiectiv stabilirea cadrului legal pentru desfășurarea </w:t>
      </w:r>
      <w:proofErr w:type="spellStart"/>
      <w:r w:rsidRPr="00125FAF">
        <w:rPr>
          <w:rFonts w:ascii="Times New Roman" w:eastAsia="Times New Roman" w:hAnsi="Times New Roman" w:cs="Times New Roman"/>
          <w:color w:val="000000"/>
          <w:sz w:val="24"/>
          <w:szCs w:val="24"/>
          <w:lang w:eastAsia="ru-RU"/>
        </w:rPr>
        <w:t>activităţilor</w:t>
      </w:r>
      <w:proofErr w:type="spellEnd"/>
      <w:r w:rsidRPr="00125FAF">
        <w:rPr>
          <w:rFonts w:ascii="Times New Roman" w:eastAsia="Times New Roman" w:hAnsi="Times New Roman" w:cs="Times New Roman"/>
          <w:color w:val="000000"/>
          <w:sz w:val="24"/>
          <w:szCs w:val="24"/>
          <w:lang w:eastAsia="ru-RU"/>
        </w:rPr>
        <w:t xml:space="preserve"> de depozitare a deșeurilor, pentru proiectarea, construcția, exploatarea, monitorizarea, închiderea și urmărirea post-închidere a depozitelor noi și celor existente încă nu a fost aprobat.</w:t>
      </w:r>
    </w:p>
    <w:p w14:paraId="7ED12B0D" w14:textId="77777777" w:rsidR="001A28B2" w:rsidRPr="00125FAF" w:rsidRDefault="001A28B2" w:rsidP="001A28B2">
      <w:pPr>
        <w:spacing w:after="0" w:line="240" w:lineRule="auto"/>
        <w:ind w:firstLine="720"/>
        <w:jc w:val="both"/>
        <w:rPr>
          <w:rFonts w:ascii="Times New Roman" w:eastAsia="Times New Roman" w:hAnsi="Times New Roman" w:cs="Times New Roman"/>
          <w:color w:val="000000"/>
          <w:sz w:val="24"/>
          <w:szCs w:val="24"/>
          <w:lang w:eastAsia="ru-RU"/>
        </w:rPr>
      </w:pPr>
      <w:r w:rsidRPr="00125FAF">
        <w:rPr>
          <w:rFonts w:ascii="Times New Roman" w:eastAsia="Times New Roman" w:hAnsi="Times New Roman" w:cs="Times New Roman"/>
          <w:color w:val="000000"/>
          <w:sz w:val="24"/>
          <w:szCs w:val="24"/>
          <w:lang w:eastAsia="ru-RU"/>
        </w:rPr>
        <w:t xml:space="preserve">Prin intermediul unor parteneriate la nivel </w:t>
      </w:r>
      <w:proofErr w:type="spellStart"/>
      <w:r w:rsidRPr="00125FAF">
        <w:rPr>
          <w:rFonts w:ascii="Times New Roman" w:eastAsia="Times New Roman" w:hAnsi="Times New Roman" w:cs="Times New Roman"/>
          <w:color w:val="000000"/>
          <w:sz w:val="24"/>
          <w:szCs w:val="24"/>
          <w:lang w:eastAsia="ru-RU"/>
        </w:rPr>
        <w:t>internaţional</w:t>
      </w:r>
      <w:proofErr w:type="spellEnd"/>
      <w:r w:rsidRPr="00125FAF">
        <w:rPr>
          <w:rFonts w:ascii="Times New Roman" w:eastAsia="Times New Roman" w:hAnsi="Times New Roman" w:cs="Times New Roman"/>
          <w:color w:val="000000"/>
          <w:sz w:val="24"/>
          <w:szCs w:val="24"/>
          <w:lang w:eastAsia="ru-RU"/>
        </w:rPr>
        <w:t xml:space="preserve">, </w:t>
      </w:r>
      <w:proofErr w:type="spellStart"/>
      <w:r w:rsidRPr="00125FAF">
        <w:rPr>
          <w:rFonts w:ascii="Times New Roman" w:eastAsia="Times New Roman" w:hAnsi="Times New Roman" w:cs="Times New Roman"/>
          <w:color w:val="000000"/>
          <w:sz w:val="24"/>
          <w:szCs w:val="24"/>
          <w:lang w:eastAsia="ru-RU"/>
        </w:rPr>
        <w:t>naţional</w:t>
      </w:r>
      <w:proofErr w:type="spellEnd"/>
      <w:r w:rsidRPr="00125FAF">
        <w:rPr>
          <w:rFonts w:ascii="Times New Roman" w:eastAsia="Times New Roman" w:hAnsi="Times New Roman" w:cs="Times New Roman"/>
          <w:color w:val="000000"/>
          <w:sz w:val="24"/>
          <w:szCs w:val="24"/>
          <w:lang w:eastAsia="ru-RU"/>
        </w:rPr>
        <w:t xml:space="preserve"> </w:t>
      </w:r>
      <w:proofErr w:type="spellStart"/>
      <w:r w:rsidRPr="00125FAF">
        <w:rPr>
          <w:rFonts w:ascii="Times New Roman" w:eastAsia="Times New Roman" w:hAnsi="Times New Roman" w:cs="Times New Roman"/>
          <w:color w:val="000000"/>
          <w:sz w:val="24"/>
          <w:szCs w:val="24"/>
          <w:lang w:eastAsia="ru-RU"/>
        </w:rPr>
        <w:t>şi</w:t>
      </w:r>
      <w:proofErr w:type="spellEnd"/>
      <w:r w:rsidRPr="00125FAF">
        <w:rPr>
          <w:rFonts w:ascii="Times New Roman" w:eastAsia="Times New Roman" w:hAnsi="Times New Roman" w:cs="Times New Roman"/>
          <w:color w:val="000000"/>
          <w:sz w:val="24"/>
          <w:szCs w:val="24"/>
          <w:lang w:eastAsia="ru-RU"/>
        </w:rPr>
        <w:t xml:space="preserve"> local, </w:t>
      </w:r>
      <w:proofErr w:type="spellStart"/>
      <w:r w:rsidRPr="00125FAF">
        <w:rPr>
          <w:rFonts w:ascii="Times New Roman" w:eastAsia="Times New Roman" w:hAnsi="Times New Roman" w:cs="Times New Roman"/>
          <w:color w:val="000000"/>
          <w:sz w:val="24"/>
          <w:szCs w:val="24"/>
          <w:lang w:eastAsia="ru-RU"/>
        </w:rPr>
        <w:t>sînt</w:t>
      </w:r>
      <w:proofErr w:type="spellEnd"/>
      <w:r w:rsidRPr="00125FAF">
        <w:rPr>
          <w:rFonts w:ascii="Times New Roman" w:eastAsia="Times New Roman" w:hAnsi="Times New Roman" w:cs="Times New Roman"/>
          <w:color w:val="000000"/>
          <w:sz w:val="24"/>
          <w:szCs w:val="24"/>
          <w:lang w:eastAsia="ru-RU"/>
        </w:rPr>
        <w:t xml:space="preserve"> încurajate </w:t>
      </w:r>
      <w:proofErr w:type="spellStart"/>
      <w:r w:rsidRPr="00125FAF">
        <w:rPr>
          <w:rFonts w:ascii="Times New Roman" w:eastAsia="Times New Roman" w:hAnsi="Times New Roman" w:cs="Times New Roman"/>
          <w:color w:val="000000"/>
          <w:sz w:val="24"/>
          <w:szCs w:val="24"/>
          <w:lang w:eastAsia="ru-RU"/>
        </w:rPr>
        <w:t>şi</w:t>
      </w:r>
      <w:proofErr w:type="spellEnd"/>
      <w:r w:rsidRPr="00125FAF">
        <w:rPr>
          <w:rFonts w:ascii="Times New Roman" w:eastAsia="Times New Roman" w:hAnsi="Times New Roman" w:cs="Times New Roman"/>
          <w:color w:val="000000"/>
          <w:sz w:val="24"/>
          <w:szCs w:val="24"/>
          <w:lang w:eastAsia="ru-RU"/>
        </w:rPr>
        <w:t xml:space="preserve"> atrase </w:t>
      </w:r>
      <w:proofErr w:type="spellStart"/>
      <w:r w:rsidRPr="00125FAF">
        <w:rPr>
          <w:rFonts w:ascii="Times New Roman" w:eastAsia="Times New Roman" w:hAnsi="Times New Roman" w:cs="Times New Roman"/>
          <w:color w:val="000000"/>
          <w:sz w:val="24"/>
          <w:szCs w:val="24"/>
          <w:lang w:eastAsia="ru-RU"/>
        </w:rPr>
        <w:t>investiţiile</w:t>
      </w:r>
      <w:proofErr w:type="spellEnd"/>
      <w:r w:rsidRPr="00125FAF">
        <w:rPr>
          <w:rFonts w:ascii="Times New Roman" w:eastAsia="Times New Roman" w:hAnsi="Times New Roman" w:cs="Times New Roman"/>
          <w:color w:val="000000"/>
          <w:sz w:val="24"/>
          <w:szCs w:val="24"/>
          <w:lang w:eastAsia="ru-RU"/>
        </w:rPr>
        <w:t xml:space="preserve"> necesare pentru dezvoltarea durabilă a sectorului, conform </w:t>
      </w:r>
      <w:proofErr w:type="spellStart"/>
      <w:r w:rsidRPr="00125FAF">
        <w:rPr>
          <w:rFonts w:ascii="Times New Roman" w:eastAsia="Times New Roman" w:hAnsi="Times New Roman" w:cs="Times New Roman"/>
          <w:color w:val="000000"/>
          <w:sz w:val="24"/>
          <w:szCs w:val="24"/>
          <w:lang w:eastAsia="ru-RU"/>
        </w:rPr>
        <w:t>priorităţilor</w:t>
      </w:r>
      <w:proofErr w:type="spellEnd"/>
      <w:r w:rsidRPr="00125FAF">
        <w:rPr>
          <w:rFonts w:ascii="Times New Roman" w:eastAsia="Times New Roman" w:hAnsi="Times New Roman" w:cs="Times New Roman"/>
          <w:color w:val="000000"/>
          <w:sz w:val="24"/>
          <w:szCs w:val="24"/>
          <w:lang w:eastAsia="ru-RU"/>
        </w:rPr>
        <w:t xml:space="preserve"> </w:t>
      </w:r>
      <w:proofErr w:type="spellStart"/>
      <w:r w:rsidRPr="00125FAF">
        <w:rPr>
          <w:rFonts w:ascii="Times New Roman" w:eastAsia="Times New Roman" w:hAnsi="Times New Roman" w:cs="Times New Roman"/>
          <w:color w:val="000000"/>
          <w:sz w:val="24"/>
          <w:szCs w:val="24"/>
          <w:lang w:eastAsia="ru-RU"/>
        </w:rPr>
        <w:t>şi</w:t>
      </w:r>
      <w:proofErr w:type="spellEnd"/>
      <w:r w:rsidRPr="00125FAF">
        <w:rPr>
          <w:rFonts w:ascii="Times New Roman" w:eastAsia="Times New Roman" w:hAnsi="Times New Roman" w:cs="Times New Roman"/>
          <w:color w:val="000000"/>
          <w:sz w:val="24"/>
          <w:szCs w:val="24"/>
          <w:lang w:eastAsia="ru-RU"/>
        </w:rPr>
        <w:t xml:space="preserve"> ritmului accesibil pentru societate.</w:t>
      </w:r>
    </w:p>
    <w:p w14:paraId="396D8FC1" w14:textId="47D4D9C3" w:rsidR="001A28B2" w:rsidRPr="00125FAF" w:rsidRDefault="00871A19" w:rsidP="001A28B2">
      <w:pPr>
        <w:spacing w:after="0" w:line="240" w:lineRule="auto"/>
        <w:ind w:firstLine="720"/>
        <w:jc w:val="both"/>
        <w:rPr>
          <w:rFonts w:ascii="Times New Roman" w:eastAsia="Times New Roman" w:hAnsi="Times New Roman" w:cs="Times New Roman"/>
          <w:sz w:val="24"/>
          <w:szCs w:val="24"/>
          <w:highlight w:val="yellow"/>
          <w:lang w:eastAsia="ru-RU"/>
        </w:rPr>
      </w:pPr>
      <w:r w:rsidRPr="00125FAF">
        <w:rPr>
          <w:rFonts w:ascii="Times New Roman" w:eastAsia="Times New Roman" w:hAnsi="Times New Roman" w:cs="Times New Roman"/>
          <w:sz w:val="24"/>
          <w:szCs w:val="24"/>
          <w:lang w:eastAsia="ru-RU"/>
        </w:rPr>
        <w:t xml:space="preserve">Astfel, </w:t>
      </w:r>
      <w:r w:rsidR="001A28B2" w:rsidRPr="00125FAF">
        <w:rPr>
          <w:rFonts w:ascii="Times New Roman" w:eastAsia="Times New Roman" w:hAnsi="Times New Roman" w:cs="Times New Roman"/>
          <w:sz w:val="24"/>
          <w:szCs w:val="24"/>
          <w:lang w:eastAsia="ru-RU"/>
        </w:rPr>
        <w:t xml:space="preserve">în </w:t>
      </w:r>
      <w:r w:rsidRPr="00125FAF">
        <w:rPr>
          <w:rFonts w:ascii="Times New Roman" w:eastAsia="Times New Roman" w:hAnsi="Times New Roman" w:cs="Times New Roman"/>
          <w:sz w:val="24"/>
          <w:szCs w:val="24"/>
          <w:lang w:eastAsia="ru-RU"/>
        </w:rPr>
        <w:t xml:space="preserve">luna </w:t>
      </w:r>
      <w:r w:rsidR="001A28B2" w:rsidRPr="00125FAF">
        <w:rPr>
          <w:rFonts w:ascii="Times New Roman" w:eastAsia="Times New Roman" w:hAnsi="Times New Roman" w:cs="Times New Roman"/>
          <w:sz w:val="24"/>
          <w:szCs w:val="24"/>
          <w:lang w:eastAsia="ru-RU"/>
        </w:rPr>
        <w:t>iunie 2020 a fost ratificat de către Parlament</w:t>
      </w:r>
      <w:r w:rsidRPr="00125FAF">
        <w:rPr>
          <w:rFonts w:ascii="Times New Roman" w:eastAsia="Times New Roman" w:hAnsi="Times New Roman" w:cs="Times New Roman"/>
          <w:sz w:val="24"/>
          <w:szCs w:val="24"/>
          <w:lang w:eastAsia="ru-RU"/>
        </w:rPr>
        <w:t>ul Republicii Moldova</w:t>
      </w:r>
      <w:r w:rsidR="001A28B2" w:rsidRPr="00125FAF">
        <w:rPr>
          <w:rFonts w:ascii="Times New Roman" w:eastAsia="Times New Roman" w:hAnsi="Times New Roman" w:cs="Times New Roman"/>
          <w:sz w:val="24"/>
          <w:szCs w:val="24"/>
          <w:lang w:eastAsia="ru-RU"/>
        </w:rPr>
        <w:t xml:space="preserve"> Contractul de finanțare dintre Republica</w:t>
      </w:r>
      <w:r w:rsidR="00B566C6" w:rsidRPr="00125FAF">
        <w:rPr>
          <w:rFonts w:ascii="Times New Roman" w:eastAsia="Times New Roman" w:hAnsi="Times New Roman" w:cs="Times New Roman"/>
          <w:sz w:val="24"/>
          <w:szCs w:val="24"/>
          <w:lang w:eastAsia="ru-RU"/>
        </w:rPr>
        <w:t xml:space="preserve"> </w:t>
      </w:r>
      <w:r w:rsidR="001A28B2" w:rsidRPr="00125FAF">
        <w:rPr>
          <w:rFonts w:ascii="Times New Roman" w:eastAsia="Times New Roman" w:hAnsi="Times New Roman" w:cs="Times New Roman"/>
          <w:sz w:val="24"/>
          <w:szCs w:val="24"/>
          <w:lang w:eastAsia="ru-RU"/>
        </w:rPr>
        <w:t>Moldova și Banca Europeană de Investiții privind implementarea Proiectului „Deșeuri solide în Republica Moldova”, în mărime de 25 milioane euro</w:t>
      </w:r>
      <w:r w:rsidRPr="00125FAF">
        <w:rPr>
          <w:rFonts w:ascii="Times New Roman" w:eastAsia="Times New Roman" w:hAnsi="Times New Roman" w:cs="Times New Roman"/>
          <w:sz w:val="24"/>
          <w:szCs w:val="24"/>
          <w:lang w:eastAsia="ru-RU"/>
        </w:rPr>
        <w:t>, iar prin A</w:t>
      </w:r>
      <w:r w:rsidR="001A28B2" w:rsidRPr="00125FAF">
        <w:rPr>
          <w:rFonts w:ascii="Times New Roman" w:eastAsia="Times New Roman" w:hAnsi="Times New Roman" w:cs="Times New Roman"/>
          <w:sz w:val="24"/>
          <w:szCs w:val="24"/>
          <w:lang w:eastAsia="ru-RU"/>
        </w:rPr>
        <w:t>cord</w:t>
      </w:r>
      <w:r w:rsidRPr="00125FAF">
        <w:rPr>
          <w:rFonts w:ascii="Times New Roman" w:eastAsia="Times New Roman" w:hAnsi="Times New Roman" w:cs="Times New Roman"/>
          <w:sz w:val="24"/>
          <w:szCs w:val="24"/>
          <w:lang w:eastAsia="ru-RU"/>
        </w:rPr>
        <w:t>ul</w:t>
      </w:r>
      <w:r w:rsidR="001A28B2" w:rsidRPr="00125FAF">
        <w:rPr>
          <w:rFonts w:ascii="Times New Roman" w:eastAsia="Times New Roman" w:hAnsi="Times New Roman" w:cs="Times New Roman"/>
          <w:sz w:val="24"/>
          <w:szCs w:val="24"/>
          <w:lang w:eastAsia="ru-RU"/>
        </w:rPr>
        <w:t xml:space="preserve"> semnat la data de 18 octombrie 2019</w:t>
      </w:r>
      <w:r w:rsidR="00B566C6" w:rsidRPr="00125FAF">
        <w:rPr>
          <w:rFonts w:ascii="Times New Roman" w:eastAsia="Times New Roman" w:hAnsi="Times New Roman" w:cs="Times New Roman"/>
          <w:sz w:val="24"/>
          <w:szCs w:val="24"/>
          <w:lang w:eastAsia="ru-RU"/>
        </w:rPr>
        <w:t xml:space="preserve"> </w:t>
      </w:r>
      <w:r w:rsidR="001A28B2" w:rsidRPr="00125FAF">
        <w:rPr>
          <w:rFonts w:ascii="Times New Roman" w:eastAsia="Times New Roman" w:hAnsi="Times New Roman" w:cs="Times New Roman"/>
          <w:sz w:val="24"/>
          <w:szCs w:val="24"/>
          <w:lang w:eastAsia="ru-RU"/>
        </w:rPr>
        <w:t>între Banca Europeană de Investiții</w:t>
      </w:r>
      <w:r w:rsidR="00B566C6" w:rsidRPr="00125FAF">
        <w:rPr>
          <w:rFonts w:ascii="Times New Roman" w:eastAsia="Times New Roman" w:hAnsi="Times New Roman" w:cs="Times New Roman"/>
          <w:sz w:val="24"/>
          <w:szCs w:val="24"/>
          <w:lang w:eastAsia="ru-RU"/>
        </w:rPr>
        <w:t xml:space="preserve"> </w:t>
      </w:r>
      <w:r w:rsidR="001A28B2" w:rsidRPr="00125FAF">
        <w:rPr>
          <w:rFonts w:ascii="Times New Roman" w:eastAsia="Times New Roman" w:hAnsi="Times New Roman" w:cs="Times New Roman"/>
          <w:sz w:val="24"/>
          <w:szCs w:val="24"/>
          <w:lang w:eastAsia="ru-RU"/>
        </w:rPr>
        <w:t>și Guvernul Republicii Moldova va fi acordat</w:t>
      </w:r>
      <w:r w:rsidR="00B566C6" w:rsidRPr="00125FAF">
        <w:rPr>
          <w:rFonts w:ascii="Times New Roman" w:eastAsia="Times New Roman" w:hAnsi="Times New Roman" w:cs="Times New Roman"/>
          <w:sz w:val="24"/>
          <w:szCs w:val="24"/>
          <w:lang w:eastAsia="ru-RU"/>
        </w:rPr>
        <w:t xml:space="preserve"> </w:t>
      </w:r>
      <w:r w:rsidR="001A28B2" w:rsidRPr="00125FAF">
        <w:rPr>
          <w:rFonts w:ascii="Times New Roman" w:eastAsia="Times New Roman" w:hAnsi="Times New Roman" w:cs="Times New Roman"/>
          <w:sz w:val="24"/>
          <w:szCs w:val="24"/>
          <w:lang w:eastAsia="ru-RU"/>
        </w:rPr>
        <w:t>un împrumut de</w:t>
      </w:r>
      <w:r w:rsidR="00B566C6" w:rsidRPr="00125FAF">
        <w:rPr>
          <w:rFonts w:ascii="Times New Roman" w:eastAsia="Times New Roman" w:hAnsi="Times New Roman" w:cs="Times New Roman"/>
          <w:sz w:val="24"/>
          <w:szCs w:val="24"/>
          <w:lang w:eastAsia="ru-RU"/>
        </w:rPr>
        <w:t xml:space="preserve"> </w:t>
      </w:r>
      <w:r w:rsidR="001A28B2" w:rsidRPr="00125FAF">
        <w:rPr>
          <w:rFonts w:ascii="Times New Roman" w:eastAsia="Times New Roman" w:hAnsi="Times New Roman" w:cs="Times New Roman"/>
          <w:sz w:val="24"/>
          <w:szCs w:val="24"/>
          <w:lang w:eastAsia="ru-RU"/>
        </w:rPr>
        <w:t>100 milioane de euro pentru îmbunătățirea serviciilor de gestionare a deșeurilor solide în țară. Proiectele</w:t>
      </w:r>
      <w:r w:rsidRPr="00125FAF">
        <w:rPr>
          <w:rFonts w:ascii="Times New Roman" w:eastAsia="Times New Roman" w:hAnsi="Times New Roman" w:cs="Times New Roman"/>
          <w:sz w:val="24"/>
          <w:szCs w:val="24"/>
          <w:lang w:eastAsia="ru-RU"/>
        </w:rPr>
        <w:t xml:space="preserve"> respective, urmate a fi semnate,</w:t>
      </w:r>
      <w:r w:rsidR="001A28B2" w:rsidRPr="00125FAF">
        <w:rPr>
          <w:rFonts w:ascii="Times New Roman" w:eastAsia="Times New Roman" w:hAnsi="Times New Roman" w:cs="Times New Roman"/>
          <w:sz w:val="24"/>
          <w:szCs w:val="24"/>
          <w:lang w:eastAsia="ru-RU"/>
        </w:rPr>
        <w:t xml:space="preserve"> vor avea drept obiectiv reducerea impactului negativ asupra mediului și sănătății oamenilor, prin modernizarea sistemelor de colectare a deșeurilor și colect</w:t>
      </w:r>
      <w:r w:rsidRPr="00125FAF">
        <w:rPr>
          <w:rFonts w:ascii="Times New Roman" w:eastAsia="Times New Roman" w:hAnsi="Times New Roman" w:cs="Times New Roman"/>
          <w:sz w:val="24"/>
          <w:szCs w:val="24"/>
          <w:lang w:eastAsia="ru-RU"/>
        </w:rPr>
        <w:t>are</w:t>
      </w:r>
      <w:r w:rsidR="001A28B2" w:rsidRPr="00125FAF">
        <w:rPr>
          <w:rFonts w:ascii="Times New Roman" w:eastAsia="Times New Roman" w:hAnsi="Times New Roman" w:cs="Times New Roman"/>
          <w:sz w:val="24"/>
          <w:szCs w:val="24"/>
          <w:lang w:eastAsia="ru-RU"/>
        </w:rPr>
        <w:t xml:space="preserve"> separat</w:t>
      </w:r>
      <w:r w:rsidRPr="00125FAF">
        <w:rPr>
          <w:rFonts w:ascii="Times New Roman" w:eastAsia="Times New Roman" w:hAnsi="Times New Roman" w:cs="Times New Roman"/>
          <w:sz w:val="24"/>
          <w:szCs w:val="24"/>
          <w:lang w:eastAsia="ru-RU"/>
        </w:rPr>
        <w:t>ă</w:t>
      </w:r>
      <w:r w:rsidR="001A28B2" w:rsidRPr="00125FAF">
        <w:rPr>
          <w:rFonts w:ascii="Times New Roman" w:eastAsia="Times New Roman" w:hAnsi="Times New Roman" w:cs="Times New Roman"/>
          <w:sz w:val="24"/>
          <w:szCs w:val="24"/>
          <w:lang w:eastAsia="ru-RU"/>
        </w:rPr>
        <w:t xml:space="preserve"> a materialelor reciclabile și a deșeurilor biologice, precum și reabilit</w:t>
      </w:r>
      <w:r w:rsidRPr="00125FAF">
        <w:rPr>
          <w:rFonts w:ascii="Times New Roman" w:eastAsia="Times New Roman" w:hAnsi="Times New Roman" w:cs="Times New Roman"/>
          <w:sz w:val="24"/>
          <w:szCs w:val="24"/>
          <w:lang w:eastAsia="ru-RU"/>
        </w:rPr>
        <w:t>are</w:t>
      </w:r>
      <w:r w:rsidR="001A28B2" w:rsidRPr="00125FAF">
        <w:rPr>
          <w:rFonts w:ascii="Times New Roman" w:eastAsia="Times New Roman" w:hAnsi="Times New Roman" w:cs="Times New Roman"/>
          <w:sz w:val="24"/>
          <w:szCs w:val="24"/>
          <w:lang w:eastAsia="ru-RU"/>
        </w:rPr>
        <w:t xml:space="preserve"> a gropilor de gunoi sau închiderea acestora. Depozitele regionale de deșeuri vor fi dotate cu sisteme de recuperare a biogazului, care vor contribui la reducerea emisiilor </w:t>
      </w:r>
      <w:r w:rsidRPr="00125FAF">
        <w:rPr>
          <w:rFonts w:ascii="Times New Roman" w:eastAsia="Times New Roman" w:hAnsi="Times New Roman" w:cs="Times New Roman"/>
          <w:sz w:val="24"/>
          <w:szCs w:val="24"/>
          <w:lang w:eastAsia="ru-RU"/>
        </w:rPr>
        <w:t xml:space="preserve">de </w:t>
      </w:r>
      <w:r w:rsidR="001A28B2" w:rsidRPr="00125FAF">
        <w:rPr>
          <w:rFonts w:ascii="Times New Roman" w:eastAsia="Times New Roman" w:hAnsi="Times New Roman" w:cs="Times New Roman"/>
          <w:sz w:val="24"/>
          <w:szCs w:val="24"/>
          <w:lang w:eastAsia="ru-RU"/>
        </w:rPr>
        <w:t>GES.</w:t>
      </w:r>
    </w:p>
    <w:p w14:paraId="5476D9DE" w14:textId="24E37092" w:rsidR="006364B2" w:rsidRPr="00125FAF" w:rsidRDefault="006364B2" w:rsidP="001F2F2D">
      <w:pPr>
        <w:spacing w:after="120" w:line="240" w:lineRule="auto"/>
        <w:ind w:firstLine="720"/>
        <w:jc w:val="both"/>
        <w:rPr>
          <w:rFonts w:ascii="Times New Roman" w:eastAsia="Times New Roman" w:hAnsi="Times New Roman" w:cs="Times New Roman"/>
          <w:sz w:val="24"/>
          <w:szCs w:val="24"/>
          <w:lang w:eastAsia="ru-RU"/>
        </w:rPr>
      </w:pPr>
      <w:r w:rsidRPr="00125FAF">
        <w:rPr>
          <w:rFonts w:ascii="Times New Roman" w:eastAsia="Times New Roman" w:hAnsi="Times New Roman" w:cs="Times New Roman"/>
          <w:color w:val="000000"/>
          <w:sz w:val="24"/>
          <w:szCs w:val="24"/>
          <w:lang w:eastAsia="ru-RU"/>
        </w:rPr>
        <w:t xml:space="preserve">Conform Strategiei de gestionare a </w:t>
      </w:r>
      <w:proofErr w:type="spellStart"/>
      <w:r w:rsidRPr="00125FAF">
        <w:rPr>
          <w:rFonts w:ascii="Times New Roman" w:eastAsia="Times New Roman" w:hAnsi="Times New Roman" w:cs="Times New Roman"/>
          <w:color w:val="000000"/>
          <w:sz w:val="24"/>
          <w:szCs w:val="24"/>
          <w:lang w:eastAsia="ru-RU"/>
        </w:rPr>
        <w:t>deşeurilor</w:t>
      </w:r>
      <w:proofErr w:type="spellEnd"/>
      <w:r w:rsidRPr="00125FAF">
        <w:rPr>
          <w:rFonts w:ascii="Times New Roman" w:eastAsia="Times New Roman" w:hAnsi="Times New Roman" w:cs="Times New Roman"/>
          <w:color w:val="000000"/>
          <w:sz w:val="24"/>
          <w:szCs w:val="24"/>
          <w:lang w:eastAsia="ru-RU"/>
        </w:rPr>
        <w:t xml:space="preserve">, </w:t>
      </w:r>
      <w:r w:rsidR="00F33164" w:rsidRPr="00125FAF">
        <w:rPr>
          <w:rFonts w:ascii="Times New Roman" w:eastAsia="Times New Roman" w:hAnsi="Times New Roman" w:cs="Times New Roman"/>
          <w:color w:val="000000"/>
          <w:sz w:val="24"/>
          <w:szCs w:val="24"/>
          <w:lang w:eastAsia="ru-RU"/>
        </w:rPr>
        <w:t xml:space="preserve">atingerea </w:t>
      </w:r>
      <w:r w:rsidRPr="00125FAF">
        <w:rPr>
          <w:rFonts w:ascii="Times New Roman" w:eastAsia="Times New Roman" w:hAnsi="Times New Roman" w:cs="Times New Roman"/>
          <w:color w:val="000000"/>
          <w:sz w:val="24"/>
          <w:szCs w:val="24"/>
          <w:lang w:eastAsia="ru-RU"/>
        </w:rPr>
        <w:t xml:space="preserve">obiectivelor </w:t>
      </w:r>
      <w:r w:rsidR="00F33164" w:rsidRPr="00125FAF">
        <w:rPr>
          <w:rFonts w:ascii="Times New Roman" w:eastAsia="Times New Roman" w:hAnsi="Times New Roman" w:cs="Times New Roman"/>
          <w:color w:val="000000"/>
          <w:sz w:val="24"/>
          <w:szCs w:val="24"/>
          <w:lang w:eastAsia="ru-RU"/>
        </w:rPr>
        <w:t xml:space="preserve">prestabilite </w:t>
      </w:r>
      <w:r w:rsidRPr="00125FAF">
        <w:rPr>
          <w:rFonts w:ascii="Times New Roman" w:eastAsia="Times New Roman" w:hAnsi="Times New Roman" w:cs="Times New Roman"/>
          <w:color w:val="000000"/>
          <w:sz w:val="24"/>
          <w:szCs w:val="24"/>
          <w:lang w:eastAsia="ru-RU"/>
        </w:rPr>
        <w:t>vor contribui la:</w:t>
      </w:r>
    </w:p>
    <w:p w14:paraId="6E90FB21" w14:textId="77777777" w:rsidR="006364B2" w:rsidRPr="00125FAF" w:rsidRDefault="006364B2" w:rsidP="006364B2">
      <w:pPr>
        <w:spacing w:after="0" w:line="240" w:lineRule="auto"/>
        <w:ind w:firstLine="720"/>
        <w:jc w:val="both"/>
        <w:rPr>
          <w:rFonts w:ascii="Times New Roman" w:eastAsia="Times New Roman" w:hAnsi="Times New Roman" w:cs="Times New Roman"/>
          <w:sz w:val="24"/>
          <w:szCs w:val="24"/>
          <w:lang w:eastAsia="ru-RU"/>
        </w:rPr>
      </w:pPr>
      <w:r w:rsidRPr="00125FAF">
        <w:rPr>
          <w:rFonts w:ascii="Times New Roman" w:eastAsia="Times New Roman" w:hAnsi="Times New Roman" w:cs="Times New Roman"/>
          <w:color w:val="000000"/>
          <w:sz w:val="24"/>
          <w:szCs w:val="24"/>
          <w:lang w:eastAsia="ru-RU"/>
        </w:rPr>
        <w:t xml:space="preserve">1) </w:t>
      </w:r>
      <w:proofErr w:type="spellStart"/>
      <w:r w:rsidRPr="00125FAF">
        <w:rPr>
          <w:rFonts w:ascii="Times New Roman" w:eastAsia="Times New Roman" w:hAnsi="Times New Roman" w:cs="Times New Roman"/>
          <w:color w:val="000000"/>
          <w:sz w:val="24"/>
          <w:szCs w:val="24"/>
          <w:lang w:eastAsia="ru-RU"/>
        </w:rPr>
        <w:t>creşterea</w:t>
      </w:r>
      <w:proofErr w:type="spellEnd"/>
      <w:r w:rsidRPr="00125FAF">
        <w:rPr>
          <w:rFonts w:ascii="Times New Roman" w:eastAsia="Times New Roman" w:hAnsi="Times New Roman" w:cs="Times New Roman"/>
          <w:color w:val="000000"/>
          <w:sz w:val="24"/>
          <w:szCs w:val="24"/>
          <w:lang w:eastAsia="ru-RU"/>
        </w:rPr>
        <w:t xml:space="preserve"> gradului de acoperire a serviciilor de colectare a </w:t>
      </w:r>
      <w:proofErr w:type="spellStart"/>
      <w:r w:rsidRPr="00125FAF">
        <w:rPr>
          <w:rFonts w:ascii="Times New Roman" w:eastAsia="Times New Roman" w:hAnsi="Times New Roman" w:cs="Times New Roman"/>
          <w:color w:val="000000"/>
          <w:sz w:val="24"/>
          <w:szCs w:val="24"/>
          <w:lang w:eastAsia="ru-RU"/>
        </w:rPr>
        <w:t>deşeurilor</w:t>
      </w:r>
      <w:proofErr w:type="spellEnd"/>
      <w:r w:rsidRPr="00125FAF">
        <w:rPr>
          <w:rFonts w:ascii="Times New Roman" w:eastAsia="Times New Roman" w:hAnsi="Times New Roman" w:cs="Times New Roman"/>
          <w:color w:val="000000"/>
          <w:sz w:val="24"/>
          <w:szCs w:val="24"/>
          <w:lang w:eastAsia="ru-RU"/>
        </w:rPr>
        <w:t xml:space="preserve"> pentru toate fluxurile de </w:t>
      </w:r>
      <w:proofErr w:type="spellStart"/>
      <w:r w:rsidRPr="00125FAF">
        <w:rPr>
          <w:rFonts w:ascii="Times New Roman" w:eastAsia="Times New Roman" w:hAnsi="Times New Roman" w:cs="Times New Roman"/>
          <w:color w:val="000000"/>
          <w:sz w:val="24"/>
          <w:szCs w:val="24"/>
          <w:lang w:eastAsia="ru-RU"/>
        </w:rPr>
        <w:t>deşeuri</w:t>
      </w:r>
      <w:proofErr w:type="spellEnd"/>
      <w:r w:rsidRPr="00125FAF">
        <w:rPr>
          <w:rFonts w:ascii="Times New Roman" w:eastAsia="Times New Roman" w:hAnsi="Times New Roman" w:cs="Times New Roman"/>
          <w:color w:val="000000"/>
          <w:sz w:val="24"/>
          <w:szCs w:val="24"/>
          <w:lang w:eastAsia="ru-RU"/>
        </w:rPr>
        <w:t>;</w:t>
      </w:r>
    </w:p>
    <w:p w14:paraId="4AFF06E4" w14:textId="77777777" w:rsidR="006364B2" w:rsidRPr="00125FAF" w:rsidRDefault="006364B2" w:rsidP="006364B2">
      <w:pPr>
        <w:spacing w:after="0" w:line="240" w:lineRule="auto"/>
        <w:ind w:firstLine="720"/>
        <w:jc w:val="both"/>
        <w:rPr>
          <w:rFonts w:ascii="Times New Roman" w:eastAsia="Times New Roman" w:hAnsi="Times New Roman" w:cs="Times New Roman"/>
          <w:sz w:val="24"/>
          <w:szCs w:val="24"/>
          <w:lang w:eastAsia="ru-RU"/>
        </w:rPr>
      </w:pPr>
      <w:r w:rsidRPr="00125FAF">
        <w:rPr>
          <w:rFonts w:ascii="Times New Roman" w:eastAsia="Times New Roman" w:hAnsi="Times New Roman" w:cs="Times New Roman"/>
          <w:color w:val="000000"/>
          <w:sz w:val="24"/>
          <w:szCs w:val="24"/>
          <w:lang w:eastAsia="ru-RU"/>
        </w:rPr>
        <w:t xml:space="preserve">2) reducerea </w:t>
      </w:r>
      <w:proofErr w:type="spellStart"/>
      <w:r w:rsidRPr="00125FAF">
        <w:rPr>
          <w:rFonts w:ascii="Times New Roman" w:eastAsia="Times New Roman" w:hAnsi="Times New Roman" w:cs="Times New Roman"/>
          <w:color w:val="000000"/>
          <w:sz w:val="24"/>
          <w:szCs w:val="24"/>
          <w:lang w:eastAsia="ru-RU"/>
        </w:rPr>
        <w:t>cantităţilor</w:t>
      </w:r>
      <w:proofErr w:type="spellEnd"/>
      <w:r w:rsidRPr="00125FAF">
        <w:rPr>
          <w:rFonts w:ascii="Times New Roman" w:eastAsia="Times New Roman" w:hAnsi="Times New Roman" w:cs="Times New Roman"/>
          <w:color w:val="000000"/>
          <w:sz w:val="24"/>
          <w:szCs w:val="24"/>
          <w:lang w:eastAsia="ru-RU"/>
        </w:rPr>
        <w:t xml:space="preserve"> de </w:t>
      </w:r>
      <w:proofErr w:type="spellStart"/>
      <w:r w:rsidRPr="00125FAF">
        <w:rPr>
          <w:rFonts w:ascii="Times New Roman" w:eastAsia="Times New Roman" w:hAnsi="Times New Roman" w:cs="Times New Roman"/>
          <w:color w:val="000000"/>
          <w:sz w:val="24"/>
          <w:szCs w:val="24"/>
          <w:lang w:eastAsia="ru-RU"/>
        </w:rPr>
        <w:t>deşeuri</w:t>
      </w:r>
      <w:proofErr w:type="spellEnd"/>
      <w:r w:rsidRPr="00125FAF">
        <w:rPr>
          <w:rFonts w:ascii="Times New Roman" w:eastAsia="Times New Roman" w:hAnsi="Times New Roman" w:cs="Times New Roman"/>
          <w:color w:val="000000"/>
          <w:sz w:val="24"/>
          <w:szCs w:val="24"/>
          <w:lang w:eastAsia="ru-RU"/>
        </w:rPr>
        <w:t xml:space="preserve"> depozitate la gropile de gunoi neconforme </w:t>
      </w:r>
      <w:proofErr w:type="spellStart"/>
      <w:r w:rsidRPr="00125FAF">
        <w:rPr>
          <w:rFonts w:ascii="Times New Roman" w:eastAsia="Times New Roman" w:hAnsi="Times New Roman" w:cs="Times New Roman"/>
          <w:color w:val="000000"/>
          <w:sz w:val="24"/>
          <w:szCs w:val="24"/>
          <w:lang w:eastAsia="ru-RU"/>
        </w:rPr>
        <w:t>cerinţelor</w:t>
      </w:r>
      <w:proofErr w:type="spellEnd"/>
      <w:r w:rsidRPr="00125FAF">
        <w:rPr>
          <w:rFonts w:ascii="Times New Roman" w:eastAsia="Times New Roman" w:hAnsi="Times New Roman" w:cs="Times New Roman"/>
          <w:color w:val="000000"/>
          <w:sz w:val="24"/>
          <w:szCs w:val="24"/>
          <w:lang w:eastAsia="ru-RU"/>
        </w:rPr>
        <w:t xml:space="preserve"> noi, aprobate prin cadrul legal aproximat la directivele Uniunii Europene, </w:t>
      </w:r>
      <w:proofErr w:type="spellStart"/>
      <w:r w:rsidRPr="00125FAF">
        <w:rPr>
          <w:rFonts w:ascii="Times New Roman" w:eastAsia="Times New Roman" w:hAnsi="Times New Roman" w:cs="Times New Roman"/>
          <w:color w:val="000000"/>
          <w:sz w:val="24"/>
          <w:szCs w:val="24"/>
          <w:lang w:eastAsia="ru-RU"/>
        </w:rPr>
        <w:t>şi</w:t>
      </w:r>
      <w:proofErr w:type="spellEnd"/>
      <w:r w:rsidRPr="00125FAF">
        <w:rPr>
          <w:rFonts w:ascii="Times New Roman" w:eastAsia="Times New Roman" w:hAnsi="Times New Roman" w:cs="Times New Roman"/>
          <w:color w:val="000000"/>
          <w:sz w:val="24"/>
          <w:szCs w:val="24"/>
          <w:lang w:eastAsia="ru-RU"/>
        </w:rPr>
        <w:t xml:space="preserve"> </w:t>
      </w:r>
      <w:proofErr w:type="spellStart"/>
      <w:r w:rsidRPr="00125FAF">
        <w:rPr>
          <w:rFonts w:ascii="Times New Roman" w:eastAsia="Times New Roman" w:hAnsi="Times New Roman" w:cs="Times New Roman"/>
          <w:color w:val="000000"/>
          <w:sz w:val="24"/>
          <w:szCs w:val="24"/>
          <w:lang w:eastAsia="ru-RU"/>
        </w:rPr>
        <w:t>curăţarea</w:t>
      </w:r>
      <w:proofErr w:type="spellEnd"/>
      <w:r w:rsidRPr="00125FAF">
        <w:rPr>
          <w:rFonts w:ascii="Times New Roman" w:eastAsia="Times New Roman" w:hAnsi="Times New Roman" w:cs="Times New Roman"/>
          <w:color w:val="000000"/>
          <w:sz w:val="24"/>
          <w:szCs w:val="24"/>
          <w:lang w:eastAsia="ru-RU"/>
        </w:rPr>
        <w:t xml:space="preserve"> terenurilor contaminate istoric;</w:t>
      </w:r>
    </w:p>
    <w:p w14:paraId="34B833DE" w14:textId="08E86DC2" w:rsidR="006364B2" w:rsidRPr="00125FAF" w:rsidRDefault="006364B2" w:rsidP="006364B2">
      <w:pPr>
        <w:spacing w:after="0" w:line="240" w:lineRule="auto"/>
        <w:ind w:firstLine="720"/>
        <w:jc w:val="both"/>
        <w:rPr>
          <w:rFonts w:ascii="Times New Roman" w:eastAsia="Times New Roman" w:hAnsi="Times New Roman" w:cs="Times New Roman"/>
          <w:sz w:val="24"/>
          <w:szCs w:val="24"/>
          <w:lang w:eastAsia="ru-RU"/>
        </w:rPr>
      </w:pPr>
      <w:r w:rsidRPr="00125FAF">
        <w:rPr>
          <w:rFonts w:ascii="Times New Roman" w:eastAsia="Times New Roman" w:hAnsi="Times New Roman" w:cs="Times New Roman"/>
          <w:color w:val="000000"/>
          <w:sz w:val="24"/>
          <w:szCs w:val="24"/>
          <w:lang w:eastAsia="ru-RU"/>
        </w:rPr>
        <w:t xml:space="preserve">3) </w:t>
      </w:r>
      <w:proofErr w:type="spellStart"/>
      <w:r w:rsidRPr="00125FAF">
        <w:rPr>
          <w:rFonts w:ascii="Times New Roman" w:eastAsia="Times New Roman" w:hAnsi="Times New Roman" w:cs="Times New Roman"/>
          <w:color w:val="000000"/>
          <w:sz w:val="24"/>
          <w:szCs w:val="24"/>
          <w:lang w:eastAsia="ru-RU"/>
        </w:rPr>
        <w:t>creşterea</w:t>
      </w:r>
      <w:proofErr w:type="spellEnd"/>
      <w:r w:rsidRPr="00125FAF">
        <w:rPr>
          <w:rFonts w:ascii="Times New Roman" w:eastAsia="Times New Roman" w:hAnsi="Times New Roman" w:cs="Times New Roman"/>
          <w:color w:val="000000"/>
          <w:sz w:val="24"/>
          <w:szCs w:val="24"/>
          <w:lang w:eastAsia="ru-RU"/>
        </w:rPr>
        <w:t xml:space="preserve"> gradului de colectare </w:t>
      </w:r>
      <w:proofErr w:type="spellStart"/>
      <w:r w:rsidRPr="00125FAF">
        <w:rPr>
          <w:rFonts w:ascii="Times New Roman" w:eastAsia="Times New Roman" w:hAnsi="Times New Roman" w:cs="Times New Roman"/>
          <w:color w:val="000000"/>
          <w:sz w:val="24"/>
          <w:szCs w:val="24"/>
          <w:lang w:eastAsia="ru-RU"/>
        </w:rPr>
        <w:t>şi</w:t>
      </w:r>
      <w:proofErr w:type="spellEnd"/>
      <w:r w:rsidRPr="00125FAF">
        <w:rPr>
          <w:rFonts w:ascii="Times New Roman" w:eastAsia="Times New Roman" w:hAnsi="Times New Roman" w:cs="Times New Roman"/>
          <w:color w:val="000000"/>
          <w:sz w:val="24"/>
          <w:szCs w:val="24"/>
          <w:lang w:eastAsia="ru-RU"/>
        </w:rPr>
        <w:t xml:space="preserve"> utilizare a materiei prime secundare prin promovarea</w:t>
      </w:r>
      <w:r w:rsidR="00B566C6" w:rsidRPr="00125FAF">
        <w:rPr>
          <w:rFonts w:ascii="Times New Roman" w:eastAsia="Times New Roman" w:hAnsi="Times New Roman" w:cs="Times New Roman"/>
          <w:color w:val="000000"/>
          <w:sz w:val="24"/>
          <w:szCs w:val="24"/>
          <w:lang w:eastAsia="ru-RU"/>
        </w:rPr>
        <w:t xml:space="preserve"> </w:t>
      </w:r>
      <w:r w:rsidRPr="00125FAF">
        <w:rPr>
          <w:rFonts w:ascii="Times New Roman" w:eastAsia="Times New Roman" w:hAnsi="Times New Roman" w:cs="Times New Roman"/>
          <w:color w:val="000000"/>
          <w:sz w:val="24"/>
          <w:szCs w:val="24"/>
          <w:lang w:eastAsia="ru-RU"/>
        </w:rPr>
        <w:t>reciclării</w:t>
      </w:r>
      <w:r w:rsidR="00B566C6" w:rsidRPr="00125FAF">
        <w:rPr>
          <w:rFonts w:ascii="Times New Roman" w:eastAsia="Times New Roman" w:hAnsi="Times New Roman" w:cs="Times New Roman"/>
          <w:color w:val="000000"/>
          <w:sz w:val="24"/>
          <w:szCs w:val="24"/>
          <w:lang w:eastAsia="ru-RU"/>
        </w:rPr>
        <w:t xml:space="preserve"> </w:t>
      </w:r>
      <w:proofErr w:type="spellStart"/>
      <w:r w:rsidRPr="00125FAF">
        <w:rPr>
          <w:rFonts w:ascii="Times New Roman" w:eastAsia="Times New Roman" w:hAnsi="Times New Roman" w:cs="Times New Roman"/>
          <w:color w:val="000000"/>
          <w:sz w:val="24"/>
          <w:szCs w:val="24"/>
          <w:lang w:eastAsia="ru-RU"/>
        </w:rPr>
        <w:t>şi</w:t>
      </w:r>
      <w:proofErr w:type="spellEnd"/>
      <w:r w:rsidRPr="00125FAF">
        <w:rPr>
          <w:rFonts w:ascii="Times New Roman" w:eastAsia="Times New Roman" w:hAnsi="Times New Roman" w:cs="Times New Roman"/>
          <w:color w:val="000000"/>
          <w:sz w:val="24"/>
          <w:szCs w:val="24"/>
          <w:lang w:eastAsia="ru-RU"/>
        </w:rPr>
        <w:t xml:space="preserve"> reutilizării </w:t>
      </w:r>
      <w:proofErr w:type="spellStart"/>
      <w:r w:rsidRPr="00125FAF">
        <w:rPr>
          <w:rFonts w:ascii="Times New Roman" w:eastAsia="Times New Roman" w:hAnsi="Times New Roman" w:cs="Times New Roman"/>
          <w:color w:val="000000"/>
          <w:sz w:val="24"/>
          <w:szCs w:val="24"/>
          <w:lang w:eastAsia="ru-RU"/>
        </w:rPr>
        <w:t>deşeurilor</w:t>
      </w:r>
      <w:proofErr w:type="spellEnd"/>
      <w:r w:rsidRPr="00125FAF">
        <w:rPr>
          <w:rFonts w:ascii="Times New Roman" w:eastAsia="Times New Roman" w:hAnsi="Times New Roman" w:cs="Times New Roman"/>
          <w:color w:val="000000"/>
          <w:sz w:val="24"/>
          <w:szCs w:val="24"/>
          <w:lang w:eastAsia="ru-RU"/>
        </w:rPr>
        <w:t>;</w:t>
      </w:r>
    </w:p>
    <w:p w14:paraId="19AA99BA" w14:textId="77777777" w:rsidR="006364B2" w:rsidRPr="00125FAF" w:rsidRDefault="006364B2" w:rsidP="006364B2">
      <w:pPr>
        <w:spacing w:after="0" w:line="240" w:lineRule="auto"/>
        <w:ind w:firstLine="720"/>
        <w:jc w:val="both"/>
        <w:rPr>
          <w:rFonts w:ascii="Times New Roman" w:eastAsia="Times New Roman" w:hAnsi="Times New Roman" w:cs="Times New Roman"/>
          <w:sz w:val="24"/>
          <w:szCs w:val="24"/>
          <w:lang w:eastAsia="ru-RU"/>
        </w:rPr>
      </w:pPr>
      <w:r w:rsidRPr="00125FAF">
        <w:rPr>
          <w:rFonts w:ascii="Times New Roman" w:eastAsia="Times New Roman" w:hAnsi="Times New Roman" w:cs="Times New Roman"/>
          <w:color w:val="000000"/>
          <w:sz w:val="24"/>
          <w:szCs w:val="24"/>
          <w:lang w:eastAsia="ru-RU"/>
        </w:rPr>
        <w:t xml:space="preserve">4) extinderea duratei de operare a depozitelor de </w:t>
      </w:r>
      <w:proofErr w:type="spellStart"/>
      <w:r w:rsidRPr="00125FAF">
        <w:rPr>
          <w:rFonts w:ascii="Times New Roman" w:eastAsia="Times New Roman" w:hAnsi="Times New Roman" w:cs="Times New Roman"/>
          <w:color w:val="000000"/>
          <w:sz w:val="24"/>
          <w:szCs w:val="24"/>
          <w:lang w:eastAsia="ru-RU"/>
        </w:rPr>
        <w:t>deşeuri</w:t>
      </w:r>
      <w:proofErr w:type="spellEnd"/>
      <w:r w:rsidRPr="00125FAF">
        <w:rPr>
          <w:rFonts w:ascii="Times New Roman" w:eastAsia="Times New Roman" w:hAnsi="Times New Roman" w:cs="Times New Roman"/>
          <w:color w:val="000000"/>
          <w:sz w:val="24"/>
          <w:szCs w:val="24"/>
          <w:lang w:eastAsia="ru-RU"/>
        </w:rPr>
        <w:t xml:space="preserve"> menajere solide </w:t>
      </w:r>
      <w:proofErr w:type="spellStart"/>
      <w:r w:rsidRPr="00125FAF">
        <w:rPr>
          <w:rFonts w:ascii="Times New Roman" w:eastAsia="Times New Roman" w:hAnsi="Times New Roman" w:cs="Times New Roman"/>
          <w:color w:val="000000"/>
          <w:sz w:val="24"/>
          <w:szCs w:val="24"/>
          <w:lang w:eastAsia="ru-RU"/>
        </w:rPr>
        <w:t>şi</w:t>
      </w:r>
      <w:proofErr w:type="spellEnd"/>
      <w:r w:rsidRPr="00125FAF">
        <w:rPr>
          <w:rFonts w:ascii="Times New Roman" w:eastAsia="Times New Roman" w:hAnsi="Times New Roman" w:cs="Times New Roman"/>
          <w:color w:val="000000"/>
          <w:sz w:val="24"/>
          <w:szCs w:val="24"/>
          <w:lang w:eastAsia="ru-RU"/>
        </w:rPr>
        <w:t xml:space="preserve"> dotarea depozitelor cu sisteme de captare a emisiilor </w:t>
      </w:r>
      <w:proofErr w:type="spellStart"/>
      <w:r w:rsidRPr="00125FAF">
        <w:rPr>
          <w:rFonts w:ascii="Times New Roman" w:eastAsia="Times New Roman" w:hAnsi="Times New Roman" w:cs="Times New Roman"/>
          <w:color w:val="000000"/>
          <w:sz w:val="24"/>
          <w:szCs w:val="24"/>
          <w:lang w:eastAsia="ru-RU"/>
        </w:rPr>
        <w:t>şi</w:t>
      </w:r>
      <w:proofErr w:type="spellEnd"/>
      <w:r w:rsidRPr="00125FAF">
        <w:rPr>
          <w:rFonts w:ascii="Times New Roman" w:eastAsia="Times New Roman" w:hAnsi="Times New Roman" w:cs="Times New Roman"/>
          <w:color w:val="000000"/>
          <w:sz w:val="24"/>
          <w:szCs w:val="24"/>
          <w:lang w:eastAsia="ru-RU"/>
        </w:rPr>
        <w:t xml:space="preserve"> tratare a levigatului, astfel </w:t>
      </w:r>
      <w:proofErr w:type="spellStart"/>
      <w:r w:rsidRPr="00125FAF">
        <w:rPr>
          <w:rFonts w:ascii="Times New Roman" w:eastAsia="Times New Roman" w:hAnsi="Times New Roman" w:cs="Times New Roman"/>
          <w:color w:val="000000"/>
          <w:sz w:val="24"/>
          <w:szCs w:val="24"/>
          <w:lang w:eastAsia="ru-RU"/>
        </w:rPr>
        <w:t>limitîndu</w:t>
      </w:r>
      <w:proofErr w:type="spellEnd"/>
      <w:r w:rsidRPr="00125FAF">
        <w:rPr>
          <w:rFonts w:ascii="Times New Roman" w:eastAsia="Times New Roman" w:hAnsi="Times New Roman" w:cs="Times New Roman"/>
          <w:color w:val="000000"/>
          <w:sz w:val="24"/>
          <w:szCs w:val="24"/>
          <w:lang w:eastAsia="ru-RU"/>
        </w:rPr>
        <w:t xml:space="preserve">-se impactul emisiilor de gaze cu efect de seră, al </w:t>
      </w:r>
      <w:proofErr w:type="spellStart"/>
      <w:r w:rsidRPr="00125FAF">
        <w:rPr>
          <w:rFonts w:ascii="Times New Roman" w:eastAsia="Times New Roman" w:hAnsi="Times New Roman" w:cs="Times New Roman"/>
          <w:color w:val="000000"/>
          <w:sz w:val="24"/>
          <w:szCs w:val="24"/>
          <w:lang w:eastAsia="ru-RU"/>
        </w:rPr>
        <w:t>poluanţilor</w:t>
      </w:r>
      <w:proofErr w:type="spellEnd"/>
      <w:r w:rsidRPr="00125FAF">
        <w:rPr>
          <w:rFonts w:ascii="Times New Roman" w:eastAsia="Times New Roman" w:hAnsi="Times New Roman" w:cs="Times New Roman"/>
          <w:color w:val="000000"/>
          <w:sz w:val="24"/>
          <w:szCs w:val="24"/>
          <w:lang w:eastAsia="ru-RU"/>
        </w:rPr>
        <w:t xml:space="preserve"> organici </w:t>
      </w:r>
      <w:proofErr w:type="spellStart"/>
      <w:r w:rsidRPr="00125FAF">
        <w:rPr>
          <w:rFonts w:ascii="Times New Roman" w:eastAsia="Times New Roman" w:hAnsi="Times New Roman" w:cs="Times New Roman"/>
          <w:color w:val="000000"/>
          <w:sz w:val="24"/>
          <w:szCs w:val="24"/>
          <w:lang w:eastAsia="ru-RU"/>
        </w:rPr>
        <w:t>persistenţi</w:t>
      </w:r>
      <w:proofErr w:type="spellEnd"/>
      <w:r w:rsidRPr="00125FAF">
        <w:rPr>
          <w:rFonts w:ascii="Times New Roman" w:eastAsia="Times New Roman" w:hAnsi="Times New Roman" w:cs="Times New Roman"/>
          <w:color w:val="000000"/>
          <w:sz w:val="24"/>
          <w:szCs w:val="24"/>
          <w:lang w:eastAsia="ru-RU"/>
        </w:rPr>
        <w:t xml:space="preserve"> </w:t>
      </w:r>
      <w:proofErr w:type="spellStart"/>
      <w:r w:rsidRPr="00125FAF">
        <w:rPr>
          <w:rFonts w:ascii="Times New Roman" w:eastAsia="Times New Roman" w:hAnsi="Times New Roman" w:cs="Times New Roman"/>
          <w:color w:val="000000"/>
          <w:sz w:val="24"/>
          <w:szCs w:val="24"/>
          <w:lang w:eastAsia="ru-RU"/>
        </w:rPr>
        <w:t>şi</w:t>
      </w:r>
      <w:proofErr w:type="spellEnd"/>
      <w:r w:rsidRPr="00125FAF">
        <w:rPr>
          <w:rFonts w:ascii="Times New Roman" w:eastAsia="Times New Roman" w:hAnsi="Times New Roman" w:cs="Times New Roman"/>
          <w:color w:val="000000"/>
          <w:sz w:val="24"/>
          <w:szCs w:val="24"/>
          <w:lang w:eastAsia="ru-RU"/>
        </w:rPr>
        <w:t xml:space="preserve"> al levigatului care provine din aceste depozite de </w:t>
      </w:r>
      <w:proofErr w:type="spellStart"/>
      <w:r w:rsidRPr="00125FAF">
        <w:rPr>
          <w:rFonts w:ascii="Times New Roman" w:eastAsia="Times New Roman" w:hAnsi="Times New Roman" w:cs="Times New Roman"/>
          <w:color w:val="000000"/>
          <w:sz w:val="24"/>
          <w:szCs w:val="24"/>
          <w:lang w:eastAsia="ru-RU"/>
        </w:rPr>
        <w:t>deşeuri</w:t>
      </w:r>
      <w:proofErr w:type="spellEnd"/>
      <w:r w:rsidRPr="00125FAF">
        <w:rPr>
          <w:rFonts w:ascii="Times New Roman" w:eastAsia="Times New Roman" w:hAnsi="Times New Roman" w:cs="Times New Roman"/>
          <w:color w:val="000000"/>
          <w:sz w:val="24"/>
          <w:szCs w:val="24"/>
          <w:lang w:eastAsia="ru-RU"/>
        </w:rPr>
        <w:t>;</w:t>
      </w:r>
    </w:p>
    <w:p w14:paraId="40D83263" w14:textId="77777777" w:rsidR="006364B2" w:rsidRPr="00125FAF" w:rsidRDefault="006364B2" w:rsidP="006364B2">
      <w:pPr>
        <w:spacing w:after="0" w:line="240" w:lineRule="auto"/>
        <w:ind w:firstLine="720"/>
        <w:jc w:val="both"/>
        <w:rPr>
          <w:rFonts w:ascii="Times New Roman" w:eastAsia="Times New Roman" w:hAnsi="Times New Roman" w:cs="Times New Roman"/>
          <w:sz w:val="24"/>
          <w:szCs w:val="24"/>
          <w:lang w:eastAsia="ru-RU"/>
        </w:rPr>
      </w:pPr>
      <w:r w:rsidRPr="00125FAF">
        <w:rPr>
          <w:rFonts w:ascii="Times New Roman" w:eastAsia="Times New Roman" w:hAnsi="Times New Roman" w:cs="Times New Roman"/>
          <w:sz w:val="24"/>
          <w:szCs w:val="24"/>
          <w:lang w:eastAsia="ru-RU"/>
        </w:rPr>
        <w:t xml:space="preserve">5) reducerea </w:t>
      </w:r>
      <w:proofErr w:type="spellStart"/>
      <w:r w:rsidRPr="00125FAF">
        <w:rPr>
          <w:rFonts w:ascii="Times New Roman" w:eastAsia="Times New Roman" w:hAnsi="Times New Roman" w:cs="Times New Roman"/>
          <w:sz w:val="24"/>
          <w:szCs w:val="24"/>
          <w:lang w:eastAsia="ru-RU"/>
        </w:rPr>
        <w:t>cantităţilor</w:t>
      </w:r>
      <w:proofErr w:type="spellEnd"/>
      <w:r w:rsidRPr="00125FAF">
        <w:rPr>
          <w:rFonts w:ascii="Times New Roman" w:eastAsia="Times New Roman" w:hAnsi="Times New Roman" w:cs="Times New Roman"/>
          <w:sz w:val="24"/>
          <w:szCs w:val="24"/>
          <w:lang w:eastAsia="ru-RU"/>
        </w:rPr>
        <w:t xml:space="preserve"> de </w:t>
      </w:r>
      <w:proofErr w:type="spellStart"/>
      <w:r w:rsidRPr="00125FAF">
        <w:rPr>
          <w:rFonts w:ascii="Times New Roman" w:eastAsia="Times New Roman" w:hAnsi="Times New Roman" w:cs="Times New Roman"/>
          <w:sz w:val="24"/>
          <w:szCs w:val="24"/>
          <w:lang w:eastAsia="ru-RU"/>
        </w:rPr>
        <w:t>deşeuri</w:t>
      </w:r>
      <w:proofErr w:type="spellEnd"/>
      <w:r w:rsidRPr="00125FAF">
        <w:rPr>
          <w:rFonts w:ascii="Times New Roman" w:eastAsia="Times New Roman" w:hAnsi="Times New Roman" w:cs="Times New Roman"/>
          <w:sz w:val="24"/>
          <w:szCs w:val="24"/>
          <w:lang w:eastAsia="ru-RU"/>
        </w:rPr>
        <w:t xml:space="preserve"> menajere biodegradabile netratate, depozitate pe terenuri;</w:t>
      </w:r>
    </w:p>
    <w:p w14:paraId="4111D42F" w14:textId="77777777" w:rsidR="006364B2" w:rsidRPr="00125FAF" w:rsidRDefault="006364B2" w:rsidP="006364B2">
      <w:pPr>
        <w:spacing w:after="0" w:line="240" w:lineRule="auto"/>
        <w:ind w:firstLine="720"/>
        <w:jc w:val="both"/>
        <w:rPr>
          <w:rFonts w:ascii="Times New Roman" w:eastAsia="Times New Roman" w:hAnsi="Times New Roman" w:cs="Times New Roman"/>
          <w:sz w:val="24"/>
          <w:szCs w:val="24"/>
          <w:lang w:eastAsia="ru-RU"/>
        </w:rPr>
      </w:pPr>
      <w:r w:rsidRPr="00125FAF">
        <w:rPr>
          <w:rFonts w:ascii="Times New Roman" w:eastAsia="Times New Roman" w:hAnsi="Times New Roman" w:cs="Times New Roman"/>
          <w:sz w:val="24"/>
          <w:szCs w:val="24"/>
          <w:lang w:eastAsia="ru-RU"/>
        </w:rPr>
        <w:t xml:space="preserve">6) dezvoltarea noilor </w:t>
      </w:r>
      <w:proofErr w:type="spellStart"/>
      <w:r w:rsidRPr="00125FAF">
        <w:rPr>
          <w:rFonts w:ascii="Times New Roman" w:eastAsia="Times New Roman" w:hAnsi="Times New Roman" w:cs="Times New Roman"/>
          <w:sz w:val="24"/>
          <w:szCs w:val="24"/>
          <w:lang w:eastAsia="ru-RU"/>
        </w:rPr>
        <w:t>capacităţi</w:t>
      </w:r>
      <w:proofErr w:type="spellEnd"/>
      <w:r w:rsidRPr="00125FAF">
        <w:rPr>
          <w:rFonts w:ascii="Times New Roman" w:eastAsia="Times New Roman" w:hAnsi="Times New Roman" w:cs="Times New Roman"/>
          <w:sz w:val="24"/>
          <w:szCs w:val="24"/>
          <w:lang w:eastAsia="ru-RU"/>
        </w:rPr>
        <w:t xml:space="preserve"> de prelucrare, tratare </w:t>
      </w:r>
      <w:proofErr w:type="spellStart"/>
      <w:r w:rsidRPr="00125FAF">
        <w:rPr>
          <w:rFonts w:ascii="Times New Roman" w:eastAsia="Times New Roman" w:hAnsi="Times New Roman" w:cs="Times New Roman"/>
          <w:sz w:val="24"/>
          <w:szCs w:val="24"/>
          <w:lang w:eastAsia="ru-RU"/>
        </w:rPr>
        <w:t>şi</w:t>
      </w:r>
      <w:proofErr w:type="spellEnd"/>
      <w:r w:rsidRPr="00125FAF">
        <w:rPr>
          <w:rFonts w:ascii="Times New Roman" w:eastAsia="Times New Roman" w:hAnsi="Times New Roman" w:cs="Times New Roman"/>
          <w:sz w:val="24"/>
          <w:szCs w:val="24"/>
          <w:lang w:eastAsia="ru-RU"/>
        </w:rPr>
        <w:t xml:space="preserve"> a </w:t>
      </w:r>
      <w:proofErr w:type="spellStart"/>
      <w:r w:rsidRPr="00125FAF">
        <w:rPr>
          <w:rFonts w:ascii="Times New Roman" w:eastAsia="Times New Roman" w:hAnsi="Times New Roman" w:cs="Times New Roman"/>
          <w:sz w:val="24"/>
          <w:szCs w:val="24"/>
          <w:lang w:eastAsia="ru-RU"/>
        </w:rPr>
        <w:t>instalaţiilor</w:t>
      </w:r>
      <w:proofErr w:type="spellEnd"/>
      <w:r w:rsidRPr="00125FAF">
        <w:rPr>
          <w:rFonts w:ascii="Times New Roman" w:eastAsia="Times New Roman" w:hAnsi="Times New Roman" w:cs="Times New Roman"/>
          <w:sz w:val="24"/>
          <w:szCs w:val="24"/>
          <w:lang w:eastAsia="ru-RU"/>
        </w:rPr>
        <w:t xml:space="preserve"> de eliminare a </w:t>
      </w:r>
      <w:proofErr w:type="spellStart"/>
      <w:r w:rsidRPr="00125FAF">
        <w:rPr>
          <w:rFonts w:ascii="Times New Roman" w:eastAsia="Times New Roman" w:hAnsi="Times New Roman" w:cs="Times New Roman"/>
          <w:sz w:val="24"/>
          <w:szCs w:val="24"/>
          <w:lang w:eastAsia="ru-RU"/>
        </w:rPr>
        <w:t>deşeurilor</w:t>
      </w:r>
      <w:proofErr w:type="spellEnd"/>
      <w:r w:rsidRPr="00125FAF">
        <w:rPr>
          <w:rFonts w:ascii="Times New Roman" w:eastAsia="Times New Roman" w:hAnsi="Times New Roman" w:cs="Times New Roman"/>
          <w:sz w:val="24"/>
          <w:szCs w:val="24"/>
          <w:lang w:eastAsia="ru-RU"/>
        </w:rPr>
        <w:t xml:space="preserve"> care corespund standardelor </w:t>
      </w:r>
      <w:proofErr w:type="spellStart"/>
      <w:r w:rsidRPr="00125FAF">
        <w:rPr>
          <w:rFonts w:ascii="Times New Roman" w:eastAsia="Times New Roman" w:hAnsi="Times New Roman" w:cs="Times New Roman"/>
          <w:sz w:val="24"/>
          <w:szCs w:val="24"/>
          <w:lang w:eastAsia="ru-RU"/>
        </w:rPr>
        <w:t>internaţionale</w:t>
      </w:r>
      <w:proofErr w:type="spellEnd"/>
      <w:r w:rsidRPr="00125FAF">
        <w:rPr>
          <w:rFonts w:ascii="Times New Roman" w:eastAsia="Times New Roman" w:hAnsi="Times New Roman" w:cs="Times New Roman"/>
          <w:sz w:val="24"/>
          <w:szCs w:val="24"/>
          <w:lang w:eastAsia="ru-RU"/>
        </w:rPr>
        <w:t>.</w:t>
      </w:r>
    </w:p>
    <w:p w14:paraId="6405EF35" w14:textId="77777777" w:rsidR="006364B2" w:rsidRPr="00125FAF" w:rsidRDefault="006364B2" w:rsidP="001F2F2D">
      <w:pPr>
        <w:spacing w:before="120" w:after="120" w:line="240" w:lineRule="auto"/>
        <w:ind w:firstLine="720"/>
        <w:jc w:val="both"/>
        <w:rPr>
          <w:rFonts w:ascii="Times New Roman" w:eastAsia="Times New Roman" w:hAnsi="Times New Roman" w:cs="Times New Roman"/>
          <w:b/>
          <w:sz w:val="24"/>
          <w:szCs w:val="24"/>
          <w:shd w:val="clear" w:color="auto" w:fill="FFFFFF"/>
          <w:lang w:eastAsia="ru-RU"/>
        </w:rPr>
      </w:pPr>
      <w:r w:rsidRPr="00125FAF">
        <w:rPr>
          <w:rFonts w:ascii="Times New Roman" w:eastAsia="Times New Roman" w:hAnsi="Times New Roman" w:cs="Times New Roman"/>
          <w:b/>
          <w:sz w:val="24"/>
          <w:szCs w:val="24"/>
          <w:shd w:val="clear" w:color="auto" w:fill="FFFFFF"/>
          <w:lang w:eastAsia="ru-RU"/>
        </w:rPr>
        <w:t xml:space="preserve">Problemele </w:t>
      </w:r>
      <w:proofErr w:type="spellStart"/>
      <w:r w:rsidRPr="00125FAF">
        <w:rPr>
          <w:rFonts w:ascii="Times New Roman" w:eastAsia="Times New Roman" w:hAnsi="Times New Roman" w:cs="Times New Roman"/>
          <w:b/>
          <w:sz w:val="24"/>
          <w:szCs w:val="24"/>
          <w:shd w:val="clear" w:color="auto" w:fill="FFFFFF"/>
          <w:lang w:eastAsia="ru-RU"/>
        </w:rPr>
        <w:t>evidenţiate</w:t>
      </w:r>
      <w:proofErr w:type="spellEnd"/>
      <w:r w:rsidRPr="00125FAF">
        <w:rPr>
          <w:rFonts w:ascii="Times New Roman" w:eastAsia="Times New Roman" w:hAnsi="Times New Roman" w:cs="Times New Roman"/>
          <w:b/>
          <w:sz w:val="24"/>
          <w:szCs w:val="24"/>
          <w:shd w:val="clear" w:color="auto" w:fill="FFFFFF"/>
          <w:lang w:eastAsia="ru-RU"/>
        </w:rPr>
        <w:t>:</w:t>
      </w:r>
    </w:p>
    <w:p w14:paraId="52B69FD1" w14:textId="33D1D6D3" w:rsidR="006364B2" w:rsidRPr="00125FAF" w:rsidRDefault="006364B2" w:rsidP="003E24C5">
      <w:pPr>
        <w:pStyle w:val="Listparagraf"/>
        <w:numPr>
          <w:ilvl w:val="0"/>
          <w:numId w:val="17"/>
        </w:numPr>
        <w:tabs>
          <w:tab w:val="left" w:pos="1134"/>
        </w:tabs>
        <w:spacing w:after="0" w:line="240" w:lineRule="auto"/>
        <w:jc w:val="both"/>
        <w:rPr>
          <w:rFonts w:ascii="Times New Roman" w:eastAsia="Times New Roman" w:hAnsi="Times New Roman" w:cs="Times New Roman"/>
          <w:sz w:val="24"/>
          <w:szCs w:val="24"/>
          <w:shd w:val="clear" w:color="auto" w:fill="FFFFFF"/>
          <w:lang w:eastAsia="ru-RU"/>
        </w:rPr>
      </w:pPr>
      <w:r w:rsidRPr="00125FAF">
        <w:rPr>
          <w:rFonts w:ascii="Times New Roman" w:eastAsia="Times New Roman" w:hAnsi="Times New Roman" w:cs="Times New Roman"/>
          <w:sz w:val="24"/>
          <w:szCs w:val="24"/>
          <w:shd w:val="clear" w:color="auto" w:fill="FFFFFF"/>
          <w:lang w:eastAsia="ru-RU"/>
        </w:rPr>
        <w:t xml:space="preserve">Lipsa reglementărilor normative </w:t>
      </w:r>
      <w:proofErr w:type="spellStart"/>
      <w:r w:rsidRPr="00125FAF">
        <w:rPr>
          <w:rFonts w:ascii="Times New Roman" w:eastAsia="Times New Roman" w:hAnsi="Times New Roman" w:cs="Times New Roman"/>
          <w:sz w:val="24"/>
          <w:szCs w:val="24"/>
          <w:shd w:val="clear" w:color="auto" w:fill="FFFFFF"/>
          <w:lang w:eastAsia="ru-RU"/>
        </w:rPr>
        <w:t>şi</w:t>
      </w:r>
      <w:proofErr w:type="spellEnd"/>
      <w:r w:rsidRPr="00125FAF">
        <w:rPr>
          <w:rFonts w:ascii="Times New Roman" w:eastAsia="Times New Roman" w:hAnsi="Times New Roman" w:cs="Times New Roman"/>
          <w:sz w:val="24"/>
          <w:szCs w:val="24"/>
          <w:shd w:val="clear" w:color="auto" w:fill="FFFFFF"/>
          <w:lang w:eastAsia="ru-RU"/>
        </w:rPr>
        <w:t xml:space="preserve"> tehnice în domeniul </w:t>
      </w:r>
      <w:r w:rsidR="00F33164" w:rsidRPr="00125FAF">
        <w:rPr>
          <w:rFonts w:ascii="Times New Roman" w:eastAsia="Times New Roman" w:hAnsi="Times New Roman" w:cs="Times New Roman"/>
          <w:sz w:val="24"/>
          <w:szCs w:val="24"/>
          <w:shd w:val="clear" w:color="auto" w:fill="FFFFFF"/>
          <w:lang w:eastAsia="ru-RU"/>
        </w:rPr>
        <w:t xml:space="preserve">tratării </w:t>
      </w:r>
      <w:proofErr w:type="spellStart"/>
      <w:r w:rsidRPr="00125FAF">
        <w:rPr>
          <w:rFonts w:ascii="Times New Roman" w:eastAsia="Times New Roman" w:hAnsi="Times New Roman" w:cs="Times New Roman"/>
          <w:sz w:val="24"/>
          <w:szCs w:val="24"/>
          <w:shd w:val="clear" w:color="auto" w:fill="FFFFFF"/>
          <w:lang w:eastAsia="ru-RU"/>
        </w:rPr>
        <w:t>deşeurilor</w:t>
      </w:r>
      <w:proofErr w:type="spellEnd"/>
      <w:r w:rsidRPr="00125FAF">
        <w:rPr>
          <w:rFonts w:ascii="Times New Roman" w:eastAsia="Times New Roman" w:hAnsi="Times New Roman" w:cs="Times New Roman"/>
          <w:sz w:val="24"/>
          <w:szCs w:val="24"/>
          <w:shd w:val="clear" w:color="auto" w:fill="FFFFFF"/>
          <w:lang w:eastAsia="ru-RU"/>
        </w:rPr>
        <w:t xml:space="preserve"> adecvate </w:t>
      </w:r>
      <w:proofErr w:type="spellStart"/>
      <w:r w:rsidRPr="00125FAF">
        <w:rPr>
          <w:rFonts w:ascii="Times New Roman" w:eastAsia="Times New Roman" w:hAnsi="Times New Roman" w:cs="Times New Roman"/>
          <w:sz w:val="24"/>
          <w:szCs w:val="24"/>
          <w:shd w:val="clear" w:color="auto" w:fill="FFFFFF"/>
          <w:lang w:eastAsia="ru-RU"/>
        </w:rPr>
        <w:t>situaţiei</w:t>
      </w:r>
      <w:proofErr w:type="spellEnd"/>
      <w:r w:rsidRPr="00125FAF">
        <w:rPr>
          <w:rFonts w:ascii="Times New Roman" w:eastAsia="Times New Roman" w:hAnsi="Times New Roman" w:cs="Times New Roman"/>
          <w:sz w:val="24"/>
          <w:szCs w:val="24"/>
          <w:shd w:val="clear" w:color="auto" w:fill="FFFFFF"/>
          <w:lang w:eastAsia="ru-RU"/>
        </w:rPr>
        <w:t xml:space="preserve"> actuale </w:t>
      </w:r>
      <w:proofErr w:type="spellStart"/>
      <w:r w:rsidRPr="00125FAF">
        <w:rPr>
          <w:rFonts w:ascii="Times New Roman" w:eastAsia="Times New Roman" w:hAnsi="Times New Roman" w:cs="Times New Roman"/>
          <w:sz w:val="24"/>
          <w:szCs w:val="24"/>
          <w:shd w:val="clear" w:color="auto" w:fill="FFFFFF"/>
          <w:lang w:eastAsia="ru-RU"/>
        </w:rPr>
        <w:t>şi</w:t>
      </w:r>
      <w:proofErr w:type="spellEnd"/>
      <w:r w:rsidRPr="00125FAF">
        <w:rPr>
          <w:rFonts w:ascii="Times New Roman" w:eastAsia="Times New Roman" w:hAnsi="Times New Roman" w:cs="Times New Roman"/>
          <w:sz w:val="24"/>
          <w:szCs w:val="24"/>
          <w:shd w:val="clear" w:color="auto" w:fill="FFFFFF"/>
          <w:lang w:eastAsia="ru-RU"/>
        </w:rPr>
        <w:t xml:space="preserve"> </w:t>
      </w:r>
      <w:proofErr w:type="spellStart"/>
      <w:r w:rsidRPr="00125FAF">
        <w:rPr>
          <w:rFonts w:ascii="Times New Roman" w:eastAsia="Times New Roman" w:hAnsi="Times New Roman" w:cs="Times New Roman"/>
          <w:sz w:val="24"/>
          <w:szCs w:val="24"/>
          <w:shd w:val="clear" w:color="auto" w:fill="FFFFFF"/>
          <w:lang w:eastAsia="ru-RU"/>
        </w:rPr>
        <w:t>cerinţelor</w:t>
      </w:r>
      <w:proofErr w:type="spellEnd"/>
      <w:r w:rsidRPr="00125FAF">
        <w:rPr>
          <w:rFonts w:ascii="Times New Roman" w:eastAsia="Times New Roman" w:hAnsi="Times New Roman" w:cs="Times New Roman"/>
          <w:sz w:val="24"/>
          <w:szCs w:val="24"/>
          <w:shd w:val="clear" w:color="auto" w:fill="FFFFFF"/>
          <w:lang w:eastAsia="ru-RU"/>
        </w:rPr>
        <w:t xml:space="preserve"> </w:t>
      </w:r>
      <w:proofErr w:type="spellStart"/>
      <w:r w:rsidRPr="00125FAF">
        <w:rPr>
          <w:rFonts w:ascii="Times New Roman" w:eastAsia="Times New Roman" w:hAnsi="Times New Roman" w:cs="Times New Roman"/>
          <w:sz w:val="24"/>
          <w:szCs w:val="24"/>
          <w:shd w:val="clear" w:color="auto" w:fill="FFFFFF"/>
          <w:lang w:eastAsia="ru-RU"/>
        </w:rPr>
        <w:t>legislaţiei</w:t>
      </w:r>
      <w:proofErr w:type="spellEnd"/>
      <w:r w:rsidRPr="00125FAF">
        <w:rPr>
          <w:rFonts w:ascii="Times New Roman" w:eastAsia="Times New Roman" w:hAnsi="Times New Roman" w:cs="Times New Roman"/>
          <w:sz w:val="24"/>
          <w:szCs w:val="24"/>
          <w:shd w:val="clear" w:color="auto" w:fill="FFFFFF"/>
          <w:lang w:eastAsia="ru-RU"/>
        </w:rPr>
        <w:t xml:space="preserve"> UE.</w:t>
      </w:r>
    </w:p>
    <w:p w14:paraId="431DED6B" w14:textId="6B5131DE" w:rsidR="006364B2" w:rsidRPr="00125FAF" w:rsidRDefault="006364B2" w:rsidP="003E24C5">
      <w:pPr>
        <w:pStyle w:val="Listparagraf"/>
        <w:numPr>
          <w:ilvl w:val="0"/>
          <w:numId w:val="17"/>
        </w:numPr>
        <w:tabs>
          <w:tab w:val="left" w:pos="1134"/>
        </w:tabs>
        <w:spacing w:after="0" w:line="240" w:lineRule="auto"/>
        <w:jc w:val="both"/>
        <w:rPr>
          <w:rFonts w:ascii="Times New Roman" w:eastAsia="Times New Roman" w:hAnsi="Times New Roman" w:cs="Times New Roman"/>
          <w:sz w:val="24"/>
          <w:szCs w:val="24"/>
          <w:shd w:val="clear" w:color="auto" w:fill="FFFFFF"/>
          <w:lang w:eastAsia="ru-RU"/>
        </w:rPr>
      </w:pPr>
      <w:r w:rsidRPr="00125FAF">
        <w:rPr>
          <w:rFonts w:ascii="Times New Roman" w:eastAsia="Times New Roman" w:hAnsi="Times New Roman" w:cs="Times New Roman"/>
          <w:sz w:val="24"/>
          <w:szCs w:val="24"/>
          <w:shd w:val="clear" w:color="auto" w:fill="FFFFFF"/>
          <w:lang w:eastAsia="ru-RU"/>
        </w:rPr>
        <w:t xml:space="preserve">Lipsa infrastructurii de planificare, organizare </w:t>
      </w:r>
      <w:proofErr w:type="spellStart"/>
      <w:r w:rsidRPr="00125FAF">
        <w:rPr>
          <w:rFonts w:ascii="Times New Roman" w:eastAsia="Times New Roman" w:hAnsi="Times New Roman" w:cs="Times New Roman"/>
          <w:sz w:val="24"/>
          <w:szCs w:val="24"/>
          <w:shd w:val="clear" w:color="auto" w:fill="FFFFFF"/>
          <w:lang w:eastAsia="ru-RU"/>
        </w:rPr>
        <w:t>şi</w:t>
      </w:r>
      <w:proofErr w:type="spellEnd"/>
      <w:r w:rsidRPr="00125FAF">
        <w:rPr>
          <w:rFonts w:ascii="Times New Roman" w:eastAsia="Times New Roman" w:hAnsi="Times New Roman" w:cs="Times New Roman"/>
          <w:sz w:val="24"/>
          <w:szCs w:val="24"/>
          <w:shd w:val="clear" w:color="auto" w:fill="FFFFFF"/>
          <w:lang w:eastAsia="ru-RU"/>
        </w:rPr>
        <w:t xml:space="preserve"> implementare a unui sistem de management integrat al </w:t>
      </w:r>
      <w:proofErr w:type="spellStart"/>
      <w:r w:rsidRPr="00125FAF">
        <w:rPr>
          <w:rFonts w:ascii="Times New Roman" w:eastAsia="Times New Roman" w:hAnsi="Times New Roman" w:cs="Times New Roman"/>
          <w:sz w:val="24"/>
          <w:szCs w:val="24"/>
          <w:shd w:val="clear" w:color="auto" w:fill="FFFFFF"/>
          <w:lang w:eastAsia="ru-RU"/>
        </w:rPr>
        <w:t>deşeurilor</w:t>
      </w:r>
      <w:proofErr w:type="spellEnd"/>
      <w:r w:rsidRPr="00125FAF">
        <w:rPr>
          <w:rFonts w:ascii="Times New Roman" w:eastAsia="Times New Roman" w:hAnsi="Times New Roman" w:cs="Times New Roman"/>
          <w:sz w:val="24"/>
          <w:szCs w:val="24"/>
          <w:shd w:val="clear" w:color="auto" w:fill="FFFFFF"/>
          <w:lang w:eastAsia="ru-RU"/>
        </w:rPr>
        <w:t xml:space="preserve"> la toate nivelurile.</w:t>
      </w:r>
    </w:p>
    <w:p w14:paraId="6E29E933" w14:textId="0A2244B5" w:rsidR="006364B2" w:rsidRPr="00125FAF" w:rsidRDefault="006364B2" w:rsidP="003E24C5">
      <w:pPr>
        <w:pStyle w:val="Listparagraf"/>
        <w:numPr>
          <w:ilvl w:val="0"/>
          <w:numId w:val="17"/>
        </w:numPr>
        <w:tabs>
          <w:tab w:val="left" w:pos="1134"/>
        </w:tabs>
        <w:spacing w:after="0" w:line="240" w:lineRule="auto"/>
        <w:jc w:val="both"/>
        <w:rPr>
          <w:rFonts w:ascii="Times New Roman" w:eastAsia="Times New Roman" w:hAnsi="Times New Roman" w:cs="Times New Roman"/>
          <w:sz w:val="24"/>
          <w:szCs w:val="24"/>
          <w:shd w:val="clear" w:color="auto" w:fill="FFFFFF"/>
          <w:lang w:eastAsia="ru-RU"/>
        </w:rPr>
      </w:pPr>
      <w:r w:rsidRPr="00125FAF">
        <w:rPr>
          <w:rFonts w:ascii="Times New Roman" w:eastAsia="Times New Roman" w:hAnsi="Times New Roman" w:cs="Times New Roman"/>
          <w:sz w:val="24"/>
          <w:szCs w:val="24"/>
          <w:shd w:val="clear" w:color="auto" w:fill="FFFFFF"/>
          <w:lang w:eastAsia="ru-RU"/>
        </w:rPr>
        <w:t xml:space="preserve">Servicii specializate în colectarea </w:t>
      </w:r>
      <w:proofErr w:type="spellStart"/>
      <w:r w:rsidRPr="00125FAF">
        <w:rPr>
          <w:rFonts w:ascii="Times New Roman" w:eastAsia="Times New Roman" w:hAnsi="Times New Roman" w:cs="Times New Roman"/>
          <w:sz w:val="24"/>
          <w:szCs w:val="24"/>
          <w:shd w:val="clear" w:color="auto" w:fill="FFFFFF"/>
          <w:lang w:eastAsia="ru-RU"/>
        </w:rPr>
        <w:t>şi</w:t>
      </w:r>
      <w:proofErr w:type="spellEnd"/>
      <w:r w:rsidRPr="00125FAF">
        <w:rPr>
          <w:rFonts w:ascii="Times New Roman" w:eastAsia="Times New Roman" w:hAnsi="Times New Roman" w:cs="Times New Roman"/>
          <w:sz w:val="24"/>
          <w:szCs w:val="24"/>
          <w:shd w:val="clear" w:color="auto" w:fill="FFFFFF"/>
          <w:lang w:eastAsia="ru-RU"/>
        </w:rPr>
        <w:t xml:space="preserve"> eliminarea </w:t>
      </w:r>
      <w:proofErr w:type="spellStart"/>
      <w:r w:rsidRPr="00125FAF">
        <w:rPr>
          <w:rFonts w:ascii="Times New Roman" w:eastAsia="Times New Roman" w:hAnsi="Times New Roman" w:cs="Times New Roman"/>
          <w:sz w:val="24"/>
          <w:szCs w:val="24"/>
          <w:shd w:val="clear" w:color="auto" w:fill="FFFFFF"/>
          <w:lang w:eastAsia="ru-RU"/>
        </w:rPr>
        <w:t>deşeurilor</w:t>
      </w:r>
      <w:proofErr w:type="spellEnd"/>
      <w:r w:rsidRPr="00125FAF">
        <w:rPr>
          <w:rFonts w:ascii="Times New Roman" w:eastAsia="Times New Roman" w:hAnsi="Times New Roman" w:cs="Times New Roman"/>
          <w:sz w:val="24"/>
          <w:szCs w:val="24"/>
          <w:shd w:val="clear" w:color="auto" w:fill="FFFFFF"/>
          <w:lang w:eastAsia="ru-RU"/>
        </w:rPr>
        <w:t xml:space="preserve"> există în municipii </w:t>
      </w:r>
      <w:proofErr w:type="spellStart"/>
      <w:r w:rsidRPr="00125FAF">
        <w:rPr>
          <w:rFonts w:ascii="Times New Roman" w:eastAsia="Times New Roman" w:hAnsi="Times New Roman" w:cs="Times New Roman"/>
          <w:sz w:val="24"/>
          <w:szCs w:val="24"/>
          <w:shd w:val="clear" w:color="auto" w:fill="FFFFFF"/>
          <w:lang w:eastAsia="ru-RU"/>
        </w:rPr>
        <w:t>şi</w:t>
      </w:r>
      <w:proofErr w:type="spellEnd"/>
      <w:r w:rsidRPr="00125FAF">
        <w:rPr>
          <w:rFonts w:ascii="Times New Roman" w:eastAsia="Times New Roman" w:hAnsi="Times New Roman" w:cs="Times New Roman"/>
          <w:sz w:val="24"/>
          <w:szCs w:val="24"/>
          <w:shd w:val="clear" w:color="auto" w:fill="FFFFFF"/>
          <w:lang w:eastAsia="ru-RU"/>
        </w:rPr>
        <w:t xml:space="preserve"> în toate centrele raionale. Gestionarea acestora se</w:t>
      </w:r>
      <w:r w:rsidR="00B566C6" w:rsidRPr="00125FAF">
        <w:rPr>
          <w:rFonts w:ascii="Times New Roman" w:eastAsia="Times New Roman" w:hAnsi="Times New Roman" w:cs="Times New Roman"/>
          <w:sz w:val="24"/>
          <w:szCs w:val="24"/>
          <w:shd w:val="clear" w:color="auto" w:fill="FFFFFF"/>
          <w:lang w:eastAsia="ru-RU"/>
        </w:rPr>
        <w:t xml:space="preserve"> </w:t>
      </w:r>
      <w:r w:rsidRPr="00125FAF">
        <w:rPr>
          <w:rFonts w:ascii="Times New Roman" w:eastAsia="Times New Roman" w:hAnsi="Times New Roman" w:cs="Times New Roman"/>
          <w:sz w:val="24"/>
          <w:szCs w:val="24"/>
          <w:shd w:val="clear" w:color="auto" w:fill="FFFFFF"/>
          <w:lang w:eastAsia="ru-RU"/>
        </w:rPr>
        <w:t>realizează în mod organizat prin intermediul serviciilor oferite</w:t>
      </w:r>
      <w:r w:rsidR="00B566C6" w:rsidRPr="00125FAF">
        <w:rPr>
          <w:rFonts w:ascii="Times New Roman" w:eastAsia="Times New Roman" w:hAnsi="Times New Roman" w:cs="Times New Roman"/>
          <w:sz w:val="24"/>
          <w:szCs w:val="24"/>
          <w:shd w:val="clear" w:color="auto" w:fill="FFFFFF"/>
          <w:lang w:eastAsia="ru-RU"/>
        </w:rPr>
        <w:t xml:space="preserve"> </w:t>
      </w:r>
      <w:r w:rsidRPr="00125FAF">
        <w:rPr>
          <w:rFonts w:ascii="Times New Roman" w:eastAsia="Times New Roman" w:hAnsi="Times New Roman" w:cs="Times New Roman"/>
          <w:sz w:val="24"/>
          <w:szCs w:val="24"/>
          <w:shd w:val="clear" w:color="auto" w:fill="FFFFFF"/>
          <w:lang w:eastAsia="ru-RU"/>
        </w:rPr>
        <w:t xml:space="preserve">în bază de contract. Acest sistem acoperă doar 60-90% din totalul generatorilor de </w:t>
      </w:r>
      <w:proofErr w:type="spellStart"/>
      <w:r w:rsidRPr="00125FAF">
        <w:rPr>
          <w:rFonts w:ascii="Times New Roman" w:eastAsia="Times New Roman" w:hAnsi="Times New Roman" w:cs="Times New Roman"/>
          <w:sz w:val="24"/>
          <w:szCs w:val="24"/>
          <w:shd w:val="clear" w:color="auto" w:fill="FFFFFF"/>
          <w:lang w:eastAsia="ru-RU"/>
        </w:rPr>
        <w:t>deşeuri</w:t>
      </w:r>
      <w:proofErr w:type="spellEnd"/>
      <w:r w:rsidRPr="00125FAF">
        <w:rPr>
          <w:rFonts w:ascii="Times New Roman" w:eastAsia="Times New Roman" w:hAnsi="Times New Roman" w:cs="Times New Roman"/>
          <w:sz w:val="24"/>
          <w:szCs w:val="24"/>
          <w:shd w:val="clear" w:color="auto" w:fill="FFFFFF"/>
          <w:lang w:eastAsia="ru-RU"/>
        </w:rPr>
        <w:t xml:space="preserve"> menajere din mediul urban.</w:t>
      </w:r>
    </w:p>
    <w:p w14:paraId="58E446BB" w14:textId="1C2FDB6B" w:rsidR="006364B2" w:rsidRPr="00125FAF" w:rsidRDefault="006364B2" w:rsidP="003E24C5">
      <w:pPr>
        <w:pStyle w:val="Listparagraf"/>
        <w:numPr>
          <w:ilvl w:val="0"/>
          <w:numId w:val="17"/>
        </w:numPr>
        <w:tabs>
          <w:tab w:val="left" w:pos="1134"/>
        </w:tabs>
        <w:spacing w:after="0" w:line="240" w:lineRule="auto"/>
        <w:jc w:val="both"/>
        <w:rPr>
          <w:rFonts w:ascii="Times New Roman" w:eastAsia="Times New Roman" w:hAnsi="Times New Roman" w:cs="Times New Roman"/>
          <w:sz w:val="24"/>
          <w:szCs w:val="24"/>
          <w:shd w:val="clear" w:color="auto" w:fill="FFFFFF"/>
          <w:lang w:eastAsia="ru-RU"/>
        </w:rPr>
      </w:pPr>
      <w:r w:rsidRPr="00125FAF">
        <w:rPr>
          <w:rFonts w:ascii="Times New Roman" w:eastAsia="Times New Roman" w:hAnsi="Times New Roman" w:cs="Times New Roman"/>
          <w:sz w:val="24"/>
          <w:szCs w:val="24"/>
          <w:shd w:val="clear" w:color="auto" w:fill="FFFFFF"/>
          <w:lang w:eastAsia="ru-RU"/>
        </w:rPr>
        <w:t xml:space="preserve">Lipsa depozitelor pentru depozitarea finală a </w:t>
      </w:r>
      <w:proofErr w:type="spellStart"/>
      <w:r w:rsidRPr="00125FAF">
        <w:rPr>
          <w:rFonts w:ascii="Times New Roman" w:eastAsia="Times New Roman" w:hAnsi="Times New Roman" w:cs="Times New Roman"/>
          <w:sz w:val="24"/>
          <w:szCs w:val="24"/>
          <w:shd w:val="clear" w:color="auto" w:fill="FFFFFF"/>
          <w:lang w:eastAsia="ru-RU"/>
        </w:rPr>
        <w:t>deşeurilor</w:t>
      </w:r>
      <w:proofErr w:type="spellEnd"/>
      <w:r w:rsidRPr="00125FAF">
        <w:rPr>
          <w:rFonts w:ascii="Times New Roman" w:eastAsia="Times New Roman" w:hAnsi="Times New Roman" w:cs="Times New Roman"/>
          <w:sz w:val="24"/>
          <w:szCs w:val="24"/>
          <w:shd w:val="clear" w:color="auto" w:fill="FFFFFF"/>
          <w:lang w:eastAsia="ru-RU"/>
        </w:rPr>
        <w:t xml:space="preserve"> construite </w:t>
      </w:r>
      <w:proofErr w:type="spellStart"/>
      <w:r w:rsidRPr="00125FAF">
        <w:rPr>
          <w:rFonts w:ascii="Times New Roman" w:eastAsia="Times New Roman" w:hAnsi="Times New Roman" w:cs="Times New Roman"/>
          <w:sz w:val="24"/>
          <w:szCs w:val="24"/>
          <w:shd w:val="clear" w:color="auto" w:fill="FFFFFF"/>
          <w:lang w:eastAsia="ru-RU"/>
        </w:rPr>
        <w:t>şi</w:t>
      </w:r>
      <w:proofErr w:type="spellEnd"/>
      <w:r w:rsidRPr="00125FAF">
        <w:rPr>
          <w:rFonts w:ascii="Times New Roman" w:eastAsia="Times New Roman" w:hAnsi="Times New Roman" w:cs="Times New Roman"/>
          <w:sz w:val="24"/>
          <w:szCs w:val="24"/>
          <w:shd w:val="clear" w:color="auto" w:fill="FFFFFF"/>
          <w:lang w:eastAsia="ru-RU"/>
        </w:rPr>
        <w:t xml:space="preserve"> operate în conformitate cu standardele de mediu.</w:t>
      </w:r>
    </w:p>
    <w:p w14:paraId="487A61DA" w14:textId="6816E1F8" w:rsidR="00F33164" w:rsidRPr="00125FAF" w:rsidRDefault="006364B2" w:rsidP="003E24C5">
      <w:pPr>
        <w:pStyle w:val="Listparagraf"/>
        <w:numPr>
          <w:ilvl w:val="0"/>
          <w:numId w:val="17"/>
        </w:numPr>
        <w:tabs>
          <w:tab w:val="left" w:pos="1134"/>
        </w:tabs>
        <w:spacing w:after="0" w:line="240" w:lineRule="auto"/>
        <w:jc w:val="both"/>
        <w:rPr>
          <w:rFonts w:ascii="Times New Roman" w:eastAsia="Times New Roman" w:hAnsi="Times New Roman" w:cs="Times New Roman"/>
          <w:sz w:val="24"/>
          <w:szCs w:val="24"/>
          <w:lang w:eastAsia="ru-RU"/>
        </w:rPr>
      </w:pPr>
      <w:proofErr w:type="spellStart"/>
      <w:r w:rsidRPr="00125FAF">
        <w:rPr>
          <w:rFonts w:ascii="Times New Roman" w:eastAsia="Times New Roman" w:hAnsi="Times New Roman" w:cs="Times New Roman"/>
          <w:sz w:val="24"/>
          <w:szCs w:val="24"/>
          <w:shd w:val="clear" w:color="auto" w:fill="FFFFFF"/>
          <w:lang w:eastAsia="ru-RU"/>
        </w:rPr>
        <w:t>Insuficienţa</w:t>
      </w:r>
      <w:proofErr w:type="spellEnd"/>
      <w:r w:rsidRPr="00125FAF">
        <w:rPr>
          <w:rFonts w:ascii="Times New Roman" w:eastAsia="Times New Roman" w:hAnsi="Times New Roman" w:cs="Times New Roman"/>
          <w:sz w:val="24"/>
          <w:szCs w:val="24"/>
          <w:shd w:val="clear" w:color="auto" w:fill="FFFFFF"/>
          <w:lang w:eastAsia="ru-RU"/>
        </w:rPr>
        <w:t xml:space="preserve"> </w:t>
      </w:r>
      <w:r w:rsidR="00F33164" w:rsidRPr="00125FAF">
        <w:rPr>
          <w:rFonts w:ascii="Times New Roman" w:eastAsia="Times New Roman" w:hAnsi="Times New Roman"/>
          <w:sz w:val="24"/>
          <w:szCs w:val="24"/>
          <w:shd w:val="clear" w:color="auto" w:fill="FFFFFF"/>
          <w:lang w:eastAsia="ru-RU"/>
        </w:rPr>
        <w:t>capacităților instituționale în valorificarea</w:t>
      </w:r>
      <w:r w:rsidR="00B566C6" w:rsidRPr="00125FAF">
        <w:rPr>
          <w:rFonts w:ascii="Times New Roman" w:eastAsia="Times New Roman" w:hAnsi="Times New Roman"/>
          <w:sz w:val="24"/>
          <w:szCs w:val="24"/>
          <w:shd w:val="clear" w:color="auto" w:fill="FFFFFF"/>
          <w:lang w:eastAsia="ru-RU"/>
        </w:rPr>
        <w:t xml:space="preserve"> </w:t>
      </w:r>
      <w:proofErr w:type="spellStart"/>
      <w:r w:rsidR="00F33164" w:rsidRPr="00125FAF">
        <w:rPr>
          <w:rFonts w:ascii="Times New Roman" w:eastAsia="Times New Roman" w:hAnsi="Times New Roman"/>
          <w:sz w:val="24"/>
          <w:szCs w:val="24"/>
          <w:shd w:val="clear" w:color="auto" w:fill="FFFFFF"/>
          <w:lang w:eastAsia="ru-RU"/>
        </w:rPr>
        <w:t>finanţării</w:t>
      </w:r>
      <w:proofErr w:type="spellEnd"/>
      <w:r w:rsidR="00F33164" w:rsidRPr="00125FAF">
        <w:rPr>
          <w:rFonts w:ascii="Times New Roman" w:eastAsia="Times New Roman" w:hAnsi="Times New Roman"/>
          <w:sz w:val="24"/>
          <w:szCs w:val="24"/>
          <w:shd w:val="clear" w:color="auto" w:fill="FFFFFF"/>
          <w:lang w:eastAsia="ru-RU"/>
        </w:rPr>
        <w:t xml:space="preserve"> acordate de BEI și BERD în domeniul managementului </w:t>
      </w:r>
      <w:proofErr w:type="spellStart"/>
      <w:r w:rsidR="00F33164" w:rsidRPr="00125FAF">
        <w:rPr>
          <w:rFonts w:ascii="Times New Roman" w:eastAsia="Times New Roman" w:hAnsi="Times New Roman"/>
          <w:sz w:val="24"/>
          <w:szCs w:val="24"/>
          <w:shd w:val="clear" w:color="auto" w:fill="FFFFFF"/>
          <w:lang w:eastAsia="ru-RU"/>
        </w:rPr>
        <w:t>deşeurilor</w:t>
      </w:r>
      <w:proofErr w:type="spellEnd"/>
      <w:r w:rsidRPr="00125FAF">
        <w:rPr>
          <w:rFonts w:ascii="Times New Roman" w:eastAsia="Times New Roman" w:hAnsi="Times New Roman" w:cs="Times New Roman"/>
          <w:sz w:val="24"/>
          <w:szCs w:val="24"/>
          <w:shd w:val="clear" w:color="auto" w:fill="FFFFFF"/>
          <w:lang w:eastAsia="ru-RU"/>
        </w:rPr>
        <w:t>.</w:t>
      </w:r>
    </w:p>
    <w:p w14:paraId="1A08D3F2" w14:textId="039A53F1" w:rsidR="00F33164" w:rsidRPr="00125FAF" w:rsidRDefault="00F33164" w:rsidP="003E24C5">
      <w:pPr>
        <w:pStyle w:val="Listparagraf"/>
        <w:numPr>
          <w:ilvl w:val="0"/>
          <w:numId w:val="17"/>
        </w:numPr>
        <w:tabs>
          <w:tab w:val="left" w:pos="1134"/>
        </w:tabs>
        <w:spacing w:after="0" w:line="240" w:lineRule="auto"/>
        <w:jc w:val="both"/>
        <w:rPr>
          <w:rFonts w:ascii="Times New Roman" w:eastAsia="Times New Roman" w:hAnsi="Times New Roman" w:cs="Times New Roman"/>
          <w:sz w:val="24"/>
          <w:szCs w:val="24"/>
          <w:lang w:eastAsia="ru-RU"/>
        </w:rPr>
      </w:pPr>
      <w:r w:rsidRPr="00125FAF">
        <w:rPr>
          <w:rFonts w:ascii="Times New Roman" w:eastAsia="Times New Roman" w:hAnsi="Times New Roman" w:cs="Times New Roman"/>
          <w:sz w:val="24"/>
          <w:szCs w:val="24"/>
          <w:shd w:val="clear" w:color="auto" w:fill="FFFFFF"/>
          <w:lang w:eastAsia="ru-RU"/>
        </w:rPr>
        <w:t>Finanțare insuficientă pentru dezvoltarea infrastructurii de tratare a</w:t>
      </w:r>
      <w:r w:rsidR="00B566C6" w:rsidRPr="00125FAF">
        <w:rPr>
          <w:rFonts w:ascii="Times New Roman" w:eastAsia="Times New Roman" w:hAnsi="Times New Roman" w:cs="Times New Roman"/>
          <w:sz w:val="24"/>
          <w:szCs w:val="24"/>
          <w:shd w:val="clear" w:color="auto" w:fill="FFFFFF"/>
          <w:lang w:eastAsia="ru-RU"/>
        </w:rPr>
        <w:t xml:space="preserve"> </w:t>
      </w:r>
      <w:r w:rsidRPr="00125FAF">
        <w:rPr>
          <w:rFonts w:ascii="Times New Roman" w:eastAsia="Times New Roman" w:hAnsi="Times New Roman" w:cs="Times New Roman"/>
          <w:sz w:val="24"/>
          <w:szCs w:val="24"/>
          <w:shd w:val="clear" w:color="auto" w:fill="FFFFFF"/>
          <w:lang w:eastAsia="ru-RU"/>
        </w:rPr>
        <w:t xml:space="preserve">apelor uzate </w:t>
      </w:r>
      <w:proofErr w:type="spellStart"/>
      <w:r w:rsidRPr="00125FAF">
        <w:rPr>
          <w:rFonts w:ascii="Times New Roman" w:eastAsia="Times New Roman" w:hAnsi="Times New Roman" w:cs="Times New Roman"/>
          <w:sz w:val="24"/>
          <w:szCs w:val="24"/>
          <w:shd w:val="clear" w:color="auto" w:fill="FFFFFF"/>
          <w:lang w:eastAsia="ru-RU"/>
        </w:rPr>
        <w:t>atît</w:t>
      </w:r>
      <w:proofErr w:type="spellEnd"/>
      <w:r w:rsidRPr="00125FAF">
        <w:rPr>
          <w:rFonts w:ascii="Times New Roman" w:eastAsia="Times New Roman" w:hAnsi="Times New Roman" w:cs="Times New Roman"/>
          <w:sz w:val="24"/>
          <w:szCs w:val="24"/>
          <w:shd w:val="clear" w:color="auto" w:fill="FFFFFF"/>
          <w:lang w:eastAsia="ru-RU"/>
        </w:rPr>
        <w:t xml:space="preserve"> la nivel de stat, </w:t>
      </w:r>
      <w:proofErr w:type="spellStart"/>
      <w:r w:rsidRPr="00125FAF">
        <w:rPr>
          <w:rFonts w:ascii="Times New Roman" w:eastAsia="Times New Roman" w:hAnsi="Times New Roman" w:cs="Times New Roman"/>
          <w:sz w:val="24"/>
          <w:szCs w:val="24"/>
          <w:shd w:val="clear" w:color="auto" w:fill="FFFFFF"/>
          <w:lang w:eastAsia="ru-RU"/>
        </w:rPr>
        <w:t>cît</w:t>
      </w:r>
      <w:proofErr w:type="spellEnd"/>
      <w:r w:rsidRPr="00125FAF">
        <w:rPr>
          <w:rFonts w:ascii="Times New Roman" w:eastAsia="Times New Roman" w:hAnsi="Times New Roman" w:cs="Times New Roman"/>
          <w:sz w:val="24"/>
          <w:szCs w:val="24"/>
          <w:shd w:val="clear" w:color="auto" w:fill="FFFFFF"/>
          <w:lang w:eastAsia="ru-RU"/>
        </w:rPr>
        <w:t xml:space="preserve"> </w:t>
      </w:r>
      <w:proofErr w:type="spellStart"/>
      <w:r w:rsidRPr="00125FAF">
        <w:rPr>
          <w:rFonts w:ascii="Times New Roman" w:eastAsia="Times New Roman" w:hAnsi="Times New Roman" w:cs="Times New Roman"/>
          <w:sz w:val="24"/>
          <w:szCs w:val="24"/>
          <w:shd w:val="clear" w:color="auto" w:fill="FFFFFF"/>
          <w:lang w:eastAsia="ru-RU"/>
        </w:rPr>
        <w:t>şi</w:t>
      </w:r>
      <w:proofErr w:type="spellEnd"/>
      <w:r w:rsidRPr="00125FAF">
        <w:rPr>
          <w:rFonts w:ascii="Times New Roman" w:eastAsia="Times New Roman" w:hAnsi="Times New Roman" w:cs="Times New Roman"/>
          <w:sz w:val="24"/>
          <w:szCs w:val="24"/>
          <w:shd w:val="clear" w:color="auto" w:fill="FFFFFF"/>
          <w:lang w:eastAsia="ru-RU"/>
        </w:rPr>
        <w:t xml:space="preserve"> la nivel privat.</w:t>
      </w:r>
    </w:p>
    <w:p w14:paraId="236966D0" w14:textId="6DA91167" w:rsidR="006364B2" w:rsidRPr="00125FAF" w:rsidRDefault="006364B2" w:rsidP="003E24C5">
      <w:pPr>
        <w:pStyle w:val="Listparagraf"/>
        <w:numPr>
          <w:ilvl w:val="0"/>
          <w:numId w:val="17"/>
        </w:numPr>
        <w:tabs>
          <w:tab w:val="left" w:pos="1134"/>
        </w:tabs>
        <w:spacing w:after="0" w:line="240" w:lineRule="auto"/>
        <w:jc w:val="both"/>
        <w:rPr>
          <w:rFonts w:ascii="Times New Roman" w:eastAsia="Times New Roman" w:hAnsi="Times New Roman" w:cs="Times New Roman"/>
          <w:sz w:val="24"/>
          <w:szCs w:val="24"/>
          <w:lang w:eastAsia="ru-RU"/>
        </w:rPr>
      </w:pPr>
      <w:proofErr w:type="spellStart"/>
      <w:r w:rsidRPr="00125FAF">
        <w:rPr>
          <w:rFonts w:ascii="Times New Roman" w:eastAsia="Times New Roman" w:hAnsi="Times New Roman" w:cs="Times New Roman"/>
          <w:sz w:val="24"/>
          <w:szCs w:val="24"/>
          <w:shd w:val="clear" w:color="auto" w:fill="FFFFFF"/>
          <w:lang w:eastAsia="ru-RU"/>
        </w:rPr>
        <w:t>Capacităţi</w:t>
      </w:r>
      <w:proofErr w:type="spellEnd"/>
      <w:r w:rsidRPr="00125FAF">
        <w:rPr>
          <w:rFonts w:ascii="Times New Roman" w:eastAsia="Times New Roman" w:hAnsi="Times New Roman" w:cs="Times New Roman"/>
          <w:sz w:val="24"/>
          <w:szCs w:val="24"/>
          <w:shd w:val="clear" w:color="auto" w:fill="FFFFFF"/>
          <w:lang w:eastAsia="ru-RU"/>
        </w:rPr>
        <w:t xml:space="preserve"> tehnice </w:t>
      </w:r>
      <w:proofErr w:type="spellStart"/>
      <w:r w:rsidRPr="00125FAF">
        <w:rPr>
          <w:rFonts w:ascii="Times New Roman" w:eastAsia="Times New Roman" w:hAnsi="Times New Roman" w:cs="Times New Roman"/>
          <w:sz w:val="24"/>
          <w:szCs w:val="24"/>
          <w:shd w:val="clear" w:color="auto" w:fill="FFFFFF"/>
          <w:lang w:eastAsia="ru-RU"/>
        </w:rPr>
        <w:t>depăşite</w:t>
      </w:r>
      <w:proofErr w:type="spellEnd"/>
      <w:r w:rsidRPr="00125FAF">
        <w:rPr>
          <w:rFonts w:ascii="Times New Roman" w:eastAsia="Times New Roman" w:hAnsi="Times New Roman" w:cs="Times New Roman"/>
          <w:sz w:val="24"/>
          <w:szCs w:val="24"/>
          <w:shd w:val="clear" w:color="auto" w:fill="FFFFFF"/>
          <w:lang w:eastAsia="ru-RU"/>
        </w:rPr>
        <w:t xml:space="preserve"> ale </w:t>
      </w:r>
      <w:proofErr w:type="spellStart"/>
      <w:r w:rsidRPr="00125FAF">
        <w:rPr>
          <w:rFonts w:ascii="Times New Roman" w:eastAsia="Times New Roman" w:hAnsi="Times New Roman" w:cs="Times New Roman"/>
          <w:sz w:val="24"/>
          <w:szCs w:val="24"/>
          <w:shd w:val="clear" w:color="auto" w:fill="FFFFFF"/>
          <w:lang w:eastAsia="ru-RU"/>
        </w:rPr>
        <w:t>staţiilor</w:t>
      </w:r>
      <w:proofErr w:type="spellEnd"/>
      <w:r w:rsidRPr="00125FAF">
        <w:rPr>
          <w:rFonts w:ascii="Times New Roman" w:eastAsia="Times New Roman" w:hAnsi="Times New Roman" w:cs="Times New Roman"/>
          <w:sz w:val="24"/>
          <w:szCs w:val="24"/>
          <w:shd w:val="clear" w:color="auto" w:fill="FFFFFF"/>
          <w:lang w:eastAsia="ru-RU"/>
        </w:rPr>
        <w:t xml:space="preserve"> de epurare a apei uzate.</w:t>
      </w:r>
    </w:p>
    <w:p w14:paraId="1D99EE3D" w14:textId="1F0F4985" w:rsidR="006364B2" w:rsidRPr="00125FAF" w:rsidRDefault="006364B2" w:rsidP="003E24C5">
      <w:pPr>
        <w:pStyle w:val="Listparagraf"/>
        <w:numPr>
          <w:ilvl w:val="0"/>
          <w:numId w:val="17"/>
        </w:numPr>
        <w:tabs>
          <w:tab w:val="left" w:pos="1134"/>
        </w:tabs>
        <w:spacing w:after="0" w:line="240" w:lineRule="auto"/>
        <w:jc w:val="both"/>
        <w:rPr>
          <w:rFonts w:ascii="Times New Roman" w:eastAsia="Times New Roman" w:hAnsi="Times New Roman" w:cs="Times New Roman"/>
          <w:sz w:val="24"/>
          <w:szCs w:val="24"/>
          <w:lang w:eastAsia="ru-RU"/>
        </w:rPr>
      </w:pPr>
      <w:proofErr w:type="spellStart"/>
      <w:r w:rsidRPr="00125FAF">
        <w:rPr>
          <w:rFonts w:ascii="Times New Roman" w:eastAsia="Times New Roman" w:hAnsi="Times New Roman" w:cs="Times New Roman"/>
          <w:sz w:val="24"/>
          <w:szCs w:val="24"/>
          <w:shd w:val="clear" w:color="auto" w:fill="FFFFFF"/>
          <w:lang w:eastAsia="ru-RU"/>
        </w:rPr>
        <w:lastRenderedPageBreak/>
        <w:t>Insuficienţa</w:t>
      </w:r>
      <w:proofErr w:type="spellEnd"/>
      <w:r w:rsidRPr="00125FAF">
        <w:rPr>
          <w:rFonts w:ascii="Times New Roman" w:eastAsia="Times New Roman" w:hAnsi="Times New Roman" w:cs="Times New Roman"/>
          <w:sz w:val="24"/>
          <w:szCs w:val="24"/>
          <w:shd w:val="clear" w:color="auto" w:fill="FFFFFF"/>
          <w:lang w:eastAsia="ru-RU"/>
        </w:rPr>
        <w:t xml:space="preserve"> </w:t>
      </w:r>
      <w:proofErr w:type="spellStart"/>
      <w:r w:rsidRPr="00125FAF">
        <w:rPr>
          <w:rFonts w:ascii="Times New Roman" w:eastAsia="Times New Roman" w:hAnsi="Times New Roman" w:cs="Times New Roman"/>
          <w:sz w:val="24"/>
          <w:szCs w:val="24"/>
          <w:shd w:val="clear" w:color="auto" w:fill="FFFFFF"/>
          <w:lang w:eastAsia="ru-RU"/>
        </w:rPr>
        <w:t>instalaţiilor</w:t>
      </w:r>
      <w:proofErr w:type="spellEnd"/>
      <w:r w:rsidRPr="00125FAF">
        <w:rPr>
          <w:rFonts w:ascii="Times New Roman" w:eastAsia="Times New Roman" w:hAnsi="Times New Roman" w:cs="Times New Roman"/>
          <w:sz w:val="24"/>
          <w:szCs w:val="24"/>
          <w:shd w:val="clear" w:color="auto" w:fill="FFFFFF"/>
          <w:lang w:eastAsia="ru-RU"/>
        </w:rPr>
        <w:t xml:space="preserve"> moderne de prelucrare a nămolurilor formate în cadrul epurării apelor uzate.</w:t>
      </w:r>
    </w:p>
    <w:p w14:paraId="3555683D" w14:textId="3B837A5C" w:rsidR="006364B2" w:rsidRPr="00125FAF" w:rsidRDefault="006364B2" w:rsidP="003E24C5">
      <w:pPr>
        <w:pStyle w:val="Listparagraf"/>
        <w:numPr>
          <w:ilvl w:val="0"/>
          <w:numId w:val="17"/>
        </w:numPr>
        <w:tabs>
          <w:tab w:val="left" w:pos="1134"/>
        </w:tabs>
        <w:spacing w:after="0" w:line="240" w:lineRule="auto"/>
        <w:jc w:val="both"/>
        <w:rPr>
          <w:rFonts w:ascii="Times New Roman" w:eastAsia="Times New Roman" w:hAnsi="Times New Roman" w:cs="Times New Roman"/>
          <w:sz w:val="24"/>
          <w:szCs w:val="24"/>
          <w:lang w:eastAsia="ru-RU"/>
        </w:rPr>
      </w:pPr>
      <w:r w:rsidRPr="00125FAF">
        <w:rPr>
          <w:rFonts w:ascii="Times New Roman" w:eastAsia="Times New Roman" w:hAnsi="Times New Roman" w:cs="Times New Roman"/>
          <w:sz w:val="24"/>
          <w:szCs w:val="24"/>
          <w:shd w:val="clear" w:color="auto" w:fill="FFFFFF"/>
          <w:lang w:eastAsia="ru-RU"/>
        </w:rPr>
        <w:t xml:space="preserve">Infrastructura precară pentru colectarea, transportul </w:t>
      </w:r>
      <w:proofErr w:type="spellStart"/>
      <w:r w:rsidRPr="00125FAF">
        <w:rPr>
          <w:rFonts w:ascii="Times New Roman" w:eastAsia="Times New Roman" w:hAnsi="Times New Roman" w:cs="Times New Roman"/>
          <w:sz w:val="24"/>
          <w:szCs w:val="24"/>
          <w:shd w:val="clear" w:color="auto" w:fill="FFFFFF"/>
          <w:lang w:eastAsia="ru-RU"/>
        </w:rPr>
        <w:t>şi</w:t>
      </w:r>
      <w:proofErr w:type="spellEnd"/>
      <w:r w:rsidRPr="00125FAF">
        <w:rPr>
          <w:rFonts w:ascii="Times New Roman" w:eastAsia="Times New Roman" w:hAnsi="Times New Roman" w:cs="Times New Roman"/>
          <w:sz w:val="24"/>
          <w:szCs w:val="24"/>
          <w:shd w:val="clear" w:color="auto" w:fill="FFFFFF"/>
          <w:lang w:eastAsia="ru-RU"/>
        </w:rPr>
        <w:t xml:space="preserve"> eliminarea </w:t>
      </w:r>
      <w:proofErr w:type="spellStart"/>
      <w:r w:rsidRPr="00125FAF">
        <w:rPr>
          <w:rFonts w:ascii="Times New Roman" w:eastAsia="Times New Roman" w:hAnsi="Times New Roman" w:cs="Times New Roman"/>
          <w:sz w:val="24"/>
          <w:szCs w:val="24"/>
          <w:shd w:val="clear" w:color="auto" w:fill="FFFFFF"/>
          <w:lang w:eastAsia="ru-RU"/>
        </w:rPr>
        <w:t>deşeurilor</w:t>
      </w:r>
      <w:proofErr w:type="spellEnd"/>
      <w:r w:rsidRPr="00125FAF">
        <w:rPr>
          <w:rFonts w:ascii="Times New Roman" w:eastAsia="Times New Roman" w:hAnsi="Times New Roman" w:cs="Times New Roman"/>
          <w:sz w:val="24"/>
          <w:szCs w:val="24"/>
          <w:shd w:val="clear" w:color="auto" w:fill="FFFFFF"/>
          <w:lang w:eastAsia="ru-RU"/>
        </w:rPr>
        <w:t>, mai ales în zonele rurale</w:t>
      </w:r>
      <w:r w:rsidR="00EE3136" w:rsidRPr="00125FAF">
        <w:rPr>
          <w:rFonts w:ascii="Times New Roman" w:eastAsia="Times New Roman" w:hAnsi="Times New Roman" w:cs="Times New Roman"/>
          <w:sz w:val="24"/>
          <w:szCs w:val="24"/>
          <w:shd w:val="clear" w:color="auto" w:fill="FFFFFF"/>
          <w:lang w:eastAsia="ru-RU"/>
        </w:rPr>
        <w:t>, fapt care afectează grav sănătatea populației, în special a copiilor</w:t>
      </w:r>
      <w:r w:rsidRPr="00125FAF">
        <w:rPr>
          <w:rFonts w:ascii="Times New Roman" w:eastAsia="Times New Roman" w:hAnsi="Times New Roman" w:cs="Times New Roman"/>
          <w:sz w:val="24"/>
          <w:szCs w:val="24"/>
          <w:shd w:val="clear" w:color="auto" w:fill="FFFFFF"/>
          <w:lang w:eastAsia="ru-RU"/>
        </w:rPr>
        <w:t>.</w:t>
      </w:r>
    </w:p>
    <w:p w14:paraId="288CA9FA" w14:textId="2DB88A9E" w:rsidR="006364B2" w:rsidRPr="00125FAF" w:rsidRDefault="006364B2" w:rsidP="003E24C5">
      <w:pPr>
        <w:pStyle w:val="Listparagraf"/>
        <w:numPr>
          <w:ilvl w:val="0"/>
          <w:numId w:val="17"/>
        </w:numPr>
        <w:tabs>
          <w:tab w:val="left" w:pos="1134"/>
        </w:tabs>
        <w:spacing w:after="0" w:line="240" w:lineRule="auto"/>
        <w:jc w:val="both"/>
        <w:rPr>
          <w:rFonts w:ascii="Times New Roman" w:eastAsia="Times New Roman" w:hAnsi="Times New Roman" w:cs="Times New Roman"/>
          <w:sz w:val="24"/>
          <w:szCs w:val="24"/>
          <w:lang w:eastAsia="ru-RU"/>
        </w:rPr>
      </w:pPr>
      <w:r w:rsidRPr="00125FAF">
        <w:rPr>
          <w:rFonts w:ascii="Times New Roman" w:eastAsia="Times New Roman" w:hAnsi="Times New Roman" w:cs="Times New Roman"/>
          <w:sz w:val="24"/>
          <w:szCs w:val="24"/>
          <w:shd w:val="clear" w:color="auto" w:fill="FFFFFF"/>
          <w:lang w:eastAsia="ru-RU"/>
        </w:rPr>
        <w:t xml:space="preserve">Lipsa unor </w:t>
      </w:r>
      <w:proofErr w:type="spellStart"/>
      <w:r w:rsidRPr="00125FAF">
        <w:rPr>
          <w:rFonts w:ascii="Times New Roman" w:eastAsia="Times New Roman" w:hAnsi="Times New Roman" w:cs="Times New Roman"/>
          <w:sz w:val="24"/>
          <w:szCs w:val="24"/>
          <w:shd w:val="clear" w:color="auto" w:fill="FFFFFF"/>
          <w:lang w:eastAsia="ru-RU"/>
        </w:rPr>
        <w:t>responsabilităţi</w:t>
      </w:r>
      <w:proofErr w:type="spellEnd"/>
      <w:r w:rsidRPr="00125FAF">
        <w:rPr>
          <w:rFonts w:ascii="Times New Roman" w:eastAsia="Times New Roman" w:hAnsi="Times New Roman" w:cs="Times New Roman"/>
          <w:sz w:val="24"/>
          <w:szCs w:val="24"/>
          <w:shd w:val="clear" w:color="auto" w:fill="FFFFFF"/>
          <w:lang w:eastAsia="ru-RU"/>
        </w:rPr>
        <w:t xml:space="preserve"> clar definite pentru fiecare actor implicat în managementul </w:t>
      </w:r>
      <w:proofErr w:type="spellStart"/>
      <w:r w:rsidRPr="00125FAF">
        <w:rPr>
          <w:rFonts w:ascii="Times New Roman" w:eastAsia="Times New Roman" w:hAnsi="Times New Roman" w:cs="Times New Roman"/>
          <w:sz w:val="24"/>
          <w:szCs w:val="24"/>
          <w:shd w:val="clear" w:color="auto" w:fill="FFFFFF"/>
          <w:lang w:eastAsia="ru-RU"/>
        </w:rPr>
        <w:t>deşeurilor</w:t>
      </w:r>
      <w:proofErr w:type="spellEnd"/>
      <w:r w:rsidRPr="00125FAF">
        <w:rPr>
          <w:rFonts w:ascii="Times New Roman" w:eastAsia="Times New Roman" w:hAnsi="Times New Roman" w:cs="Times New Roman"/>
          <w:sz w:val="24"/>
          <w:szCs w:val="24"/>
          <w:shd w:val="clear" w:color="auto" w:fill="FFFFFF"/>
          <w:lang w:eastAsia="ru-RU"/>
        </w:rPr>
        <w:t xml:space="preserve"> </w:t>
      </w:r>
      <w:proofErr w:type="spellStart"/>
      <w:r w:rsidRPr="00125FAF">
        <w:rPr>
          <w:rFonts w:ascii="Times New Roman" w:eastAsia="Times New Roman" w:hAnsi="Times New Roman" w:cs="Times New Roman"/>
          <w:sz w:val="24"/>
          <w:szCs w:val="24"/>
          <w:shd w:val="clear" w:color="auto" w:fill="FFFFFF"/>
          <w:lang w:eastAsia="ru-RU"/>
        </w:rPr>
        <w:t>şi</w:t>
      </w:r>
      <w:proofErr w:type="spellEnd"/>
      <w:r w:rsidRPr="00125FAF">
        <w:rPr>
          <w:rFonts w:ascii="Times New Roman" w:eastAsia="Times New Roman" w:hAnsi="Times New Roman" w:cs="Times New Roman"/>
          <w:sz w:val="24"/>
          <w:szCs w:val="24"/>
          <w:shd w:val="clear" w:color="auto" w:fill="FFFFFF"/>
          <w:lang w:eastAsia="ru-RU"/>
        </w:rPr>
        <w:t xml:space="preserve"> apelor uzate la nivel de </w:t>
      </w:r>
      <w:proofErr w:type="spellStart"/>
      <w:r w:rsidRPr="00125FAF">
        <w:rPr>
          <w:rFonts w:ascii="Times New Roman" w:eastAsia="Times New Roman" w:hAnsi="Times New Roman" w:cs="Times New Roman"/>
          <w:sz w:val="24"/>
          <w:szCs w:val="24"/>
          <w:shd w:val="clear" w:color="auto" w:fill="FFFFFF"/>
          <w:lang w:eastAsia="ru-RU"/>
        </w:rPr>
        <w:t>instituţii</w:t>
      </w:r>
      <w:proofErr w:type="spellEnd"/>
      <w:r w:rsidRPr="00125FAF">
        <w:rPr>
          <w:rFonts w:ascii="Times New Roman" w:eastAsia="Times New Roman" w:hAnsi="Times New Roman" w:cs="Times New Roman"/>
          <w:sz w:val="24"/>
          <w:szCs w:val="24"/>
          <w:shd w:val="clear" w:color="auto" w:fill="FFFFFF"/>
          <w:lang w:eastAsia="ru-RU"/>
        </w:rPr>
        <w:t xml:space="preserve"> de stat, </w:t>
      </w:r>
      <w:proofErr w:type="spellStart"/>
      <w:r w:rsidRPr="00125FAF">
        <w:rPr>
          <w:rFonts w:ascii="Times New Roman" w:eastAsia="Times New Roman" w:hAnsi="Times New Roman" w:cs="Times New Roman"/>
          <w:sz w:val="24"/>
          <w:szCs w:val="24"/>
          <w:shd w:val="clear" w:color="auto" w:fill="FFFFFF"/>
          <w:lang w:eastAsia="ru-RU"/>
        </w:rPr>
        <w:t>asociaţii</w:t>
      </w:r>
      <w:proofErr w:type="spellEnd"/>
      <w:r w:rsidRPr="00125FAF">
        <w:rPr>
          <w:rFonts w:ascii="Times New Roman" w:eastAsia="Times New Roman" w:hAnsi="Times New Roman" w:cs="Times New Roman"/>
          <w:sz w:val="24"/>
          <w:szCs w:val="24"/>
          <w:shd w:val="clear" w:color="auto" w:fill="FFFFFF"/>
          <w:lang w:eastAsia="ru-RU"/>
        </w:rPr>
        <w:t xml:space="preserve">, </w:t>
      </w:r>
      <w:proofErr w:type="spellStart"/>
      <w:r w:rsidRPr="00125FAF">
        <w:rPr>
          <w:rFonts w:ascii="Times New Roman" w:eastAsia="Times New Roman" w:hAnsi="Times New Roman" w:cs="Times New Roman"/>
          <w:sz w:val="24"/>
          <w:szCs w:val="24"/>
          <w:shd w:val="clear" w:color="auto" w:fill="FFFFFF"/>
          <w:lang w:eastAsia="ru-RU"/>
        </w:rPr>
        <w:t>organizaţii</w:t>
      </w:r>
      <w:proofErr w:type="spellEnd"/>
      <w:r w:rsidRPr="00125FAF">
        <w:rPr>
          <w:rFonts w:ascii="Times New Roman" w:eastAsia="Times New Roman" w:hAnsi="Times New Roman" w:cs="Times New Roman"/>
          <w:sz w:val="24"/>
          <w:szCs w:val="24"/>
          <w:shd w:val="clear" w:color="auto" w:fill="FFFFFF"/>
          <w:lang w:eastAsia="ru-RU"/>
        </w:rPr>
        <w:t xml:space="preserve"> neguvernamentale, sectorul privat, </w:t>
      </w:r>
      <w:proofErr w:type="spellStart"/>
      <w:r w:rsidRPr="00125FAF">
        <w:rPr>
          <w:rFonts w:ascii="Times New Roman" w:eastAsia="Times New Roman" w:hAnsi="Times New Roman" w:cs="Times New Roman"/>
          <w:sz w:val="24"/>
          <w:szCs w:val="24"/>
          <w:shd w:val="clear" w:color="auto" w:fill="FFFFFF"/>
          <w:lang w:eastAsia="ru-RU"/>
        </w:rPr>
        <w:t>societăţii</w:t>
      </w:r>
      <w:proofErr w:type="spellEnd"/>
      <w:r w:rsidRPr="00125FAF">
        <w:rPr>
          <w:rFonts w:ascii="Times New Roman" w:eastAsia="Times New Roman" w:hAnsi="Times New Roman" w:cs="Times New Roman"/>
          <w:sz w:val="24"/>
          <w:szCs w:val="24"/>
          <w:shd w:val="clear" w:color="auto" w:fill="FFFFFF"/>
          <w:lang w:eastAsia="ru-RU"/>
        </w:rPr>
        <w:t xml:space="preserve"> civile asociate (toate </w:t>
      </w:r>
      <w:proofErr w:type="spellStart"/>
      <w:r w:rsidRPr="00125FAF">
        <w:rPr>
          <w:rFonts w:ascii="Times New Roman" w:eastAsia="Times New Roman" w:hAnsi="Times New Roman" w:cs="Times New Roman"/>
          <w:sz w:val="24"/>
          <w:szCs w:val="24"/>
          <w:shd w:val="clear" w:color="auto" w:fill="FFFFFF"/>
          <w:lang w:eastAsia="ru-RU"/>
        </w:rPr>
        <w:t>avînd</w:t>
      </w:r>
      <w:proofErr w:type="spellEnd"/>
      <w:r w:rsidRPr="00125FAF">
        <w:rPr>
          <w:rFonts w:ascii="Times New Roman" w:eastAsia="Times New Roman" w:hAnsi="Times New Roman" w:cs="Times New Roman"/>
          <w:sz w:val="24"/>
          <w:szCs w:val="24"/>
          <w:shd w:val="clear" w:color="auto" w:fill="FFFFFF"/>
          <w:lang w:eastAsia="ru-RU"/>
        </w:rPr>
        <w:t xml:space="preserve"> o </w:t>
      </w:r>
      <w:proofErr w:type="spellStart"/>
      <w:r w:rsidRPr="00125FAF">
        <w:rPr>
          <w:rFonts w:ascii="Times New Roman" w:eastAsia="Times New Roman" w:hAnsi="Times New Roman" w:cs="Times New Roman"/>
          <w:sz w:val="24"/>
          <w:szCs w:val="24"/>
          <w:shd w:val="clear" w:color="auto" w:fill="FFFFFF"/>
          <w:lang w:eastAsia="ru-RU"/>
        </w:rPr>
        <w:t>finanţare</w:t>
      </w:r>
      <w:proofErr w:type="spellEnd"/>
      <w:r w:rsidRPr="00125FAF">
        <w:rPr>
          <w:rFonts w:ascii="Times New Roman" w:eastAsia="Times New Roman" w:hAnsi="Times New Roman" w:cs="Times New Roman"/>
          <w:sz w:val="24"/>
          <w:szCs w:val="24"/>
          <w:shd w:val="clear" w:color="auto" w:fill="FFFFFF"/>
          <w:lang w:eastAsia="ru-RU"/>
        </w:rPr>
        <w:t xml:space="preserve"> insuficientă a domeniului managementului </w:t>
      </w:r>
      <w:proofErr w:type="spellStart"/>
      <w:r w:rsidRPr="00125FAF">
        <w:rPr>
          <w:rFonts w:ascii="Times New Roman" w:eastAsia="Times New Roman" w:hAnsi="Times New Roman" w:cs="Times New Roman"/>
          <w:sz w:val="24"/>
          <w:szCs w:val="24"/>
          <w:shd w:val="clear" w:color="auto" w:fill="FFFFFF"/>
          <w:lang w:eastAsia="ru-RU"/>
        </w:rPr>
        <w:t>deşeurilor</w:t>
      </w:r>
      <w:proofErr w:type="spellEnd"/>
      <w:r w:rsidRPr="00125FAF">
        <w:rPr>
          <w:rFonts w:ascii="Times New Roman" w:eastAsia="Times New Roman" w:hAnsi="Times New Roman" w:cs="Times New Roman"/>
          <w:sz w:val="24"/>
          <w:szCs w:val="24"/>
          <w:shd w:val="clear" w:color="auto" w:fill="FFFFFF"/>
          <w:lang w:eastAsia="ru-RU"/>
        </w:rPr>
        <w:t xml:space="preserve"> la nivel de stat), </w:t>
      </w:r>
      <w:proofErr w:type="spellStart"/>
      <w:r w:rsidRPr="00125FAF">
        <w:rPr>
          <w:rFonts w:ascii="Times New Roman" w:eastAsia="Times New Roman" w:hAnsi="Times New Roman" w:cs="Times New Roman"/>
          <w:sz w:val="24"/>
          <w:szCs w:val="24"/>
          <w:shd w:val="clear" w:color="auto" w:fill="FFFFFF"/>
          <w:lang w:eastAsia="ru-RU"/>
        </w:rPr>
        <w:t>cît</w:t>
      </w:r>
      <w:proofErr w:type="spellEnd"/>
      <w:r w:rsidRPr="00125FAF">
        <w:rPr>
          <w:rFonts w:ascii="Times New Roman" w:eastAsia="Times New Roman" w:hAnsi="Times New Roman" w:cs="Times New Roman"/>
          <w:sz w:val="24"/>
          <w:szCs w:val="24"/>
          <w:shd w:val="clear" w:color="auto" w:fill="FFFFFF"/>
          <w:lang w:eastAsia="ru-RU"/>
        </w:rPr>
        <w:t xml:space="preserve"> </w:t>
      </w:r>
      <w:proofErr w:type="spellStart"/>
      <w:r w:rsidRPr="00125FAF">
        <w:rPr>
          <w:rFonts w:ascii="Times New Roman" w:eastAsia="Times New Roman" w:hAnsi="Times New Roman" w:cs="Times New Roman"/>
          <w:sz w:val="24"/>
          <w:szCs w:val="24"/>
          <w:shd w:val="clear" w:color="auto" w:fill="FFFFFF"/>
          <w:lang w:eastAsia="ru-RU"/>
        </w:rPr>
        <w:t>şi</w:t>
      </w:r>
      <w:proofErr w:type="spellEnd"/>
      <w:r w:rsidRPr="00125FAF">
        <w:rPr>
          <w:rFonts w:ascii="Times New Roman" w:eastAsia="Times New Roman" w:hAnsi="Times New Roman" w:cs="Times New Roman"/>
          <w:sz w:val="24"/>
          <w:szCs w:val="24"/>
          <w:shd w:val="clear" w:color="auto" w:fill="FFFFFF"/>
          <w:lang w:eastAsia="ru-RU"/>
        </w:rPr>
        <w:t xml:space="preserve"> la cel privat împiedică implementarea unor măsuri globale de gestionare a </w:t>
      </w:r>
      <w:proofErr w:type="spellStart"/>
      <w:r w:rsidRPr="00125FAF">
        <w:rPr>
          <w:rFonts w:ascii="Times New Roman" w:eastAsia="Times New Roman" w:hAnsi="Times New Roman" w:cs="Times New Roman"/>
          <w:sz w:val="24"/>
          <w:szCs w:val="24"/>
          <w:shd w:val="clear" w:color="auto" w:fill="FFFFFF"/>
          <w:lang w:eastAsia="ru-RU"/>
        </w:rPr>
        <w:t>deşeurilor</w:t>
      </w:r>
      <w:proofErr w:type="spellEnd"/>
      <w:r w:rsidRPr="00125FAF">
        <w:rPr>
          <w:rFonts w:ascii="Times New Roman" w:eastAsia="Times New Roman" w:hAnsi="Times New Roman" w:cs="Times New Roman"/>
          <w:sz w:val="24"/>
          <w:szCs w:val="24"/>
          <w:shd w:val="clear" w:color="auto" w:fill="FFFFFF"/>
          <w:lang w:eastAsia="ru-RU"/>
        </w:rPr>
        <w:t xml:space="preserve"> </w:t>
      </w:r>
      <w:proofErr w:type="spellStart"/>
      <w:r w:rsidRPr="00125FAF">
        <w:rPr>
          <w:rFonts w:ascii="Times New Roman" w:eastAsia="Times New Roman" w:hAnsi="Times New Roman" w:cs="Times New Roman"/>
          <w:sz w:val="24"/>
          <w:szCs w:val="24"/>
          <w:shd w:val="clear" w:color="auto" w:fill="FFFFFF"/>
          <w:lang w:eastAsia="ru-RU"/>
        </w:rPr>
        <w:t>şi</w:t>
      </w:r>
      <w:proofErr w:type="spellEnd"/>
      <w:r w:rsidRPr="00125FAF">
        <w:rPr>
          <w:rFonts w:ascii="Times New Roman" w:eastAsia="Times New Roman" w:hAnsi="Times New Roman" w:cs="Times New Roman"/>
          <w:sz w:val="24"/>
          <w:szCs w:val="24"/>
          <w:shd w:val="clear" w:color="auto" w:fill="FFFFFF"/>
          <w:lang w:eastAsia="ru-RU"/>
        </w:rPr>
        <w:t xml:space="preserve"> apelor uzate.</w:t>
      </w:r>
    </w:p>
    <w:p w14:paraId="3761B00A" w14:textId="0634BFEC" w:rsidR="006364B2" w:rsidRPr="00125FAF" w:rsidRDefault="006364B2" w:rsidP="003E24C5">
      <w:pPr>
        <w:pStyle w:val="Listparagraf"/>
        <w:numPr>
          <w:ilvl w:val="0"/>
          <w:numId w:val="17"/>
        </w:numPr>
        <w:tabs>
          <w:tab w:val="left" w:pos="1134"/>
        </w:tabs>
        <w:spacing w:after="120" w:line="240" w:lineRule="auto"/>
        <w:jc w:val="both"/>
        <w:rPr>
          <w:rFonts w:ascii="Times New Roman" w:eastAsia="Times New Roman" w:hAnsi="Times New Roman" w:cs="Times New Roman"/>
          <w:sz w:val="24"/>
          <w:szCs w:val="24"/>
          <w:lang w:eastAsia="ru-RU"/>
        </w:rPr>
      </w:pPr>
      <w:r w:rsidRPr="00125FAF">
        <w:rPr>
          <w:rFonts w:ascii="Times New Roman" w:eastAsia="Times New Roman" w:hAnsi="Times New Roman" w:cs="Times New Roman"/>
          <w:sz w:val="24"/>
          <w:szCs w:val="24"/>
          <w:lang w:eastAsia="ru-RU"/>
        </w:rPr>
        <w:t xml:space="preserve">Lipsa </w:t>
      </w:r>
      <w:proofErr w:type="spellStart"/>
      <w:r w:rsidRPr="00125FAF">
        <w:rPr>
          <w:rFonts w:ascii="Times New Roman" w:eastAsia="Times New Roman" w:hAnsi="Times New Roman" w:cs="Times New Roman"/>
          <w:sz w:val="24"/>
          <w:szCs w:val="24"/>
          <w:lang w:eastAsia="ru-RU"/>
        </w:rPr>
        <w:t>capacităţilor</w:t>
      </w:r>
      <w:proofErr w:type="spellEnd"/>
      <w:r w:rsidRPr="00125FAF">
        <w:rPr>
          <w:rFonts w:ascii="Times New Roman" w:eastAsia="Times New Roman" w:hAnsi="Times New Roman" w:cs="Times New Roman"/>
          <w:sz w:val="24"/>
          <w:szCs w:val="24"/>
          <w:lang w:eastAsia="ru-RU"/>
        </w:rPr>
        <w:t xml:space="preserve"> de tratare a </w:t>
      </w:r>
      <w:proofErr w:type="spellStart"/>
      <w:r w:rsidRPr="00125FAF">
        <w:rPr>
          <w:rFonts w:ascii="Times New Roman" w:eastAsia="Times New Roman" w:hAnsi="Times New Roman" w:cs="Times New Roman"/>
          <w:sz w:val="24"/>
          <w:szCs w:val="24"/>
          <w:lang w:eastAsia="ru-RU"/>
        </w:rPr>
        <w:t>deşeurilor</w:t>
      </w:r>
      <w:proofErr w:type="spellEnd"/>
      <w:r w:rsidRPr="00125FAF">
        <w:rPr>
          <w:rFonts w:ascii="Times New Roman" w:eastAsia="Times New Roman" w:hAnsi="Times New Roman" w:cs="Times New Roman"/>
          <w:sz w:val="24"/>
          <w:szCs w:val="24"/>
          <w:lang w:eastAsia="ru-RU"/>
        </w:rPr>
        <w:t xml:space="preserve"> periculoase, inclusiv a celor </w:t>
      </w:r>
      <w:proofErr w:type="spellStart"/>
      <w:r w:rsidRPr="00125FAF">
        <w:rPr>
          <w:rFonts w:ascii="Times New Roman" w:eastAsia="Times New Roman" w:hAnsi="Times New Roman" w:cs="Times New Roman"/>
          <w:sz w:val="24"/>
          <w:szCs w:val="24"/>
          <w:lang w:eastAsia="ru-RU"/>
        </w:rPr>
        <w:t>spitaliceşti</w:t>
      </w:r>
      <w:proofErr w:type="spellEnd"/>
      <w:r w:rsidRPr="00125FAF">
        <w:rPr>
          <w:rFonts w:ascii="Times New Roman" w:eastAsia="Times New Roman" w:hAnsi="Times New Roman" w:cs="Times New Roman"/>
          <w:sz w:val="24"/>
          <w:szCs w:val="24"/>
          <w:lang w:eastAsia="ru-RU"/>
        </w:rPr>
        <w:t xml:space="preserve">, care, fiind depozitate de </w:t>
      </w:r>
      <w:proofErr w:type="spellStart"/>
      <w:r w:rsidRPr="00125FAF">
        <w:rPr>
          <w:rFonts w:ascii="Times New Roman" w:eastAsia="Times New Roman" w:hAnsi="Times New Roman" w:cs="Times New Roman"/>
          <w:sz w:val="24"/>
          <w:szCs w:val="24"/>
          <w:lang w:eastAsia="ru-RU"/>
        </w:rPr>
        <w:t>rînd</w:t>
      </w:r>
      <w:proofErr w:type="spellEnd"/>
      <w:r w:rsidRPr="00125FAF">
        <w:rPr>
          <w:rFonts w:ascii="Times New Roman" w:eastAsia="Times New Roman" w:hAnsi="Times New Roman" w:cs="Times New Roman"/>
          <w:sz w:val="24"/>
          <w:szCs w:val="24"/>
          <w:lang w:eastAsia="ru-RU"/>
        </w:rPr>
        <w:t xml:space="preserve"> cu cele municipale, prezintă un risc sporit pentru mediu, precum </w:t>
      </w:r>
      <w:proofErr w:type="spellStart"/>
      <w:r w:rsidRPr="00125FAF">
        <w:rPr>
          <w:rFonts w:ascii="Times New Roman" w:eastAsia="Times New Roman" w:hAnsi="Times New Roman" w:cs="Times New Roman"/>
          <w:sz w:val="24"/>
          <w:szCs w:val="24"/>
          <w:lang w:eastAsia="ru-RU"/>
        </w:rPr>
        <w:t>şi</w:t>
      </w:r>
      <w:proofErr w:type="spellEnd"/>
      <w:r w:rsidRPr="00125FAF">
        <w:rPr>
          <w:rFonts w:ascii="Times New Roman" w:eastAsia="Times New Roman" w:hAnsi="Times New Roman" w:cs="Times New Roman"/>
          <w:sz w:val="24"/>
          <w:szCs w:val="24"/>
          <w:lang w:eastAsia="ru-RU"/>
        </w:rPr>
        <w:t xml:space="preserve"> a </w:t>
      </w:r>
      <w:proofErr w:type="spellStart"/>
      <w:r w:rsidRPr="00125FAF">
        <w:rPr>
          <w:rFonts w:ascii="Times New Roman" w:eastAsia="Times New Roman" w:hAnsi="Times New Roman" w:cs="Times New Roman"/>
          <w:sz w:val="24"/>
          <w:szCs w:val="24"/>
          <w:lang w:eastAsia="ru-RU"/>
        </w:rPr>
        <w:t>deşeurilor</w:t>
      </w:r>
      <w:proofErr w:type="spellEnd"/>
      <w:r w:rsidRPr="00125FAF">
        <w:rPr>
          <w:rFonts w:ascii="Times New Roman" w:eastAsia="Times New Roman" w:hAnsi="Times New Roman" w:cs="Times New Roman"/>
          <w:sz w:val="24"/>
          <w:szCs w:val="24"/>
          <w:lang w:eastAsia="ru-RU"/>
        </w:rPr>
        <w:t xml:space="preserve"> de </w:t>
      </w:r>
      <w:proofErr w:type="spellStart"/>
      <w:r w:rsidRPr="00125FAF">
        <w:rPr>
          <w:rFonts w:ascii="Times New Roman" w:eastAsia="Times New Roman" w:hAnsi="Times New Roman" w:cs="Times New Roman"/>
          <w:sz w:val="24"/>
          <w:szCs w:val="24"/>
          <w:lang w:eastAsia="ru-RU"/>
        </w:rPr>
        <w:t>construcţii</w:t>
      </w:r>
      <w:proofErr w:type="spellEnd"/>
      <w:r w:rsidRPr="00125FAF">
        <w:rPr>
          <w:rFonts w:ascii="Times New Roman" w:eastAsia="Times New Roman" w:hAnsi="Times New Roman" w:cs="Times New Roman"/>
          <w:sz w:val="24"/>
          <w:szCs w:val="24"/>
          <w:lang w:eastAsia="ru-RU"/>
        </w:rPr>
        <w:t xml:space="preserve"> </w:t>
      </w:r>
      <w:proofErr w:type="spellStart"/>
      <w:r w:rsidRPr="00125FAF">
        <w:rPr>
          <w:rFonts w:ascii="Times New Roman" w:eastAsia="Times New Roman" w:hAnsi="Times New Roman" w:cs="Times New Roman"/>
          <w:sz w:val="24"/>
          <w:szCs w:val="24"/>
          <w:lang w:eastAsia="ru-RU"/>
        </w:rPr>
        <w:t>şi</w:t>
      </w:r>
      <w:proofErr w:type="spellEnd"/>
      <w:r w:rsidRPr="00125FAF">
        <w:rPr>
          <w:rFonts w:ascii="Times New Roman" w:eastAsia="Times New Roman" w:hAnsi="Times New Roman" w:cs="Times New Roman"/>
          <w:sz w:val="24"/>
          <w:szCs w:val="24"/>
          <w:lang w:eastAsia="ru-RU"/>
        </w:rPr>
        <w:t xml:space="preserve"> demolare, a </w:t>
      </w:r>
      <w:proofErr w:type="spellStart"/>
      <w:r w:rsidRPr="00125FAF">
        <w:rPr>
          <w:rFonts w:ascii="Times New Roman" w:eastAsia="Times New Roman" w:hAnsi="Times New Roman" w:cs="Times New Roman"/>
          <w:sz w:val="24"/>
          <w:szCs w:val="24"/>
          <w:lang w:eastAsia="ru-RU"/>
        </w:rPr>
        <w:t>dejecţiilor</w:t>
      </w:r>
      <w:proofErr w:type="spellEnd"/>
      <w:r w:rsidRPr="00125FAF">
        <w:rPr>
          <w:rFonts w:ascii="Times New Roman" w:eastAsia="Times New Roman" w:hAnsi="Times New Roman" w:cs="Times New Roman"/>
          <w:sz w:val="24"/>
          <w:szCs w:val="24"/>
          <w:lang w:eastAsia="ru-RU"/>
        </w:rPr>
        <w:t xml:space="preserve"> animaliere, a </w:t>
      </w:r>
      <w:proofErr w:type="spellStart"/>
      <w:r w:rsidRPr="00125FAF">
        <w:rPr>
          <w:rFonts w:ascii="Times New Roman" w:eastAsia="Times New Roman" w:hAnsi="Times New Roman" w:cs="Times New Roman"/>
          <w:sz w:val="24"/>
          <w:szCs w:val="24"/>
          <w:lang w:eastAsia="ru-RU"/>
        </w:rPr>
        <w:t>deşeurilor</w:t>
      </w:r>
      <w:proofErr w:type="spellEnd"/>
      <w:r w:rsidRPr="00125FAF">
        <w:rPr>
          <w:rFonts w:ascii="Times New Roman" w:eastAsia="Times New Roman" w:hAnsi="Times New Roman" w:cs="Times New Roman"/>
          <w:sz w:val="24"/>
          <w:szCs w:val="24"/>
          <w:lang w:eastAsia="ru-RU"/>
        </w:rPr>
        <w:t xml:space="preserve"> stradale, a uleiurilor tehnice, a anvelopelor etc.</w:t>
      </w:r>
    </w:p>
    <w:p w14:paraId="39AB4FC4" w14:textId="025CF556" w:rsidR="006364B2" w:rsidRPr="00125FAF" w:rsidRDefault="006364B2" w:rsidP="006364B2">
      <w:pPr>
        <w:spacing w:after="0" w:line="240" w:lineRule="auto"/>
        <w:ind w:firstLine="720"/>
        <w:jc w:val="both"/>
        <w:rPr>
          <w:rFonts w:ascii="Times New Roman" w:eastAsia="Times New Roman" w:hAnsi="Times New Roman" w:cs="Times New Roman"/>
          <w:sz w:val="24"/>
          <w:szCs w:val="24"/>
          <w:lang w:eastAsia="ru-RU"/>
        </w:rPr>
      </w:pPr>
      <w:proofErr w:type="spellStart"/>
      <w:r w:rsidRPr="00125FAF">
        <w:rPr>
          <w:rFonts w:ascii="Times New Roman" w:eastAsia="Times New Roman" w:hAnsi="Times New Roman" w:cs="Times New Roman"/>
          <w:sz w:val="24"/>
          <w:szCs w:val="24"/>
          <w:lang w:eastAsia="ru-RU"/>
        </w:rPr>
        <w:t>Deşeurile</w:t>
      </w:r>
      <w:proofErr w:type="spellEnd"/>
      <w:r w:rsidRPr="00125FAF">
        <w:rPr>
          <w:rFonts w:ascii="Times New Roman" w:eastAsia="Times New Roman" w:hAnsi="Times New Roman" w:cs="Times New Roman"/>
          <w:sz w:val="24"/>
          <w:szCs w:val="24"/>
          <w:lang w:eastAsia="ru-RU"/>
        </w:rPr>
        <w:t xml:space="preserve"> vor </w:t>
      </w:r>
      <w:proofErr w:type="spellStart"/>
      <w:r w:rsidRPr="00125FAF">
        <w:rPr>
          <w:rFonts w:ascii="Times New Roman" w:eastAsia="Times New Roman" w:hAnsi="Times New Roman" w:cs="Times New Roman"/>
          <w:sz w:val="24"/>
          <w:szCs w:val="24"/>
          <w:lang w:eastAsia="ru-RU"/>
        </w:rPr>
        <w:t>rămîne</w:t>
      </w:r>
      <w:proofErr w:type="spellEnd"/>
      <w:r w:rsidRPr="00125FAF">
        <w:rPr>
          <w:rFonts w:ascii="Times New Roman" w:eastAsia="Times New Roman" w:hAnsi="Times New Roman" w:cs="Times New Roman"/>
          <w:sz w:val="24"/>
          <w:szCs w:val="24"/>
          <w:lang w:eastAsia="ru-RU"/>
        </w:rPr>
        <w:t xml:space="preserve"> a fi o sursă importantă de poluare a mediului în Republica Moldova dacă nu se vor întreprinde măsuri concrete pentru stabilirea unui management adecvat al acestora, pe baza unui cadru legislativ, normativ </w:t>
      </w:r>
      <w:proofErr w:type="spellStart"/>
      <w:r w:rsidRPr="00125FAF">
        <w:rPr>
          <w:rFonts w:ascii="Times New Roman" w:eastAsia="Times New Roman" w:hAnsi="Times New Roman" w:cs="Times New Roman"/>
          <w:sz w:val="24"/>
          <w:szCs w:val="24"/>
          <w:lang w:eastAsia="ru-RU"/>
        </w:rPr>
        <w:t>şi</w:t>
      </w:r>
      <w:proofErr w:type="spellEnd"/>
      <w:r w:rsidRPr="00125FAF">
        <w:rPr>
          <w:rFonts w:ascii="Times New Roman" w:eastAsia="Times New Roman" w:hAnsi="Times New Roman" w:cs="Times New Roman"/>
          <w:sz w:val="24"/>
          <w:szCs w:val="24"/>
          <w:lang w:eastAsia="ru-RU"/>
        </w:rPr>
        <w:t xml:space="preserve"> tehnic, în corespundere cu principiile directivelor Uniunii Europene.</w:t>
      </w:r>
    </w:p>
    <w:p w14:paraId="4663D8A3" w14:textId="559E7257" w:rsidR="00A549B6" w:rsidRPr="00125FAF" w:rsidRDefault="00A549B6" w:rsidP="00A549B6">
      <w:pPr>
        <w:spacing w:before="120" w:after="120" w:line="240" w:lineRule="auto"/>
        <w:jc w:val="both"/>
        <w:rPr>
          <w:rFonts w:ascii="Times New Roman" w:hAnsi="Times New Roman" w:cs="Times New Roman"/>
          <w:b/>
          <w:bCs/>
          <w:sz w:val="24"/>
          <w:szCs w:val="24"/>
        </w:rPr>
      </w:pPr>
      <w:r w:rsidRPr="00125FAF">
        <w:rPr>
          <w:rFonts w:ascii="Times New Roman" w:hAnsi="Times New Roman" w:cs="Times New Roman"/>
          <w:b/>
          <w:bCs/>
          <w:sz w:val="24"/>
          <w:szCs w:val="24"/>
        </w:rPr>
        <w:t xml:space="preserve">2.2.8. Posibilele consecințe în cazul neintervenției în soluționarea problemelor </w:t>
      </w:r>
      <w:proofErr w:type="spellStart"/>
      <w:r w:rsidRPr="00125FAF">
        <w:rPr>
          <w:rFonts w:ascii="Times New Roman" w:hAnsi="Times New Roman" w:cs="Times New Roman"/>
          <w:b/>
          <w:bCs/>
          <w:sz w:val="24"/>
          <w:szCs w:val="24"/>
        </w:rPr>
        <w:t>evidenţiate</w:t>
      </w:r>
      <w:proofErr w:type="spellEnd"/>
    </w:p>
    <w:p w14:paraId="1571DE87" w14:textId="5FD30FFA" w:rsidR="006D11C1" w:rsidRPr="00125FAF" w:rsidRDefault="007909C8" w:rsidP="007909C8">
      <w:pPr>
        <w:spacing w:after="120" w:line="240" w:lineRule="auto"/>
        <w:ind w:firstLine="720"/>
        <w:jc w:val="both"/>
        <w:rPr>
          <w:rFonts w:ascii="Times New Roman" w:eastAsia="Times New Roman" w:hAnsi="Times New Roman" w:cs="Times New Roman"/>
          <w:sz w:val="24"/>
          <w:szCs w:val="24"/>
          <w:lang w:eastAsia="ru-RU"/>
        </w:rPr>
      </w:pPr>
      <w:r w:rsidRPr="00125FAF">
        <w:rPr>
          <w:rFonts w:ascii="Times New Roman" w:eastAsia="Times New Roman" w:hAnsi="Times New Roman" w:cs="Times New Roman"/>
          <w:sz w:val="24"/>
          <w:szCs w:val="24"/>
          <w:lang w:eastAsia="ru-RU"/>
        </w:rPr>
        <w:t xml:space="preserve">17. </w:t>
      </w:r>
      <w:r w:rsidR="00A549B6" w:rsidRPr="00125FAF">
        <w:rPr>
          <w:rFonts w:ascii="Times New Roman" w:eastAsia="Times New Roman" w:hAnsi="Times New Roman" w:cs="Times New Roman"/>
          <w:sz w:val="24"/>
          <w:szCs w:val="24"/>
          <w:lang w:eastAsia="ru-RU"/>
        </w:rPr>
        <w:t xml:space="preserve">Lipsa de </w:t>
      </w:r>
      <w:proofErr w:type="spellStart"/>
      <w:r w:rsidR="00A549B6" w:rsidRPr="00125FAF">
        <w:rPr>
          <w:rFonts w:ascii="Times New Roman" w:eastAsia="Times New Roman" w:hAnsi="Times New Roman" w:cs="Times New Roman"/>
          <w:sz w:val="24"/>
          <w:szCs w:val="24"/>
          <w:lang w:eastAsia="ru-RU"/>
        </w:rPr>
        <w:t>acţiuni</w:t>
      </w:r>
      <w:proofErr w:type="spellEnd"/>
      <w:r w:rsidR="00A549B6" w:rsidRPr="00125FAF">
        <w:rPr>
          <w:rFonts w:ascii="Times New Roman" w:eastAsia="Times New Roman" w:hAnsi="Times New Roman" w:cs="Times New Roman"/>
          <w:sz w:val="24"/>
          <w:szCs w:val="24"/>
          <w:lang w:eastAsia="ru-RU"/>
        </w:rPr>
        <w:t xml:space="preserve"> </w:t>
      </w:r>
      <w:r w:rsidR="006D11C1" w:rsidRPr="00125FAF">
        <w:rPr>
          <w:rFonts w:ascii="Times New Roman" w:eastAsia="Times New Roman" w:hAnsi="Times New Roman" w:cs="Times New Roman"/>
          <w:sz w:val="24"/>
          <w:szCs w:val="24"/>
          <w:lang w:eastAsia="ru-RU"/>
        </w:rPr>
        <w:t xml:space="preserve">în cazul neintervenției în soluționarea problemelor </w:t>
      </w:r>
      <w:proofErr w:type="spellStart"/>
      <w:r w:rsidR="006D11C1" w:rsidRPr="00125FAF">
        <w:rPr>
          <w:rFonts w:ascii="Times New Roman" w:eastAsia="Times New Roman" w:hAnsi="Times New Roman" w:cs="Times New Roman"/>
          <w:sz w:val="24"/>
          <w:szCs w:val="24"/>
          <w:lang w:eastAsia="ru-RU"/>
        </w:rPr>
        <w:t>evidenţiate</w:t>
      </w:r>
      <w:proofErr w:type="spellEnd"/>
      <w:r w:rsidR="006D11C1" w:rsidRPr="00125FAF">
        <w:rPr>
          <w:rFonts w:ascii="Times New Roman" w:eastAsia="Times New Roman" w:hAnsi="Times New Roman" w:cs="Times New Roman"/>
          <w:sz w:val="24"/>
          <w:szCs w:val="24"/>
          <w:lang w:eastAsia="ru-RU"/>
        </w:rPr>
        <w:t xml:space="preserve"> va </w:t>
      </w:r>
      <w:r w:rsidR="00340373" w:rsidRPr="00125FAF">
        <w:rPr>
          <w:rFonts w:ascii="Times New Roman" w:eastAsia="Times New Roman" w:hAnsi="Times New Roman" w:cs="Times New Roman"/>
          <w:sz w:val="24"/>
          <w:szCs w:val="24"/>
          <w:lang w:eastAsia="ru-RU"/>
        </w:rPr>
        <w:t xml:space="preserve">avea </w:t>
      </w:r>
      <w:r w:rsidR="006D11C1" w:rsidRPr="00125FAF">
        <w:rPr>
          <w:rFonts w:ascii="Times New Roman" w:eastAsia="Times New Roman" w:hAnsi="Times New Roman" w:cs="Times New Roman"/>
          <w:sz w:val="24"/>
          <w:szCs w:val="24"/>
          <w:lang w:eastAsia="ru-RU"/>
        </w:rPr>
        <w:t xml:space="preserve">posibile </w:t>
      </w:r>
      <w:proofErr w:type="spellStart"/>
      <w:r w:rsidR="006D11C1" w:rsidRPr="00125FAF">
        <w:rPr>
          <w:rFonts w:ascii="Times New Roman" w:eastAsia="Times New Roman" w:hAnsi="Times New Roman" w:cs="Times New Roman"/>
          <w:sz w:val="24"/>
          <w:szCs w:val="24"/>
          <w:lang w:eastAsia="ru-RU"/>
        </w:rPr>
        <w:t>consecinţe</w:t>
      </w:r>
      <w:proofErr w:type="spellEnd"/>
      <w:r w:rsidR="006D11C1" w:rsidRPr="00125FAF">
        <w:rPr>
          <w:rFonts w:ascii="Times New Roman" w:eastAsia="Times New Roman" w:hAnsi="Times New Roman" w:cs="Times New Roman"/>
          <w:sz w:val="24"/>
          <w:szCs w:val="24"/>
          <w:lang w:eastAsia="ru-RU"/>
        </w:rPr>
        <w:t xml:space="preserve"> negative pentru Republica Moldova. În primul rând:</w:t>
      </w:r>
    </w:p>
    <w:p w14:paraId="2BC9FCBF" w14:textId="78EFD300" w:rsidR="006C3E43" w:rsidRPr="00125FAF" w:rsidRDefault="006C3E43" w:rsidP="003E24C5">
      <w:pPr>
        <w:pStyle w:val="Listparagraf"/>
        <w:numPr>
          <w:ilvl w:val="0"/>
          <w:numId w:val="12"/>
        </w:numPr>
        <w:spacing w:after="0" w:line="240" w:lineRule="auto"/>
        <w:jc w:val="both"/>
        <w:rPr>
          <w:rFonts w:ascii="Times New Roman" w:eastAsia="Times New Roman" w:hAnsi="Times New Roman" w:cs="Times New Roman"/>
          <w:sz w:val="24"/>
          <w:szCs w:val="24"/>
          <w:lang w:eastAsia="ru-RU"/>
        </w:rPr>
      </w:pPr>
      <w:r w:rsidRPr="00125FAF">
        <w:rPr>
          <w:rFonts w:ascii="Times New Roman" w:eastAsia="Times New Roman" w:hAnsi="Times New Roman" w:cs="Times New Roman"/>
          <w:sz w:val="24"/>
          <w:szCs w:val="24"/>
          <w:lang w:eastAsia="ru-RU"/>
        </w:rPr>
        <w:t xml:space="preserve">Nu va fi respectată </w:t>
      </w:r>
      <w:proofErr w:type="spellStart"/>
      <w:r w:rsidRPr="00125FAF">
        <w:rPr>
          <w:rFonts w:ascii="Times New Roman" w:eastAsia="Times New Roman" w:hAnsi="Times New Roman" w:cs="Times New Roman"/>
          <w:sz w:val="24"/>
          <w:szCs w:val="24"/>
          <w:lang w:eastAsia="ru-RU"/>
        </w:rPr>
        <w:t>Convenţia</w:t>
      </w:r>
      <w:proofErr w:type="spellEnd"/>
      <w:r w:rsidRPr="00125FAF">
        <w:rPr>
          <w:rFonts w:ascii="Times New Roman" w:eastAsia="Times New Roman" w:hAnsi="Times New Roman" w:cs="Times New Roman"/>
          <w:sz w:val="24"/>
          <w:szCs w:val="24"/>
          <w:lang w:eastAsia="ru-RU"/>
        </w:rPr>
        <w:t xml:space="preserve">-cadru a </w:t>
      </w:r>
      <w:proofErr w:type="spellStart"/>
      <w:r w:rsidRPr="00125FAF">
        <w:rPr>
          <w:rFonts w:ascii="Times New Roman" w:eastAsia="Times New Roman" w:hAnsi="Times New Roman" w:cs="Times New Roman"/>
          <w:sz w:val="24"/>
          <w:szCs w:val="24"/>
          <w:lang w:eastAsia="ru-RU"/>
        </w:rPr>
        <w:t>Naţiunilor</w:t>
      </w:r>
      <w:proofErr w:type="spellEnd"/>
      <w:r w:rsidRPr="00125FAF">
        <w:rPr>
          <w:rFonts w:ascii="Times New Roman" w:eastAsia="Times New Roman" w:hAnsi="Times New Roman" w:cs="Times New Roman"/>
          <w:sz w:val="24"/>
          <w:szCs w:val="24"/>
          <w:lang w:eastAsia="ru-RU"/>
        </w:rPr>
        <w:t xml:space="preserve"> Unite asupra Schimbărilor Climatice, ratificată de </w:t>
      </w:r>
      <w:proofErr w:type="spellStart"/>
      <w:r w:rsidRPr="00125FAF">
        <w:rPr>
          <w:rFonts w:ascii="Times New Roman" w:eastAsia="Times New Roman" w:hAnsi="Times New Roman" w:cs="Times New Roman"/>
          <w:sz w:val="24"/>
          <w:szCs w:val="24"/>
          <w:lang w:eastAsia="ru-RU"/>
        </w:rPr>
        <w:t>ţara</w:t>
      </w:r>
      <w:proofErr w:type="spellEnd"/>
      <w:r w:rsidRPr="00125FAF">
        <w:rPr>
          <w:rFonts w:ascii="Times New Roman" w:eastAsia="Times New Roman" w:hAnsi="Times New Roman" w:cs="Times New Roman"/>
          <w:sz w:val="24"/>
          <w:szCs w:val="24"/>
          <w:lang w:eastAsia="ru-RU"/>
        </w:rPr>
        <w:t xml:space="preserve"> noastră prin Hotărârea Parlamentului nr. 404-XIII din 16 martie 1995;</w:t>
      </w:r>
    </w:p>
    <w:p w14:paraId="41F7655E" w14:textId="2564EC4D" w:rsidR="00A549B6" w:rsidRPr="00125FAF" w:rsidRDefault="006D11C1" w:rsidP="003E24C5">
      <w:pPr>
        <w:pStyle w:val="Listparagraf"/>
        <w:numPr>
          <w:ilvl w:val="0"/>
          <w:numId w:val="12"/>
        </w:numPr>
        <w:spacing w:after="0" w:line="240" w:lineRule="auto"/>
        <w:jc w:val="both"/>
        <w:rPr>
          <w:rFonts w:ascii="Times New Roman" w:eastAsia="Times New Roman" w:hAnsi="Times New Roman" w:cs="Times New Roman"/>
          <w:sz w:val="24"/>
          <w:szCs w:val="24"/>
          <w:lang w:eastAsia="ru-RU"/>
        </w:rPr>
      </w:pPr>
      <w:r w:rsidRPr="00125FAF">
        <w:rPr>
          <w:rFonts w:ascii="Times New Roman" w:eastAsia="Times New Roman" w:hAnsi="Times New Roman" w:cs="Times New Roman"/>
          <w:sz w:val="24"/>
          <w:szCs w:val="24"/>
          <w:lang w:eastAsia="ru-RU"/>
        </w:rPr>
        <w:t xml:space="preserve">Nu va fi îndeplinit Acordul de la Paris, ratificat de </w:t>
      </w:r>
      <w:proofErr w:type="spellStart"/>
      <w:r w:rsidRPr="00125FAF">
        <w:rPr>
          <w:rFonts w:ascii="Times New Roman" w:eastAsia="Times New Roman" w:hAnsi="Times New Roman" w:cs="Times New Roman"/>
          <w:sz w:val="24"/>
          <w:szCs w:val="24"/>
          <w:lang w:eastAsia="ru-RU"/>
        </w:rPr>
        <w:t>ţară</w:t>
      </w:r>
      <w:proofErr w:type="spellEnd"/>
      <w:r w:rsidRPr="00125FAF">
        <w:rPr>
          <w:rFonts w:ascii="Times New Roman" w:eastAsia="Times New Roman" w:hAnsi="Times New Roman" w:cs="Times New Roman"/>
          <w:sz w:val="24"/>
          <w:szCs w:val="24"/>
          <w:lang w:eastAsia="ru-RU"/>
        </w:rPr>
        <w:t xml:space="preserve"> prin Legea nr. 78/2017;</w:t>
      </w:r>
    </w:p>
    <w:p w14:paraId="0D08DF2B" w14:textId="3BD2AF6F" w:rsidR="00A549B6" w:rsidRPr="00125FAF" w:rsidRDefault="006D11C1" w:rsidP="003E24C5">
      <w:pPr>
        <w:pStyle w:val="Listparagraf"/>
        <w:numPr>
          <w:ilvl w:val="0"/>
          <w:numId w:val="12"/>
        </w:numPr>
        <w:spacing w:after="0" w:line="240" w:lineRule="auto"/>
        <w:jc w:val="both"/>
        <w:rPr>
          <w:rFonts w:ascii="Times New Roman" w:eastAsia="Times New Roman" w:hAnsi="Times New Roman" w:cs="Times New Roman"/>
          <w:sz w:val="24"/>
          <w:szCs w:val="24"/>
          <w:lang w:eastAsia="ru-RU"/>
        </w:rPr>
      </w:pPr>
      <w:r w:rsidRPr="00125FAF">
        <w:rPr>
          <w:rFonts w:ascii="Times New Roman" w:eastAsia="Times New Roman" w:hAnsi="Times New Roman" w:cs="Times New Roman"/>
          <w:sz w:val="24"/>
          <w:szCs w:val="24"/>
          <w:lang w:eastAsia="ru-RU"/>
        </w:rPr>
        <w:t xml:space="preserve">Nu va fi îndeplinit </w:t>
      </w:r>
      <w:r w:rsidR="006C3E43" w:rsidRPr="00125FAF">
        <w:rPr>
          <w:rFonts w:ascii="Times New Roman" w:eastAsia="Times New Roman" w:hAnsi="Times New Roman" w:cs="Times New Roman"/>
          <w:sz w:val="24"/>
          <w:szCs w:val="24"/>
          <w:lang w:eastAsia="ru-RU"/>
        </w:rPr>
        <w:t>Capitolul 17 „</w:t>
      </w:r>
      <w:proofErr w:type="spellStart"/>
      <w:r w:rsidR="006C3E43" w:rsidRPr="00125FAF">
        <w:rPr>
          <w:rFonts w:ascii="Times New Roman" w:eastAsia="Times New Roman" w:hAnsi="Times New Roman" w:cs="Times New Roman"/>
          <w:sz w:val="24"/>
          <w:szCs w:val="24"/>
          <w:lang w:eastAsia="ru-RU"/>
        </w:rPr>
        <w:t>Acţiuni</w:t>
      </w:r>
      <w:proofErr w:type="spellEnd"/>
      <w:r w:rsidR="006C3E43" w:rsidRPr="00125FAF">
        <w:rPr>
          <w:rFonts w:ascii="Times New Roman" w:eastAsia="Times New Roman" w:hAnsi="Times New Roman" w:cs="Times New Roman"/>
          <w:sz w:val="24"/>
          <w:szCs w:val="24"/>
          <w:lang w:eastAsia="ru-RU"/>
        </w:rPr>
        <w:t xml:space="preserve"> climatice” al Acordului de Asociere între Republica Moldova, pe de o parte, </w:t>
      </w:r>
      <w:proofErr w:type="spellStart"/>
      <w:r w:rsidR="006C3E43" w:rsidRPr="00125FAF">
        <w:rPr>
          <w:rFonts w:ascii="Times New Roman" w:eastAsia="Times New Roman" w:hAnsi="Times New Roman" w:cs="Times New Roman"/>
          <w:sz w:val="24"/>
          <w:szCs w:val="24"/>
          <w:lang w:eastAsia="ru-RU"/>
        </w:rPr>
        <w:t>şi</w:t>
      </w:r>
      <w:proofErr w:type="spellEnd"/>
      <w:r w:rsidR="006C3E43" w:rsidRPr="00125FAF">
        <w:rPr>
          <w:rFonts w:ascii="Times New Roman" w:eastAsia="Times New Roman" w:hAnsi="Times New Roman" w:cs="Times New Roman"/>
          <w:sz w:val="24"/>
          <w:szCs w:val="24"/>
          <w:lang w:eastAsia="ru-RU"/>
        </w:rPr>
        <w:t xml:space="preserve"> Uniunea Europeană </w:t>
      </w:r>
      <w:proofErr w:type="spellStart"/>
      <w:r w:rsidR="006C3E43" w:rsidRPr="00125FAF">
        <w:rPr>
          <w:rFonts w:ascii="Times New Roman" w:eastAsia="Times New Roman" w:hAnsi="Times New Roman" w:cs="Times New Roman"/>
          <w:sz w:val="24"/>
          <w:szCs w:val="24"/>
          <w:lang w:eastAsia="ru-RU"/>
        </w:rPr>
        <w:t>şi</w:t>
      </w:r>
      <w:proofErr w:type="spellEnd"/>
      <w:r w:rsidR="006C3E43" w:rsidRPr="00125FAF">
        <w:rPr>
          <w:rFonts w:ascii="Times New Roman" w:eastAsia="Times New Roman" w:hAnsi="Times New Roman" w:cs="Times New Roman"/>
          <w:sz w:val="24"/>
          <w:szCs w:val="24"/>
          <w:lang w:eastAsia="ru-RU"/>
        </w:rPr>
        <w:t xml:space="preserve"> Comunitatea Europeană a Energiei Atomice </w:t>
      </w:r>
      <w:proofErr w:type="spellStart"/>
      <w:r w:rsidR="006C3E43" w:rsidRPr="00125FAF">
        <w:rPr>
          <w:rFonts w:ascii="Times New Roman" w:eastAsia="Times New Roman" w:hAnsi="Times New Roman" w:cs="Times New Roman"/>
          <w:sz w:val="24"/>
          <w:szCs w:val="24"/>
          <w:lang w:eastAsia="ru-RU"/>
        </w:rPr>
        <w:t>şi</w:t>
      </w:r>
      <w:proofErr w:type="spellEnd"/>
      <w:r w:rsidR="006C3E43" w:rsidRPr="00125FAF">
        <w:rPr>
          <w:rFonts w:ascii="Times New Roman" w:eastAsia="Times New Roman" w:hAnsi="Times New Roman" w:cs="Times New Roman"/>
          <w:sz w:val="24"/>
          <w:szCs w:val="24"/>
          <w:lang w:eastAsia="ru-RU"/>
        </w:rPr>
        <w:t xml:space="preserve"> statele membre ale acestora, </w:t>
      </w:r>
      <w:r w:rsidR="00340373" w:rsidRPr="00125FAF">
        <w:rPr>
          <w:rFonts w:ascii="Times New Roman" w:eastAsia="Times New Roman" w:hAnsi="Times New Roman" w:cs="Times New Roman"/>
          <w:sz w:val="24"/>
          <w:szCs w:val="24"/>
          <w:lang w:eastAsia="ru-RU"/>
        </w:rPr>
        <w:t>ratificat prin Legea nr. 112/2014;</w:t>
      </w:r>
    </w:p>
    <w:p w14:paraId="1CA10CEC" w14:textId="15033FA4" w:rsidR="00340373" w:rsidRPr="00125FAF" w:rsidRDefault="00340373" w:rsidP="003E24C5">
      <w:pPr>
        <w:pStyle w:val="Listparagraf"/>
        <w:numPr>
          <w:ilvl w:val="0"/>
          <w:numId w:val="12"/>
        </w:numPr>
        <w:spacing w:after="0" w:line="240" w:lineRule="auto"/>
        <w:jc w:val="both"/>
        <w:rPr>
          <w:rFonts w:ascii="Times New Roman" w:eastAsia="Times New Roman" w:hAnsi="Times New Roman" w:cs="Times New Roman"/>
          <w:sz w:val="24"/>
          <w:szCs w:val="24"/>
          <w:lang w:eastAsia="ru-RU"/>
        </w:rPr>
      </w:pPr>
      <w:r w:rsidRPr="00125FAF">
        <w:rPr>
          <w:rFonts w:ascii="Times New Roman" w:eastAsia="Times New Roman" w:hAnsi="Times New Roman" w:cs="Times New Roman"/>
          <w:sz w:val="24"/>
          <w:szCs w:val="24"/>
          <w:lang w:eastAsia="ru-RU"/>
        </w:rPr>
        <w:t>Va lipsi mecanismul prin care urmează să fie atinse obiectivele</w:t>
      </w:r>
      <w:r w:rsidR="00E70219" w:rsidRPr="00125FAF">
        <w:rPr>
          <w:rFonts w:ascii="Times New Roman" w:eastAsia="Times New Roman" w:hAnsi="Times New Roman" w:cs="Times New Roman"/>
          <w:sz w:val="24"/>
          <w:szCs w:val="24"/>
          <w:lang w:eastAsia="ru-RU"/>
        </w:rPr>
        <w:t xml:space="preserve"> </w:t>
      </w:r>
      <w:r w:rsidRPr="00125FAF">
        <w:rPr>
          <w:rFonts w:ascii="Times New Roman" w:eastAsia="Times New Roman" w:hAnsi="Times New Roman" w:cs="Times New Roman"/>
          <w:sz w:val="24"/>
          <w:szCs w:val="24"/>
          <w:lang w:eastAsia="ru-RU"/>
        </w:rPr>
        <w:t xml:space="preserve">aferente schimbărilor climatice stipulate în Strategia națională de dezvoltare „Moldova 2030”, aflată spre dezbateri </w:t>
      </w:r>
      <w:proofErr w:type="spellStart"/>
      <w:r w:rsidRPr="00125FAF">
        <w:rPr>
          <w:rFonts w:ascii="Times New Roman" w:eastAsia="Times New Roman" w:hAnsi="Times New Roman" w:cs="Times New Roman"/>
          <w:sz w:val="24"/>
          <w:szCs w:val="24"/>
          <w:lang w:eastAsia="ru-RU"/>
        </w:rPr>
        <w:t>şi</w:t>
      </w:r>
      <w:proofErr w:type="spellEnd"/>
      <w:r w:rsidRPr="00125FAF">
        <w:rPr>
          <w:rFonts w:ascii="Times New Roman" w:eastAsia="Times New Roman" w:hAnsi="Times New Roman" w:cs="Times New Roman"/>
          <w:sz w:val="24"/>
          <w:szCs w:val="24"/>
          <w:lang w:eastAsia="ru-RU"/>
        </w:rPr>
        <w:t xml:space="preserve"> aprobare în Parlament;</w:t>
      </w:r>
    </w:p>
    <w:p w14:paraId="58EC4039" w14:textId="1336A456" w:rsidR="00340373" w:rsidRPr="00125FAF" w:rsidRDefault="00340373" w:rsidP="003E24C5">
      <w:pPr>
        <w:pStyle w:val="Listparagraf"/>
        <w:numPr>
          <w:ilvl w:val="0"/>
          <w:numId w:val="12"/>
        </w:numPr>
        <w:spacing w:after="0" w:line="240" w:lineRule="auto"/>
        <w:jc w:val="both"/>
        <w:rPr>
          <w:rFonts w:ascii="Times New Roman" w:eastAsia="Times New Roman" w:hAnsi="Times New Roman" w:cs="Times New Roman"/>
          <w:sz w:val="24"/>
          <w:szCs w:val="24"/>
          <w:lang w:eastAsia="ru-RU"/>
        </w:rPr>
      </w:pPr>
      <w:r w:rsidRPr="00125FAF">
        <w:rPr>
          <w:rFonts w:ascii="Times New Roman" w:eastAsia="Times New Roman" w:hAnsi="Times New Roman" w:cs="Times New Roman"/>
          <w:sz w:val="24"/>
          <w:szCs w:val="24"/>
          <w:lang w:eastAsia="ru-RU"/>
        </w:rPr>
        <w:t xml:space="preserve">Va fi </w:t>
      </w:r>
      <w:r w:rsidR="00EE3136" w:rsidRPr="00125FAF">
        <w:rPr>
          <w:rFonts w:ascii="Times New Roman" w:eastAsia="Times New Roman" w:hAnsi="Times New Roman" w:cs="Times New Roman"/>
          <w:sz w:val="24"/>
          <w:szCs w:val="24"/>
          <w:lang w:eastAsia="ru-RU"/>
        </w:rPr>
        <w:t xml:space="preserve">afectată grav sănătatea </w:t>
      </w:r>
      <w:r w:rsidR="00856CDF" w:rsidRPr="00125FAF">
        <w:rPr>
          <w:rFonts w:ascii="Times New Roman" w:eastAsia="Times New Roman" w:hAnsi="Times New Roman" w:cs="Times New Roman"/>
          <w:sz w:val="24"/>
          <w:szCs w:val="24"/>
          <w:lang w:eastAsia="ru-RU"/>
        </w:rPr>
        <w:t xml:space="preserve">și bunăstarea </w:t>
      </w:r>
      <w:r w:rsidR="00EE3136" w:rsidRPr="00125FAF">
        <w:rPr>
          <w:rFonts w:ascii="Times New Roman" w:eastAsia="Times New Roman" w:hAnsi="Times New Roman" w:cs="Times New Roman"/>
          <w:sz w:val="24"/>
          <w:szCs w:val="24"/>
          <w:lang w:eastAsia="ru-RU"/>
        </w:rPr>
        <w:t>populației, în special a grupurilor vulnerabile (copiilor, femeilor însărci</w:t>
      </w:r>
      <w:r w:rsidR="00856CDF" w:rsidRPr="00125FAF">
        <w:rPr>
          <w:rFonts w:ascii="Times New Roman" w:eastAsia="Times New Roman" w:hAnsi="Times New Roman" w:cs="Times New Roman"/>
          <w:sz w:val="24"/>
          <w:szCs w:val="24"/>
          <w:lang w:eastAsia="ru-RU"/>
        </w:rPr>
        <w:t xml:space="preserve">nate și cu copii mici, vârstnicilor </w:t>
      </w:r>
      <w:proofErr w:type="spellStart"/>
      <w:r w:rsidR="00856CDF" w:rsidRPr="00125FAF">
        <w:rPr>
          <w:rFonts w:ascii="Times New Roman" w:eastAsia="Times New Roman" w:hAnsi="Times New Roman" w:cs="Times New Roman"/>
          <w:sz w:val="24"/>
          <w:szCs w:val="24"/>
          <w:lang w:eastAsia="ru-RU"/>
        </w:rPr>
        <w:t>ș.a</w:t>
      </w:r>
      <w:proofErr w:type="spellEnd"/>
      <w:r w:rsidR="00EE3136" w:rsidRPr="00125FAF">
        <w:rPr>
          <w:rFonts w:ascii="Times New Roman" w:eastAsia="Times New Roman" w:hAnsi="Times New Roman" w:cs="Times New Roman"/>
          <w:sz w:val="24"/>
          <w:szCs w:val="24"/>
          <w:lang w:eastAsia="ru-RU"/>
        </w:rPr>
        <w:t>)</w:t>
      </w:r>
      <w:r w:rsidR="00856CDF" w:rsidRPr="00125FAF">
        <w:rPr>
          <w:rFonts w:ascii="Times New Roman" w:eastAsia="Times New Roman" w:hAnsi="Times New Roman" w:cs="Times New Roman"/>
          <w:sz w:val="24"/>
          <w:szCs w:val="24"/>
          <w:lang w:eastAsia="ru-RU"/>
        </w:rPr>
        <w:t>, fiind</w:t>
      </w:r>
      <w:r w:rsidR="00EE3136" w:rsidRPr="00125FAF">
        <w:rPr>
          <w:rFonts w:ascii="Times New Roman" w:eastAsia="Times New Roman" w:hAnsi="Times New Roman" w:cs="Times New Roman"/>
          <w:sz w:val="24"/>
          <w:szCs w:val="24"/>
          <w:lang w:eastAsia="ru-RU"/>
        </w:rPr>
        <w:t xml:space="preserve"> </w:t>
      </w:r>
      <w:proofErr w:type="spellStart"/>
      <w:r w:rsidRPr="00125FAF">
        <w:rPr>
          <w:rFonts w:ascii="Times New Roman" w:eastAsia="Times New Roman" w:hAnsi="Times New Roman" w:cs="Times New Roman"/>
          <w:sz w:val="24"/>
          <w:szCs w:val="24"/>
          <w:lang w:eastAsia="ru-RU"/>
        </w:rPr>
        <w:t>ameninţată</w:t>
      </w:r>
      <w:proofErr w:type="spellEnd"/>
      <w:r w:rsidR="00856CDF" w:rsidRPr="00125FAF">
        <w:rPr>
          <w:rFonts w:ascii="Times New Roman" w:eastAsia="Times New Roman" w:hAnsi="Times New Roman" w:cs="Times New Roman"/>
          <w:sz w:val="24"/>
          <w:szCs w:val="24"/>
          <w:lang w:eastAsia="ru-RU"/>
        </w:rPr>
        <w:t xml:space="preserve"> și </w:t>
      </w:r>
      <w:r w:rsidRPr="00125FAF">
        <w:rPr>
          <w:rFonts w:ascii="Times New Roman" w:eastAsia="Times New Roman" w:hAnsi="Times New Roman" w:cs="Times New Roman"/>
          <w:sz w:val="24"/>
          <w:szCs w:val="24"/>
          <w:lang w:eastAsia="ru-RU"/>
        </w:rPr>
        <w:t xml:space="preserve"> atingerea Obiectivelor de dezvoltare durabilă (ODD) formulate de Agenda de Dezvoltare Durabilă 2030, la care </w:t>
      </w:r>
      <w:proofErr w:type="spellStart"/>
      <w:r w:rsidRPr="00125FAF">
        <w:rPr>
          <w:rFonts w:ascii="Times New Roman" w:eastAsia="Times New Roman" w:hAnsi="Times New Roman" w:cs="Times New Roman"/>
          <w:sz w:val="24"/>
          <w:szCs w:val="24"/>
          <w:lang w:eastAsia="ru-RU"/>
        </w:rPr>
        <w:t>ţara</w:t>
      </w:r>
      <w:proofErr w:type="spellEnd"/>
      <w:r w:rsidRPr="00125FAF">
        <w:rPr>
          <w:rFonts w:ascii="Times New Roman" w:eastAsia="Times New Roman" w:hAnsi="Times New Roman" w:cs="Times New Roman"/>
          <w:sz w:val="24"/>
          <w:szCs w:val="24"/>
          <w:lang w:eastAsia="ru-RU"/>
        </w:rPr>
        <w:t xml:space="preserve"> </w:t>
      </w:r>
      <w:r w:rsidR="00162F1A" w:rsidRPr="00125FAF">
        <w:rPr>
          <w:rFonts w:ascii="Times New Roman" w:eastAsia="Times New Roman" w:hAnsi="Times New Roman" w:cs="Times New Roman"/>
          <w:sz w:val="24"/>
          <w:szCs w:val="24"/>
          <w:lang w:eastAsia="ru-RU"/>
        </w:rPr>
        <w:t>este semnatară;</w:t>
      </w:r>
    </w:p>
    <w:p w14:paraId="5772722A" w14:textId="3FCA01D3" w:rsidR="00162F1A" w:rsidRPr="00125FAF" w:rsidRDefault="002C1CB9" w:rsidP="003E24C5">
      <w:pPr>
        <w:pStyle w:val="Listparagraf"/>
        <w:numPr>
          <w:ilvl w:val="0"/>
          <w:numId w:val="12"/>
        </w:num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Ministerul Mediului</w:t>
      </w:r>
      <w:r w:rsidR="00162F1A" w:rsidRPr="00125FAF">
        <w:rPr>
          <w:rFonts w:ascii="Times New Roman" w:hAnsi="Times New Roman" w:cs="Times New Roman"/>
          <w:sz w:val="24"/>
          <w:szCs w:val="24"/>
        </w:rPr>
        <w:t xml:space="preserve">, nu va fi în stare să aducă la bun </w:t>
      </w:r>
      <w:proofErr w:type="spellStart"/>
      <w:r w:rsidR="00162F1A" w:rsidRPr="00125FAF">
        <w:rPr>
          <w:rFonts w:ascii="Times New Roman" w:hAnsi="Times New Roman" w:cs="Times New Roman"/>
          <w:sz w:val="24"/>
          <w:szCs w:val="24"/>
        </w:rPr>
        <w:t>sfârşit</w:t>
      </w:r>
      <w:proofErr w:type="spellEnd"/>
      <w:r w:rsidR="00162F1A" w:rsidRPr="00125FAF">
        <w:rPr>
          <w:rFonts w:ascii="Times New Roman" w:hAnsi="Times New Roman" w:cs="Times New Roman"/>
          <w:sz w:val="24"/>
          <w:szCs w:val="24"/>
        </w:rPr>
        <w:t xml:space="preserve"> îndeplinirea angajamentelor asumate de </w:t>
      </w:r>
      <w:proofErr w:type="spellStart"/>
      <w:r w:rsidR="00162F1A" w:rsidRPr="00125FAF">
        <w:rPr>
          <w:rFonts w:ascii="Times New Roman" w:hAnsi="Times New Roman" w:cs="Times New Roman"/>
          <w:sz w:val="24"/>
          <w:szCs w:val="24"/>
        </w:rPr>
        <w:t>ţară</w:t>
      </w:r>
      <w:proofErr w:type="spellEnd"/>
      <w:r w:rsidR="00162F1A" w:rsidRPr="00125FAF">
        <w:rPr>
          <w:rFonts w:ascii="Times New Roman" w:hAnsi="Times New Roman" w:cs="Times New Roman"/>
          <w:sz w:val="24"/>
          <w:szCs w:val="24"/>
        </w:rPr>
        <w:t xml:space="preserve"> </w:t>
      </w:r>
      <w:proofErr w:type="spellStart"/>
      <w:r w:rsidR="00162F1A" w:rsidRPr="00125FAF">
        <w:rPr>
          <w:rFonts w:ascii="Times New Roman" w:hAnsi="Times New Roman" w:cs="Times New Roman"/>
          <w:sz w:val="24"/>
          <w:szCs w:val="24"/>
        </w:rPr>
        <w:t>faţă</w:t>
      </w:r>
      <w:proofErr w:type="spellEnd"/>
      <w:r w:rsidR="00162F1A" w:rsidRPr="00125FAF">
        <w:rPr>
          <w:rFonts w:ascii="Times New Roman" w:hAnsi="Times New Roman" w:cs="Times New Roman"/>
          <w:sz w:val="24"/>
          <w:szCs w:val="24"/>
        </w:rPr>
        <w:t xml:space="preserve"> de CONUSC </w:t>
      </w:r>
      <w:proofErr w:type="spellStart"/>
      <w:r w:rsidR="00162F1A" w:rsidRPr="00125FAF">
        <w:rPr>
          <w:rFonts w:ascii="Times New Roman" w:hAnsi="Times New Roman" w:cs="Times New Roman"/>
          <w:sz w:val="24"/>
          <w:szCs w:val="24"/>
        </w:rPr>
        <w:t>şi</w:t>
      </w:r>
      <w:proofErr w:type="spellEnd"/>
      <w:r w:rsidR="00162F1A" w:rsidRPr="00125FAF">
        <w:rPr>
          <w:rFonts w:ascii="Times New Roman" w:hAnsi="Times New Roman" w:cs="Times New Roman"/>
          <w:sz w:val="24"/>
          <w:szCs w:val="24"/>
        </w:rPr>
        <w:t xml:space="preserve"> UE;</w:t>
      </w:r>
    </w:p>
    <w:p w14:paraId="448AC585" w14:textId="2EABF673" w:rsidR="00162F1A" w:rsidRPr="00125FAF" w:rsidRDefault="00162F1A" w:rsidP="003E24C5">
      <w:pPr>
        <w:pStyle w:val="Listparagraf"/>
        <w:numPr>
          <w:ilvl w:val="0"/>
          <w:numId w:val="12"/>
        </w:numPr>
        <w:spacing w:after="120" w:line="240" w:lineRule="auto"/>
        <w:contextualSpacing w:val="0"/>
        <w:jc w:val="both"/>
        <w:rPr>
          <w:rFonts w:ascii="Times New Roman" w:eastAsia="Times New Roman" w:hAnsi="Times New Roman" w:cs="Times New Roman"/>
          <w:sz w:val="24"/>
          <w:szCs w:val="24"/>
          <w:lang w:eastAsia="ru-RU"/>
        </w:rPr>
      </w:pPr>
      <w:proofErr w:type="spellStart"/>
      <w:r w:rsidRPr="00125FAF">
        <w:rPr>
          <w:rFonts w:ascii="Times New Roman" w:eastAsia="Times New Roman" w:hAnsi="Times New Roman" w:cs="Times New Roman"/>
          <w:sz w:val="24"/>
          <w:szCs w:val="24"/>
          <w:lang w:eastAsia="ru-RU"/>
        </w:rPr>
        <w:t>Instituţiile</w:t>
      </w:r>
      <w:proofErr w:type="spellEnd"/>
      <w:r w:rsidRPr="00125FAF">
        <w:rPr>
          <w:rFonts w:ascii="Times New Roman" w:eastAsia="Times New Roman" w:hAnsi="Times New Roman" w:cs="Times New Roman"/>
          <w:sz w:val="24"/>
          <w:szCs w:val="24"/>
          <w:lang w:eastAsia="ru-RU"/>
        </w:rPr>
        <w:t xml:space="preserve"> financiare </w:t>
      </w:r>
      <w:proofErr w:type="spellStart"/>
      <w:r w:rsidRPr="00125FAF">
        <w:rPr>
          <w:rFonts w:ascii="Times New Roman" w:eastAsia="Times New Roman" w:hAnsi="Times New Roman" w:cs="Times New Roman"/>
          <w:sz w:val="24"/>
          <w:szCs w:val="24"/>
          <w:lang w:eastAsia="ru-RU"/>
        </w:rPr>
        <w:t>internaţionale</w:t>
      </w:r>
      <w:proofErr w:type="spellEnd"/>
      <w:r w:rsidRPr="00125FAF">
        <w:rPr>
          <w:rFonts w:ascii="Times New Roman" w:eastAsia="Times New Roman" w:hAnsi="Times New Roman" w:cs="Times New Roman"/>
          <w:sz w:val="24"/>
          <w:szCs w:val="24"/>
          <w:lang w:eastAsia="ru-RU"/>
        </w:rPr>
        <w:t xml:space="preserve"> angajate în </w:t>
      </w:r>
      <w:proofErr w:type="spellStart"/>
      <w:r w:rsidRPr="00125FAF">
        <w:rPr>
          <w:rFonts w:ascii="Times New Roman" w:eastAsia="Times New Roman" w:hAnsi="Times New Roman" w:cs="Times New Roman"/>
          <w:sz w:val="24"/>
          <w:szCs w:val="24"/>
          <w:lang w:eastAsia="ru-RU"/>
        </w:rPr>
        <w:t>finanţarea</w:t>
      </w:r>
      <w:proofErr w:type="spellEnd"/>
      <w:r w:rsidRPr="00125FAF">
        <w:rPr>
          <w:rFonts w:ascii="Times New Roman" w:eastAsia="Times New Roman" w:hAnsi="Times New Roman" w:cs="Times New Roman"/>
          <w:sz w:val="24"/>
          <w:szCs w:val="24"/>
          <w:lang w:eastAsia="ru-RU"/>
        </w:rPr>
        <w:t xml:space="preserve"> proiectelor din domeniul schimbărilor climatice </w:t>
      </w:r>
      <w:proofErr w:type="spellStart"/>
      <w:r w:rsidRPr="00125FAF">
        <w:rPr>
          <w:rFonts w:ascii="Times New Roman" w:eastAsia="Times New Roman" w:hAnsi="Times New Roman" w:cs="Times New Roman"/>
          <w:sz w:val="24"/>
          <w:szCs w:val="24"/>
          <w:lang w:eastAsia="ru-RU"/>
        </w:rPr>
        <w:t>condiţionează</w:t>
      </w:r>
      <w:proofErr w:type="spellEnd"/>
      <w:r w:rsidRPr="00125FAF">
        <w:rPr>
          <w:rFonts w:ascii="Times New Roman" w:eastAsia="Times New Roman" w:hAnsi="Times New Roman" w:cs="Times New Roman"/>
          <w:sz w:val="24"/>
          <w:szCs w:val="24"/>
          <w:lang w:eastAsia="ru-RU"/>
        </w:rPr>
        <w:t xml:space="preserve">, de regulă, sprijinul său </w:t>
      </w:r>
      <w:proofErr w:type="spellStart"/>
      <w:r w:rsidRPr="00125FAF">
        <w:rPr>
          <w:rFonts w:ascii="Times New Roman" w:eastAsia="Times New Roman" w:hAnsi="Times New Roman" w:cs="Times New Roman"/>
          <w:sz w:val="24"/>
          <w:szCs w:val="24"/>
          <w:lang w:eastAsia="ru-RU"/>
        </w:rPr>
        <w:t>prezenţa</w:t>
      </w:r>
      <w:proofErr w:type="spellEnd"/>
      <w:r w:rsidRPr="00125FAF">
        <w:rPr>
          <w:rFonts w:ascii="Times New Roman" w:eastAsia="Times New Roman" w:hAnsi="Times New Roman" w:cs="Times New Roman"/>
          <w:sz w:val="24"/>
          <w:szCs w:val="24"/>
          <w:lang w:eastAsia="ru-RU"/>
        </w:rPr>
        <w:t xml:space="preserve"> unui document oficial privind dezvoltarea cu emisii reduse care ar reflectat CND actualizată. Lipsa acestuia frânează sau, în genere exclude, penetrarea </w:t>
      </w:r>
      <w:proofErr w:type="spellStart"/>
      <w:r w:rsidRPr="00125FAF">
        <w:rPr>
          <w:rFonts w:ascii="Times New Roman" w:eastAsia="Times New Roman" w:hAnsi="Times New Roman" w:cs="Times New Roman"/>
          <w:sz w:val="24"/>
          <w:szCs w:val="24"/>
          <w:lang w:eastAsia="ru-RU"/>
        </w:rPr>
        <w:t>investiţiilor</w:t>
      </w:r>
      <w:proofErr w:type="spellEnd"/>
      <w:r w:rsidRPr="00125FAF">
        <w:rPr>
          <w:rFonts w:ascii="Times New Roman" w:eastAsia="Times New Roman" w:hAnsi="Times New Roman" w:cs="Times New Roman"/>
          <w:sz w:val="24"/>
          <w:szCs w:val="24"/>
          <w:lang w:eastAsia="ru-RU"/>
        </w:rPr>
        <w:t xml:space="preserve"> şi </w:t>
      </w:r>
      <w:proofErr w:type="spellStart"/>
      <w:r w:rsidRPr="00125FAF">
        <w:rPr>
          <w:rFonts w:ascii="Times New Roman" w:eastAsia="Times New Roman" w:hAnsi="Times New Roman" w:cs="Times New Roman"/>
          <w:sz w:val="24"/>
          <w:szCs w:val="24"/>
          <w:lang w:eastAsia="ru-RU"/>
        </w:rPr>
        <w:t>donaţiilor</w:t>
      </w:r>
      <w:proofErr w:type="spellEnd"/>
      <w:r w:rsidRPr="00125FAF">
        <w:rPr>
          <w:rFonts w:ascii="Times New Roman" w:eastAsia="Times New Roman" w:hAnsi="Times New Roman" w:cs="Times New Roman"/>
          <w:sz w:val="24"/>
          <w:szCs w:val="24"/>
          <w:lang w:eastAsia="ru-RU"/>
        </w:rPr>
        <w:t xml:space="preserve"> externe în sector. Cu alte cuvinte, lipsa Programului defavorizează </w:t>
      </w:r>
      <w:proofErr w:type="spellStart"/>
      <w:r w:rsidRPr="00125FAF">
        <w:rPr>
          <w:rFonts w:ascii="Times New Roman" w:eastAsia="Times New Roman" w:hAnsi="Times New Roman" w:cs="Times New Roman"/>
          <w:sz w:val="24"/>
          <w:szCs w:val="24"/>
          <w:lang w:eastAsia="ru-RU"/>
        </w:rPr>
        <w:t>ţara</w:t>
      </w:r>
      <w:proofErr w:type="spellEnd"/>
      <w:r w:rsidRPr="00125FAF">
        <w:rPr>
          <w:rFonts w:ascii="Times New Roman" w:eastAsia="Times New Roman" w:hAnsi="Times New Roman" w:cs="Times New Roman"/>
          <w:sz w:val="24"/>
          <w:szCs w:val="24"/>
          <w:lang w:eastAsia="ru-RU"/>
        </w:rPr>
        <w:t xml:space="preserve"> în </w:t>
      </w:r>
      <w:proofErr w:type="spellStart"/>
      <w:r w:rsidRPr="00125FAF">
        <w:rPr>
          <w:rFonts w:ascii="Times New Roman" w:eastAsia="Times New Roman" w:hAnsi="Times New Roman" w:cs="Times New Roman"/>
          <w:sz w:val="24"/>
          <w:szCs w:val="24"/>
          <w:lang w:eastAsia="ru-RU"/>
        </w:rPr>
        <w:t>obţinerea</w:t>
      </w:r>
      <w:proofErr w:type="spellEnd"/>
      <w:r w:rsidRPr="00125FAF">
        <w:rPr>
          <w:rFonts w:ascii="Times New Roman" w:eastAsia="Times New Roman" w:hAnsi="Times New Roman" w:cs="Times New Roman"/>
          <w:sz w:val="24"/>
          <w:szCs w:val="24"/>
          <w:lang w:eastAsia="ru-RU"/>
        </w:rPr>
        <w:t xml:space="preserve"> de </w:t>
      </w:r>
      <w:proofErr w:type="spellStart"/>
      <w:r w:rsidRPr="00125FAF">
        <w:rPr>
          <w:rFonts w:ascii="Times New Roman" w:eastAsia="Times New Roman" w:hAnsi="Times New Roman" w:cs="Times New Roman"/>
          <w:sz w:val="24"/>
          <w:szCs w:val="24"/>
          <w:lang w:eastAsia="ru-RU"/>
        </w:rPr>
        <w:t>finanţări</w:t>
      </w:r>
      <w:proofErr w:type="spellEnd"/>
      <w:r w:rsidRPr="00125FAF">
        <w:rPr>
          <w:rFonts w:ascii="Times New Roman" w:eastAsia="Times New Roman" w:hAnsi="Times New Roman" w:cs="Times New Roman"/>
          <w:sz w:val="24"/>
          <w:szCs w:val="24"/>
          <w:lang w:eastAsia="ru-RU"/>
        </w:rPr>
        <w:t xml:space="preserve"> atractive din partea donatorilor </w:t>
      </w:r>
      <w:proofErr w:type="spellStart"/>
      <w:r w:rsidRPr="00125FAF">
        <w:rPr>
          <w:rFonts w:ascii="Times New Roman" w:eastAsia="Times New Roman" w:hAnsi="Times New Roman" w:cs="Times New Roman"/>
          <w:sz w:val="24"/>
          <w:szCs w:val="24"/>
          <w:lang w:eastAsia="ru-RU"/>
        </w:rPr>
        <w:t>şi</w:t>
      </w:r>
      <w:proofErr w:type="spellEnd"/>
      <w:r w:rsidRPr="00125FAF">
        <w:rPr>
          <w:rFonts w:ascii="Times New Roman" w:eastAsia="Times New Roman" w:hAnsi="Times New Roman" w:cs="Times New Roman"/>
          <w:sz w:val="24"/>
          <w:szCs w:val="24"/>
          <w:lang w:eastAsia="ru-RU"/>
        </w:rPr>
        <w:t xml:space="preserve"> nu contribuie la </w:t>
      </w:r>
      <w:proofErr w:type="spellStart"/>
      <w:r w:rsidRPr="00125FAF">
        <w:rPr>
          <w:rFonts w:ascii="Times New Roman" w:eastAsia="Times New Roman" w:hAnsi="Times New Roman" w:cs="Times New Roman"/>
          <w:sz w:val="24"/>
          <w:szCs w:val="24"/>
          <w:lang w:eastAsia="ru-RU"/>
        </w:rPr>
        <w:t>creşterea</w:t>
      </w:r>
      <w:proofErr w:type="spellEnd"/>
      <w:r w:rsidRPr="00125FAF">
        <w:rPr>
          <w:rFonts w:ascii="Times New Roman" w:eastAsia="Times New Roman" w:hAnsi="Times New Roman" w:cs="Times New Roman"/>
          <w:sz w:val="24"/>
          <w:szCs w:val="24"/>
          <w:lang w:eastAsia="ru-RU"/>
        </w:rPr>
        <w:t xml:space="preserve"> încrederii în a fi parte la </w:t>
      </w:r>
      <w:proofErr w:type="spellStart"/>
      <w:r w:rsidRPr="00125FAF">
        <w:rPr>
          <w:rFonts w:ascii="Times New Roman" w:eastAsia="Times New Roman" w:hAnsi="Times New Roman" w:cs="Times New Roman"/>
          <w:sz w:val="24"/>
          <w:szCs w:val="24"/>
          <w:lang w:eastAsia="ru-RU"/>
        </w:rPr>
        <w:t>acţiunile</w:t>
      </w:r>
      <w:proofErr w:type="spellEnd"/>
      <w:r w:rsidRPr="00125FAF">
        <w:rPr>
          <w:rFonts w:ascii="Times New Roman" w:eastAsia="Times New Roman" w:hAnsi="Times New Roman" w:cs="Times New Roman"/>
          <w:sz w:val="24"/>
          <w:szCs w:val="24"/>
          <w:lang w:eastAsia="ru-RU"/>
        </w:rPr>
        <w:t xml:space="preserve"> concertate spre atingerea obiectivelor CONUSC de reducere a GES.</w:t>
      </w:r>
    </w:p>
    <w:p w14:paraId="161A6276" w14:textId="31F3469A" w:rsidR="00162F1A" w:rsidRPr="00125FAF" w:rsidRDefault="00162F1A" w:rsidP="003A257C">
      <w:pPr>
        <w:spacing w:after="0" w:line="240" w:lineRule="auto"/>
        <w:ind w:firstLine="720"/>
        <w:jc w:val="both"/>
        <w:rPr>
          <w:rFonts w:ascii="Times New Roman" w:eastAsia="Times New Roman" w:hAnsi="Times New Roman" w:cs="Times New Roman"/>
          <w:sz w:val="24"/>
          <w:szCs w:val="24"/>
          <w:lang w:eastAsia="ru-RU"/>
        </w:rPr>
      </w:pPr>
      <w:r w:rsidRPr="00125FAF">
        <w:rPr>
          <w:rFonts w:ascii="Times New Roman" w:eastAsia="Times New Roman" w:hAnsi="Times New Roman" w:cs="Times New Roman"/>
          <w:sz w:val="24"/>
          <w:szCs w:val="24"/>
          <w:lang w:eastAsia="ru-RU"/>
        </w:rPr>
        <w:t xml:space="preserve">La toate, lipsa </w:t>
      </w:r>
      <w:proofErr w:type="spellStart"/>
      <w:r w:rsidRPr="00125FAF">
        <w:rPr>
          <w:rFonts w:ascii="Times New Roman" w:eastAsia="Times New Roman" w:hAnsi="Times New Roman" w:cs="Times New Roman"/>
          <w:sz w:val="24"/>
          <w:szCs w:val="24"/>
          <w:lang w:eastAsia="ru-RU"/>
        </w:rPr>
        <w:t>acţiunilor</w:t>
      </w:r>
      <w:proofErr w:type="spellEnd"/>
      <w:r w:rsidRPr="00125FAF">
        <w:rPr>
          <w:rFonts w:ascii="Times New Roman" w:eastAsia="Times New Roman" w:hAnsi="Times New Roman" w:cs="Times New Roman"/>
          <w:sz w:val="24"/>
          <w:szCs w:val="24"/>
          <w:lang w:eastAsia="ru-RU"/>
        </w:rPr>
        <w:t xml:space="preserve"> specificate în Program va defavoriza </w:t>
      </w:r>
      <w:proofErr w:type="spellStart"/>
      <w:r w:rsidRPr="00125FAF">
        <w:rPr>
          <w:rFonts w:ascii="Times New Roman" w:eastAsia="Times New Roman" w:hAnsi="Times New Roman" w:cs="Times New Roman"/>
          <w:sz w:val="24"/>
          <w:szCs w:val="24"/>
          <w:lang w:eastAsia="ru-RU"/>
        </w:rPr>
        <w:t>depăşirea</w:t>
      </w:r>
      <w:proofErr w:type="spellEnd"/>
      <w:r w:rsidRPr="00125FAF">
        <w:rPr>
          <w:rFonts w:ascii="Times New Roman" w:eastAsia="Times New Roman" w:hAnsi="Times New Roman" w:cs="Times New Roman"/>
          <w:sz w:val="24"/>
          <w:szCs w:val="24"/>
          <w:lang w:eastAsia="ru-RU"/>
        </w:rPr>
        <w:t xml:space="preserve"> problemelor </w:t>
      </w:r>
      <w:proofErr w:type="spellStart"/>
      <w:r w:rsidRPr="00125FAF">
        <w:rPr>
          <w:rFonts w:ascii="Times New Roman" w:eastAsia="Times New Roman" w:hAnsi="Times New Roman" w:cs="Times New Roman"/>
          <w:sz w:val="24"/>
          <w:szCs w:val="24"/>
          <w:lang w:eastAsia="ru-RU"/>
        </w:rPr>
        <w:t>evidenţate</w:t>
      </w:r>
      <w:proofErr w:type="spellEnd"/>
      <w:r w:rsidRPr="00125FAF">
        <w:rPr>
          <w:rFonts w:ascii="Times New Roman" w:eastAsia="Times New Roman" w:hAnsi="Times New Roman" w:cs="Times New Roman"/>
          <w:sz w:val="24"/>
          <w:szCs w:val="24"/>
          <w:lang w:eastAsia="ru-RU"/>
        </w:rPr>
        <w:t xml:space="preserve"> pe sectoare. Astfel</w:t>
      </w:r>
      <w:r w:rsidR="005471DD" w:rsidRPr="00125FAF">
        <w:rPr>
          <w:rFonts w:ascii="Times New Roman" w:eastAsia="Times New Roman" w:hAnsi="Times New Roman" w:cs="Times New Roman"/>
          <w:sz w:val="24"/>
          <w:szCs w:val="24"/>
          <w:lang w:eastAsia="ru-RU"/>
        </w:rPr>
        <w:t>,</w:t>
      </w:r>
    </w:p>
    <w:p w14:paraId="240055A1" w14:textId="5B2263EC" w:rsidR="005471DD" w:rsidRPr="00125FAF" w:rsidRDefault="005471DD" w:rsidP="003E24C5">
      <w:pPr>
        <w:pStyle w:val="Listparagraf"/>
        <w:numPr>
          <w:ilvl w:val="0"/>
          <w:numId w:val="13"/>
        </w:numPr>
        <w:spacing w:after="0" w:line="240" w:lineRule="auto"/>
        <w:jc w:val="both"/>
        <w:rPr>
          <w:rFonts w:ascii="Times New Roman" w:eastAsia="Times New Roman" w:hAnsi="Times New Roman" w:cs="Times New Roman"/>
          <w:sz w:val="24"/>
          <w:szCs w:val="24"/>
          <w:lang w:eastAsia="ru-RU"/>
        </w:rPr>
      </w:pPr>
      <w:r w:rsidRPr="00125FAF">
        <w:rPr>
          <w:rFonts w:ascii="Times New Roman" w:eastAsia="Times New Roman" w:hAnsi="Times New Roman" w:cs="Times New Roman"/>
          <w:sz w:val="24"/>
          <w:szCs w:val="24"/>
          <w:lang w:eastAsia="ru-RU"/>
        </w:rPr>
        <w:t xml:space="preserve">În sectorul </w:t>
      </w:r>
      <w:r w:rsidRPr="00125FAF">
        <w:rPr>
          <w:rFonts w:ascii="Times New Roman" w:eastAsia="Times New Roman" w:hAnsi="Times New Roman" w:cs="Times New Roman"/>
          <w:i/>
          <w:iCs/>
          <w:sz w:val="24"/>
          <w:szCs w:val="24"/>
          <w:lang w:eastAsia="ru-RU"/>
        </w:rPr>
        <w:t xml:space="preserve">energetic </w:t>
      </w:r>
      <w:r w:rsidRPr="00125FAF">
        <w:rPr>
          <w:rFonts w:ascii="Times New Roman" w:eastAsia="Times New Roman" w:hAnsi="Times New Roman" w:cs="Times New Roman"/>
          <w:sz w:val="24"/>
          <w:szCs w:val="24"/>
          <w:lang w:eastAsia="ru-RU"/>
        </w:rPr>
        <w:t xml:space="preserve">(producerea energiei electrice </w:t>
      </w:r>
      <w:proofErr w:type="spellStart"/>
      <w:r w:rsidRPr="00125FAF">
        <w:rPr>
          <w:rFonts w:ascii="Times New Roman" w:eastAsia="Times New Roman" w:hAnsi="Times New Roman" w:cs="Times New Roman"/>
          <w:sz w:val="24"/>
          <w:szCs w:val="24"/>
          <w:lang w:eastAsia="ru-RU"/>
        </w:rPr>
        <w:t>şi</w:t>
      </w:r>
      <w:proofErr w:type="spellEnd"/>
      <w:r w:rsidRPr="00125FAF">
        <w:rPr>
          <w:rFonts w:ascii="Times New Roman" w:eastAsia="Times New Roman" w:hAnsi="Times New Roman" w:cs="Times New Roman"/>
          <w:sz w:val="24"/>
          <w:szCs w:val="24"/>
          <w:lang w:eastAsia="ru-RU"/>
        </w:rPr>
        <w:t xml:space="preserve"> termice), securitatea energetică ar avea de suferit din lipsa suportului </w:t>
      </w:r>
      <w:proofErr w:type="spellStart"/>
      <w:r w:rsidRPr="00125FAF">
        <w:rPr>
          <w:rFonts w:ascii="Times New Roman" w:eastAsia="Times New Roman" w:hAnsi="Times New Roman" w:cs="Times New Roman"/>
          <w:sz w:val="24"/>
          <w:szCs w:val="24"/>
          <w:lang w:eastAsia="ru-RU"/>
        </w:rPr>
        <w:t>internaţional</w:t>
      </w:r>
      <w:proofErr w:type="spellEnd"/>
      <w:r w:rsidRPr="00125FAF">
        <w:rPr>
          <w:rFonts w:ascii="Times New Roman" w:eastAsia="Times New Roman" w:hAnsi="Times New Roman" w:cs="Times New Roman"/>
          <w:sz w:val="24"/>
          <w:szCs w:val="24"/>
          <w:lang w:eastAsia="ru-RU"/>
        </w:rPr>
        <w:t xml:space="preserve"> spre dezvoltarea surselor de energie;</w:t>
      </w:r>
    </w:p>
    <w:p w14:paraId="51603DEF" w14:textId="45AAE7D9" w:rsidR="005471DD" w:rsidRPr="00125FAF" w:rsidRDefault="005471DD" w:rsidP="003E24C5">
      <w:pPr>
        <w:pStyle w:val="Listparagraf"/>
        <w:numPr>
          <w:ilvl w:val="0"/>
          <w:numId w:val="13"/>
        </w:numPr>
        <w:spacing w:after="0" w:line="240" w:lineRule="auto"/>
        <w:jc w:val="both"/>
        <w:rPr>
          <w:rFonts w:ascii="Times New Roman" w:eastAsia="Times New Roman" w:hAnsi="Times New Roman" w:cs="Times New Roman"/>
          <w:sz w:val="24"/>
          <w:szCs w:val="24"/>
          <w:lang w:eastAsia="ru-RU"/>
        </w:rPr>
      </w:pPr>
      <w:r w:rsidRPr="00125FAF">
        <w:rPr>
          <w:rFonts w:ascii="Times New Roman" w:eastAsia="Times New Roman" w:hAnsi="Times New Roman" w:cs="Times New Roman"/>
          <w:sz w:val="24"/>
          <w:szCs w:val="24"/>
          <w:lang w:eastAsia="ru-RU"/>
        </w:rPr>
        <w:t xml:space="preserve">În sectorul </w:t>
      </w:r>
      <w:r w:rsidRPr="00125FAF">
        <w:rPr>
          <w:rFonts w:ascii="Times New Roman" w:eastAsia="Times New Roman" w:hAnsi="Times New Roman" w:cs="Times New Roman"/>
          <w:i/>
          <w:iCs/>
          <w:sz w:val="24"/>
          <w:szCs w:val="24"/>
          <w:lang w:eastAsia="ru-RU"/>
        </w:rPr>
        <w:t>transporturi</w:t>
      </w:r>
      <w:r w:rsidRPr="00125FAF">
        <w:rPr>
          <w:rFonts w:ascii="Times New Roman" w:eastAsia="Times New Roman" w:hAnsi="Times New Roman" w:cs="Times New Roman"/>
          <w:sz w:val="24"/>
          <w:szCs w:val="24"/>
          <w:lang w:eastAsia="ru-RU"/>
        </w:rPr>
        <w:t xml:space="preserve">, </w:t>
      </w:r>
      <w:proofErr w:type="spellStart"/>
      <w:r w:rsidRPr="00125FAF">
        <w:rPr>
          <w:rFonts w:ascii="Times New Roman" w:eastAsia="Times New Roman" w:hAnsi="Times New Roman" w:cs="Times New Roman"/>
          <w:sz w:val="24"/>
          <w:szCs w:val="24"/>
          <w:lang w:eastAsia="ru-RU"/>
        </w:rPr>
        <w:t>motivaţia</w:t>
      </w:r>
      <w:proofErr w:type="spellEnd"/>
      <w:r w:rsidRPr="00125FAF">
        <w:rPr>
          <w:rFonts w:ascii="Times New Roman" w:eastAsia="Times New Roman" w:hAnsi="Times New Roman" w:cs="Times New Roman"/>
          <w:sz w:val="24"/>
          <w:szCs w:val="24"/>
          <w:lang w:eastAsia="ru-RU"/>
        </w:rPr>
        <w:t xml:space="preserve"> pentru promovarea mijloacelor de transport eficiente energetic </w:t>
      </w:r>
      <w:proofErr w:type="spellStart"/>
      <w:r w:rsidRPr="00125FAF">
        <w:rPr>
          <w:rFonts w:ascii="Times New Roman" w:eastAsia="Times New Roman" w:hAnsi="Times New Roman" w:cs="Times New Roman"/>
          <w:sz w:val="24"/>
          <w:szCs w:val="24"/>
          <w:lang w:eastAsia="ru-RU"/>
        </w:rPr>
        <w:t>şi</w:t>
      </w:r>
      <w:proofErr w:type="spellEnd"/>
      <w:r w:rsidRPr="00125FAF">
        <w:rPr>
          <w:rFonts w:ascii="Times New Roman" w:eastAsia="Times New Roman" w:hAnsi="Times New Roman" w:cs="Times New Roman"/>
          <w:sz w:val="24"/>
          <w:szCs w:val="24"/>
          <w:lang w:eastAsia="ru-RU"/>
        </w:rPr>
        <w:t xml:space="preserve"> care nu poluează mediul (hibride, electrice) va fi diminuată;</w:t>
      </w:r>
    </w:p>
    <w:p w14:paraId="488D555C" w14:textId="1730453F" w:rsidR="005471DD" w:rsidRPr="00125FAF" w:rsidRDefault="005471DD" w:rsidP="003E24C5">
      <w:pPr>
        <w:pStyle w:val="Listparagraf"/>
        <w:numPr>
          <w:ilvl w:val="0"/>
          <w:numId w:val="13"/>
        </w:numPr>
        <w:spacing w:after="0" w:line="240" w:lineRule="auto"/>
        <w:jc w:val="both"/>
        <w:rPr>
          <w:rFonts w:ascii="Times New Roman" w:eastAsia="Times New Roman" w:hAnsi="Times New Roman" w:cs="Times New Roman"/>
          <w:sz w:val="24"/>
          <w:szCs w:val="24"/>
          <w:lang w:eastAsia="ru-RU"/>
        </w:rPr>
      </w:pPr>
      <w:r w:rsidRPr="00125FAF">
        <w:rPr>
          <w:rFonts w:ascii="Times New Roman" w:eastAsia="Times New Roman" w:hAnsi="Times New Roman" w:cs="Times New Roman"/>
          <w:sz w:val="24"/>
          <w:szCs w:val="24"/>
          <w:lang w:eastAsia="ru-RU"/>
        </w:rPr>
        <w:lastRenderedPageBreak/>
        <w:t xml:space="preserve">În sectorul </w:t>
      </w:r>
      <w:r w:rsidRPr="00125FAF">
        <w:rPr>
          <w:rFonts w:ascii="Times New Roman" w:eastAsia="Times New Roman" w:hAnsi="Times New Roman" w:cs="Times New Roman"/>
          <w:i/>
          <w:iCs/>
          <w:sz w:val="24"/>
          <w:szCs w:val="24"/>
          <w:lang w:eastAsia="ru-RU"/>
        </w:rPr>
        <w:t>clădiri</w:t>
      </w:r>
      <w:r w:rsidRPr="00125FAF">
        <w:rPr>
          <w:rFonts w:ascii="Times New Roman" w:eastAsia="Times New Roman" w:hAnsi="Times New Roman" w:cs="Times New Roman"/>
          <w:sz w:val="24"/>
          <w:szCs w:val="24"/>
          <w:lang w:eastAsia="ru-RU"/>
        </w:rPr>
        <w:t xml:space="preserve">, accentul spre promovarea fondului de clădiri eficiente energetic va fi mai </w:t>
      </w:r>
      <w:proofErr w:type="spellStart"/>
      <w:r w:rsidRPr="00125FAF">
        <w:rPr>
          <w:rFonts w:ascii="Times New Roman" w:eastAsia="Times New Roman" w:hAnsi="Times New Roman" w:cs="Times New Roman"/>
          <w:sz w:val="24"/>
          <w:szCs w:val="24"/>
          <w:lang w:eastAsia="ru-RU"/>
        </w:rPr>
        <w:t>puţin</w:t>
      </w:r>
      <w:proofErr w:type="spellEnd"/>
      <w:r w:rsidRPr="00125FAF">
        <w:rPr>
          <w:rFonts w:ascii="Times New Roman" w:eastAsia="Times New Roman" w:hAnsi="Times New Roman" w:cs="Times New Roman"/>
          <w:sz w:val="24"/>
          <w:szCs w:val="24"/>
          <w:lang w:eastAsia="ru-RU"/>
        </w:rPr>
        <w:t xml:space="preserve"> </w:t>
      </w:r>
      <w:proofErr w:type="spellStart"/>
      <w:r w:rsidRPr="00125FAF">
        <w:rPr>
          <w:rFonts w:ascii="Times New Roman" w:eastAsia="Times New Roman" w:hAnsi="Times New Roman" w:cs="Times New Roman"/>
          <w:sz w:val="24"/>
          <w:szCs w:val="24"/>
          <w:lang w:eastAsia="ru-RU"/>
        </w:rPr>
        <w:t>pronunţat</w:t>
      </w:r>
      <w:proofErr w:type="spellEnd"/>
      <w:r w:rsidR="00C84B87" w:rsidRPr="00125FAF">
        <w:rPr>
          <w:rFonts w:ascii="Times New Roman" w:eastAsia="Times New Roman" w:hAnsi="Times New Roman" w:cs="Times New Roman"/>
          <w:sz w:val="24"/>
          <w:szCs w:val="24"/>
          <w:lang w:eastAsia="ru-RU"/>
        </w:rPr>
        <w:t xml:space="preserve">, cu impacturi respective asupra bunăstării economiei </w:t>
      </w:r>
      <w:proofErr w:type="spellStart"/>
      <w:r w:rsidR="00C84B87" w:rsidRPr="00125FAF">
        <w:rPr>
          <w:rFonts w:ascii="Times New Roman" w:eastAsia="Times New Roman" w:hAnsi="Times New Roman" w:cs="Times New Roman"/>
          <w:sz w:val="24"/>
          <w:szCs w:val="24"/>
          <w:lang w:eastAsia="ru-RU"/>
        </w:rPr>
        <w:t>cetăţenilor</w:t>
      </w:r>
      <w:proofErr w:type="spellEnd"/>
      <w:r w:rsidR="00C84B87" w:rsidRPr="00125FAF">
        <w:rPr>
          <w:rFonts w:ascii="Times New Roman" w:eastAsia="Times New Roman" w:hAnsi="Times New Roman" w:cs="Times New Roman"/>
          <w:sz w:val="24"/>
          <w:szCs w:val="24"/>
          <w:lang w:eastAsia="ru-RU"/>
        </w:rPr>
        <w:t xml:space="preserve"> </w:t>
      </w:r>
      <w:proofErr w:type="spellStart"/>
      <w:r w:rsidR="00C84B87" w:rsidRPr="00125FAF">
        <w:rPr>
          <w:rFonts w:ascii="Times New Roman" w:eastAsia="Times New Roman" w:hAnsi="Times New Roman" w:cs="Times New Roman"/>
          <w:sz w:val="24"/>
          <w:szCs w:val="24"/>
          <w:lang w:eastAsia="ru-RU"/>
        </w:rPr>
        <w:t>şi</w:t>
      </w:r>
      <w:proofErr w:type="spellEnd"/>
      <w:r w:rsidR="00C84B87" w:rsidRPr="00125FAF">
        <w:rPr>
          <w:rFonts w:ascii="Times New Roman" w:eastAsia="Times New Roman" w:hAnsi="Times New Roman" w:cs="Times New Roman"/>
          <w:sz w:val="24"/>
          <w:szCs w:val="24"/>
          <w:lang w:eastAsia="ru-RU"/>
        </w:rPr>
        <w:t xml:space="preserve"> a bugetelor locale;</w:t>
      </w:r>
    </w:p>
    <w:p w14:paraId="31DD4074" w14:textId="3E03E00E" w:rsidR="00C84B87" w:rsidRPr="00125FAF" w:rsidRDefault="00C84B87" w:rsidP="003E24C5">
      <w:pPr>
        <w:pStyle w:val="Listparagraf"/>
        <w:numPr>
          <w:ilvl w:val="0"/>
          <w:numId w:val="13"/>
        </w:numPr>
        <w:spacing w:after="0" w:line="240" w:lineRule="auto"/>
        <w:jc w:val="both"/>
        <w:rPr>
          <w:rFonts w:ascii="Times New Roman" w:eastAsia="Times New Roman" w:hAnsi="Times New Roman" w:cs="Times New Roman"/>
          <w:sz w:val="24"/>
          <w:szCs w:val="24"/>
          <w:lang w:eastAsia="ru-RU"/>
        </w:rPr>
      </w:pPr>
      <w:r w:rsidRPr="00125FAF">
        <w:rPr>
          <w:rFonts w:ascii="Times New Roman" w:eastAsia="Times New Roman" w:hAnsi="Times New Roman" w:cs="Times New Roman"/>
          <w:sz w:val="24"/>
          <w:szCs w:val="24"/>
          <w:lang w:eastAsia="ru-RU"/>
        </w:rPr>
        <w:t xml:space="preserve">În sectorul </w:t>
      </w:r>
      <w:r w:rsidRPr="00125FAF">
        <w:rPr>
          <w:rFonts w:ascii="Times New Roman" w:eastAsia="Times New Roman" w:hAnsi="Times New Roman" w:cs="Times New Roman"/>
          <w:i/>
          <w:iCs/>
          <w:sz w:val="24"/>
          <w:szCs w:val="24"/>
          <w:lang w:eastAsia="ru-RU"/>
        </w:rPr>
        <w:t>industrial</w:t>
      </w:r>
      <w:r w:rsidRPr="00125FAF">
        <w:rPr>
          <w:rFonts w:ascii="Times New Roman" w:eastAsia="Times New Roman" w:hAnsi="Times New Roman" w:cs="Times New Roman"/>
          <w:sz w:val="24"/>
          <w:szCs w:val="24"/>
          <w:lang w:eastAsia="ru-RU"/>
        </w:rPr>
        <w:t xml:space="preserve">, producerea cimentului </w:t>
      </w:r>
      <w:proofErr w:type="spellStart"/>
      <w:r w:rsidRPr="00125FAF">
        <w:rPr>
          <w:rFonts w:ascii="Times New Roman" w:eastAsia="Times New Roman" w:hAnsi="Times New Roman" w:cs="Times New Roman"/>
          <w:sz w:val="24"/>
          <w:szCs w:val="24"/>
          <w:lang w:eastAsia="ru-RU"/>
        </w:rPr>
        <w:t>şi</w:t>
      </w:r>
      <w:proofErr w:type="spellEnd"/>
      <w:r w:rsidRPr="00125FAF">
        <w:rPr>
          <w:rFonts w:ascii="Times New Roman" w:eastAsia="Times New Roman" w:hAnsi="Times New Roman" w:cs="Times New Roman"/>
          <w:sz w:val="24"/>
          <w:szCs w:val="24"/>
          <w:lang w:eastAsia="ru-RU"/>
        </w:rPr>
        <w:t xml:space="preserve"> a sticlei ar putea avea loc pe viitor la </w:t>
      </w:r>
      <w:proofErr w:type="spellStart"/>
      <w:r w:rsidRPr="00125FAF">
        <w:rPr>
          <w:rFonts w:ascii="Times New Roman" w:eastAsia="Times New Roman" w:hAnsi="Times New Roman" w:cs="Times New Roman"/>
          <w:sz w:val="24"/>
          <w:szCs w:val="24"/>
          <w:lang w:eastAsia="ru-RU"/>
        </w:rPr>
        <w:t>preţuri</w:t>
      </w:r>
      <w:proofErr w:type="spellEnd"/>
      <w:r w:rsidRPr="00125FAF">
        <w:rPr>
          <w:rFonts w:ascii="Times New Roman" w:eastAsia="Times New Roman" w:hAnsi="Times New Roman" w:cs="Times New Roman"/>
          <w:sz w:val="24"/>
          <w:szCs w:val="24"/>
          <w:lang w:eastAsia="ru-RU"/>
        </w:rPr>
        <w:t xml:space="preserve"> necompetitive din cauza lipsei suportului organismelor financiare </w:t>
      </w:r>
      <w:proofErr w:type="spellStart"/>
      <w:r w:rsidRPr="00125FAF">
        <w:rPr>
          <w:rFonts w:ascii="Times New Roman" w:eastAsia="Times New Roman" w:hAnsi="Times New Roman" w:cs="Times New Roman"/>
          <w:sz w:val="24"/>
          <w:szCs w:val="24"/>
          <w:lang w:eastAsia="ru-RU"/>
        </w:rPr>
        <w:t>internaţionale</w:t>
      </w:r>
      <w:proofErr w:type="spellEnd"/>
      <w:r w:rsidRPr="00125FAF">
        <w:rPr>
          <w:rFonts w:ascii="Times New Roman" w:eastAsia="Times New Roman" w:hAnsi="Times New Roman" w:cs="Times New Roman"/>
          <w:sz w:val="24"/>
          <w:szCs w:val="24"/>
          <w:lang w:eastAsia="ru-RU"/>
        </w:rPr>
        <w:t xml:space="preserve"> spre retehnologizarea industrială, organisme, care au aderat la acordurile de reducere a emisiilor de GES la nivel global;</w:t>
      </w:r>
    </w:p>
    <w:p w14:paraId="35B73C5F" w14:textId="4F3A4F2E" w:rsidR="00C84B87" w:rsidRPr="00125FAF" w:rsidRDefault="00C84B87" w:rsidP="003E24C5">
      <w:pPr>
        <w:pStyle w:val="Listparagraf"/>
        <w:numPr>
          <w:ilvl w:val="0"/>
          <w:numId w:val="13"/>
        </w:numPr>
        <w:spacing w:after="0" w:line="240" w:lineRule="auto"/>
        <w:jc w:val="both"/>
        <w:rPr>
          <w:rFonts w:ascii="Times New Roman" w:eastAsia="Times New Roman" w:hAnsi="Times New Roman" w:cs="Times New Roman"/>
          <w:sz w:val="24"/>
          <w:szCs w:val="24"/>
          <w:lang w:eastAsia="ru-RU"/>
        </w:rPr>
      </w:pPr>
      <w:r w:rsidRPr="00125FAF">
        <w:rPr>
          <w:rFonts w:ascii="Times New Roman" w:eastAsia="Times New Roman" w:hAnsi="Times New Roman" w:cs="Times New Roman"/>
          <w:sz w:val="24"/>
          <w:szCs w:val="24"/>
          <w:lang w:eastAsia="ru-RU"/>
        </w:rPr>
        <w:t xml:space="preserve">În sectorul </w:t>
      </w:r>
      <w:r w:rsidRPr="00125FAF">
        <w:rPr>
          <w:rFonts w:ascii="Times New Roman" w:eastAsia="Times New Roman" w:hAnsi="Times New Roman" w:cs="Times New Roman"/>
          <w:i/>
          <w:iCs/>
          <w:sz w:val="24"/>
          <w:szCs w:val="24"/>
          <w:lang w:eastAsia="ru-RU"/>
        </w:rPr>
        <w:t>agricol</w:t>
      </w:r>
      <w:r w:rsidRPr="00125FAF">
        <w:rPr>
          <w:rFonts w:ascii="Times New Roman" w:eastAsia="Times New Roman" w:hAnsi="Times New Roman" w:cs="Times New Roman"/>
          <w:sz w:val="24"/>
          <w:szCs w:val="24"/>
          <w:lang w:eastAsia="ru-RU"/>
        </w:rPr>
        <w:t xml:space="preserve">, </w:t>
      </w:r>
      <w:r w:rsidR="00D66F70" w:rsidRPr="00125FAF">
        <w:rPr>
          <w:rFonts w:ascii="Times New Roman" w:eastAsia="Times New Roman" w:hAnsi="Times New Roman" w:cs="Times New Roman"/>
          <w:sz w:val="24"/>
          <w:szCs w:val="24"/>
          <w:lang w:eastAsia="ru-RU"/>
        </w:rPr>
        <w:t xml:space="preserve">lipsa măsurilor orientate spre promovarea agriculturii conservative va avea efect negativ nu numai asupra reducerii emisiilor de GES, ci </w:t>
      </w:r>
      <w:proofErr w:type="spellStart"/>
      <w:r w:rsidR="00D66F70" w:rsidRPr="00125FAF">
        <w:rPr>
          <w:rFonts w:ascii="Times New Roman" w:eastAsia="Times New Roman" w:hAnsi="Times New Roman" w:cs="Times New Roman"/>
          <w:sz w:val="24"/>
          <w:szCs w:val="24"/>
          <w:lang w:eastAsia="ru-RU"/>
        </w:rPr>
        <w:t>şi</w:t>
      </w:r>
      <w:proofErr w:type="spellEnd"/>
      <w:r w:rsidR="00D66F70" w:rsidRPr="00125FAF">
        <w:rPr>
          <w:rFonts w:ascii="Times New Roman" w:eastAsia="Times New Roman" w:hAnsi="Times New Roman" w:cs="Times New Roman"/>
          <w:sz w:val="24"/>
          <w:szCs w:val="24"/>
          <w:lang w:eastAsia="ru-RU"/>
        </w:rPr>
        <w:t xml:space="preserve"> la </w:t>
      </w:r>
      <w:proofErr w:type="spellStart"/>
      <w:r w:rsidR="00D66F70" w:rsidRPr="00125FAF">
        <w:rPr>
          <w:rFonts w:ascii="Times New Roman" w:eastAsia="Times New Roman" w:hAnsi="Times New Roman" w:cs="Times New Roman"/>
          <w:sz w:val="24"/>
          <w:szCs w:val="24"/>
          <w:lang w:eastAsia="ru-RU"/>
        </w:rPr>
        <w:t>menţinerea</w:t>
      </w:r>
      <w:proofErr w:type="spellEnd"/>
      <w:r w:rsidR="00D66F70" w:rsidRPr="00125FAF">
        <w:rPr>
          <w:rFonts w:ascii="Times New Roman" w:eastAsia="Times New Roman" w:hAnsi="Times New Roman" w:cs="Times New Roman"/>
          <w:sz w:val="24"/>
          <w:szCs w:val="24"/>
          <w:lang w:eastAsia="ru-RU"/>
        </w:rPr>
        <w:t xml:space="preserve"> unei ramuri subdezvoltate cu </w:t>
      </w:r>
      <w:proofErr w:type="spellStart"/>
      <w:r w:rsidR="00D66F70" w:rsidRPr="00125FAF">
        <w:rPr>
          <w:rFonts w:ascii="Times New Roman" w:eastAsia="Times New Roman" w:hAnsi="Times New Roman" w:cs="Times New Roman"/>
          <w:sz w:val="24"/>
          <w:szCs w:val="24"/>
          <w:lang w:eastAsia="ru-RU"/>
        </w:rPr>
        <w:t>consecinţe</w:t>
      </w:r>
      <w:proofErr w:type="spellEnd"/>
      <w:r w:rsidR="00D66F70" w:rsidRPr="00125FAF">
        <w:rPr>
          <w:rFonts w:ascii="Times New Roman" w:eastAsia="Times New Roman" w:hAnsi="Times New Roman" w:cs="Times New Roman"/>
          <w:sz w:val="24"/>
          <w:szCs w:val="24"/>
          <w:lang w:eastAsia="ru-RU"/>
        </w:rPr>
        <w:t xml:space="preserve"> adecvate asupra bugetului local </w:t>
      </w:r>
      <w:proofErr w:type="spellStart"/>
      <w:r w:rsidR="00D66F70" w:rsidRPr="00125FAF">
        <w:rPr>
          <w:rFonts w:ascii="Times New Roman" w:eastAsia="Times New Roman" w:hAnsi="Times New Roman" w:cs="Times New Roman"/>
          <w:sz w:val="24"/>
          <w:szCs w:val="24"/>
          <w:lang w:eastAsia="ru-RU"/>
        </w:rPr>
        <w:t>şi</w:t>
      </w:r>
      <w:proofErr w:type="spellEnd"/>
      <w:r w:rsidR="00D66F70" w:rsidRPr="00125FAF">
        <w:rPr>
          <w:rFonts w:ascii="Times New Roman" w:eastAsia="Times New Roman" w:hAnsi="Times New Roman" w:cs="Times New Roman"/>
          <w:sz w:val="24"/>
          <w:szCs w:val="24"/>
          <w:lang w:eastAsia="ru-RU"/>
        </w:rPr>
        <w:t xml:space="preserve"> central </w:t>
      </w:r>
      <w:proofErr w:type="spellStart"/>
      <w:r w:rsidR="00D66F70" w:rsidRPr="00125FAF">
        <w:rPr>
          <w:rFonts w:ascii="Times New Roman" w:eastAsia="Times New Roman" w:hAnsi="Times New Roman" w:cs="Times New Roman"/>
          <w:sz w:val="24"/>
          <w:szCs w:val="24"/>
          <w:lang w:eastAsia="ru-RU"/>
        </w:rPr>
        <w:t>şi</w:t>
      </w:r>
      <w:proofErr w:type="spellEnd"/>
      <w:r w:rsidR="00D66F70" w:rsidRPr="00125FAF">
        <w:rPr>
          <w:rFonts w:ascii="Times New Roman" w:eastAsia="Times New Roman" w:hAnsi="Times New Roman" w:cs="Times New Roman"/>
          <w:sz w:val="24"/>
          <w:szCs w:val="24"/>
          <w:lang w:eastAsia="ru-RU"/>
        </w:rPr>
        <w:t xml:space="preserve"> a </w:t>
      </w:r>
      <w:proofErr w:type="spellStart"/>
      <w:r w:rsidR="00D66F70" w:rsidRPr="00125FAF">
        <w:rPr>
          <w:rFonts w:ascii="Times New Roman" w:eastAsia="Times New Roman" w:hAnsi="Times New Roman" w:cs="Times New Roman"/>
          <w:sz w:val="24"/>
          <w:szCs w:val="24"/>
          <w:lang w:eastAsia="ru-RU"/>
        </w:rPr>
        <w:t>cetăţenilor</w:t>
      </w:r>
      <w:proofErr w:type="spellEnd"/>
      <w:r w:rsidR="00D66F70" w:rsidRPr="00125FAF">
        <w:rPr>
          <w:rFonts w:ascii="Times New Roman" w:eastAsia="Times New Roman" w:hAnsi="Times New Roman" w:cs="Times New Roman"/>
          <w:sz w:val="24"/>
          <w:szCs w:val="24"/>
          <w:lang w:eastAsia="ru-RU"/>
        </w:rPr>
        <w:t xml:space="preserve"> în ansamblu;</w:t>
      </w:r>
    </w:p>
    <w:p w14:paraId="0AFC6856" w14:textId="43B4C7DB" w:rsidR="00D66F70" w:rsidRPr="00125FAF" w:rsidRDefault="00D66F70" w:rsidP="003E24C5">
      <w:pPr>
        <w:pStyle w:val="Listparagraf"/>
        <w:numPr>
          <w:ilvl w:val="0"/>
          <w:numId w:val="13"/>
        </w:numPr>
        <w:spacing w:after="0" w:line="240" w:lineRule="auto"/>
        <w:jc w:val="both"/>
        <w:rPr>
          <w:rFonts w:ascii="Times New Roman" w:eastAsia="Times New Roman" w:hAnsi="Times New Roman" w:cs="Times New Roman"/>
          <w:sz w:val="24"/>
          <w:szCs w:val="24"/>
          <w:lang w:eastAsia="ru-RU"/>
        </w:rPr>
      </w:pPr>
      <w:r w:rsidRPr="00125FAF">
        <w:rPr>
          <w:rFonts w:ascii="Times New Roman" w:eastAsia="Times New Roman" w:hAnsi="Times New Roman" w:cs="Times New Roman"/>
          <w:sz w:val="24"/>
          <w:szCs w:val="24"/>
          <w:lang w:eastAsia="ru-RU"/>
        </w:rPr>
        <w:t xml:space="preserve">În sectorul </w:t>
      </w:r>
      <w:r w:rsidR="00B00893" w:rsidRPr="00282742">
        <w:rPr>
          <w:rFonts w:ascii="Times New Roman" w:eastAsia="Times New Roman" w:hAnsi="Times New Roman" w:cs="Times New Roman"/>
          <w:i/>
          <w:color w:val="000000"/>
          <w:sz w:val="24"/>
          <w:szCs w:val="24"/>
        </w:rPr>
        <w:t>FTSCFTS</w:t>
      </w:r>
      <w:r w:rsidRPr="00125FAF">
        <w:rPr>
          <w:rFonts w:ascii="Times New Roman" w:eastAsia="Times New Roman" w:hAnsi="Times New Roman" w:cs="Times New Roman"/>
          <w:sz w:val="24"/>
          <w:szCs w:val="24"/>
          <w:lang w:eastAsia="ru-RU"/>
        </w:rPr>
        <w:t xml:space="preserve">, atingerea obiectivului de 15% păduri din teritoriul </w:t>
      </w:r>
      <w:proofErr w:type="spellStart"/>
      <w:r w:rsidRPr="00125FAF">
        <w:rPr>
          <w:rFonts w:ascii="Times New Roman" w:eastAsia="Times New Roman" w:hAnsi="Times New Roman" w:cs="Times New Roman"/>
          <w:sz w:val="24"/>
          <w:szCs w:val="24"/>
          <w:lang w:eastAsia="ru-RU"/>
        </w:rPr>
        <w:t>ţării</w:t>
      </w:r>
      <w:proofErr w:type="spellEnd"/>
      <w:r w:rsidRPr="00125FAF">
        <w:rPr>
          <w:rFonts w:ascii="Times New Roman" w:eastAsia="Times New Roman" w:hAnsi="Times New Roman" w:cs="Times New Roman"/>
          <w:sz w:val="24"/>
          <w:szCs w:val="24"/>
          <w:lang w:eastAsia="ru-RU"/>
        </w:rPr>
        <w:t xml:space="preserve"> va fi zădărnicit, dat fiind că nu vor putea fi accesate fondurile donatorilor </w:t>
      </w:r>
      <w:proofErr w:type="spellStart"/>
      <w:r w:rsidRPr="00125FAF">
        <w:rPr>
          <w:rFonts w:ascii="Times New Roman" w:eastAsia="Times New Roman" w:hAnsi="Times New Roman" w:cs="Times New Roman"/>
          <w:sz w:val="24"/>
          <w:szCs w:val="24"/>
          <w:lang w:eastAsia="ru-RU"/>
        </w:rPr>
        <w:t>internaţional</w:t>
      </w:r>
      <w:r w:rsidR="00EE3136" w:rsidRPr="00125FAF">
        <w:rPr>
          <w:rFonts w:ascii="Times New Roman" w:eastAsia="Times New Roman" w:hAnsi="Times New Roman" w:cs="Times New Roman"/>
          <w:sz w:val="24"/>
          <w:szCs w:val="24"/>
          <w:lang w:eastAsia="ru-RU"/>
        </w:rPr>
        <w:t>i</w:t>
      </w:r>
      <w:proofErr w:type="spellEnd"/>
      <w:r w:rsidRPr="00125FAF">
        <w:rPr>
          <w:rFonts w:ascii="Times New Roman" w:eastAsia="Times New Roman" w:hAnsi="Times New Roman" w:cs="Times New Roman"/>
          <w:sz w:val="24"/>
          <w:szCs w:val="24"/>
          <w:lang w:eastAsia="ru-RU"/>
        </w:rPr>
        <w:t xml:space="preserve">, care, de regulă, sprijină doar proiectele </w:t>
      </w:r>
      <w:proofErr w:type="spellStart"/>
      <w:r w:rsidRPr="00125FAF">
        <w:rPr>
          <w:rFonts w:ascii="Times New Roman" w:eastAsia="Times New Roman" w:hAnsi="Times New Roman" w:cs="Times New Roman"/>
          <w:sz w:val="24"/>
          <w:szCs w:val="24"/>
          <w:lang w:eastAsia="ru-RU"/>
        </w:rPr>
        <w:t>susţinute</w:t>
      </w:r>
      <w:proofErr w:type="spellEnd"/>
      <w:r w:rsidRPr="00125FAF">
        <w:rPr>
          <w:rFonts w:ascii="Times New Roman" w:eastAsia="Times New Roman" w:hAnsi="Times New Roman" w:cs="Times New Roman"/>
          <w:sz w:val="24"/>
          <w:szCs w:val="24"/>
          <w:lang w:eastAsia="ru-RU"/>
        </w:rPr>
        <w:t xml:space="preserve"> de politici credibile din partea statului în domeniul silviculturii;</w:t>
      </w:r>
    </w:p>
    <w:p w14:paraId="3F181C97" w14:textId="0963EBFC" w:rsidR="00D66F70" w:rsidRPr="00125FAF" w:rsidRDefault="00D66F70" w:rsidP="003E24C5">
      <w:pPr>
        <w:pStyle w:val="Listparagraf"/>
        <w:numPr>
          <w:ilvl w:val="0"/>
          <w:numId w:val="13"/>
        </w:numPr>
        <w:spacing w:after="0" w:line="240" w:lineRule="auto"/>
        <w:jc w:val="both"/>
        <w:rPr>
          <w:rFonts w:ascii="Times New Roman" w:eastAsia="Times New Roman" w:hAnsi="Times New Roman" w:cs="Times New Roman"/>
          <w:sz w:val="24"/>
          <w:szCs w:val="24"/>
          <w:lang w:eastAsia="ru-RU"/>
        </w:rPr>
      </w:pPr>
      <w:r w:rsidRPr="00125FAF">
        <w:rPr>
          <w:rFonts w:ascii="Times New Roman" w:eastAsia="Times New Roman" w:hAnsi="Times New Roman" w:cs="Times New Roman"/>
          <w:sz w:val="24"/>
          <w:szCs w:val="24"/>
          <w:lang w:eastAsia="ru-RU"/>
        </w:rPr>
        <w:t xml:space="preserve">În sectorul </w:t>
      </w:r>
      <w:proofErr w:type="spellStart"/>
      <w:r w:rsidRPr="00125FAF">
        <w:rPr>
          <w:rFonts w:ascii="Times New Roman" w:eastAsia="Times New Roman" w:hAnsi="Times New Roman" w:cs="Times New Roman"/>
          <w:i/>
          <w:iCs/>
          <w:sz w:val="24"/>
          <w:szCs w:val="24"/>
          <w:lang w:eastAsia="ru-RU"/>
        </w:rPr>
        <w:t>deşeuri</w:t>
      </w:r>
      <w:proofErr w:type="spellEnd"/>
      <w:r w:rsidRPr="00125FAF">
        <w:rPr>
          <w:rFonts w:ascii="Times New Roman" w:eastAsia="Times New Roman" w:hAnsi="Times New Roman" w:cs="Times New Roman"/>
          <w:sz w:val="24"/>
          <w:szCs w:val="24"/>
          <w:lang w:eastAsia="ru-RU"/>
        </w:rPr>
        <w:t xml:space="preserve">, </w:t>
      </w:r>
      <w:r w:rsidR="00BD7C9D" w:rsidRPr="00125FAF">
        <w:rPr>
          <w:rFonts w:ascii="Times New Roman" w:eastAsia="Times New Roman" w:hAnsi="Times New Roman" w:cs="Times New Roman"/>
          <w:sz w:val="24"/>
          <w:szCs w:val="24"/>
          <w:lang w:eastAsia="ru-RU"/>
        </w:rPr>
        <w:t xml:space="preserve">ca </w:t>
      </w:r>
      <w:proofErr w:type="spellStart"/>
      <w:r w:rsidR="00BD7C9D" w:rsidRPr="00125FAF">
        <w:rPr>
          <w:rFonts w:ascii="Times New Roman" w:eastAsia="Times New Roman" w:hAnsi="Times New Roman" w:cs="Times New Roman"/>
          <w:sz w:val="24"/>
          <w:szCs w:val="24"/>
          <w:lang w:eastAsia="ru-RU"/>
        </w:rPr>
        <w:t>şi</w:t>
      </w:r>
      <w:proofErr w:type="spellEnd"/>
      <w:r w:rsidR="00BD7C9D" w:rsidRPr="00125FAF">
        <w:rPr>
          <w:rFonts w:ascii="Times New Roman" w:eastAsia="Times New Roman" w:hAnsi="Times New Roman" w:cs="Times New Roman"/>
          <w:sz w:val="24"/>
          <w:szCs w:val="24"/>
          <w:lang w:eastAsia="ru-RU"/>
        </w:rPr>
        <w:t xml:space="preserve"> în cel </w:t>
      </w:r>
      <w:r w:rsidR="00B00893" w:rsidRPr="00282742">
        <w:rPr>
          <w:rFonts w:ascii="Times New Roman" w:eastAsia="Times New Roman" w:hAnsi="Times New Roman" w:cs="Times New Roman"/>
          <w:i/>
          <w:color w:val="000000"/>
          <w:sz w:val="24"/>
          <w:szCs w:val="24"/>
        </w:rPr>
        <w:t>FTSCFTS</w:t>
      </w:r>
      <w:r w:rsidR="00BD7C9D" w:rsidRPr="00125FAF">
        <w:rPr>
          <w:rFonts w:ascii="Times New Roman" w:eastAsia="Times New Roman" w:hAnsi="Times New Roman" w:cs="Times New Roman"/>
          <w:sz w:val="24"/>
          <w:szCs w:val="24"/>
          <w:lang w:eastAsia="ru-RU"/>
        </w:rPr>
        <w:t xml:space="preserve">, promovarea unui management eficient al </w:t>
      </w:r>
      <w:proofErr w:type="spellStart"/>
      <w:r w:rsidR="00BD7C9D" w:rsidRPr="00125FAF">
        <w:rPr>
          <w:rFonts w:ascii="Times New Roman" w:eastAsia="Times New Roman" w:hAnsi="Times New Roman" w:cs="Times New Roman"/>
          <w:sz w:val="24"/>
          <w:szCs w:val="24"/>
          <w:lang w:eastAsia="ru-RU"/>
        </w:rPr>
        <w:t>deşeurilor</w:t>
      </w:r>
      <w:proofErr w:type="spellEnd"/>
      <w:r w:rsidR="00BD7C9D" w:rsidRPr="00125FAF">
        <w:rPr>
          <w:rFonts w:ascii="Times New Roman" w:eastAsia="Times New Roman" w:hAnsi="Times New Roman" w:cs="Times New Roman"/>
          <w:sz w:val="24"/>
          <w:szCs w:val="24"/>
          <w:lang w:eastAsia="ru-RU"/>
        </w:rPr>
        <w:t xml:space="preserve"> este greu a fi conceput fără sprijinul donatorilor </w:t>
      </w:r>
      <w:proofErr w:type="spellStart"/>
      <w:r w:rsidR="00BD7C9D" w:rsidRPr="00125FAF">
        <w:rPr>
          <w:rFonts w:ascii="Times New Roman" w:eastAsia="Times New Roman" w:hAnsi="Times New Roman" w:cs="Times New Roman"/>
          <w:sz w:val="24"/>
          <w:szCs w:val="24"/>
          <w:lang w:eastAsia="ru-RU"/>
        </w:rPr>
        <w:t>internaţionali</w:t>
      </w:r>
      <w:proofErr w:type="spellEnd"/>
      <w:r w:rsidR="00BD7C9D" w:rsidRPr="00125FAF">
        <w:rPr>
          <w:rFonts w:ascii="Times New Roman" w:eastAsia="Times New Roman" w:hAnsi="Times New Roman" w:cs="Times New Roman"/>
          <w:sz w:val="24"/>
          <w:szCs w:val="24"/>
          <w:lang w:eastAsia="ru-RU"/>
        </w:rPr>
        <w:t xml:space="preserve">, </w:t>
      </w:r>
      <w:proofErr w:type="spellStart"/>
      <w:r w:rsidR="00BD7C9D" w:rsidRPr="00125FAF">
        <w:rPr>
          <w:rFonts w:ascii="Times New Roman" w:eastAsia="Times New Roman" w:hAnsi="Times New Roman" w:cs="Times New Roman"/>
          <w:sz w:val="24"/>
          <w:szCs w:val="24"/>
          <w:lang w:eastAsia="ru-RU"/>
        </w:rPr>
        <w:t>toţi</w:t>
      </w:r>
      <w:proofErr w:type="spellEnd"/>
      <w:r w:rsidR="00BD7C9D" w:rsidRPr="00125FAF">
        <w:rPr>
          <w:rFonts w:ascii="Times New Roman" w:eastAsia="Times New Roman" w:hAnsi="Times New Roman" w:cs="Times New Roman"/>
          <w:sz w:val="24"/>
          <w:szCs w:val="24"/>
          <w:lang w:eastAsia="ru-RU"/>
        </w:rPr>
        <w:t xml:space="preserve"> </w:t>
      </w:r>
      <w:proofErr w:type="spellStart"/>
      <w:r w:rsidR="00BD7C9D" w:rsidRPr="00125FAF">
        <w:rPr>
          <w:rFonts w:ascii="Times New Roman" w:eastAsia="Times New Roman" w:hAnsi="Times New Roman" w:cs="Times New Roman"/>
          <w:sz w:val="24"/>
          <w:szCs w:val="24"/>
          <w:lang w:eastAsia="ru-RU"/>
        </w:rPr>
        <w:t>condiţionând</w:t>
      </w:r>
      <w:proofErr w:type="spellEnd"/>
      <w:r w:rsidR="00BD7C9D" w:rsidRPr="00125FAF">
        <w:rPr>
          <w:rFonts w:ascii="Times New Roman" w:eastAsia="Times New Roman" w:hAnsi="Times New Roman" w:cs="Times New Roman"/>
          <w:sz w:val="24"/>
          <w:szCs w:val="24"/>
          <w:lang w:eastAsia="ru-RU"/>
        </w:rPr>
        <w:t xml:space="preserve"> eliberarea de fonduri doar în </w:t>
      </w:r>
      <w:proofErr w:type="spellStart"/>
      <w:r w:rsidR="00BD7C9D" w:rsidRPr="00125FAF">
        <w:rPr>
          <w:rFonts w:ascii="Times New Roman" w:eastAsia="Times New Roman" w:hAnsi="Times New Roman" w:cs="Times New Roman"/>
          <w:sz w:val="24"/>
          <w:szCs w:val="24"/>
          <w:lang w:eastAsia="ru-RU"/>
        </w:rPr>
        <w:t>condiţiile</w:t>
      </w:r>
      <w:proofErr w:type="spellEnd"/>
      <w:r w:rsidR="00BD7C9D" w:rsidRPr="00125FAF">
        <w:rPr>
          <w:rFonts w:ascii="Times New Roman" w:eastAsia="Times New Roman" w:hAnsi="Times New Roman" w:cs="Times New Roman"/>
          <w:sz w:val="24"/>
          <w:szCs w:val="24"/>
          <w:lang w:eastAsia="ru-RU"/>
        </w:rPr>
        <w:t xml:space="preserve"> în care politicile </w:t>
      </w:r>
      <w:proofErr w:type="spellStart"/>
      <w:r w:rsidR="00BD7C9D" w:rsidRPr="00125FAF">
        <w:rPr>
          <w:rFonts w:ascii="Times New Roman" w:eastAsia="Times New Roman" w:hAnsi="Times New Roman" w:cs="Times New Roman"/>
          <w:sz w:val="24"/>
          <w:szCs w:val="24"/>
          <w:lang w:eastAsia="ru-RU"/>
        </w:rPr>
        <w:t>ţării</w:t>
      </w:r>
      <w:proofErr w:type="spellEnd"/>
      <w:r w:rsidR="00BD7C9D" w:rsidRPr="00125FAF">
        <w:rPr>
          <w:rFonts w:ascii="Times New Roman" w:eastAsia="Times New Roman" w:hAnsi="Times New Roman" w:cs="Times New Roman"/>
          <w:sz w:val="24"/>
          <w:szCs w:val="24"/>
          <w:lang w:eastAsia="ru-RU"/>
        </w:rPr>
        <w:t xml:space="preserve"> sunt în </w:t>
      </w:r>
      <w:proofErr w:type="spellStart"/>
      <w:r w:rsidR="00BD7C9D" w:rsidRPr="00125FAF">
        <w:rPr>
          <w:rFonts w:ascii="Times New Roman" w:eastAsia="Times New Roman" w:hAnsi="Times New Roman" w:cs="Times New Roman"/>
          <w:sz w:val="24"/>
          <w:szCs w:val="24"/>
          <w:lang w:eastAsia="ru-RU"/>
        </w:rPr>
        <w:t>concordanţă</w:t>
      </w:r>
      <w:proofErr w:type="spellEnd"/>
      <w:r w:rsidR="00BD7C9D" w:rsidRPr="00125FAF">
        <w:rPr>
          <w:rFonts w:ascii="Times New Roman" w:eastAsia="Times New Roman" w:hAnsi="Times New Roman" w:cs="Times New Roman"/>
          <w:sz w:val="24"/>
          <w:szCs w:val="24"/>
          <w:lang w:eastAsia="ru-RU"/>
        </w:rPr>
        <w:t xml:space="preserve"> cu Acordul de la Paris.</w:t>
      </w:r>
    </w:p>
    <w:p w14:paraId="2BC8A90D" w14:textId="273B2F63" w:rsidR="00340373" w:rsidRPr="00125FAF" w:rsidRDefault="00340373" w:rsidP="00340373">
      <w:pPr>
        <w:spacing w:after="0" w:line="240" w:lineRule="auto"/>
        <w:jc w:val="both"/>
        <w:rPr>
          <w:rFonts w:ascii="Times New Roman" w:eastAsia="Times New Roman" w:hAnsi="Times New Roman" w:cs="Times New Roman"/>
          <w:sz w:val="24"/>
          <w:szCs w:val="24"/>
          <w:lang w:eastAsia="ru-RU"/>
        </w:rPr>
      </w:pPr>
    </w:p>
    <w:p w14:paraId="6FF150B1" w14:textId="695A5F1E" w:rsidR="006364B2" w:rsidRPr="00125FAF" w:rsidRDefault="006364B2" w:rsidP="001F2F2D">
      <w:pPr>
        <w:spacing w:after="120" w:line="240" w:lineRule="auto"/>
        <w:jc w:val="center"/>
        <w:outlineLvl w:val="1"/>
        <w:rPr>
          <w:rFonts w:ascii="Times New Roman" w:eastAsia="Times New Roman" w:hAnsi="Times New Roman" w:cs="Times New Roman"/>
          <w:b/>
          <w:bCs/>
          <w:color w:val="000000"/>
          <w:sz w:val="24"/>
          <w:szCs w:val="24"/>
          <w:shd w:val="clear" w:color="auto" w:fill="FFFFFF"/>
          <w:lang w:eastAsia="ru-RU"/>
        </w:rPr>
      </w:pPr>
      <w:r w:rsidRPr="00125FAF">
        <w:rPr>
          <w:rFonts w:ascii="Times New Roman" w:eastAsia="Times New Roman" w:hAnsi="Times New Roman" w:cs="Times New Roman"/>
          <w:b/>
          <w:bCs/>
          <w:color w:val="000000"/>
          <w:sz w:val="24"/>
          <w:szCs w:val="24"/>
          <w:lang w:eastAsia="ru-RU"/>
        </w:rPr>
        <w:t>III. O</w:t>
      </w:r>
      <w:r w:rsidRPr="00125FAF">
        <w:rPr>
          <w:rFonts w:ascii="Times New Roman" w:eastAsia="Times New Roman" w:hAnsi="Times New Roman" w:cs="Times New Roman"/>
          <w:b/>
          <w:bCs/>
          <w:color w:val="000000"/>
          <w:sz w:val="24"/>
          <w:szCs w:val="24"/>
          <w:shd w:val="clear" w:color="auto" w:fill="FFFFFF"/>
          <w:lang w:eastAsia="ru-RU"/>
        </w:rPr>
        <w:t>BIECTIVELE</w:t>
      </w:r>
      <w:r w:rsidR="007B531A" w:rsidRPr="00125FAF">
        <w:rPr>
          <w:rFonts w:ascii="Times New Roman" w:eastAsia="Times New Roman" w:hAnsi="Times New Roman" w:cs="Times New Roman"/>
          <w:b/>
          <w:bCs/>
          <w:color w:val="000000"/>
          <w:sz w:val="24"/>
          <w:szCs w:val="24"/>
          <w:shd w:val="clear" w:color="auto" w:fill="FFFFFF"/>
          <w:lang w:eastAsia="ru-RU"/>
        </w:rPr>
        <w:t xml:space="preserve"> GENERALE</w:t>
      </w:r>
    </w:p>
    <w:p w14:paraId="17B18413" w14:textId="64CF7838" w:rsidR="006364B2" w:rsidRPr="00125FAF" w:rsidRDefault="006364B2" w:rsidP="006364B2">
      <w:pPr>
        <w:spacing w:after="0" w:line="240" w:lineRule="auto"/>
        <w:ind w:firstLine="720"/>
        <w:jc w:val="both"/>
        <w:rPr>
          <w:rFonts w:ascii="Times New Roman" w:eastAsia="Times New Roman" w:hAnsi="Times New Roman" w:cs="Times New Roman"/>
          <w:sz w:val="24"/>
          <w:szCs w:val="24"/>
          <w:lang w:eastAsia="ru-RU"/>
        </w:rPr>
      </w:pPr>
      <w:r w:rsidRPr="00125FAF">
        <w:rPr>
          <w:rFonts w:ascii="Times New Roman" w:eastAsia="Times New Roman" w:hAnsi="Times New Roman" w:cs="Times New Roman"/>
          <w:color w:val="000000"/>
          <w:sz w:val="24"/>
          <w:szCs w:val="24"/>
          <w:lang w:eastAsia="ru-RU"/>
        </w:rPr>
        <w:t>1</w:t>
      </w:r>
      <w:r w:rsidR="007909C8" w:rsidRPr="00125FAF">
        <w:rPr>
          <w:rFonts w:ascii="Times New Roman" w:eastAsia="Times New Roman" w:hAnsi="Times New Roman" w:cs="Times New Roman"/>
          <w:color w:val="000000"/>
          <w:sz w:val="24"/>
          <w:szCs w:val="24"/>
          <w:lang w:eastAsia="ru-RU"/>
        </w:rPr>
        <w:t>8</w:t>
      </w:r>
      <w:r w:rsidRPr="00125FAF">
        <w:rPr>
          <w:rFonts w:ascii="Times New Roman" w:eastAsia="Times New Roman" w:hAnsi="Times New Roman" w:cs="Times New Roman"/>
          <w:color w:val="000000"/>
          <w:sz w:val="24"/>
          <w:szCs w:val="24"/>
          <w:lang w:eastAsia="ru-RU"/>
        </w:rPr>
        <w:t>. Prezent</w:t>
      </w:r>
      <w:r w:rsidR="007B531A" w:rsidRPr="00125FAF">
        <w:rPr>
          <w:rFonts w:ascii="Times New Roman" w:eastAsia="Times New Roman" w:hAnsi="Times New Roman" w:cs="Times New Roman"/>
          <w:color w:val="000000"/>
          <w:sz w:val="24"/>
          <w:szCs w:val="24"/>
          <w:lang w:eastAsia="ru-RU"/>
        </w:rPr>
        <w:t>ul Program</w:t>
      </w:r>
      <w:r w:rsidRPr="00125FAF">
        <w:rPr>
          <w:rFonts w:ascii="Times New Roman" w:eastAsia="Times New Roman" w:hAnsi="Times New Roman" w:cs="Times New Roman"/>
          <w:color w:val="000000"/>
          <w:sz w:val="24"/>
          <w:szCs w:val="24"/>
          <w:lang w:eastAsia="ru-RU"/>
        </w:rPr>
        <w:t xml:space="preserve"> </w:t>
      </w:r>
      <w:r w:rsidR="002F5853" w:rsidRPr="00125FAF">
        <w:rPr>
          <w:rFonts w:ascii="Times New Roman" w:eastAsia="Times New Roman" w:hAnsi="Times New Roman" w:cs="Times New Roman"/>
          <w:color w:val="000000"/>
          <w:sz w:val="24"/>
          <w:szCs w:val="24"/>
          <w:lang w:eastAsia="ru-RU"/>
        </w:rPr>
        <w:t xml:space="preserve">este </w:t>
      </w:r>
      <w:r w:rsidR="00B3479A" w:rsidRPr="00125FAF">
        <w:rPr>
          <w:rFonts w:ascii="Times New Roman" w:eastAsia="Times New Roman" w:hAnsi="Times New Roman" w:cs="Times New Roman"/>
          <w:color w:val="000000"/>
          <w:sz w:val="24"/>
          <w:szCs w:val="24"/>
          <w:lang w:eastAsia="ru-RU"/>
        </w:rPr>
        <w:t xml:space="preserve">chemat să </w:t>
      </w:r>
      <w:r w:rsidR="002F5853" w:rsidRPr="00125FAF">
        <w:rPr>
          <w:rFonts w:ascii="Times New Roman" w:eastAsia="Times New Roman" w:hAnsi="Times New Roman" w:cs="Times New Roman"/>
          <w:color w:val="000000"/>
          <w:sz w:val="24"/>
          <w:szCs w:val="24"/>
          <w:lang w:eastAsia="ru-RU"/>
        </w:rPr>
        <w:t xml:space="preserve">contribuie </w:t>
      </w:r>
      <w:r w:rsidR="00B3479A" w:rsidRPr="00125FAF">
        <w:rPr>
          <w:rFonts w:ascii="Times New Roman" w:eastAsia="Times New Roman" w:hAnsi="Times New Roman" w:cs="Times New Roman"/>
          <w:color w:val="000000"/>
          <w:sz w:val="24"/>
          <w:szCs w:val="24"/>
          <w:lang w:eastAsia="ru-RU"/>
        </w:rPr>
        <w:t>la realizarea</w:t>
      </w:r>
      <w:r w:rsidR="002F5853" w:rsidRPr="00125FAF">
        <w:rPr>
          <w:rFonts w:ascii="Times New Roman" w:eastAsia="Times New Roman" w:hAnsi="Times New Roman" w:cs="Times New Roman"/>
          <w:color w:val="000000"/>
          <w:sz w:val="24"/>
          <w:szCs w:val="24"/>
          <w:lang w:eastAsia="ru-RU"/>
        </w:rPr>
        <w:t xml:space="preserve"> </w:t>
      </w:r>
      <w:r w:rsidR="00B3479A" w:rsidRPr="00125FAF">
        <w:rPr>
          <w:rFonts w:ascii="Times New Roman" w:eastAsia="Times New Roman" w:hAnsi="Times New Roman" w:cs="Times New Roman"/>
          <w:color w:val="000000"/>
          <w:sz w:val="24"/>
          <w:szCs w:val="24"/>
          <w:lang w:eastAsia="ru-RU"/>
        </w:rPr>
        <w:t xml:space="preserve">Strategiei </w:t>
      </w:r>
      <w:proofErr w:type="spellStart"/>
      <w:r w:rsidR="00B3479A" w:rsidRPr="00125FAF">
        <w:rPr>
          <w:rFonts w:ascii="Times New Roman" w:eastAsia="Times New Roman" w:hAnsi="Times New Roman" w:cs="Times New Roman"/>
          <w:color w:val="000000"/>
          <w:sz w:val="24"/>
          <w:szCs w:val="24"/>
          <w:lang w:eastAsia="ru-RU"/>
        </w:rPr>
        <w:t>Naţionale</w:t>
      </w:r>
      <w:proofErr w:type="spellEnd"/>
      <w:r w:rsidR="00B3479A" w:rsidRPr="00125FAF">
        <w:rPr>
          <w:rFonts w:ascii="Times New Roman" w:eastAsia="Times New Roman" w:hAnsi="Times New Roman" w:cs="Times New Roman"/>
          <w:color w:val="000000"/>
          <w:sz w:val="24"/>
          <w:szCs w:val="24"/>
          <w:lang w:eastAsia="ru-RU"/>
        </w:rPr>
        <w:t xml:space="preserve"> de Dezvoltare</w:t>
      </w:r>
      <w:r w:rsidR="00851482" w:rsidRPr="00125FAF">
        <w:rPr>
          <w:rFonts w:ascii="Times New Roman" w:eastAsia="Times New Roman" w:hAnsi="Times New Roman" w:cs="Times New Roman"/>
          <w:color w:val="000000"/>
          <w:sz w:val="24"/>
          <w:szCs w:val="24"/>
          <w:lang w:eastAsia="ru-RU"/>
        </w:rPr>
        <w:t xml:space="preserve"> 2030</w:t>
      </w:r>
      <w:r w:rsidR="00B3479A" w:rsidRPr="00125FAF">
        <w:rPr>
          <w:rFonts w:ascii="Times New Roman" w:eastAsia="Times New Roman" w:hAnsi="Times New Roman" w:cs="Times New Roman"/>
          <w:color w:val="000000"/>
          <w:sz w:val="24"/>
          <w:szCs w:val="24"/>
          <w:lang w:eastAsia="ru-RU"/>
        </w:rPr>
        <w:t xml:space="preserve"> în partea ce </w:t>
      </w:r>
      <w:proofErr w:type="spellStart"/>
      <w:r w:rsidR="00B3479A" w:rsidRPr="00125FAF">
        <w:rPr>
          <w:rFonts w:ascii="Times New Roman" w:eastAsia="Times New Roman" w:hAnsi="Times New Roman" w:cs="Times New Roman"/>
          <w:color w:val="000000"/>
          <w:sz w:val="24"/>
          <w:szCs w:val="24"/>
          <w:lang w:eastAsia="ru-RU"/>
        </w:rPr>
        <w:t>ţine</w:t>
      </w:r>
      <w:proofErr w:type="spellEnd"/>
      <w:r w:rsidR="00B3479A" w:rsidRPr="00125FAF">
        <w:rPr>
          <w:rFonts w:ascii="Times New Roman" w:eastAsia="Times New Roman" w:hAnsi="Times New Roman" w:cs="Times New Roman"/>
          <w:color w:val="000000"/>
          <w:sz w:val="24"/>
          <w:szCs w:val="24"/>
          <w:lang w:eastAsia="ru-RU"/>
        </w:rPr>
        <w:t xml:space="preserve"> de </w:t>
      </w:r>
      <w:r w:rsidR="00851482" w:rsidRPr="00125FAF">
        <w:rPr>
          <w:rFonts w:ascii="Times New Roman" w:eastAsia="Times New Roman" w:hAnsi="Times New Roman" w:cs="Times New Roman"/>
          <w:color w:val="000000"/>
          <w:sz w:val="24"/>
          <w:szCs w:val="24"/>
          <w:lang w:eastAsia="ru-RU"/>
        </w:rPr>
        <w:t>Asigurarea dreptului fundamental la un mediu sănătos și sigur</w:t>
      </w:r>
      <w:r w:rsidR="00BA570E" w:rsidRPr="00125FAF">
        <w:rPr>
          <w:rFonts w:ascii="Times New Roman" w:eastAsia="Times New Roman" w:hAnsi="Times New Roman" w:cs="Times New Roman"/>
          <w:color w:val="000000"/>
          <w:sz w:val="24"/>
          <w:szCs w:val="24"/>
          <w:lang w:eastAsia="ru-RU"/>
        </w:rPr>
        <w:t>,</w:t>
      </w:r>
      <w:r w:rsidR="00851482" w:rsidRPr="00125FAF">
        <w:rPr>
          <w:rFonts w:ascii="Times New Roman" w:eastAsia="Times New Roman" w:hAnsi="Times New Roman" w:cs="Times New Roman"/>
          <w:color w:val="000000"/>
          <w:sz w:val="24"/>
          <w:szCs w:val="24"/>
          <w:lang w:eastAsia="ru-RU"/>
        </w:rPr>
        <w:t xml:space="preserve"> prin </w:t>
      </w:r>
      <w:r w:rsidRPr="00125FAF">
        <w:rPr>
          <w:rFonts w:ascii="Times New Roman" w:eastAsia="Times New Roman" w:hAnsi="Times New Roman" w:cs="Times New Roman"/>
          <w:color w:val="000000"/>
          <w:sz w:val="24"/>
          <w:szCs w:val="24"/>
          <w:lang w:eastAsia="ru-RU"/>
        </w:rPr>
        <w:t>dezvoltarea economică verde</w:t>
      </w:r>
      <w:r w:rsidR="00B04AE6" w:rsidRPr="00125FAF">
        <w:rPr>
          <w:rFonts w:ascii="Times New Roman" w:eastAsia="Times New Roman" w:hAnsi="Times New Roman" w:cs="Times New Roman"/>
          <w:color w:val="000000"/>
          <w:sz w:val="24"/>
          <w:szCs w:val="24"/>
          <w:lang w:eastAsia="ru-RU"/>
        </w:rPr>
        <w:t xml:space="preserve"> </w:t>
      </w:r>
      <w:proofErr w:type="spellStart"/>
      <w:r w:rsidR="00B04AE6" w:rsidRPr="00125FAF">
        <w:rPr>
          <w:rFonts w:ascii="Times New Roman" w:eastAsia="Times New Roman" w:hAnsi="Times New Roman" w:cs="Times New Roman"/>
          <w:color w:val="000000"/>
          <w:sz w:val="24"/>
          <w:szCs w:val="24"/>
          <w:lang w:eastAsia="ru-RU"/>
        </w:rPr>
        <w:t>şi</w:t>
      </w:r>
      <w:proofErr w:type="spellEnd"/>
      <w:r w:rsidR="00B04AE6" w:rsidRPr="00125FAF">
        <w:rPr>
          <w:rFonts w:ascii="Times New Roman" w:eastAsia="Times New Roman" w:hAnsi="Times New Roman" w:cs="Times New Roman"/>
          <w:color w:val="000000"/>
          <w:sz w:val="24"/>
          <w:szCs w:val="24"/>
          <w:lang w:eastAsia="ru-RU"/>
        </w:rPr>
        <w:t xml:space="preserve"> durabilă</w:t>
      </w:r>
      <w:r w:rsidRPr="00125FAF">
        <w:rPr>
          <w:rFonts w:ascii="Times New Roman" w:eastAsia="Times New Roman" w:hAnsi="Times New Roman" w:cs="Times New Roman"/>
          <w:color w:val="000000"/>
          <w:sz w:val="24"/>
          <w:szCs w:val="24"/>
          <w:lang w:eastAsia="ru-RU"/>
        </w:rPr>
        <w:t>, av</w:t>
      </w:r>
      <w:r w:rsidR="00851482" w:rsidRPr="00125FAF">
        <w:rPr>
          <w:rFonts w:ascii="Times New Roman" w:eastAsia="Times New Roman" w:hAnsi="Times New Roman" w:cs="Times New Roman"/>
          <w:color w:val="000000"/>
          <w:sz w:val="24"/>
          <w:szCs w:val="24"/>
          <w:lang w:eastAsia="ru-RU"/>
        </w:rPr>
        <w:t>â</w:t>
      </w:r>
      <w:r w:rsidRPr="00125FAF">
        <w:rPr>
          <w:rFonts w:ascii="Times New Roman" w:eastAsia="Times New Roman" w:hAnsi="Times New Roman" w:cs="Times New Roman"/>
          <w:color w:val="000000"/>
          <w:sz w:val="24"/>
          <w:szCs w:val="24"/>
          <w:lang w:eastAsia="ru-RU"/>
        </w:rPr>
        <w:t>nd la bază o evaluare a constr</w:t>
      </w:r>
      <w:r w:rsidR="00347FDA" w:rsidRPr="00125FAF">
        <w:rPr>
          <w:rFonts w:ascii="Times New Roman" w:eastAsia="Times New Roman" w:hAnsi="Times New Roman" w:cs="Times New Roman"/>
          <w:color w:val="000000"/>
          <w:sz w:val="24"/>
          <w:szCs w:val="24"/>
          <w:lang w:eastAsia="ru-RU"/>
        </w:rPr>
        <w:t>â</w:t>
      </w:r>
      <w:r w:rsidRPr="00125FAF">
        <w:rPr>
          <w:rFonts w:ascii="Times New Roman" w:eastAsia="Times New Roman" w:hAnsi="Times New Roman" w:cs="Times New Roman"/>
          <w:color w:val="000000"/>
          <w:sz w:val="24"/>
          <w:szCs w:val="24"/>
          <w:lang w:eastAsia="ru-RU"/>
        </w:rPr>
        <w:t xml:space="preserve">ngerilor dezvoltării cu emisii reduse de carbon. Sub acest aspect, ea va consolida </w:t>
      </w:r>
      <w:proofErr w:type="spellStart"/>
      <w:r w:rsidRPr="00125FAF">
        <w:rPr>
          <w:rFonts w:ascii="Times New Roman" w:eastAsia="Times New Roman" w:hAnsi="Times New Roman" w:cs="Times New Roman"/>
          <w:color w:val="000000"/>
          <w:sz w:val="24"/>
          <w:szCs w:val="24"/>
          <w:lang w:eastAsia="ru-RU"/>
        </w:rPr>
        <w:t>şi</w:t>
      </w:r>
      <w:proofErr w:type="spellEnd"/>
      <w:r w:rsidRPr="00125FAF">
        <w:rPr>
          <w:rFonts w:ascii="Times New Roman" w:eastAsia="Times New Roman" w:hAnsi="Times New Roman" w:cs="Times New Roman"/>
          <w:color w:val="000000"/>
          <w:sz w:val="24"/>
          <w:szCs w:val="24"/>
          <w:lang w:eastAsia="ru-RU"/>
        </w:rPr>
        <w:t xml:space="preserve"> va ghida abordarea de dezvoltare sectorială</w:t>
      </w:r>
      <w:r w:rsidR="00B04AE6" w:rsidRPr="00125FAF">
        <w:rPr>
          <w:rFonts w:ascii="Times New Roman" w:eastAsia="Times New Roman" w:hAnsi="Times New Roman" w:cs="Times New Roman"/>
          <w:color w:val="000000"/>
          <w:sz w:val="24"/>
          <w:szCs w:val="24"/>
          <w:lang w:eastAsia="ru-RU"/>
        </w:rPr>
        <w:t>.</w:t>
      </w:r>
    </w:p>
    <w:p w14:paraId="1024846D" w14:textId="324B25EC" w:rsidR="00B04AE6" w:rsidRPr="00125FAF" w:rsidRDefault="006364B2" w:rsidP="006364B2">
      <w:pPr>
        <w:spacing w:after="0" w:line="240" w:lineRule="auto"/>
        <w:ind w:firstLine="720"/>
        <w:jc w:val="both"/>
        <w:rPr>
          <w:rFonts w:ascii="Times New Roman" w:eastAsia="Times New Roman" w:hAnsi="Times New Roman" w:cs="Times New Roman"/>
          <w:color w:val="000000"/>
          <w:sz w:val="24"/>
          <w:szCs w:val="24"/>
          <w:lang w:eastAsia="ru-RU"/>
        </w:rPr>
      </w:pPr>
      <w:r w:rsidRPr="00125FAF">
        <w:rPr>
          <w:rFonts w:ascii="Times New Roman" w:eastAsia="Times New Roman" w:hAnsi="Times New Roman" w:cs="Times New Roman"/>
          <w:color w:val="000000"/>
          <w:sz w:val="24"/>
          <w:szCs w:val="24"/>
          <w:lang w:eastAsia="ru-RU"/>
        </w:rPr>
        <w:t>1</w:t>
      </w:r>
      <w:r w:rsidR="007909C8" w:rsidRPr="00125FAF">
        <w:rPr>
          <w:rFonts w:ascii="Times New Roman" w:eastAsia="Times New Roman" w:hAnsi="Times New Roman" w:cs="Times New Roman"/>
          <w:color w:val="000000"/>
          <w:sz w:val="24"/>
          <w:szCs w:val="24"/>
          <w:lang w:eastAsia="ru-RU"/>
        </w:rPr>
        <w:t>9</w:t>
      </w:r>
      <w:r w:rsidRPr="00125FAF">
        <w:rPr>
          <w:rFonts w:ascii="Times New Roman" w:eastAsia="Times New Roman" w:hAnsi="Times New Roman" w:cs="Times New Roman"/>
          <w:color w:val="000000"/>
          <w:sz w:val="24"/>
          <w:szCs w:val="24"/>
          <w:lang w:eastAsia="ru-RU"/>
        </w:rPr>
        <w:t xml:space="preserve">. </w:t>
      </w:r>
      <w:r w:rsidRPr="00125FAF">
        <w:rPr>
          <w:rFonts w:ascii="Times New Roman" w:eastAsia="Times New Roman" w:hAnsi="Times New Roman" w:cs="Times New Roman"/>
          <w:b/>
          <w:bCs/>
          <w:color w:val="000000"/>
          <w:sz w:val="24"/>
          <w:szCs w:val="24"/>
          <w:lang w:eastAsia="ru-RU"/>
        </w:rPr>
        <w:t>Viziunea</w:t>
      </w:r>
      <w:r w:rsidRPr="00125FAF">
        <w:rPr>
          <w:rFonts w:ascii="Times New Roman" w:eastAsia="Times New Roman" w:hAnsi="Times New Roman" w:cs="Times New Roman"/>
          <w:color w:val="000000"/>
          <w:sz w:val="24"/>
          <w:szCs w:val="24"/>
          <w:lang w:eastAsia="ru-RU"/>
        </w:rPr>
        <w:t xml:space="preserve"> prezent</w:t>
      </w:r>
      <w:r w:rsidR="007B531A" w:rsidRPr="00125FAF">
        <w:rPr>
          <w:rFonts w:ascii="Times New Roman" w:eastAsia="Times New Roman" w:hAnsi="Times New Roman" w:cs="Times New Roman"/>
          <w:color w:val="000000"/>
          <w:sz w:val="24"/>
          <w:szCs w:val="24"/>
          <w:lang w:eastAsia="ru-RU"/>
        </w:rPr>
        <w:t>ului Program</w:t>
      </w:r>
      <w:r w:rsidRPr="00125FAF">
        <w:rPr>
          <w:rFonts w:ascii="Times New Roman" w:eastAsia="Times New Roman" w:hAnsi="Times New Roman" w:cs="Times New Roman"/>
          <w:color w:val="000000"/>
          <w:sz w:val="24"/>
          <w:szCs w:val="24"/>
          <w:lang w:eastAsia="ru-RU"/>
        </w:rPr>
        <w:t xml:space="preserve"> </w:t>
      </w:r>
      <w:r w:rsidR="006C235E" w:rsidRPr="00125FAF">
        <w:rPr>
          <w:rFonts w:ascii="Times New Roman" w:eastAsia="Times New Roman" w:hAnsi="Times New Roman" w:cs="Times New Roman"/>
          <w:color w:val="000000"/>
          <w:sz w:val="24"/>
          <w:szCs w:val="24"/>
          <w:lang w:eastAsia="ru-RU"/>
        </w:rPr>
        <w:t>este proiectat</w:t>
      </w:r>
      <w:r w:rsidR="00856CDF" w:rsidRPr="00125FAF">
        <w:rPr>
          <w:rFonts w:ascii="Times New Roman" w:eastAsia="Times New Roman" w:hAnsi="Times New Roman" w:cs="Times New Roman"/>
          <w:color w:val="000000"/>
          <w:sz w:val="24"/>
          <w:szCs w:val="24"/>
          <w:lang w:eastAsia="ru-RU"/>
        </w:rPr>
        <w:t>ă</w:t>
      </w:r>
      <w:r w:rsidR="006C235E" w:rsidRPr="00125FAF">
        <w:rPr>
          <w:rFonts w:ascii="Times New Roman" w:eastAsia="Times New Roman" w:hAnsi="Times New Roman" w:cs="Times New Roman"/>
          <w:color w:val="000000"/>
          <w:sz w:val="24"/>
          <w:szCs w:val="24"/>
          <w:lang w:eastAsia="ru-RU"/>
        </w:rPr>
        <w:t xml:space="preserve"> pentru perioada până în anul 2030, când </w:t>
      </w:r>
      <w:r w:rsidR="00BA570E" w:rsidRPr="00125FAF">
        <w:rPr>
          <w:rFonts w:ascii="Times New Roman" w:eastAsia="Times New Roman" w:hAnsi="Times New Roman" w:cs="Times New Roman"/>
          <w:color w:val="000000"/>
          <w:sz w:val="24"/>
          <w:szCs w:val="24"/>
          <w:lang w:eastAsia="ru-RU"/>
        </w:rPr>
        <w:t>„</w:t>
      </w:r>
      <w:r w:rsidR="006C235E" w:rsidRPr="00125FAF">
        <w:rPr>
          <w:rFonts w:ascii="Times New Roman" w:eastAsia="Times New Roman" w:hAnsi="Times New Roman" w:cs="Times New Roman"/>
          <w:color w:val="000000"/>
          <w:sz w:val="24"/>
          <w:szCs w:val="24"/>
          <w:lang w:eastAsia="ru-RU"/>
        </w:rPr>
        <w:t>Republica Moldova va deveni o țară în care oamenii vor dori să trăiască, vor vedea oportunități pentru dezvoltarea individuală și de care își vor lega aspirațiile, o țară pe care părinții o vor vedea ca loc bun de trai și de dezvoltare pentru copiii lor</w:t>
      </w:r>
      <w:r w:rsidR="00BA570E" w:rsidRPr="00125FAF">
        <w:rPr>
          <w:rFonts w:ascii="Times New Roman" w:eastAsia="Times New Roman" w:hAnsi="Times New Roman" w:cs="Times New Roman"/>
          <w:color w:val="000000"/>
          <w:sz w:val="24"/>
          <w:szCs w:val="24"/>
          <w:lang w:eastAsia="ru-RU"/>
        </w:rPr>
        <w:t>”</w:t>
      </w:r>
      <w:r w:rsidR="006C235E" w:rsidRPr="00125FAF">
        <w:rPr>
          <w:rFonts w:ascii="Times New Roman" w:eastAsia="Times New Roman" w:hAnsi="Times New Roman" w:cs="Times New Roman"/>
          <w:color w:val="000000"/>
          <w:sz w:val="24"/>
          <w:szCs w:val="24"/>
          <w:lang w:eastAsia="ru-RU"/>
        </w:rPr>
        <w:t xml:space="preserve">, dat fiind că pe lângă alte </w:t>
      </w:r>
      <w:proofErr w:type="spellStart"/>
      <w:r w:rsidR="006C235E" w:rsidRPr="00125FAF">
        <w:rPr>
          <w:rFonts w:ascii="Times New Roman" w:eastAsia="Times New Roman" w:hAnsi="Times New Roman" w:cs="Times New Roman"/>
          <w:color w:val="000000"/>
          <w:sz w:val="24"/>
          <w:szCs w:val="24"/>
          <w:lang w:eastAsia="ru-RU"/>
        </w:rPr>
        <w:t>oportunităţi</w:t>
      </w:r>
      <w:proofErr w:type="spellEnd"/>
      <w:r w:rsidR="006C235E" w:rsidRPr="00125FAF">
        <w:rPr>
          <w:rFonts w:ascii="Times New Roman" w:eastAsia="Times New Roman" w:hAnsi="Times New Roman" w:cs="Times New Roman"/>
          <w:color w:val="000000"/>
          <w:sz w:val="24"/>
          <w:szCs w:val="24"/>
          <w:lang w:eastAsia="ru-RU"/>
        </w:rPr>
        <w:t xml:space="preserve"> de </w:t>
      </w:r>
      <w:proofErr w:type="spellStart"/>
      <w:r w:rsidR="006C235E" w:rsidRPr="00125FAF">
        <w:rPr>
          <w:rFonts w:ascii="Times New Roman" w:eastAsia="Times New Roman" w:hAnsi="Times New Roman" w:cs="Times New Roman"/>
          <w:color w:val="000000"/>
          <w:sz w:val="24"/>
          <w:szCs w:val="24"/>
          <w:lang w:eastAsia="ru-RU"/>
        </w:rPr>
        <w:t>viaţă</w:t>
      </w:r>
      <w:proofErr w:type="spellEnd"/>
      <w:r w:rsidR="006C235E" w:rsidRPr="00125FAF">
        <w:rPr>
          <w:rFonts w:ascii="Times New Roman" w:eastAsia="Times New Roman" w:hAnsi="Times New Roman" w:cs="Times New Roman"/>
          <w:color w:val="000000"/>
          <w:sz w:val="24"/>
          <w:szCs w:val="24"/>
          <w:lang w:eastAsia="ru-RU"/>
        </w:rPr>
        <w:t xml:space="preserve"> decentă, </w:t>
      </w:r>
      <w:r w:rsidR="00BA570E" w:rsidRPr="00125FAF">
        <w:rPr>
          <w:rFonts w:ascii="Times New Roman" w:eastAsia="Times New Roman" w:hAnsi="Times New Roman" w:cs="Times New Roman"/>
          <w:color w:val="000000"/>
          <w:sz w:val="24"/>
          <w:szCs w:val="24"/>
          <w:lang w:eastAsia="ru-RU"/>
        </w:rPr>
        <w:t xml:space="preserve">oamenii </w:t>
      </w:r>
      <w:r w:rsidR="006C235E" w:rsidRPr="00125FAF">
        <w:rPr>
          <w:rFonts w:ascii="Times New Roman" w:eastAsia="Times New Roman" w:hAnsi="Times New Roman" w:cs="Times New Roman"/>
          <w:color w:val="000000"/>
          <w:sz w:val="24"/>
          <w:szCs w:val="24"/>
          <w:lang w:eastAsia="ru-RU"/>
        </w:rPr>
        <w:t xml:space="preserve">se vor bucura de un mediu sănătos </w:t>
      </w:r>
      <w:proofErr w:type="spellStart"/>
      <w:r w:rsidR="006C235E" w:rsidRPr="00125FAF">
        <w:rPr>
          <w:rFonts w:ascii="Times New Roman" w:eastAsia="Times New Roman" w:hAnsi="Times New Roman" w:cs="Times New Roman"/>
          <w:color w:val="000000"/>
          <w:sz w:val="24"/>
          <w:szCs w:val="24"/>
          <w:lang w:eastAsia="ru-RU"/>
        </w:rPr>
        <w:t>şi</w:t>
      </w:r>
      <w:proofErr w:type="spellEnd"/>
      <w:r w:rsidR="006C235E" w:rsidRPr="00125FAF">
        <w:rPr>
          <w:rFonts w:ascii="Times New Roman" w:eastAsia="Times New Roman" w:hAnsi="Times New Roman" w:cs="Times New Roman"/>
          <w:color w:val="000000"/>
          <w:sz w:val="24"/>
          <w:szCs w:val="24"/>
          <w:lang w:eastAsia="ru-RU"/>
        </w:rPr>
        <w:t xml:space="preserve"> sigur</w:t>
      </w:r>
      <w:r w:rsidR="00BA570E" w:rsidRPr="00125FAF">
        <w:rPr>
          <w:rFonts w:ascii="Times New Roman" w:eastAsia="Times New Roman" w:hAnsi="Times New Roman" w:cs="Times New Roman"/>
          <w:color w:val="000000"/>
          <w:sz w:val="24"/>
          <w:szCs w:val="24"/>
          <w:lang w:eastAsia="ru-RU"/>
        </w:rPr>
        <w:t xml:space="preserve">. În acest sens </w:t>
      </w:r>
      <w:r w:rsidR="00A24DCA" w:rsidRPr="00125FAF">
        <w:rPr>
          <w:rFonts w:ascii="Times New Roman" w:eastAsia="Times New Roman" w:hAnsi="Times New Roman" w:cs="Times New Roman"/>
          <w:color w:val="000000"/>
          <w:sz w:val="24"/>
          <w:szCs w:val="24"/>
          <w:lang w:eastAsia="ru-RU"/>
        </w:rPr>
        <w:t>Programul</w:t>
      </w:r>
      <w:r w:rsidR="00BA570E" w:rsidRPr="00125FAF">
        <w:rPr>
          <w:rFonts w:ascii="Times New Roman" w:eastAsia="Times New Roman" w:hAnsi="Times New Roman" w:cs="Times New Roman"/>
          <w:color w:val="000000"/>
          <w:sz w:val="24"/>
          <w:szCs w:val="24"/>
          <w:lang w:eastAsia="ru-RU"/>
        </w:rPr>
        <w:t xml:space="preserve"> </w:t>
      </w:r>
      <w:proofErr w:type="spellStart"/>
      <w:r w:rsidR="00BA570E" w:rsidRPr="00125FAF">
        <w:rPr>
          <w:rFonts w:ascii="Times New Roman" w:eastAsia="Times New Roman" w:hAnsi="Times New Roman" w:cs="Times New Roman"/>
          <w:color w:val="000000"/>
          <w:sz w:val="24"/>
          <w:szCs w:val="24"/>
          <w:lang w:eastAsia="ru-RU"/>
        </w:rPr>
        <w:t>stabileşte</w:t>
      </w:r>
      <w:proofErr w:type="spellEnd"/>
      <w:r w:rsidR="00E70219" w:rsidRPr="00125FAF">
        <w:rPr>
          <w:rFonts w:ascii="Times New Roman" w:eastAsia="Times New Roman" w:hAnsi="Times New Roman" w:cs="Times New Roman"/>
          <w:color w:val="000000"/>
          <w:sz w:val="24"/>
          <w:szCs w:val="24"/>
          <w:lang w:eastAsia="ru-RU"/>
        </w:rPr>
        <w:t xml:space="preserve"> </w:t>
      </w:r>
      <w:r w:rsidR="00BA570E" w:rsidRPr="00125FAF">
        <w:rPr>
          <w:rFonts w:ascii="Times New Roman" w:eastAsia="Times New Roman" w:hAnsi="Times New Roman" w:cs="Times New Roman"/>
          <w:color w:val="000000"/>
          <w:sz w:val="24"/>
          <w:szCs w:val="24"/>
          <w:lang w:eastAsia="ru-RU"/>
        </w:rPr>
        <w:t xml:space="preserve">un </w:t>
      </w:r>
      <w:r w:rsidRPr="00125FAF">
        <w:rPr>
          <w:rFonts w:ascii="Times New Roman" w:eastAsia="Times New Roman" w:hAnsi="Times New Roman" w:cs="Times New Roman"/>
          <w:color w:val="000000"/>
          <w:sz w:val="24"/>
          <w:szCs w:val="24"/>
          <w:lang w:eastAsia="ru-RU"/>
        </w:rPr>
        <w:t xml:space="preserve">mecanism de dezvoltare </w:t>
      </w:r>
      <w:r w:rsidRPr="00125FAF">
        <w:rPr>
          <w:rFonts w:ascii="Times New Roman" w:eastAsia="Times New Roman" w:hAnsi="Times New Roman" w:cs="Times New Roman"/>
          <w:color w:val="000000"/>
          <w:sz w:val="24"/>
          <w:szCs w:val="24"/>
          <w:shd w:val="clear" w:color="auto" w:fill="FFFFFF"/>
          <w:lang w:eastAsia="ru-RU"/>
        </w:rPr>
        <w:t>orientat spre reducerea emisiilor de gaze cu efect de seră</w:t>
      </w:r>
      <w:r w:rsidRPr="00125FAF">
        <w:rPr>
          <w:rFonts w:ascii="Times New Roman" w:eastAsia="Times New Roman" w:hAnsi="Times New Roman" w:cs="Times New Roman"/>
          <w:color w:val="000000"/>
          <w:sz w:val="24"/>
          <w:szCs w:val="24"/>
          <w:lang w:eastAsia="ru-RU"/>
        </w:rPr>
        <w:t xml:space="preserve"> </w:t>
      </w:r>
      <w:proofErr w:type="spellStart"/>
      <w:r w:rsidRPr="00125FAF">
        <w:rPr>
          <w:rFonts w:ascii="Times New Roman" w:eastAsia="Times New Roman" w:hAnsi="Times New Roman" w:cs="Times New Roman"/>
          <w:color w:val="000000"/>
          <w:sz w:val="24"/>
          <w:szCs w:val="24"/>
          <w:lang w:eastAsia="ru-RU"/>
        </w:rPr>
        <w:t>şi</w:t>
      </w:r>
      <w:proofErr w:type="spellEnd"/>
      <w:r w:rsidRPr="00125FAF">
        <w:rPr>
          <w:rFonts w:ascii="Times New Roman" w:eastAsia="Times New Roman" w:hAnsi="Times New Roman" w:cs="Times New Roman"/>
          <w:color w:val="000000"/>
          <w:sz w:val="24"/>
          <w:szCs w:val="24"/>
          <w:lang w:eastAsia="ru-RU"/>
        </w:rPr>
        <w:t xml:space="preserve"> </w:t>
      </w:r>
      <w:r w:rsidR="00D828E9" w:rsidRPr="00125FAF">
        <w:rPr>
          <w:rFonts w:ascii="Times New Roman" w:eastAsia="Times New Roman" w:hAnsi="Times New Roman" w:cs="Times New Roman"/>
          <w:color w:val="000000"/>
          <w:sz w:val="24"/>
          <w:szCs w:val="24"/>
          <w:lang w:eastAsia="ru-RU"/>
        </w:rPr>
        <w:t xml:space="preserve">identificarea </w:t>
      </w:r>
      <w:r w:rsidRPr="00125FAF">
        <w:rPr>
          <w:rFonts w:ascii="Times New Roman" w:eastAsia="Times New Roman" w:hAnsi="Times New Roman" w:cs="Times New Roman"/>
          <w:color w:val="000000"/>
          <w:sz w:val="24"/>
          <w:szCs w:val="24"/>
          <w:lang w:eastAsia="ru-RU"/>
        </w:rPr>
        <w:t xml:space="preserve">acoperirii financiare pentru promovarea unor politici </w:t>
      </w:r>
      <w:proofErr w:type="spellStart"/>
      <w:r w:rsidRPr="00125FAF">
        <w:rPr>
          <w:rFonts w:ascii="Times New Roman" w:eastAsia="Times New Roman" w:hAnsi="Times New Roman" w:cs="Times New Roman"/>
          <w:color w:val="000000"/>
          <w:sz w:val="24"/>
          <w:szCs w:val="24"/>
          <w:lang w:eastAsia="ru-RU"/>
        </w:rPr>
        <w:t>şi</w:t>
      </w:r>
      <w:proofErr w:type="spellEnd"/>
      <w:r w:rsidRPr="00125FAF">
        <w:rPr>
          <w:rFonts w:ascii="Times New Roman" w:eastAsia="Times New Roman" w:hAnsi="Times New Roman" w:cs="Times New Roman"/>
          <w:color w:val="000000"/>
          <w:sz w:val="24"/>
          <w:szCs w:val="24"/>
          <w:lang w:eastAsia="ru-RU"/>
        </w:rPr>
        <w:t xml:space="preserve"> proiecte </w:t>
      </w:r>
      <w:proofErr w:type="spellStart"/>
      <w:r w:rsidRPr="00125FAF">
        <w:rPr>
          <w:rFonts w:ascii="Times New Roman" w:eastAsia="Times New Roman" w:hAnsi="Times New Roman" w:cs="Times New Roman"/>
          <w:color w:val="000000"/>
          <w:sz w:val="24"/>
          <w:szCs w:val="24"/>
          <w:lang w:eastAsia="ru-RU"/>
        </w:rPr>
        <w:t>investiţionale</w:t>
      </w:r>
      <w:proofErr w:type="spellEnd"/>
      <w:r w:rsidRPr="00125FAF">
        <w:rPr>
          <w:rFonts w:ascii="Times New Roman" w:eastAsia="Times New Roman" w:hAnsi="Times New Roman" w:cs="Times New Roman"/>
          <w:color w:val="000000"/>
          <w:sz w:val="24"/>
          <w:szCs w:val="24"/>
          <w:lang w:eastAsia="ru-RU"/>
        </w:rPr>
        <w:t xml:space="preserve"> adecvate de atenuare a acestora în toate sectoarele economiei </w:t>
      </w:r>
      <w:proofErr w:type="spellStart"/>
      <w:r w:rsidRPr="00125FAF">
        <w:rPr>
          <w:rFonts w:ascii="Times New Roman" w:eastAsia="Times New Roman" w:hAnsi="Times New Roman" w:cs="Times New Roman"/>
          <w:color w:val="000000"/>
          <w:sz w:val="24"/>
          <w:szCs w:val="24"/>
          <w:lang w:eastAsia="ru-RU"/>
        </w:rPr>
        <w:t>naţionale</w:t>
      </w:r>
      <w:proofErr w:type="spellEnd"/>
      <w:r w:rsidRPr="00125FAF">
        <w:rPr>
          <w:rFonts w:ascii="Times New Roman" w:eastAsia="Times New Roman" w:hAnsi="Times New Roman" w:cs="Times New Roman"/>
          <w:color w:val="000000"/>
          <w:sz w:val="24"/>
          <w:szCs w:val="24"/>
          <w:lang w:eastAsia="ru-RU"/>
        </w:rPr>
        <w:t>.</w:t>
      </w:r>
      <w:r w:rsidR="00B04AE6" w:rsidRPr="00125FAF">
        <w:rPr>
          <w:rFonts w:ascii="Times New Roman" w:eastAsia="Times New Roman" w:hAnsi="Times New Roman" w:cs="Times New Roman"/>
          <w:color w:val="000000"/>
          <w:sz w:val="24"/>
          <w:szCs w:val="24"/>
          <w:lang w:eastAsia="ru-RU"/>
        </w:rPr>
        <w:t xml:space="preserve"> În acest proces </w:t>
      </w:r>
      <w:proofErr w:type="spellStart"/>
      <w:r w:rsidR="00B04AE6" w:rsidRPr="00125FAF">
        <w:rPr>
          <w:rFonts w:ascii="Times New Roman" w:eastAsia="Times New Roman" w:hAnsi="Times New Roman" w:cs="Times New Roman"/>
          <w:color w:val="000000"/>
          <w:sz w:val="24"/>
          <w:szCs w:val="24"/>
          <w:lang w:eastAsia="ru-RU"/>
        </w:rPr>
        <w:t>ţara</w:t>
      </w:r>
      <w:proofErr w:type="spellEnd"/>
      <w:r w:rsidR="00B04AE6" w:rsidRPr="00125FAF">
        <w:rPr>
          <w:rFonts w:ascii="Times New Roman" w:eastAsia="Times New Roman" w:hAnsi="Times New Roman" w:cs="Times New Roman"/>
          <w:color w:val="000000"/>
          <w:sz w:val="24"/>
          <w:szCs w:val="24"/>
          <w:lang w:eastAsia="ru-RU"/>
        </w:rPr>
        <w:t xml:space="preserve"> </w:t>
      </w:r>
      <w:r w:rsidR="000F39BD" w:rsidRPr="00125FAF">
        <w:rPr>
          <w:rFonts w:ascii="Times New Roman" w:eastAsia="Times New Roman" w:hAnsi="Times New Roman" w:cs="Times New Roman"/>
          <w:color w:val="000000"/>
          <w:sz w:val="24"/>
          <w:szCs w:val="24"/>
          <w:lang w:eastAsia="ru-RU"/>
        </w:rPr>
        <w:t xml:space="preserve">va </w:t>
      </w:r>
      <w:r w:rsidR="00B04AE6" w:rsidRPr="00125FAF">
        <w:rPr>
          <w:rFonts w:ascii="Times New Roman" w:eastAsia="Times New Roman" w:hAnsi="Times New Roman" w:cs="Times New Roman"/>
          <w:color w:val="000000"/>
          <w:sz w:val="24"/>
          <w:szCs w:val="24"/>
          <w:lang w:eastAsia="ru-RU"/>
        </w:rPr>
        <w:t>concura cu țările din regiune în atragerea investițiilor, valorificarea și extinderea oportunităților de export, atragerea oamenilor talentați, promovând creșterea economică incluzivă etc. De asemenea, este clar că modernizarea țării – pe toate planurile – este posibilă numai prin continuarea și aprofundarea procesului de integrare europeană a țării.</w:t>
      </w:r>
    </w:p>
    <w:p w14:paraId="63F913ED" w14:textId="1156E537" w:rsidR="001016F0" w:rsidRPr="00125FAF" w:rsidRDefault="00BA570E">
      <w:pPr>
        <w:spacing w:after="0" w:line="240" w:lineRule="auto"/>
        <w:ind w:firstLine="720"/>
        <w:jc w:val="both"/>
        <w:rPr>
          <w:rFonts w:ascii="Times New Roman" w:eastAsia="Times New Roman" w:hAnsi="Times New Roman" w:cs="Times New Roman"/>
          <w:color w:val="000000"/>
          <w:sz w:val="24"/>
          <w:szCs w:val="24"/>
          <w:lang w:eastAsia="ru-RU"/>
        </w:rPr>
      </w:pPr>
      <w:r w:rsidRPr="00125FAF">
        <w:rPr>
          <w:rFonts w:ascii="Times New Roman" w:eastAsia="Times New Roman" w:hAnsi="Times New Roman" w:cs="Times New Roman"/>
          <w:color w:val="000000"/>
          <w:sz w:val="24"/>
          <w:szCs w:val="24"/>
          <w:lang w:eastAsia="ru-RU"/>
        </w:rPr>
        <w:t xml:space="preserve"> Politicile de atenuare a emisiilor de GES </w:t>
      </w:r>
      <w:r w:rsidR="004A1CB2" w:rsidRPr="00125FAF">
        <w:rPr>
          <w:rFonts w:ascii="Times New Roman" w:eastAsia="Times New Roman" w:hAnsi="Times New Roman" w:cs="Times New Roman"/>
          <w:color w:val="000000"/>
          <w:sz w:val="24"/>
          <w:szCs w:val="24"/>
          <w:lang w:eastAsia="ru-RU"/>
        </w:rPr>
        <w:t>expuse în acest</w:t>
      </w:r>
      <w:r w:rsidR="00A24DCA" w:rsidRPr="00125FAF">
        <w:rPr>
          <w:rFonts w:ascii="Times New Roman" w:eastAsia="Times New Roman" w:hAnsi="Times New Roman" w:cs="Times New Roman"/>
          <w:color w:val="000000"/>
          <w:sz w:val="24"/>
          <w:szCs w:val="24"/>
          <w:lang w:eastAsia="ru-RU"/>
        </w:rPr>
        <w:t xml:space="preserve"> Program</w:t>
      </w:r>
      <w:r w:rsidR="004A1CB2" w:rsidRPr="00125FAF">
        <w:rPr>
          <w:rFonts w:ascii="Times New Roman" w:eastAsia="Times New Roman" w:hAnsi="Times New Roman" w:cs="Times New Roman"/>
          <w:color w:val="000000"/>
          <w:sz w:val="24"/>
          <w:szCs w:val="24"/>
          <w:lang w:eastAsia="ru-RU"/>
        </w:rPr>
        <w:t xml:space="preserve"> </w:t>
      </w:r>
      <w:r w:rsidRPr="00125FAF">
        <w:rPr>
          <w:rFonts w:ascii="Times New Roman" w:eastAsia="Times New Roman" w:hAnsi="Times New Roman" w:cs="Times New Roman"/>
          <w:color w:val="000000"/>
          <w:sz w:val="24"/>
          <w:szCs w:val="24"/>
          <w:lang w:eastAsia="ru-RU"/>
        </w:rPr>
        <w:t>se văd coerente cu celea de adaptare la schimbările climatice</w:t>
      </w:r>
      <w:r w:rsidR="004A1CB2" w:rsidRPr="00125FAF">
        <w:rPr>
          <w:rFonts w:ascii="Times New Roman" w:eastAsia="Times New Roman" w:hAnsi="Times New Roman" w:cs="Times New Roman"/>
          <w:color w:val="000000"/>
          <w:sz w:val="24"/>
          <w:szCs w:val="24"/>
          <w:lang w:eastAsia="ru-RU"/>
        </w:rPr>
        <w:t xml:space="preserve">, precum </w:t>
      </w:r>
      <w:proofErr w:type="spellStart"/>
      <w:r w:rsidR="004A1CB2" w:rsidRPr="00125FAF">
        <w:rPr>
          <w:rFonts w:ascii="Times New Roman" w:eastAsia="Times New Roman" w:hAnsi="Times New Roman" w:cs="Times New Roman"/>
          <w:color w:val="000000"/>
          <w:sz w:val="24"/>
          <w:szCs w:val="24"/>
          <w:lang w:eastAsia="ru-RU"/>
        </w:rPr>
        <w:t>şi</w:t>
      </w:r>
      <w:proofErr w:type="spellEnd"/>
      <w:r w:rsidR="004A1CB2" w:rsidRPr="00125FAF">
        <w:rPr>
          <w:rFonts w:ascii="Times New Roman" w:eastAsia="Times New Roman" w:hAnsi="Times New Roman" w:cs="Times New Roman"/>
          <w:color w:val="000000"/>
          <w:sz w:val="24"/>
          <w:szCs w:val="24"/>
          <w:lang w:eastAsia="ru-RU"/>
        </w:rPr>
        <w:t xml:space="preserve"> alte politici orientate spre crearea în </w:t>
      </w:r>
      <w:proofErr w:type="spellStart"/>
      <w:r w:rsidR="004A1CB2" w:rsidRPr="00125FAF">
        <w:rPr>
          <w:rFonts w:ascii="Times New Roman" w:eastAsia="Times New Roman" w:hAnsi="Times New Roman" w:cs="Times New Roman"/>
          <w:color w:val="000000"/>
          <w:sz w:val="24"/>
          <w:szCs w:val="24"/>
          <w:lang w:eastAsia="ru-RU"/>
        </w:rPr>
        <w:t>ţară</w:t>
      </w:r>
      <w:proofErr w:type="spellEnd"/>
      <w:r w:rsidR="004A1CB2" w:rsidRPr="00125FAF">
        <w:rPr>
          <w:rFonts w:ascii="Times New Roman" w:eastAsia="Times New Roman" w:hAnsi="Times New Roman" w:cs="Times New Roman"/>
          <w:color w:val="000000"/>
          <w:sz w:val="24"/>
          <w:szCs w:val="24"/>
          <w:lang w:eastAsia="ru-RU"/>
        </w:rPr>
        <w:t xml:space="preserve"> a unui mediu sănătos </w:t>
      </w:r>
      <w:proofErr w:type="spellStart"/>
      <w:r w:rsidR="004A1CB2" w:rsidRPr="00125FAF">
        <w:rPr>
          <w:rFonts w:ascii="Times New Roman" w:eastAsia="Times New Roman" w:hAnsi="Times New Roman" w:cs="Times New Roman"/>
          <w:color w:val="000000"/>
          <w:sz w:val="24"/>
          <w:szCs w:val="24"/>
          <w:lang w:eastAsia="ru-RU"/>
        </w:rPr>
        <w:t>şi</w:t>
      </w:r>
      <w:proofErr w:type="spellEnd"/>
      <w:r w:rsidR="004A1CB2" w:rsidRPr="00125FAF">
        <w:rPr>
          <w:rFonts w:ascii="Times New Roman" w:eastAsia="Times New Roman" w:hAnsi="Times New Roman" w:cs="Times New Roman"/>
          <w:color w:val="000000"/>
          <w:sz w:val="24"/>
          <w:szCs w:val="24"/>
          <w:lang w:eastAsia="ru-RU"/>
        </w:rPr>
        <w:t xml:space="preserve"> sigur.</w:t>
      </w:r>
    </w:p>
    <w:p w14:paraId="657E4C21" w14:textId="37B95E54" w:rsidR="001016F0" w:rsidRPr="00125FAF" w:rsidRDefault="007909C8" w:rsidP="001F2F2D">
      <w:pPr>
        <w:spacing w:after="120" w:line="240" w:lineRule="auto"/>
        <w:ind w:firstLine="720"/>
        <w:jc w:val="both"/>
        <w:rPr>
          <w:rFonts w:ascii="Times New Roman" w:eastAsia="Times New Roman" w:hAnsi="Times New Roman" w:cs="Times New Roman"/>
          <w:color w:val="000000"/>
          <w:sz w:val="24"/>
          <w:szCs w:val="24"/>
          <w:lang w:eastAsia="ru-RU"/>
        </w:rPr>
      </w:pPr>
      <w:r w:rsidRPr="00125FAF">
        <w:rPr>
          <w:rFonts w:ascii="Times New Roman" w:eastAsia="Times New Roman" w:hAnsi="Times New Roman" w:cs="Times New Roman"/>
          <w:color w:val="000000"/>
          <w:sz w:val="24"/>
          <w:szCs w:val="24"/>
          <w:lang w:eastAsia="ru-RU"/>
        </w:rPr>
        <w:t>20</w:t>
      </w:r>
      <w:r w:rsidR="006364B2" w:rsidRPr="00125FAF">
        <w:rPr>
          <w:rFonts w:ascii="Times New Roman" w:eastAsia="Times New Roman" w:hAnsi="Times New Roman" w:cs="Times New Roman"/>
          <w:color w:val="000000"/>
          <w:sz w:val="24"/>
          <w:szCs w:val="24"/>
          <w:lang w:eastAsia="ru-RU"/>
        </w:rPr>
        <w:t xml:space="preserve">. </w:t>
      </w:r>
      <w:r w:rsidR="006364B2" w:rsidRPr="00125FAF">
        <w:rPr>
          <w:rFonts w:ascii="Times New Roman" w:eastAsia="Times New Roman" w:hAnsi="Times New Roman" w:cs="Times New Roman"/>
          <w:b/>
          <w:color w:val="000000"/>
          <w:sz w:val="24"/>
          <w:szCs w:val="24"/>
          <w:lang w:eastAsia="ru-RU"/>
        </w:rPr>
        <w:t>Scopul</w:t>
      </w:r>
      <w:r w:rsidR="006364B2" w:rsidRPr="00125FAF">
        <w:rPr>
          <w:rFonts w:ascii="Times New Roman" w:eastAsia="Times New Roman" w:hAnsi="Times New Roman" w:cs="Times New Roman"/>
          <w:color w:val="000000"/>
          <w:sz w:val="24"/>
          <w:szCs w:val="24"/>
          <w:lang w:eastAsia="ru-RU"/>
        </w:rPr>
        <w:t xml:space="preserve"> </w:t>
      </w:r>
      <w:r w:rsidR="00BA570E" w:rsidRPr="00125FAF">
        <w:rPr>
          <w:rFonts w:ascii="Times New Roman" w:eastAsia="Times New Roman" w:hAnsi="Times New Roman" w:cs="Times New Roman"/>
          <w:color w:val="000000"/>
          <w:sz w:val="24"/>
          <w:szCs w:val="24"/>
          <w:lang w:eastAsia="ru-RU"/>
        </w:rPr>
        <w:t xml:space="preserve">major al </w:t>
      </w:r>
      <w:r w:rsidR="00A24DCA" w:rsidRPr="00125FAF">
        <w:rPr>
          <w:rFonts w:ascii="Times New Roman" w:eastAsia="Times New Roman" w:hAnsi="Times New Roman" w:cs="Times New Roman"/>
          <w:color w:val="000000"/>
          <w:sz w:val="24"/>
          <w:szCs w:val="24"/>
          <w:lang w:eastAsia="ru-RU"/>
        </w:rPr>
        <w:t>Programului</w:t>
      </w:r>
      <w:r w:rsidR="006364B2" w:rsidRPr="00125FAF">
        <w:rPr>
          <w:rFonts w:ascii="Times New Roman" w:eastAsia="Times New Roman" w:hAnsi="Times New Roman" w:cs="Times New Roman"/>
          <w:color w:val="000000"/>
          <w:sz w:val="24"/>
          <w:szCs w:val="24"/>
          <w:lang w:eastAsia="ru-RU"/>
        </w:rPr>
        <w:t xml:space="preserve"> </w:t>
      </w:r>
      <w:r w:rsidR="006364B2" w:rsidRPr="00125FAF">
        <w:rPr>
          <w:rFonts w:ascii="Times New Roman" w:eastAsia="Times New Roman" w:hAnsi="Times New Roman" w:cs="Times New Roman"/>
          <w:sz w:val="24"/>
          <w:szCs w:val="24"/>
          <w:lang w:eastAsia="ru-RU"/>
        </w:rPr>
        <w:t xml:space="preserve">este </w:t>
      </w:r>
      <w:r w:rsidR="00BA570E" w:rsidRPr="00125FAF">
        <w:rPr>
          <w:rFonts w:ascii="Times New Roman" w:eastAsia="Times New Roman" w:hAnsi="Times New Roman" w:cs="Times New Roman"/>
          <w:sz w:val="24"/>
          <w:szCs w:val="24"/>
          <w:lang w:eastAsia="ru-RU"/>
        </w:rPr>
        <w:t xml:space="preserve">de a spori în mod vizibil calitatea vieții oamenilor din Republica Moldova prin </w:t>
      </w:r>
      <w:r w:rsidR="006364B2" w:rsidRPr="00125FAF">
        <w:rPr>
          <w:rFonts w:ascii="Times New Roman" w:eastAsia="Times New Roman" w:hAnsi="Times New Roman" w:cs="Times New Roman"/>
          <w:sz w:val="24"/>
          <w:szCs w:val="24"/>
          <w:lang w:eastAsia="ru-RU"/>
        </w:rPr>
        <w:t>asigura</w:t>
      </w:r>
      <w:r w:rsidR="00BA570E" w:rsidRPr="00125FAF">
        <w:rPr>
          <w:rFonts w:ascii="Times New Roman" w:eastAsia="Times New Roman" w:hAnsi="Times New Roman" w:cs="Times New Roman"/>
          <w:sz w:val="24"/>
          <w:szCs w:val="24"/>
          <w:lang w:eastAsia="ru-RU"/>
        </w:rPr>
        <w:t>rea unei</w:t>
      </w:r>
      <w:r w:rsidR="006364B2" w:rsidRPr="00125FAF">
        <w:rPr>
          <w:rFonts w:ascii="Times New Roman" w:eastAsia="Times New Roman" w:hAnsi="Times New Roman" w:cs="Times New Roman"/>
          <w:sz w:val="24"/>
          <w:szCs w:val="24"/>
          <w:lang w:eastAsia="ru-RU"/>
        </w:rPr>
        <w:t xml:space="preserve"> </w:t>
      </w:r>
      <w:r w:rsidR="006364B2" w:rsidRPr="00125FAF">
        <w:rPr>
          <w:rFonts w:ascii="Times New Roman" w:eastAsia="Times New Roman" w:hAnsi="Times New Roman" w:cs="Times New Roman"/>
          <w:bCs/>
          <w:iCs/>
          <w:sz w:val="24"/>
          <w:szCs w:val="24"/>
          <w:lang w:eastAsia="ru-RU"/>
        </w:rPr>
        <w:t>dezvolt</w:t>
      </w:r>
      <w:r w:rsidR="00BA570E" w:rsidRPr="00125FAF">
        <w:rPr>
          <w:rFonts w:ascii="Times New Roman" w:eastAsia="Times New Roman" w:hAnsi="Times New Roman" w:cs="Times New Roman"/>
          <w:bCs/>
          <w:iCs/>
          <w:sz w:val="24"/>
          <w:szCs w:val="24"/>
          <w:lang w:eastAsia="ru-RU"/>
        </w:rPr>
        <w:t>ări</w:t>
      </w:r>
      <w:r w:rsidR="006364B2" w:rsidRPr="00125FAF">
        <w:rPr>
          <w:rFonts w:ascii="Times New Roman" w:eastAsia="Times New Roman" w:hAnsi="Times New Roman" w:cs="Times New Roman"/>
          <w:bCs/>
          <w:iCs/>
          <w:sz w:val="24"/>
          <w:szCs w:val="24"/>
          <w:lang w:eastAsia="ru-RU"/>
        </w:rPr>
        <w:t xml:space="preserve"> economic</w:t>
      </w:r>
      <w:r w:rsidR="004C0041" w:rsidRPr="00125FAF">
        <w:rPr>
          <w:rFonts w:ascii="Times New Roman" w:eastAsia="Times New Roman" w:hAnsi="Times New Roman" w:cs="Times New Roman"/>
          <w:bCs/>
          <w:iCs/>
          <w:sz w:val="24"/>
          <w:szCs w:val="24"/>
          <w:lang w:eastAsia="ru-RU"/>
        </w:rPr>
        <w:t>e</w:t>
      </w:r>
      <w:r w:rsidR="006364B2" w:rsidRPr="00125FAF">
        <w:rPr>
          <w:rFonts w:ascii="Times New Roman" w:eastAsia="Times New Roman" w:hAnsi="Times New Roman" w:cs="Times New Roman"/>
          <w:bCs/>
          <w:iCs/>
          <w:sz w:val="24"/>
          <w:szCs w:val="24"/>
          <w:lang w:eastAsia="ru-RU"/>
        </w:rPr>
        <w:t xml:space="preserve"> a </w:t>
      </w:r>
      <w:proofErr w:type="spellStart"/>
      <w:r w:rsidR="004C0041" w:rsidRPr="00125FAF">
        <w:rPr>
          <w:rFonts w:ascii="Times New Roman" w:eastAsia="Times New Roman" w:hAnsi="Times New Roman" w:cs="Times New Roman"/>
          <w:bCs/>
          <w:iCs/>
          <w:sz w:val="24"/>
          <w:szCs w:val="24"/>
          <w:lang w:eastAsia="ru-RU"/>
        </w:rPr>
        <w:t>ţării</w:t>
      </w:r>
      <w:proofErr w:type="spellEnd"/>
      <w:r w:rsidR="006364B2" w:rsidRPr="00125FAF">
        <w:rPr>
          <w:rFonts w:ascii="Times New Roman" w:eastAsia="Times New Roman" w:hAnsi="Times New Roman" w:cs="Times New Roman"/>
          <w:bCs/>
          <w:iCs/>
          <w:sz w:val="24"/>
          <w:szCs w:val="24"/>
          <w:lang w:eastAsia="ru-RU"/>
        </w:rPr>
        <w:t xml:space="preserve"> bazată pe emisii reduse de gaze cu efect de seră. </w:t>
      </w:r>
      <w:r w:rsidR="004C0041" w:rsidRPr="00125FAF">
        <w:rPr>
          <w:rFonts w:ascii="Times New Roman" w:eastAsia="Times New Roman" w:hAnsi="Times New Roman" w:cs="Times New Roman"/>
          <w:bCs/>
          <w:iCs/>
          <w:sz w:val="24"/>
          <w:szCs w:val="24"/>
          <w:lang w:eastAsia="ru-RU"/>
        </w:rPr>
        <w:t>Astfel, prezent</w:t>
      </w:r>
      <w:r w:rsidR="00A24DCA" w:rsidRPr="00125FAF">
        <w:rPr>
          <w:rFonts w:ascii="Times New Roman" w:eastAsia="Times New Roman" w:hAnsi="Times New Roman" w:cs="Times New Roman"/>
          <w:bCs/>
          <w:iCs/>
          <w:sz w:val="24"/>
          <w:szCs w:val="24"/>
          <w:lang w:eastAsia="ru-RU"/>
        </w:rPr>
        <w:t>ul Program</w:t>
      </w:r>
      <w:r w:rsidR="004C0041" w:rsidRPr="00125FAF">
        <w:rPr>
          <w:rFonts w:ascii="Times New Roman" w:eastAsia="Times New Roman" w:hAnsi="Times New Roman" w:cs="Times New Roman"/>
          <w:bCs/>
          <w:iCs/>
          <w:sz w:val="24"/>
          <w:szCs w:val="24"/>
          <w:lang w:eastAsia="ru-RU"/>
        </w:rPr>
        <w:t xml:space="preserve"> urmează să schimbe optica politicilor publice din Republica Moldova, prin centrarea acestora pe problemele, interesele și aspirațiile oamenilor.</w:t>
      </w:r>
      <w:r w:rsidR="00B566C6" w:rsidRPr="00125FAF">
        <w:rPr>
          <w:rFonts w:ascii="Times New Roman" w:eastAsia="Times New Roman" w:hAnsi="Times New Roman" w:cs="Times New Roman"/>
          <w:bCs/>
          <w:iCs/>
          <w:sz w:val="24"/>
          <w:szCs w:val="24"/>
          <w:lang w:eastAsia="ru-RU"/>
        </w:rPr>
        <w:t xml:space="preserve"> </w:t>
      </w:r>
      <w:r w:rsidR="004A1CB2" w:rsidRPr="00125FAF">
        <w:rPr>
          <w:rFonts w:ascii="Times New Roman" w:eastAsia="Times New Roman" w:hAnsi="Times New Roman" w:cs="Times New Roman"/>
          <w:color w:val="000000"/>
          <w:sz w:val="24"/>
          <w:szCs w:val="24"/>
          <w:lang w:eastAsia="ru-RU"/>
        </w:rPr>
        <w:t>Această viziune homocentrică, adică axată pe om și pe necesitățile lui, derivă din alinierea țării la Agenda 2030 pentru dezvoltare durabilă</w:t>
      </w:r>
      <w:r w:rsidR="004A1CB2" w:rsidRPr="00125FAF">
        <w:rPr>
          <w:rStyle w:val="Referinnotdesubsol"/>
          <w:rFonts w:ascii="Times New Roman" w:eastAsia="Times New Roman" w:hAnsi="Times New Roman" w:cs="Times New Roman"/>
          <w:color w:val="000000"/>
          <w:sz w:val="24"/>
          <w:szCs w:val="24"/>
          <w:lang w:eastAsia="ru-RU"/>
        </w:rPr>
        <w:footnoteReference w:id="8"/>
      </w:r>
      <w:r w:rsidR="004A1CB2" w:rsidRPr="00125FAF">
        <w:rPr>
          <w:rFonts w:ascii="Times New Roman" w:eastAsia="Times New Roman" w:hAnsi="Times New Roman" w:cs="Times New Roman"/>
          <w:color w:val="000000"/>
          <w:sz w:val="24"/>
          <w:szCs w:val="24"/>
          <w:lang w:eastAsia="ru-RU"/>
        </w:rPr>
        <w:t xml:space="preserve"> și este în concordanță cu Acordul de Asociere dintre Republica Moldova, pe de o parte, și Uniunea Europeană și Comunitatea </w:t>
      </w:r>
      <w:r w:rsidR="004A1CB2" w:rsidRPr="00125FAF">
        <w:rPr>
          <w:rFonts w:ascii="Times New Roman" w:eastAsia="Times New Roman" w:hAnsi="Times New Roman" w:cs="Times New Roman"/>
          <w:color w:val="000000"/>
          <w:sz w:val="24"/>
          <w:szCs w:val="24"/>
          <w:lang w:eastAsia="ru-RU"/>
        </w:rPr>
        <w:lastRenderedPageBreak/>
        <w:t>Europeană a Energiei Atomice și statele membre ale acestora, pe de altă parte</w:t>
      </w:r>
      <w:r w:rsidR="00575512" w:rsidRPr="00125FAF">
        <w:rPr>
          <w:rFonts w:ascii="Times New Roman" w:eastAsia="Times New Roman" w:hAnsi="Times New Roman" w:cs="Times New Roman"/>
          <w:color w:val="000000"/>
          <w:sz w:val="24"/>
          <w:szCs w:val="24"/>
          <w:lang w:eastAsia="ru-RU"/>
        </w:rPr>
        <w:t xml:space="preserve">. </w:t>
      </w:r>
      <w:r w:rsidR="001016F0" w:rsidRPr="00125FAF">
        <w:rPr>
          <w:rFonts w:ascii="Times New Roman" w:eastAsia="Times New Roman" w:hAnsi="Times New Roman" w:cs="Times New Roman"/>
          <w:color w:val="000000"/>
          <w:sz w:val="24"/>
          <w:szCs w:val="24"/>
          <w:lang w:eastAsia="ru-RU"/>
        </w:rPr>
        <w:t xml:space="preserve">De asemenea, </w:t>
      </w:r>
      <w:r w:rsidR="00A83724" w:rsidRPr="00125FAF">
        <w:rPr>
          <w:rFonts w:ascii="Times New Roman" w:eastAsia="Times New Roman" w:hAnsi="Times New Roman" w:cs="Times New Roman"/>
          <w:color w:val="000000"/>
          <w:sz w:val="24"/>
          <w:szCs w:val="24"/>
          <w:lang w:eastAsia="ru-RU"/>
        </w:rPr>
        <w:t>Programul</w:t>
      </w:r>
      <w:r w:rsidR="001016F0" w:rsidRPr="00125FAF">
        <w:rPr>
          <w:rFonts w:ascii="Times New Roman" w:eastAsia="Times New Roman" w:hAnsi="Times New Roman" w:cs="Times New Roman"/>
          <w:color w:val="000000"/>
          <w:sz w:val="24"/>
          <w:szCs w:val="24"/>
          <w:lang w:eastAsia="ru-RU"/>
        </w:rPr>
        <w:t xml:space="preserve"> are </w:t>
      </w:r>
      <w:proofErr w:type="spellStart"/>
      <w:r w:rsidR="001016F0" w:rsidRPr="00125FAF">
        <w:rPr>
          <w:rFonts w:ascii="Times New Roman" w:eastAsia="Times New Roman" w:hAnsi="Times New Roman" w:cs="Times New Roman"/>
          <w:color w:val="000000"/>
          <w:sz w:val="24"/>
          <w:szCs w:val="24"/>
          <w:lang w:eastAsia="ru-RU"/>
        </w:rPr>
        <w:t>şi</w:t>
      </w:r>
      <w:proofErr w:type="spellEnd"/>
      <w:r w:rsidR="001016F0" w:rsidRPr="00125FAF">
        <w:rPr>
          <w:rFonts w:ascii="Times New Roman" w:eastAsia="Times New Roman" w:hAnsi="Times New Roman" w:cs="Times New Roman"/>
          <w:color w:val="000000"/>
          <w:sz w:val="24"/>
          <w:szCs w:val="24"/>
          <w:lang w:eastAsia="ru-RU"/>
        </w:rPr>
        <w:t xml:space="preserve"> următoarele scopuri:</w:t>
      </w:r>
    </w:p>
    <w:p w14:paraId="393B7072" w14:textId="77777777" w:rsidR="001016F0" w:rsidRPr="00125FAF" w:rsidRDefault="001016F0" w:rsidP="003E24C5">
      <w:pPr>
        <w:pStyle w:val="Listparagraf"/>
        <w:numPr>
          <w:ilvl w:val="0"/>
          <w:numId w:val="5"/>
        </w:numPr>
        <w:spacing w:after="0" w:line="240" w:lineRule="auto"/>
        <w:jc w:val="both"/>
        <w:rPr>
          <w:rFonts w:ascii="Times New Roman" w:eastAsia="Times New Roman" w:hAnsi="Times New Roman" w:cs="Times New Roman"/>
          <w:color w:val="000000"/>
          <w:sz w:val="24"/>
          <w:szCs w:val="24"/>
          <w:lang w:eastAsia="ru-RU"/>
        </w:rPr>
      </w:pPr>
      <w:r w:rsidRPr="00125FAF">
        <w:rPr>
          <w:rFonts w:ascii="Times New Roman" w:eastAsia="Times New Roman" w:hAnsi="Times New Roman" w:cs="Times New Roman"/>
          <w:color w:val="000000"/>
          <w:sz w:val="24"/>
          <w:szCs w:val="24"/>
          <w:lang w:eastAsia="ru-RU"/>
        </w:rPr>
        <w:t>Integrarea planificării economice cu prioritățile politicii de atenuare și adaptare la schimbările climatice;</w:t>
      </w:r>
    </w:p>
    <w:p w14:paraId="385592D1" w14:textId="77777777" w:rsidR="001016F0" w:rsidRPr="00125FAF" w:rsidRDefault="001016F0" w:rsidP="003E24C5">
      <w:pPr>
        <w:pStyle w:val="Listparagraf"/>
        <w:numPr>
          <w:ilvl w:val="0"/>
          <w:numId w:val="5"/>
        </w:numPr>
        <w:spacing w:after="0" w:line="240" w:lineRule="auto"/>
        <w:jc w:val="both"/>
        <w:rPr>
          <w:rFonts w:ascii="Times New Roman" w:eastAsia="Times New Roman" w:hAnsi="Times New Roman" w:cs="Times New Roman"/>
          <w:color w:val="000000"/>
          <w:sz w:val="24"/>
          <w:szCs w:val="24"/>
          <w:lang w:eastAsia="ru-RU"/>
        </w:rPr>
      </w:pPr>
      <w:r w:rsidRPr="00125FAF">
        <w:rPr>
          <w:rFonts w:ascii="Times New Roman" w:eastAsia="Times New Roman" w:hAnsi="Times New Roman" w:cs="Times New Roman"/>
          <w:color w:val="000000"/>
          <w:sz w:val="24"/>
          <w:szCs w:val="24"/>
          <w:lang w:eastAsia="ru-RU"/>
        </w:rPr>
        <w:t xml:space="preserve">Promovarea </w:t>
      </w:r>
      <w:proofErr w:type="spellStart"/>
      <w:r w:rsidRPr="00125FAF">
        <w:rPr>
          <w:rFonts w:ascii="Times New Roman" w:eastAsia="Times New Roman" w:hAnsi="Times New Roman" w:cs="Times New Roman"/>
          <w:color w:val="000000"/>
          <w:sz w:val="24"/>
          <w:szCs w:val="24"/>
          <w:lang w:eastAsia="ru-RU"/>
        </w:rPr>
        <w:t>sinergiilor</w:t>
      </w:r>
      <w:proofErr w:type="spellEnd"/>
      <w:r w:rsidRPr="00125FAF">
        <w:rPr>
          <w:rFonts w:ascii="Times New Roman" w:eastAsia="Times New Roman" w:hAnsi="Times New Roman" w:cs="Times New Roman"/>
          <w:color w:val="000000"/>
          <w:sz w:val="24"/>
          <w:szCs w:val="24"/>
          <w:lang w:eastAsia="ru-RU"/>
        </w:rPr>
        <w:t xml:space="preserve"> între obiectivele climatice și cele de dezvoltare (oportunități de angajare, </w:t>
      </w:r>
      <w:proofErr w:type="spellStart"/>
      <w:r w:rsidRPr="00125FAF">
        <w:rPr>
          <w:rFonts w:ascii="Times New Roman" w:eastAsia="Times New Roman" w:hAnsi="Times New Roman" w:cs="Times New Roman"/>
          <w:color w:val="000000"/>
          <w:sz w:val="24"/>
          <w:szCs w:val="24"/>
          <w:lang w:eastAsia="ru-RU"/>
        </w:rPr>
        <w:t>co</w:t>
      </w:r>
      <w:proofErr w:type="spellEnd"/>
      <w:r w:rsidRPr="00125FAF">
        <w:rPr>
          <w:rFonts w:ascii="Times New Roman" w:eastAsia="Times New Roman" w:hAnsi="Times New Roman" w:cs="Times New Roman"/>
          <w:color w:val="000000"/>
          <w:sz w:val="24"/>
          <w:szCs w:val="24"/>
          <w:lang w:eastAsia="ru-RU"/>
        </w:rPr>
        <w:t>-beneficii în raport cu sănătate, aer, biodiversitate etc.);</w:t>
      </w:r>
    </w:p>
    <w:p w14:paraId="45EE27C1" w14:textId="77777777" w:rsidR="001016F0" w:rsidRPr="00125FAF" w:rsidRDefault="001016F0" w:rsidP="003E24C5">
      <w:pPr>
        <w:pStyle w:val="Listparagraf"/>
        <w:numPr>
          <w:ilvl w:val="0"/>
          <w:numId w:val="5"/>
        </w:numPr>
        <w:spacing w:after="0" w:line="240" w:lineRule="auto"/>
        <w:jc w:val="both"/>
        <w:rPr>
          <w:rFonts w:ascii="Times New Roman" w:eastAsia="Times New Roman" w:hAnsi="Times New Roman" w:cs="Times New Roman"/>
          <w:color w:val="000000"/>
          <w:sz w:val="24"/>
          <w:szCs w:val="24"/>
          <w:lang w:eastAsia="ru-RU"/>
        </w:rPr>
      </w:pPr>
      <w:r w:rsidRPr="00125FAF">
        <w:rPr>
          <w:rFonts w:ascii="Times New Roman" w:eastAsia="Times New Roman" w:hAnsi="Times New Roman" w:cs="Times New Roman"/>
          <w:color w:val="000000"/>
          <w:sz w:val="24"/>
          <w:szCs w:val="24"/>
          <w:lang w:eastAsia="ru-RU"/>
        </w:rPr>
        <w:t>Stabilirea consensului și susținerea ministerelor în scopuri de dezvoltare economică și acțiuni climatice</w:t>
      </w:r>
      <w:r w:rsidR="00187539" w:rsidRPr="00125FAF">
        <w:rPr>
          <w:rFonts w:ascii="Times New Roman" w:eastAsia="Times New Roman" w:hAnsi="Times New Roman" w:cs="Times New Roman"/>
          <w:color w:val="000000"/>
          <w:sz w:val="24"/>
          <w:szCs w:val="24"/>
          <w:lang w:eastAsia="ru-RU"/>
        </w:rPr>
        <w:t>;</w:t>
      </w:r>
    </w:p>
    <w:p w14:paraId="5C77EA0F" w14:textId="77777777" w:rsidR="00187539" w:rsidRPr="00125FAF" w:rsidRDefault="00187539" w:rsidP="003E24C5">
      <w:pPr>
        <w:pStyle w:val="Listparagraf"/>
        <w:numPr>
          <w:ilvl w:val="0"/>
          <w:numId w:val="5"/>
        </w:numPr>
        <w:spacing w:after="0" w:line="240" w:lineRule="auto"/>
        <w:jc w:val="both"/>
        <w:rPr>
          <w:rFonts w:ascii="Times New Roman" w:eastAsia="Times New Roman" w:hAnsi="Times New Roman" w:cs="Times New Roman"/>
          <w:color w:val="000000"/>
          <w:sz w:val="24"/>
          <w:szCs w:val="24"/>
          <w:lang w:eastAsia="ru-RU"/>
        </w:rPr>
      </w:pPr>
      <w:r w:rsidRPr="00125FAF">
        <w:rPr>
          <w:rFonts w:ascii="Times New Roman" w:eastAsia="Times New Roman" w:hAnsi="Times New Roman" w:cs="Times New Roman"/>
          <w:color w:val="000000"/>
          <w:sz w:val="24"/>
          <w:szCs w:val="24"/>
          <w:lang w:eastAsia="ru-RU"/>
        </w:rPr>
        <w:t>Consolidarea certitudinii de reglementare pentru investitori prin identificarea priorităților pe termen mediu și lung;</w:t>
      </w:r>
    </w:p>
    <w:p w14:paraId="7F5B1E35" w14:textId="0537B182" w:rsidR="00187539" w:rsidRPr="00125FAF" w:rsidRDefault="00187539" w:rsidP="003E24C5">
      <w:pPr>
        <w:pStyle w:val="Listparagraf"/>
        <w:numPr>
          <w:ilvl w:val="0"/>
          <w:numId w:val="5"/>
        </w:numPr>
        <w:spacing w:after="0" w:line="240" w:lineRule="auto"/>
        <w:jc w:val="both"/>
        <w:rPr>
          <w:rFonts w:ascii="Times New Roman" w:eastAsia="Times New Roman" w:hAnsi="Times New Roman" w:cs="Times New Roman"/>
          <w:color w:val="000000"/>
          <w:sz w:val="24"/>
          <w:szCs w:val="24"/>
          <w:lang w:eastAsia="ru-RU"/>
        </w:rPr>
      </w:pPr>
      <w:r w:rsidRPr="00125FAF">
        <w:rPr>
          <w:rFonts w:ascii="Times New Roman" w:eastAsia="Times New Roman" w:hAnsi="Times New Roman" w:cs="Times New Roman"/>
          <w:color w:val="000000"/>
          <w:sz w:val="24"/>
          <w:szCs w:val="24"/>
          <w:lang w:eastAsia="ru-RU"/>
        </w:rPr>
        <w:t>Furnizarea informației despre acțiunile întreprinse de Guvern și mijloacele de angajare constructivă cu aceste acțiuni;</w:t>
      </w:r>
    </w:p>
    <w:p w14:paraId="65A2D282" w14:textId="44A18B36" w:rsidR="00920F23" w:rsidRPr="00125FAF" w:rsidRDefault="00920F23" w:rsidP="003E24C5">
      <w:pPr>
        <w:pStyle w:val="Listparagraf"/>
        <w:numPr>
          <w:ilvl w:val="0"/>
          <w:numId w:val="5"/>
        </w:numPr>
        <w:spacing w:after="0" w:line="240" w:lineRule="auto"/>
        <w:jc w:val="both"/>
        <w:rPr>
          <w:rFonts w:ascii="Times New Roman" w:eastAsia="Times New Roman" w:hAnsi="Times New Roman" w:cs="Times New Roman"/>
          <w:color w:val="000000"/>
          <w:sz w:val="24"/>
          <w:szCs w:val="24"/>
          <w:lang w:eastAsia="ru-RU"/>
        </w:rPr>
      </w:pPr>
      <w:r w:rsidRPr="00125FAF">
        <w:rPr>
          <w:rFonts w:ascii="Times New Roman" w:eastAsia="Times New Roman" w:hAnsi="Times New Roman" w:cs="Times New Roman"/>
          <w:color w:val="000000"/>
          <w:sz w:val="24"/>
          <w:szCs w:val="24"/>
          <w:lang w:eastAsia="ru-RU"/>
        </w:rPr>
        <w:t xml:space="preserve">Îmbunătățirea coordonării </w:t>
      </w:r>
      <w:proofErr w:type="spellStart"/>
      <w:r w:rsidRPr="00125FAF">
        <w:rPr>
          <w:rFonts w:ascii="Times New Roman" w:eastAsia="Times New Roman" w:hAnsi="Times New Roman" w:cs="Times New Roman"/>
          <w:color w:val="000000"/>
          <w:sz w:val="24"/>
          <w:szCs w:val="24"/>
          <w:lang w:eastAsia="ru-RU"/>
        </w:rPr>
        <w:t>şi</w:t>
      </w:r>
      <w:proofErr w:type="spellEnd"/>
      <w:r w:rsidRPr="00125FAF">
        <w:rPr>
          <w:rFonts w:ascii="Times New Roman" w:eastAsia="Times New Roman" w:hAnsi="Times New Roman" w:cs="Times New Roman"/>
          <w:color w:val="000000"/>
          <w:sz w:val="24"/>
          <w:szCs w:val="24"/>
          <w:lang w:eastAsia="ru-RU"/>
        </w:rPr>
        <w:t xml:space="preserve"> comunicării cu părțile interesate, cum ar fi întreprinderile și societatea civilă, și creșterea gradului de conștientizare a publicului cu privire la știința și politica schimbărilor climatice.</w:t>
      </w:r>
    </w:p>
    <w:p w14:paraId="3272BDCA" w14:textId="77777777" w:rsidR="00920F23" w:rsidRPr="00125FAF" w:rsidRDefault="00920F23" w:rsidP="003E24C5">
      <w:pPr>
        <w:pStyle w:val="Listparagraf"/>
        <w:numPr>
          <w:ilvl w:val="0"/>
          <w:numId w:val="5"/>
        </w:numPr>
        <w:spacing w:after="0" w:line="240" w:lineRule="auto"/>
        <w:jc w:val="both"/>
        <w:rPr>
          <w:rFonts w:ascii="Times New Roman" w:eastAsia="Times New Roman" w:hAnsi="Times New Roman" w:cs="Times New Roman"/>
          <w:color w:val="000000"/>
          <w:sz w:val="24"/>
          <w:szCs w:val="24"/>
          <w:lang w:eastAsia="ru-RU"/>
        </w:rPr>
      </w:pPr>
      <w:r w:rsidRPr="00125FAF">
        <w:rPr>
          <w:rFonts w:ascii="Times New Roman" w:eastAsia="Times New Roman" w:hAnsi="Times New Roman" w:cs="Times New Roman"/>
          <w:color w:val="000000"/>
          <w:sz w:val="24"/>
          <w:szCs w:val="24"/>
          <w:lang w:eastAsia="ru-RU"/>
        </w:rPr>
        <w:t>Furnizarea de semnale timpurii către sectorul privat pentru posibile direcții de investiții, cercetare și dezvoltare.</w:t>
      </w:r>
    </w:p>
    <w:p w14:paraId="76E7ABD2" w14:textId="4602E608" w:rsidR="006364B2" w:rsidRPr="00125FAF" w:rsidRDefault="00187539" w:rsidP="003E24C5">
      <w:pPr>
        <w:pStyle w:val="Listparagraf"/>
        <w:numPr>
          <w:ilvl w:val="0"/>
          <w:numId w:val="5"/>
        </w:numPr>
        <w:spacing w:after="120" w:line="240" w:lineRule="auto"/>
        <w:contextualSpacing w:val="0"/>
        <w:jc w:val="both"/>
        <w:rPr>
          <w:rFonts w:ascii="Times New Roman" w:eastAsia="Times New Roman" w:hAnsi="Times New Roman" w:cs="Times New Roman"/>
          <w:sz w:val="24"/>
          <w:szCs w:val="24"/>
          <w:lang w:eastAsia="ru-RU"/>
        </w:rPr>
      </w:pPr>
      <w:r w:rsidRPr="00125FAF">
        <w:rPr>
          <w:rFonts w:ascii="Times New Roman" w:eastAsia="Times New Roman" w:hAnsi="Times New Roman" w:cs="Times New Roman"/>
          <w:color w:val="000000"/>
          <w:sz w:val="24"/>
          <w:szCs w:val="24"/>
          <w:lang w:eastAsia="ru-RU"/>
        </w:rPr>
        <w:t xml:space="preserve">Identificarea obligațiilor care-i revin </w:t>
      </w:r>
      <w:proofErr w:type="spellStart"/>
      <w:r w:rsidRPr="00125FAF">
        <w:rPr>
          <w:rFonts w:ascii="Times New Roman" w:eastAsia="Times New Roman" w:hAnsi="Times New Roman" w:cs="Times New Roman"/>
          <w:color w:val="000000"/>
          <w:sz w:val="24"/>
          <w:szCs w:val="24"/>
          <w:lang w:eastAsia="ru-RU"/>
        </w:rPr>
        <w:t>ţării</w:t>
      </w:r>
      <w:proofErr w:type="spellEnd"/>
      <w:r w:rsidRPr="00125FAF">
        <w:rPr>
          <w:rFonts w:ascii="Times New Roman" w:eastAsia="Times New Roman" w:hAnsi="Times New Roman" w:cs="Times New Roman"/>
          <w:color w:val="000000"/>
          <w:sz w:val="24"/>
          <w:szCs w:val="24"/>
          <w:lang w:eastAsia="ru-RU"/>
        </w:rPr>
        <w:t xml:space="preserve"> în </w:t>
      </w:r>
      <w:proofErr w:type="spellStart"/>
      <w:r w:rsidRPr="00125FAF">
        <w:rPr>
          <w:rFonts w:ascii="Times New Roman" w:eastAsia="Times New Roman" w:hAnsi="Times New Roman" w:cs="Times New Roman"/>
          <w:color w:val="000000"/>
          <w:sz w:val="24"/>
          <w:szCs w:val="24"/>
          <w:lang w:eastAsia="ru-RU"/>
        </w:rPr>
        <w:t>faţa</w:t>
      </w:r>
      <w:proofErr w:type="spellEnd"/>
      <w:r w:rsidRPr="00125FAF">
        <w:rPr>
          <w:rFonts w:ascii="Times New Roman" w:eastAsia="Times New Roman" w:hAnsi="Times New Roman" w:cs="Times New Roman"/>
          <w:color w:val="000000"/>
          <w:sz w:val="24"/>
          <w:szCs w:val="24"/>
          <w:lang w:eastAsia="ru-RU"/>
        </w:rPr>
        <w:t xml:space="preserve"> </w:t>
      </w:r>
      <w:proofErr w:type="spellStart"/>
      <w:r w:rsidRPr="00125FAF">
        <w:rPr>
          <w:rFonts w:ascii="Times New Roman" w:eastAsia="Times New Roman" w:hAnsi="Times New Roman" w:cs="Times New Roman"/>
          <w:color w:val="000000"/>
          <w:sz w:val="24"/>
          <w:szCs w:val="24"/>
          <w:lang w:eastAsia="ru-RU"/>
        </w:rPr>
        <w:t>Convenţiei</w:t>
      </w:r>
      <w:proofErr w:type="spellEnd"/>
      <w:r w:rsidRPr="00125FAF">
        <w:rPr>
          <w:rFonts w:ascii="Times New Roman" w:eastAsia="Times New Roman" w:hAnsi="Times New Roman" w:cs="Times New Roman"/>
          <w:color w:val="000000"/>
          <w:sz w:val="24"/>
          <w:szCs w:val="24"/>
          <w:lang w:eastAsia="ru-RU"/>
        </w:rPr>
        <w:t xml:space="preserve"> etc.</w:t>
      </w:r>
      <w:r w:rsidR="006364B2" w:rsidRPr="00125FAF">
        <w:rPr>
          <w:rFonts w:ascii="Times New Roman" w:eastAsia="Times New Roman" w:hAnsi="Times New Roman" w:cs="Times New Roman"/>
          <w:bCs/>
          <w:iCs/>
          <w:sz w:val="24"/>
          <w:szCs w:val="24"/>
          <w:lang w:eastAsia="ru-RU"/>
        </w:rPr>
        <w:t xml:space="preserve">                                                                                                                                                                                                                                                                                                                                                                                                                                                                                                                                                                                                                                                                                                                                                                                                                                                                                                                                                                                                                                                                                                                                                                                                                                                                                                                                                                                                                                                                                                                                                                                                                                                                                                                                                                                                                                                                                                                                                                                                                                                                                                                                                                                                                                                                                                                                                                                                                                                                                                                                                                                                                                                                                                                                                                                                                                                                                                                                                                                                                                                                                                                                                                                                                                                                                                                                                                                                                                                                                                                                                                                                                                                                                                                                                                                                                                                                                                                                                                                                                                                                                                                                                                                                                                                                                                                                                                                                                                                                                                                                                                                                                                                                                                                                                                                                                                                                                                                                                                                                                                                                                                                                                                                                                                                                                                                                                                                                                                                                                                                                                                                                           </w:t>
      </w:r>
    </w:p>
    <w:p w14:paraId="30B79565" w14:textId="5B0368AF" w:rsidR="00632E60" w:rsidRPr="00125FAF" w:rsidRDefault="007909C8" w:rsidP="00632E60">
      <w:pPr>
        <w:spacing w:after="0"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125FAF">
        <w:rPr>
          <w:rFonts w:ascii="Times New Roman" w:eastAsia="Times New Roman" w:hAnsi="Times New Roman" w:cs="Times New Roman"/>
          <w:color w:val="000000"/>
          <w:sz w:val="24"/>
          <w:szCs w:val="24"/>
          <w:shd w:val="clear" w:color="auto" w:fill="FFFFFF"/>
          <w:lang w:eastAsia="ru-RU"/>
        </w:rPr>
        <w:t>21</w:t>
      </w:r>
      <w:r w:rsidR="006364B2" w:rsidRPr="00125FAF">
        <w:rPr>
          <w:rFonts w:ascii="Times New Roman" w:eastAsia="Times New Roman" w:hAnsi="Times New Roman" w:cs="Times New Roman"/>
          <w:color w:val="000000"/>
          <w:sz w:val="24"/>
          <w:szCs w:val="24"/>
          <w:shd w:val="clear" w:color="auto" w:fill="FFFFFF"/>
          <w:lang w:eastAsia="ru-RU"/>
        </w:rPr>
        <w:t>.</w:t>
      </w:r>
      <w:r w:rsidR="006364B2" w:rsidRPr="00125FAF">
        <w:rPr>
          <w:rFonts w:ascii="Times New Roman" w:eastAsia="Times New Roman" w:hAnsi="Times New Roman" w:cs="Times New Roman"/>
          <w:b/>
          <w:bCs/>
          <w:color w:val="000000"/>
          <w:sz w:val="24"/>
          <w:szCs w:val="24"/>
          <w:shd w:val="clear" w:color="auto" w:fill="FFFFFF"/>
          <w:lang w:eastAsia="ru-RU"/>
        </w:rPr>
        <w:t xml:space="preserve"> Obiectiv</w:t>
      </w:r>
      <w:r w:rsidR="00A83724" w:rsidRPr="00125FAF">
        <w:rPr>
          <w:rFonts w:ascii="Times New Roman" w:eastAsia="Times New Roman" w:hAnsi="Times New Roman" w:cs="Times New Roman"/>
          <w:b/>
          <w:bCs/>
          <w:color w:val="000000"/>
          <w:sz w:val="24"/>
          <w:szCs w:val="24"/>
          <w:shd w:val="clear" w:color="auto" w:fill="FFFFFF"/>
          <w:lang w:eastAsia="ru-RU"/>
        </w:rPr>
        <w:t>ele</w:t>
      </w:r>
      <w:r w:rsidR="006364B2" w:rsidRPr="00125FAF">
        <w:rPr>
          <w:rFonts w:ascii="Times New Roman" w:eastAsia="Times New Roman" w:hAnsi="Times New Roman" w:cs="Times New Roman"/>
          <w:b/>
          <w:bCs/>
          <w:color w:val="000000"/>
          <w:sz w:val="24"/>
          <w:szCs w:val="24"/>
          <w:shd w:val="clear" w:color="auto" w:fill="FFFFFF"/>
          <w:lang w:eastAsia="ru-RU"/>
        </w:rPr>
        <w:t xml:space="preserve"> general</w:t>
      </w:r>
      <w:r w:rsidR="00A83724" w:rsidRPr="00125FAF">
        <w:rPr>
          <w:rFonts w:ascii="Times New Roman" w:eastAsia="Times New Roman" w:hAnsi="Times New Roman" w:cs="Times New Roman"/>
          <w:b/>
          <w:bCs/>
          <w:color w:val="000000"/>
          <w:sz w:val="24"/>
          <w:szCs w:val="24"/>
          <w:shd w:val="clear" w:color="auto" w:fill="FFFFFF"/>
          <w:lang w:eastAsia="ru-RU"/>
        </w:rPr>
        <w:t>e</w:t>
      </w:r>
      <w:r w:rsidR="006364B2" w:rsidRPr="00125FAF">
        <w:rPr>
          <w:rFonts w:ascii="Times New Roman" w:eastAsia="Times New Roman" w:hAnsi="Times New Roman" w:cs="Times New Roman"/>
          <w:i/>
          <w:iCs/>
          <w:color w:val="000000"/>
          <w:sz w:val="24"/>
          <w:szCs w:val="24"/>
          <w:shd w:val="clear" w:color="auto" w:fill="FFFFFF"/>
          <w:lang w:eastAsia="ru-RU"/>
        </w:rPr>
        <w:t xml:space="preserve"> </w:t>
      </w:r>
      <w:r w:rsidR="006364B2" w:rsidRPr="00125FAF">
        <w:rPr>
          <w:rFonts w:ascii="Times New Roman" w:eastAsia="Times New Roman" w:hAnsi="Times New Roman" w:cs="Times New Roman"/>
          <w:color w:val="000000"/>
          <w:sz w:val="24"/>
          <w:szCs w:val="24"/>
          <w:shd w:val="clear" w:color="auto" w:fill="FFFFFF"/>
          <w:lang w:eastAsia="ru-RU"/>
        </w:rPr>
        <w:t>al</w:t>
      </w:r>
      <w:r w:rsidR="00A83724" w:rsidRPr="00125FAF">
        <w:rPr>
          <w:rFonts w:ascii="Times New Roman" w:eastAsia="Times New Roman" w:hAnsi="Times New Roman" w:cs="Times New Roman"/>
          <w:color w:val="000000"/>
          <w:sz w:val="24"/>
          <w:szCs w:val="24"/>
          <w:shd w:val="clear" w:color="auto" w:fill="FFFFFF"/>
          <w:lang w:eastAsia="ru-RU"/>
        </w:rPr>
        <w:t>e</w:t>
      </w:r>
      <w:r w:rsidR="006364B2" w:rsidRPr="00125FAF">
        <w:rPr>
          <w:rFonts w:ascii="Times New Roman" w:eastAsia="Times New Roman" w:hAnsi="Times New Roman" w:cs="Times New Roman"/>
          <w:color w:val="000000"/>
          <w:sz w:val="24"/>
          <w:szCs w:val="24"/>
          <w:shd w:val="clear" w:color="auto" w:fill="FFFFFF"/>
          <w:lang w:eastAsia="ru-RU"/>
        </w:rPr>
        <w:t xml:space="preserve"> prezent</w:t>
      </w:r>
      <w:r w:rsidR="00A83724" w:rsidRPr="00125FAF">
        <w:rPr>
          <w:rFonts w:ascii="Times New Roman" w:eastAsia="Times New Roman" w:hAnsi="Times New Roman" w:cs="Times New Roman"/>
          <w:color w:val="000000"/>
          <w:sz w:val="24"/>
          <w:szCs w:val="24"/>
          <w:shd w:val="clear" w:color="auto" w:fill="FFFFFF"/>
          <w:lang w:eastAsia="ru-RU"/>
        </w:rPr>
        <w:t>ului Program</w:t>
      </w:r>
      <w:r w:rsidR="006364B2" w:rsidRPr="00125FAF">
        <w:rPr>
          <w:rFonts w:ascii="Times New Roman" w:eastAsia="Times New Roman" w:hAnsi="Times New Roman" w:cs="Times New Roman"/>
          <w:color w:val="000000"/>
          <w:sz w:val="24"/>
          <w:szCs w:val="24"/>
          <w:shd w:val="clear" w:color="auto" w:fill="FFFFFF"/>
          <w:lang w:eastAsia="ru-RU"/>
        </w:rPr>
        <w:t xml:space="preserve"> </w:t>
      </w:r>
      <w:r w:rsidR="004A1CB2" w:rsidRPr="00125FAF">
        <w:rPr>
          <w:rFonts w:ascii="Times New Roman" w:eastAsia="Times New Roman" w:hAnsi="Times New Roman" w:cs="Times New Roman"/>
          <w:color w:val="000000"/>
          <w:sz w:val="24"/>
          <w:szCs w:val="24"/>
          <w:shd w:val="clear" w:color="auto" w:fill="FFFFFF"/>
          <w:lang w:eastAsia="ru-RU"/>
        </w:rPr>
        <w:t>const</w:t>
      </w:r>
      <w:r w:rsidR="00CC2B1C" w:rsidRPr="00125FAF">
        <w:rPr>
          <w:rFonts w:ascii="Times New Roman" w:eastAsia="Times New Roman" w:hAnsi="Times New Roman" w:cs="Times New Roman"/>
          <w:color w:val="000000"/>
          <w:sz w:val="24"/>
          <w:szCs w:val="24"/>
          <w:shd w:val="clear" w:color="auto" w:fill="FFFFFF"/>
          <w:lang w:eastAsia="ru-RU"/>
        </w:rPr>
        <w:t>au</w:t>
      </w:r>
      <w:r w:rsidR="00F4365E" w:rsidRPr="00125FAF">
        <w:rPr>
          <w:rFonts w:ascii="Times New Roman" w:eastAsia="Times New Roman" w:hAnsi="Times New Roman" w:cs="Times New Roman"/>
          <w:color w:val="000000"/>
          <w:sz w:val="24"/>
          <w:szCs w:val="24"/>
          <w:shd w:val="clear" w:color="auto" w:fill="FFFFFF"/>
          <w:lang w:eastAsia="ru-RU"/>
        </w:rPr>
        <w:t xml:space="preserve"> în implementarea principiilor economiei verzi, care contribuie la utilizarea eficientă a resurselor </w:t>
      </w:r>
      <w:proofErr w:type="spellStart"/>
      <w:r w:rsidR="00F4365E" w:rsidRPr="00125FAF">
        <w:rPr>
          <w:rFonts w:ascii="Times New Roman" w:eastAsia="Times New Roman" w:hAnsi="Times New Roman" w:cs="Times New Roman"/>
          <w:color w:val="000000"/>
          <w:sz w:val="24"/>
          <w:szCs w:val="24"/>
          <w:shd w:val="clear" w:color="auto" w:fill="FFFFFF"/>
          <w:lang w:eastAsia="ru-RU"/>
        </w:rPr>
        <w:t>şi</w:t>
      </w:r>
      <w:proofErr w:type="spellEnd"/>
      <w:r w:rsidR="00F4365E" w:rsidRPr="00125FAF">
        <w:rPr>
          <w:rFonts w:ascii="Times New Roman" w:eastAsia="Times New Roman" w:hAnsi="Times New Roman" w:cs="Times New Roman"/>
          <w:color w:val="000000"/>
          <w:sz w:val="24"/>
          <w:szCs w:val="24"/>
          <w:shd w:val="clear" w:color="auto" w:fill="FFFFFF"/>
          <w:lang w:eastAsia="ru-RU"/>
        </w:rPr>
        <w:t xml:space="preserve"> energiei, la aplicarea tehnologiilor mai curate în sectorul economic, cu emisii de carbon </w:t>
      </w:r>
      <w:proofErr w:type="spellStart"/>
      <w:r w:rsidR="00F4365E" w:rsidRPr="00125FAF">
        <w:rPr>
          <w:rFonts w:ascii="Times New Roman" w:eastAsia="Times New Roman" w:hAnsi="Times New Roman" w:cs="Times New Roman"/>
          <w:color w:val="000000"/>
          <w:sz w:val="24"/>
          <w:szCs w:val="24"/>
          <w:shd w:val="clear" w:color="auto" w:fill="FFFFFF"/>
          <w:lang w:eastAsia="ru-RU"/>
        </w:rPr>
        <w:t>şi</w:t>
      </w:r>
      <w:proofErr w:type="spellEnd"/>
      <w:r w:rsidR="00F4365E" w:rsidRPr="00125FAF">
        <w:rPr>
          <w:rFonts w:ascii="Times New Roman" w:eastAsia="Times New Roman" w:hAnsi="Times New Roman" w:cs="Times New Roman"/>
          <w:color w:val="000000"/>
          <w:sz w:val="24"/>
          <w:szCs w:val="24"/>
          <w:shd w:val="clear" w:color="auto" w:fill="FFFFFF"/>
          <w:lang w:eastAsia="ru-RU"/>
        </w:rPr>
        <w:t xml:space="preserve"> poluare redusă, </w:t>
      </w:r>
      <w:proofErr w:type="spellStart"/>
      <w:r w:rsidR="00F4365E" w:rsidRPr="00125FAF">
        <w:rPr>
          <w:rFonts w:ascii="Times New Roman" w:eastAsia="Times New Roman" w:hAnsi="Times New Roman" w:cs="Times New Roman"/>
          <w:color w:val="000000"/>
          <w:sz w:val="24"/>
          <w:szCs w:val="24"/>
          <w:shd w:val="clear" w:color="auto" w:fill="FFFFFF"/>
          <w:lang w:eastAsia="ru-RU"/>
        </w:rPr>
        <w:t>şi</w:t>
      </w:r>
      <w:proofErr w:type="spellEnd"/>
      <w:r w:rsidR="00F4365E" w:rsidRPr="00125FAF">
        <w:rPr>
          <w:rFonts w:ascii="Times New Roman" w:eastAsia="Times New Roman" w:hAnsi="Times New Roman" w:cs="Times New Roman"/>
          <w:color w:val="000000"/>
          <w:sz w:val="24"/>
          <w:szCs w:val="24"/>
          <w:shd w:val="clear" w:color="auto" w:fill="FFFFFF"/>
          <w:lang w:eastAsia="ru-RU"/>
        </w:rPr>
        <w:t xml:space="preserve"> la minimizarea riscurilor de mediu. Economia verde reprezintă un nou model de creștere economică, un generator de locuri de muncă decente </w:t>
      </w:r>
      <w:proofErr w:type="spellStart"/>
      <w:r w:rsidR="00F4365E" w:rsidRPr="00125FAF">
        <w:rPr>
          <w:rFonts w:ascii="Times New Roman" w:eastAsia="Times New Roman" w:hAnsi="Times New Roman" w:cs="Times New Roman"/>
          <w:color w:val="000000"/>
          <w:sz w:val="24"/>
          <w:szCs w:val="24"/>
          <w:shd w:val="clear" w:color="auto" w:fill="FFFFFF"/>
          <w:lang w:eastAsia="ru-RU"/>
        </w:rPr>
        <w:t>şi</w:t>
      </w:r>
      <w:proofErr w:type="spellEnd"/>
      <w:r w:rsidR="00F4365E" w:rsidRPr="00125FAF">
        <w:rPr>
          <w:rFonts w:ascii="Times New Roman" w:eastAsia="Times New Roman" w:hAnsi="Times New Roman" w:cs="Times New Roman"/>
          <w:color w:val="000000"/>
          <w:sz w:val="24"/>
          <w:szCs w:val="24"/>
          <w:shd w:val="clear" w:color="auto" w:fill="FFFFFF"/>
          <w:lang w:eastAsia="ru-RU"/>
        </w:rPr>
        <w:t xml:space="preserve"> o strategie vitală pentru eliminarea sărăciei.</w:t>
      </w:r>
      <w:r w:rsidR="008F2D60" w:rsidRPr="00125FAF">
        <w:rPr>
          <w:rFonts w:ascii="Times New Roman" w:eastAsia="Times New Roman" w:hAnsi="Times New Roman" w:cs="Times New Roman"/>
          <w:color w:val="000000"/>
          <w:sz w:val="24"/>
          <w:szCs w:val="24"/>
          <w:shd w:val="clear" w:color="auto" w:fill="FFFFFF"/>
          <w:lang w:eastAsia="ru-RU"/>
        </w:rPr>
        <w:t xml:space="preserve"> Ea</w:t>
      </w:r>
      <w:r w:rsidR="00F308B7" w:rsidRPr="00125FAF">
        <w:rPr>
          <w:rFonts w:ascii="Times New Roman" w:eastAsia="Times New Roman" w:hAnsi="Times New Roman" w:cs="Times New Roman"/>
          <w:color w:val="000000"/>
          <w:sz w:val="24"/>
          <w:szCs w:val="24"/>
          <w:shd w:val="clear" w:color="auto" w:fill="FFFFFF"/>
          <w:lang w:eastAsia="ru-RU"/>
        </w:rPr>
        <w:t xml:space="preserve"> implică asumarea unei responsabilități sporite pentru a stopa degradarea mediului și consumul resurselor naturale, având în vedere și necesitățile generațiilor viitoare, așa cum este prevăzut în Agend</w:t>
      </w:r>
      <w:r w:rsidR="00A47B91" w:rsidRPr="00125FAF">
        <w:rPr>
          <w:rFonts w:ascii="Times New Roman" w:eastAsia="Times New Roman" w:hAnsi="Times New Roman" w:cs="Times New Roman"/>
          <w:color w:val="000000"/>
          <w:sz w:val="24"/>
          <w:szCs w:val="24"/>
          <w:shd w:val="clear" w:color="auto" w:fill="FFFFFF"/>
          <w:lang w:eastAsia="ru-RU"/>
        </w:rPr>
        <w:t>a 2030</w:t>
      </w:r>
      <w:r w:rsidR="00F308B7" w:rsidRPr="00125FAF">
        <w:rPr>
          <w:rFonts w:ascii="Times New Roman" w:eastAsia="Times New Roman" w:hAnsi="Times New Roman" w:cs="Times New Roman"/>
          <w:color w:val="000000"/>
          <w:sz w:val="24"/>
          <w:szCs w:val="24"/>
          <w:shd w:val="clear" w:color="auto" w:fill="FFFFFF"/>
          <w:lang w:eastAsia="ru-RU"/>
        </w:rPr>
        <w:t>.</w:t>
      </w:r>
      <w:r w:rsidR="004A1CB2" w:rsidRPr="00125FAF">
        <w:rPr>
          <w:rFonts w:ascii="Times New Roman" w:eastAsia="Times New Roman" w:hAnsi="Times New Roman" w:cs="Times New Roman"/>
          <w:color w:val="000000"/>
          <w:sz w:val="24"/>
          <w:szCs w:val="24"/>
          <w:shd w:val="clear" w:color="auto" w:fill="FFFFFF"/>
          <w:lang w:eastAsia="ru-RU"/>
        </w:rPr>
        <w:t xml:space="preserve"> </w:t>
      </w:r>
      <w:r w:rsidR="007157B9" w:rsidRPr="00125FAF">
        <w:rPr>
          <w:rFonts w:ascii="Times New Roman" w:eastAsia="Times New Roman" w:hAnsi="Times New Roman" w:cs="Times New Roman"/>
          <w:color w:val="000000"/>
          <w:sz w:val="24"/>
          <w:szCs w:val="24"/>
          <w:shd w:val="clear" w:color="auto" w:fill="FFFFFF"/>
          <w:lang w:eastAsia="ru-RU"/>
        </w:rPr>
        <w:t xml:space="preserve">Responsabilitatea în cauză este expusă în </w:t>
      </w:r>
      <w:proofErr w:type="spellStart"/>
      <w:r w:rsidR="006364B2" w:rsidRPr="00125FAF">
        <w:rPr>
          <w:rFonts w:ascii="Times New Roman" w:eastAsia="Times New Roman" w:hAnsi="Times New Roman" w:cs="Times New Roman"/>
          <w:color w:val="000000"/>
          <w:sz w:val="24"/>
          <w:szCs w:val="24"/>
          <w:shd w:val="clear" w:color="auto" w:fill="FFFFFF"/>
          <w:lang w:eastAsia="ru-RU"/>
        </w:rPr>
        <w:t>Contribuţia</w:t>
      </w:r>
      <w:proofErr w:type="spellEnd"/>
      <w:r w:rsidR="006364B2" w:rsidRPr="00125FAF">
        <w:rPr>
          <w:rFonts w:ascii="Times New Roman" w:eastAsia="Times New Roman" w:hAnsi="Times New Roman" w:cs="Times New Roman"/>
          <w:color w:val="000000"/>
          <w:sz w:val="24"/>
          <w:szCs w:val="24"/>
          <w:shd w:val="clear" w:color="auto" w:fill="FFFFFF"/>
          <w:lang w:eastAsia="ru-RU"/>
        </w:rPr>
        <w:t xml:space="preserve"> </w:t>
      </w:r>
      <w:proofErr w:type="spellStart"/>
      <w:r w:rsidR="006364B2" w:rsidRPr="00125FAF">
        <w:rPr>
          <w:rFonts w:ascii="Times New Roman" w:eastAsia="Times New Roman" w:hAnsi="Times New Roman" w:cs="Times New Roman"/>
          <w:color w:val="000000"/>
          <w:sz w:val="24"/>
          <w:szCs w:val="24"/>
          <w:shd w:val="clear" w:color="auto" w:fill="FFFFFF"/>
          <w:lang w:eastAsia="ru-RU"/>
        </w:rPr>
        <w:t>naţională</w:t>
      </w:r>
      <w:proofErr w:type="spellEnd"/>
      <w:r w:rsidR="006364B2" w:rsidRPr="00125FAF">
        <w:rPr>
          <w:rFonts w:ascii="Times New Roman" w:eastAsia="Times New Roman" w:hAnsi="Times New Roman" w:cs="Times New Roman"/>
          <w:color w:val="000000"/>
          <w:sz w:val="24"/>
          <w:szCs w:val="24"/>
          <w:shd w:val="clear" w:color="auto" w:fill="FFFFFF"/>
          <w:lang w:eastAsia="ru-RU"/>
        </w:rPr>
        <w:t xml:space="preserve"> determinată</w:t>
      </w:r>
      <w:r w:rsidR="007157B9" w:rsidRPr="00125FAF">
        <w:rPr>
          <w:rFonts w:ascii="Times New Roman" w:eastAsia="Times New Roman" w:hAnsi="Times New Roman" w:cs="Times New Roman"/>
          <w:color w:val="000000"/>
          <w:sz w:val="24"/>
          <w:szCs w:val="24"/>
          <w:shd w:val="clear" w:color="auto" w:fill="FFFFFF"/>
          <w:lang w:eastAsia="ru-RU"/>
        </w:rPr>
        <w:t>, actualizată în 2020</w:t>
      </w:r>
      <w:r w:rsidR="00632E60" w:rsidRPr="00125FAF">
        <w:rPr>
          <w:rFonts w:ascii="Times New Roman" w:eastAsia="Times New Roman" w:hAnsi="Times New Roman" w:cs="Times New Roman"/>
          <w:color w:val="000000"/>
          <w:sz w:val="24"/>
          <w:szCs w:val="24"/>
          <w:shd w:val="clear" w:color="auto" w:fill="FFFFFF"/>
          <w:lang w:eastAsia="ru-RU"/>
        </w:rPr>
        <w:t xml:space="preserve">, responsabilitate, </w:t>
      </w:r>
      <w:r w:rsidR="008F2D60" w:rsidRPr="00125FAF">
        <w:rPr>
          <w:rFonts w:ascii="Times New Roman" w:eastAsia="Times New Roman" w:hAnsi="Times New Roman" w:cs="Times New Roman"/>
          <w:color w:val="000000"/>
          <w:sz w:val="24"/>
          <w:szCs w:val="24"/>
          <w:shd w:val="clear" w:color="auto" w:fill="FFFFFF"/>
          <w:lang w:eastAsia="ru-RU"/>
        </w:rPr>
        <w:t>determinată</w:t>
      </w:r>
      <w:r w:rsidR="00632E60" w:rsidRPr="00125FAF">
        <w:rPr>
          <w:rFonts w:ascii="Times New Roman" w:eastAsia="Times New Roman" w:hAnsi="Times New Roman" w:cs="Times New Roman"/>
          <w:color w:val="000000"/>
          <w:sz w:val="24"/>
          <w:szCs w:val="24"/>
          <w:shd w:val="clear" w:color="auto" w:fill="FFFFFF"/>
          <w:lang w:eastAsia="ru-RU"/>
        </w:rPr>
        <w:t xml:space="preserve"> prin obiective specifice, măsurabile, dar </w:t>
      </w:r>
      <w:proofErr w:type="spellStart"/>
      <w:r w:rsidR="00632E60" w:rsidRPr="00125FAF">
        <w:rPr>
          <w:rFonts w:ascii="Times New Roman" w:eastAsia="Times New Roman" w:hAnsi="Times New Roman" w:cs="Times New Roman"/>
          <w:color w:val="000000"/>
          <w:sz w:val="24"/>
          <w:szCs w:val="24"/>
          <w:shd w:val="clear" w:color="auto" w:fill="FFFFFF"/>
          <w:lang w:eastAsia="ru-RU"/>
        </w:rPr>
        <w:t>şi</w:t>
      </w:r>
      <w:proofErr w:type="spellEnd"/>
      <w:r w:rsidR="00632E60" w:rsidRPr="00125FAF">
        <w:rPr>
          <w:rFonts w:ascii="Times New Roman" w:eastAsia="Times New Roman" w:hAnsi="Times New Roman" w:cs="Times New Roman"/>
          <w:color w:val="000000"/>
          <w:sz w:val="24"/>
          <w:szCs w:val="24"/>
          <w:shd w:val="clear" w:color="auto" w:fill="FFFFFF"/>
          <w:lang w:eastAsia="ru-RU"/>
        </w:rPr>
        <w:t xml:space="preserve"> mai </w:t>
      </w:r>
      <w:proofErr w:type="spellStart"/>
      <w:r w:rsidR="00632E60" w:rsidRPr="00125FAF">
        <w:rPr>
          <w:rFonts w:ascii="Times New Roman" w:eastAsia="Times New Roman" w:hAnsi="Times New Roman" w:cs="Times New Roman"/>
          <w:color w:val="000000"/>
          <w:sz w:val="24"/>
          <w:szCs w:val="24"/>
          <w:shd w:val="clear" w:color="auto" w:fill="FFFFFF"/>
          <w:lang w:eastAsia="ru-RU"/>
        </w:rPr>
        <w:t>ambiţioase</w:t>
      </w:r>
      <w:proofErr w:type="spellEnd"/>
      <w:r w:rsidR="00632E60" w:rsidRPr="00125FAF">
        <w:rPr>
          <w:rFonts w:ascii="Times New Roman" w:eastAsia="Times New Roman" w:hAnsi="Times New Roman" w:cs="Times New Roman"/>
          <w:color w:val="000000"/>
          <w:sz w:val="24"/>
          <w:szCs w:val="24"/>
          <w:shd w:val="clear" w:color="auto" w:fill="FFFFFF"/>
          <w:lang w:eastAsia="ru-RU"/>
        </w:rPr>
        <w:t>, decât CND</w:t>
      </w:r>
      <w:r w:rsidR="009E3543" w:rsidRPr="00125FAF">
        <w:rPr>
          <w:rFonts w:ascii="Times New Roman" w:eastAsia="Times New Roman" w:hAnsi="Times New Roman" w:cs="Times New Roman"/>
          <w:color w:val="000000"/>
          <w:sz w:val="24"/>
          <w:szCs w:val="24"/>
          <w:shd w:val="clear" w:color="auto" w:fill="FFFFFF"/>
          <w:lang w:eastAsia="ru-RU"/>
        </w:rPr>
        <w:t>I</w:t>
      </w:r>
      <w:r w:rsidR="00632E60" w:rsidRPr="00125FAF">
        <w:rPr>
          <w:rFonts w:ascii="Times New Roman" w:eastAsia="Times New Roman" w:hAnsi="Times New Roman" w:cs="Times New Roman"/>
          <w:color w:val="000000"/>
          <w:sz w:val="24"/>
          <w:szCs w:val="24"/>
          <w:shd w:val="clear" w:color="auto" w:fill="FFFFFF"/>
          <w:lang w:eastAsia="ru-RU"/>
        </w:rPr>
        <w:t xml:space="preserve"> raportată de </w:t>
      </w:r>
      <w:proofErr w:type="spellStart"/>
      <w:r w:rsidR="00632E60" w:rsidRPr="00125FAF">
        <w:rPr>
          <w:rFonts w:ascii="Times New Roman" w:eastAsia="Times New Roman" w:hAnsi="Times New Roman" w:cs="Times New Roman"/>
          <w:color w:val="000000"/>
          <w:sz w:val="24"/>
          <w:szCs w:val="24"/>
          <w:shd w:val="clear" w:color="auto" w:fill="FFFFFF"/>
          <w:lang w:eastAsia="ru-RU"/>
        </w:rPr>
        <w:t>ţară</w:t>
      </w:r>
      <w:proofErr w:type="spellEnd"/>
      <w:r w:rsidR="00632E60" w:rsidRPr="00125FAF">
        <w:rPr>
          <w:rFonts w:ascii="Times New Roman" w:eastAsia="Times New Roman" w:hAnsi="Times New Roman" w:cs="Times New Roman"/>
          <w:color w:val="000000"/>
          <w:sz w:val="24"/>
          <w:szCs w:val="24"/>
          <w:shd w:val="clear" w:color="auto" w:fill="FFFFFF"/>
          <w:lang w:eastAsia="ru-RU"/>
        </w:rPr>
        <w:t xml:space="preserve"> către CONUSC în 2015</w:t>
      </w:r>
      <w:r w:rsidR="007157B9" w:rsidRPr="00125FAF">
        <w:rPr>
          <w:rFonts w:ascii="Times New Roman" w:eastAsia="Times New Roman" w:hAnsi="Times New Roman" w:cs="Times New Roman"/>
          <w:color w:val="000000"/>
          <w:sz w:val="24"/>
          <w:szCs w:val="24"/>
          <w:shd w:val="clear" w:color="auto" w:fill="FFFFFF"/>
          <w:lang w:eastAsia="ru-RU"/>
        </w:rPr>
        <w:t xml:space="preserve">. </w:t>
      </w:r>
      <w:r w:rsidR="009E3543" w:rsidRPr="00125FAF">
        <w:rPr>
          <w:rFonts w:ascii="Times New Roman" w:eastAsia="Times New Roman" w:hAnsi="Times New Roman" w:cs="Times New Roman"/>
          <w:color w:val="000000"/>
          <w:sz w:val="24"/>
          <w:szCs w:val="24"/>
          <w:shd w:val="clear" w:color="auto" w:fill="FFFFFF"/>
          <w:lang w:eastAsia="ru-RU"/>
        </w:rPr>
        <w:t>Așa cum deja a fost menționat, o</w:t>
      </w:r>
      <w:r w:rsidR="00632E60" w:rsidRPr="00125FAF">
        <w:rPr>
          <w:rFonts w:ascii="Times New Roman" w:eastAsia="Times New Roman" w:hAnsi="Times New Roman" w:cs="Times New Roman"/>
          <w:color w:val="000000"/>
          <w:sz w:val="24"/>
          <w:szCs w:val="24"/>
          <w:shd w:val="clear" w:color="auto" w:fill="FFFFFF"/>
          <w:lang w:eastAsia="ru-RU"/>
        </w:rPr>
        <w:t xml:space="preserve">biectivul </w:t>
      </w:r>
      <w:r w:rsidR="008F2D60" w:rsidRPr="00125FAF">
        <w:rPr>
          <w:rFonts w:ascii="Times New Roman" w:eastAsia="Times New Roman" w:hAnsi="Times New Roman" w:cs="Times New Roman"/>
          <w:color w:val="000000"/>
          <w:sz w:val="24"/>
          <w:szCs w:val="24"/>
          <w:shd w:val="clear" w:color="auto" w:fill="FFFFFF"/>
          <w:lang w:eastAsia="ru-RU"/>
        </w:rPr>
        <w:t>CNDA</w:t>
      </w:r>
      <w:r w:rsidR="00632E60" w:rsidRPr="00125FAF">
        <w:rPr>
          <w:rFonts w:ascii="Times New Roman" w:eastAsia="Times New Roman" w:hAnsi="Times New Roman" w:cs="Times New Roman"/>
          <w:color w:val="000000"/>
          <w:sz w:val="24"/>
          <w:szCs w:val="24"/>
          <w:shd w:val="clear" w:color="auto" w:fill="FFFFFF"/>
          <w:lang w:eastAsia="ru-RU"/>
        </w:rPr>
        <w:t xml:space="preserve">, necondiționat, care cuprinde întreaga economie a țării, prevede reducerea emisiilor de gaze cu efect de seră cu 70% </w:t>
      </w:r>
      <w:r w:rsidR="009E3543" w:rsidRPr="00125FAF">
        <w:rPr>
          <w:rFonts w:ascii="Times New Roman" w:eastAsia="Times New Roman" w:hAnsi="Times New Roman" w:cs="Times New Roman"/>
          <w:color w:val="000000"/>
          <w:sz w:val="24"/>
          <w:szCs w:val="24"/>
          <w:shd w:val="clear" w:color="auto" w:fill="FFFFFF"/>
          <w:lang w:eastAsia="ru-RU"/>
        </w:rPr>
        <w:t>către</w:t>
      </w:r>
      <w:r w:rsidR="00632E60" w:rsidRPr="00125FAF">
        <w:rPr>
          <w:rFonts w:ascii="Times New Roman" w:eastAsia="Times New Roman" w:hAnsi="Times New Roman" w:cs="Times New Roman"/>
          <w:color w:val="000000"/>
          <w:sz w:val="24"/>
          <w:szCs w:val="24"/>
          <w:shd w:val="clear" w:color="auto" w:fill="FFFFFF"/>
          <w:lang w:eastAsia="ru-RU"/>
        </w:rPr>
        <w:t xml:space="preserve"> anul 2030 </w:t>
      </w:r>
      <w:proofErr w:type="spellStart"/>
      <w:r w:rsidR="00632E60" w:rsidRPr="00125FAF">
        <w:rPr>
          <w:rFonts w:ascii="Times New Roman" w:eastAsia="Times New Roman" w:hAnsi="Times New Roman" w:cs="Times New Roman"/>
          <w:color w:val="000000"/>
          <w:sz w:val="24"/>
          <w:szCs w:val="24"/>
          <w:shd w:val="clear" w:color="auto" w:fill="FFFFFF"/>
          <w:lang w:eastAsia="ru-RU"/>
        </w:rPr>
        <w:t>faţă</w:t>
      </w:r>
      <w:proofErr w:type="spellEnd"/>
      <w:r w:rsidR="00632E60" w:rsidRPr="00125FAF">
        <w:rPr>
          <w:rFonts w:ascii="Times New Roman" w:eastAsia="Times New Roman" w:hAnsi="Times New Roman" w:cs="Times New Roman"/>
          <w:color w:val="000000"/>
          <w:sz w:val="24"/>
          <w:szCs w:val="24"/>
          <w:shd w:val="clear" w:color="auto" w:fill="FFFFFF"/>
          <w:lang w:eastAsia="ru-RU"/>
        </w:rPr>
        <w:t xml:space="preserve"> de anul 1990, în loc de 64-67% asumate în CND</w:t>
      </w:r>
      <w:r w:rsidR="009E3543" w:rsidRPr="00125FAF">
        <w:rPr>
          <w:rFonts w:ascii="Times New Roman" w:eastAsia="Times New Roman" w:hAnsi="Times New Roman" w:cs="Times New Roman"/>
          <w:color w:val="000000"/>
          <w:sz w:val="24"/>
          <w:szCs w:val="24"/>
          <w:shd w:val="clear" w:color="auto" w:fill="FFFFFF"/>
          <w:lang w:eastAsia="ru-RU"/>
        </w:rPr>
        <w:t>I</w:t>
      </w:r>
      <w:r w:rsidR="00632E60" w:rsidRPr="00125FAF">
        <w:rPr>
          <w:rFonts w:ascii="Times New Roman" w:eastAsia="Times New Roman" w:hAnsi="Times New Roman" w:cs="Times New Roman"/>
          <w:color w:val="000000"/>
          <w:sz w:val="24"/>
          <w:szCs w:val="24"/>
          <w:shd w:val="clear" w:color="auto" w:fill="FFFFFF"/>
          <w:lang w:eastAsia="ru-RU"/>
        </w:rPr>
        <w:t>.</w:t>
      </w:r>
    </w:p>
    <w:p w14:paraId="0DEB1225" w14:textId="5657BBBB" w:rsidR="006364B2" w:rsidRPr="00125FAF" w:rsidRDefault="00632E60" w:rsidP="00632E60">
      <w:pPr>
        <w:spacing w:after="0"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125FAF">
        <w:rPr>
          <w:rFonts w:ascii="Times New Roman" w:eastAsia="Times New Roman" w:hAnsi="Times New Roman" w:cs="Times New Roman"/>
          <w:color w:val="000000"/>
          <w:sz w:val="24"/>
          <w:szCs w:val="24"/>
          <w:shd w:val="clear" w:color="auto" w:fill="FFFFFF"/>
          <w:lang w:eastAsia="ru-RU"/>
        </w:rPr>
        <w:t>În ceea ce privește obiectivul condiționat, în loc de 78%, asumate în CND</w:t>
      </w:r>
      <w:r w:rsidR="009E3543" w:rsidRPr="00125FAF">
        <w:rPr>
          <w:rFonts w:ascii="Times New Roman" w:eastAsia="Times New Roman" w:hAnsi="Times New Roman" w:cs="Times New Roman"/>
          <w:color w:val="000000"/>
          <w:sz w:val="24"/>
          <w:szCs w:val="24"/>
          <w:shd w:val="clear" w:color="auto" w:fill="FFFFFF"/>
          <w:lang w:eastAsia="ru-RU"/>
        </w:rPr>
        <w:t>I</w:t>
      </w:r>
      <w:r w:rsidRPr="00125FAF">
        <w:rPr>
          <w:rFonts w:ascii="Times New Roman" w:eastAsia="Times New Roman" w:hAnsi="Times New Roman" w:cs="Times New Roman"/>
          <w:color w:val="000000"/>
          <w:sz w:val="24"/>
          <w:szCs w:val="24"/>
          <w:shd w:val="clear" w:color="auto" w:fill="FFFFFF"/>
          <w:lang w:eastAsia="ru-RU"/>
        </w:rPr>
        <w:t xml:space="preserve">, angajamentul de reducere exprimat mai sus ar putea fi sporit până la 88% sub nivelul 1990, cu condiția </w:t>
      </w:r>
      <w:proofErr w:type="spellStart"/>
      <w:r w:rsidR="009E3543" w:rsidRPr="00125FAF">
        <w:rPr>
          <w:rFonts w:ascii="Times New Roman" w:eastAsia="Times New Roman" w:hAnsi="Times New Roman" w:cs="Times New Roman"/>
          <w:color w:val="000000"/>
          <w:sz w:val="24"/>
          <w:szCs w:val="24"/>
          <w:shd w:val="clear" w:color="auto" w:fill="FFFFFF"/>
          <w:lang w:eastAsia="ru-RU"/>
        </w:rPr>
        <w:t>disponibilităţii</w:t>
      </w:r>
      <w:proofErr w:type="spellEnd"/>
      <w:r w:rsidR="009E3543" w:rsidRPr="00125FAF">
        <w:rPr>
          <w:rFonts w:ascii="Times New Roman" w:eastAsia="Times New Roman" w:hAnsi="Times New Roman" w:cs="Times New Roman"/>
          <w:color w:val="000000"/>
          <w:sz w:val="24"/>
          <w:szCs w:val="24"/>
          <w:shd w:val="clear" w:color="auto" w:fill="FFFFFF"/>
          <w:lang w:eastAsia="ru-RU"/>
        </w:rPr>
        <w:t xml:space="preserve"> suportului donatorilor </w:t>
      </w:r>
      <w:proofErr w:type="spellStart"/>
      <w:r w:rsidR="009E3543" w:rsidRPr="00125FAF">
        <w:rPr>
          <w:rFonts w:ascii="Times New Roman" w:eastAsia="Times New Roman" w:hAnsi="Times New Roman" w:cs="Times New Roman"/>
          <w:color w:val="000000"/>
          <w:sz w:val="24"/>
          <w:szCs w:val="24"/>
          <w:shd w:val="clear" w:color="auto" w:fill="FFFFFF"/>
          <w:lang w:eastAsia="ru-RU"/>
        </w:rPr>
        <w:t>internaţionali</w:t>
      </w:r>
      <w:proofErr w:type="spellEnd"/>
      <w:r w:rsidRPr="00125FAF">
        <w:rPr>
          <w:rFonts w:ascii="Times New Roman" w:eastAsia="Times New Roman" w:hAnsi="Times New Roman" w:cs="Times New Roman"/>
          <w:color w:val="000000"/>
          <w:sz w:val="24"/>
          <w:szCs w:val="24"/>
          <w:shd w:val="clear" w:color="auto" w:fill="FFFFFF"/>
          <w:lang w:eastAsia="ru-RU"/>
        </w:rPr>
        <w:t>.</w:t>
      </w:r>
    </w:p>
    <w:p w14:paraId="7EC9DFC7" w14:textId="219AE4A2" w:rsidR="00A83724" w:rsidRPr="00125FAF" w:rsidRDefault="00A83724" w:rsidP="00632E60">
      <w:pPr>
        <w:spacing w:after="0" w:line="240" w:lineRule="auto"/>
        <w:ind w:firstLine="720"/>
        <w:jc w:val="both"/>
        <w:rPr>
          <w:rFonts w:ascii="Times New Roman" w:eastAsia="Times New Roman" w:hAnsi="Times New Roman" w:cs="Times New Roman"/>
          <w:color w:val="000000"/>
          <w:sz w:val="24"/>
          <w:szCs w:val="24"/>
          <w:shd w:val="clear" w:color="auto" w:fill="FFFFFF"/>
          <w:lang w:eastAsia="ru-RU"/>
        </w:rPr>
      </w:pPr>
    </w:p>
    <w:p w14:paraId="43354803" w14:textId="5762D4C8" w:rsidR="00A83724" w:rsidRPr="00125FAF" w:rsidRDefault="00A83724" w:rsidP="00A83724">
      <w:pPr>
        <w:spacing w:after="120" w:line="240" w:lineRule="auto"/>
        <w:jc w:val="center"/>
        <w:outlineLvl w:val="1"/>
        <w:rPr>
          <w:rFonts w:ascii="Times New Roman" w:eastAsia="Times New Roman" w:hAnsi="Times New Roman" w:cs="Times New Roman"/>
          <w:b/>
          <w:bCs/>
          <w:color w:val="000000"/>
          <w:sz w:val="24"/>
          <w:szCs w:val="24"/>
          <w:shd w:val="clear" w:color="auto" w:fill="FFFFFF"/>
          <w:lang w:eastAsia="ru-RU"/>
        </w:rPr>
      </w:pPr>
      <w:r w:rsidRPr="00125FAF">
        <w:rPr>
          <w:rFonts w:ascii="Times New Roman" w:eastAsia="Times New Roman" w:hAnsi="Times New Roman" w:cs="Times New Roman"/>
          <w:b/>
          <w:bCs/>
          <w:color w:val="000000"/>
          <w:sz w:val="24"/>
          <w:szCs w:val="24"/>
          <w:lang w:eastAsia="ru-RU"/>
        </w:rPr>
        <w:t>I</w:t>
      </w:r>
      <w:r w:rsidR="006F7BA8" w:rsidRPr="00125FAF">
        <w:rPr>
          <w:rFonts w:ascii="Times New Roman" w:eastAsia="Times New Roman" w:hAnsi="Times New Roman" w:cs="Times New Roman"/>
          <w:b/>
          <w:bCs/>
          <w:color w:val="000000"/>
          <w:sz w:val="24"/>
          <w:szCs w:val="24"/>
          <w:lang w:eastAsia="ru-RU"/>
        </w:rPr>
        <w:t>V</w:t>
      </w:r>
      <w:r w:rsidRPr="00125FAF">
        <w:rPr>
          <w:rFonts w:ascii="Times New Roman" w:eastAsia="Times New Roman" w:hAnsi="Times New Roman" w:cs="Times New Roman"/>
          <w:b/>
          <w:bCs/>
          <w:color w:val="000000"/>
          <w:sz w:val="24"/>
          <w:szCs w:val="24"/>
          <w:lang w:eastAsia="ru-RU"/>
        </w:rPr>
        <w:t>. O</w:t>
      </w:r>
      <w:r w:rsidRPr="00125FAF">
        <w:rPr>
          <w:rFonts w:ascii="Times New Roman" w:eastAsia="Times New Roman" w:hAnsi="Times New Roman" w:cs="Times New Roman"/>
          <w:b/>
          <w:bCs/>
          <w:color w:val="000000"/>
          <w:sz w:val="24"/>
          <w:szCs w:val="24"/>
          <w:shd w:val="clear" w:color="auto" w:fill="FFFFFF"/>
          <w:lang w:eastAsia="ru-RU"/>
        </w:rPr>
        <w:t xml:space="preserve">BIECTIVELE </w:t>
      </w:r>
      <w:r w:rsidR="006F7BA8" w:rsidRPr="00125FAF">
        <w:rPr>
          <w:rFonts w:ascii="Times New Roman" w:eastAsia="Times New Roman" w:hAnsi="Times New Roman" w:cs="Times New Roman"/>
          <w:b/>
          <w:bCs/>
          <w:color w:val="000000"/>
          <w:sz w:val="24"/>
          <w:szCs w:val="24"/>
          <w:shd w:val="clear" w:color="auto" w:fill="FFFFFF"/>
          <w:lang w:eastAsia="ru-RU"/>
        </w:rPr>
        <w:t>SPECIFICE</w:t>
      </w:r>
    </w:p>
    <w:p w14:paraId="0E23CFBD" w14:textId="61EEE5B6" w:rsidR="006364B2" w:rsidRPr="00125FAF" w:rsidRDefault="007909C8" w:rsidP="001F2F2D">
      <w:pPr>
        <w:spacing w:after="120" w:line="240" w:lineRule="auto"/>
        <w:ind w:firstLine="720"/>
        <w:jc w:val="both"/>
        <w:rPr>
          <w:rFonts w:ascii="Times New Roman" w:eastAsia="Times New Roman" w:hAnsi="Times New Roman" w:cs="Times New Roman"/>
          <w:sz w:val="24"/>
          <w:szCs w:val="24"/>
          <w:lang w:eastAsia="ru-RU"/>
        </w:rPr>
      </w:pPr>
      <w:r w:rsidRPr="00125FAF">
        <w:rPr>
          <w:rFonts w:ascii="Times New Roman" w:eastAsia="Times New Roman" w:hAnsi="Times New Roman" w:cs="Times New Roman"/>
          <w:color w:val="000000"/>
          <w:sz w:val="24"/>
          <w:szCs w:val="24"/>
          <w:shd w:val="clear" w:color="auto" w:fill="FFFFFF"/>
          <w:lang w:eastAsia="ru-RU"/>
        </w:rPr>
        <w:t xml:space="preserve">22. </w:t>
      </w:r>
      <w:r w:rsidR="006364B2" w:rsidRPr="00125FAF">
        <w:rPr>
          <w:rFonts w:ascii="Times New Roman" w:eastAsia="Times New Roman" w:hAnsi="Times New Roman" w:cs="Times New Roman"/>
          <w:color w:val="000000"/>
          <w:sz w:val="24"/>
          <w:szCs w:val="24"/>
          <w:shd w:val="clear" w:color="auto" w:fill="FFFFFF"/>
          <w:lang w:eastAsia="ru-RU"/>
        </w:rPr>
        <w:t>Obiectiv</w:t>
      </w:r>
      <w:r w:rsidR="00632E60" w:rsidRPr="00125FAF">
        <w:rPr>
          <w:rFonts w:ascii="Times New Roman" w:eastAsia="Times New Roman" w:hAnsi="Times New Roman" w:cs="Times New Roman"/>
          <w:color w:val="000000"/>
          <w:sz w:val="24"/>
          <w:szCs w:val="24"/>
          <w:shd w:val="clear" w:color="auto" w:fill="FFFFFF"/>
          <w:lang w:eastAsia="ru-RU"/>
        </w:rPr>
        <w:t>ele</w:t>
      </w:r>
      <w:r w:rsidR="006364B2" w:rsidRPr="00125FAF">
        <w:rPr>
          <w:rFonts w:ascii="Times New Roman" w:eastAsia="Times New Roman" w:hAnsi="Times New Roman" w:cs="Times New Roman"/>
          <w:color w:val="000000"/>
          <w:sz w:val="24"/>
          <w:szCs w:val="24"/>
          <w:shd w:val="clear" w:color="auto" w:fill="FFFFFF"/>
          <w:lang w:eastAsia="ru-RU"/>
        </w:rPr>
        <w:t xml:space="preserve"> </w:t>
      </w:r>
      <w:r w:rsidR="00632E60" w:rsidRPr="00125FAF">
        <w:rPr>
          <w:rFonts w:ascii="Times New Roman" w:eastAsia="Times New Roman" w:hAnsi="Times New Roman" w:cs="Times New Roman"/>
          <w:color w:val="000000"/>
          <w:sz w:val="24"/>
          <w:szCs w:val="24"/>
          <w:shd w:val="clear" w:color="auto" w:fill="FFFFFF"/>
          <w:lang w:eastAsia="ru-RU"/>
        </w:rPr>
        <w:t xml:space="preserve">CNDA </w:t>
      </w:r>
      <w:r w:rsidR="006364B2" w:rsidRPr="00125FAF">
        <w:rPr>
          <w:rFonts w:ascii="Times New Roman" w:eastAsia="Times New Roman" w:hAnsi="Times New Roman" w:cs="Times New Roman"/>
          <w:color w:val="000000"/>
          <w:sz w:val="24"/>
          <w:szCs w:val="24"/>
          <w:shd w:val="clear" w:color="auto" w:fill="FFFFFF"/>
          <w:lang w:eastAsia="ru-RU"/>
        </w:rPr>
        <w:t>v</w:t>
      </w:r>
      <w:r w:rsidR="00CC2B1C" w:rsidRPr="00125FAF">
        <w:rPr>
          <w:rFonts w:ascii="Times New Roman" w:eastAsia="Times New Roman" w:hAnsi="Times New Roman" w:cs="Times New Roman"/>
          <w:color w:val="000000"/>
          <w:sz w:val="24"/>
          <w:szCs w:val="24"/>
          <w:shd w:val="clear" w:color="auto" w:fill="FFFFFF"/>
          <w:lang w:eastAsia="ru-RU"/>
        </w:rPr>
        <w:t>or</w:t>
      </w:r>
      <w:r w:rsidR="006364B2" w:rsidRPr="00125FAF">
        <w:rPr>
          <w:rFonts w:ascii="Times New Roman" w:eastAsia="Times New Roman" w:hAnsi="Times New Roman" w:cs="Times New Roman"/>
          <w:color w:val="000000"/>
          <w:sz w:val="24"/>
          <w:szCs w:val="24"/>
          <w:shd w:val="clear" w:color="auto" w:fill="FFFFFF"/>
          <w:lang w:eastAsia="ru-RU"/>
        </w:rPr>
        <w:t xml:space="preserve"> fi </w:t>
      </w:r>
      <w:r w:rsidR="00CC2B1C" w:rsidRPr="00125FAF">
        <w:rPr>
          <w:rFonts w:ascii="Times New Roman" w:eastAsia="Times New Roman" w:hAnsi="Times New Roman" w:cs="Times New Roman"/>
          <w:color w:val="000000"/>
          <w:sz w:val="24"/>
          <w:szCs w:val="24"/>
          <w:shd w:val="clear" w:color="auto" w:fill="FFFFFF"/>
          <w:lang w:eastAsia="ru-RU"/>
        </w:rPr>
        <w:t>atinse</w:t>
      </w:r>
      <w:r w:rsidR="006364B2" w:rsidRPr="00125FAF">
        <w:rPr>
          <w:rFonts w:ascii="Times New Roman" w:eastAsia="Times New Roman" w:hAnsi="Times New Roman" w:cs="Times New Roman"/>
          <w:color w:val="000000"/>
          <w:sz w:val="24"/>
          <w:szCs w:val="24"/>
          <w:shd w:val="clear" w:color="auto" w:fill="FFFFFF"/>
          <w:lang w:eastAsia="ru-RU"/>
        </w:rPr>
        <w:t xml:space="preserve"> prin reducerea emisiilor de gaze cu efect de seră în 7 sectoare, conform obiectivelor specifice de mai jos, fiind reflectate </w:t>
      </w:r>
      <w:proofErr w:type="spellStart"/>
      <w:r w:rsidR="006364B2" w:rsidRPr="00125FAF">
        <w:rPr>
          <w:rFonts w:ascii="Times New Roman" w:eastAsia="Times New Roman" w:hAnsi="Times New Roman" w:cs="Times New Roman"/>
          <w:color w:val="000000"/>
          <w:sz w:val="24"/>
          <w:szCs w:val="24"/>
          <w:shd w:val="clear" w:color="auto" w:fill="FFFFFF"/>
          <w:lang w:eastAsia="ru-RU"/>
        </w:rPr>
        <w:t>şi</w:t>
      </w:r>
      <w:proofErr w:type="spellEnd"/>
      <w:r w:rsidR="006364B2" w:rsidRPr="00125FAF">
        <w:rPr>
          <w:rFonts w:ascii="Times New Roman" w:eastAsia="Times New Roman" w:hAnsi="Times New Roman" w:cs="Times New Roman"/>
          <w:color w:val="000000"/>
          <w:sz w:val="24"/>
          <w:szCs w:val="24"/>
          <w:shd w:val="clear" w:color="auto" w:fill="FFFFFF"/>
          <w:lang w:eastAsia="ru-RU"/>
        </w:rPr>
        <w:t xml:space="preserve"> în valori absolute în tabelul </w:t>
      </w:r>
      <w:r w:rsidR="00E13B78" w:rsidRPr="00125FAF">
        <w:rPr>
          <w:rFonts w:ascii="Times New Roman" w:eastAsia="Times New Roman" w:hAnsi="Times New Roman" w:cs="Times New Roman"/>
          <w:color w:val="000000"/>
          <w:sz w:val="24"/>
          <w:szCs w:val="24"/>
          <w:shd w:val="clear" w:color="auto" w:fill="FFFFFF"/>
          <w:lang w:eastAsia="ru-RU"/>
        </w:rPr>
        <w:t>4</w:t>
      </w:r>
      <w:r w:rsidR="006364B2" w:rsidRPr="00125FAF">
        <w:rPr>
          <w:rFonts w:ascii="Times New Roman" w:eastAsia="Times New Roman" w:hAnsi="Times New Roman" w:cs="Times New Roman"/>
          <w:color w:val="000000"/>
          <w:sz w:val="24"/>
          <w:szCs w:val="24"/>
          <w:shd w:val="clear" w:color="auto" w:fill="FFFFFF"/>
          <w:lang w:eastAsia="ru-RU"/>
        </w:rPr>
        <w:t xml:space="preserve">.1. </w:t>
      </w:r>
      <w:proofErr w:type="spellStart"/>
      <w:r w:rsidR="006364B2" w:rsidRPr="00125FAF">
        <w:rPr>
          <w:rFonts w:ascii="Times New Roman" w:eastAsia="Times New Roman" w:hAnsi="Times New Roman" w:cs="Times New Roman"/>
          <w:color w:val="000000"/>
          <w:sz w:val="24"/>
          <w:szCs w:val="24"/>
          <w:shd w:val="clear" w:color="auto" w:fill="FFFFFF"/>
          <w:lang w:eastAsia="ru-RU"/>
        </w:rPr>
        <w:t>şi</w:t>
      </w:r>
      <w:proofErr w:type="spellEnd"/>
      <w:r w:rsidR="006364B2" w:rsidRPr="00125FAF">
        <w:rPr>
          <w:rFonts w:ascii="Times New Roman" w:eastAsia="Times New Roman" w:hAnsi="Times New Roman" w:cs="Times New Roman"/>
          <w:color w:val="000000"/>
          <w:sz w:val="24"/>
          <w:szCs w:val="24"/>
          <w:shd w:val="clear" w:color="auto" w:fill="FFFFFF"/>
          <w:lang w:eastAsia="ru-RU"/>
        </w:rPr>
        <w:t xml:space="preserve"> figurile </w:t>
      </w:r>
      <w:r w:rsidR="00E13B78" w:rsidRPr="00125FAF">
        <w:rPr>
          <w:rFonts w:ascii="Times New Roman" w:eastAsia="Times New Roman" w:hAnsi="Times New Roman" w:cs="Times New Roman"/>
          <w:color w:val="000000"/>
          <w:sz w:val="24"/>
          <w:szCs w:val="24"/>
          <w:shd w:val="clear" w:color="auto" w:fill="FFFFFF"/>
          <w:lang w:eastAsia="ru-RU"/>
        </w:rPr>
        <w:t>4</w:t>
      </w:r>
      <w:r w:rsidR="006364B2" w:rsidRPr="00125FAF">
        <w:rPr>
          <w:rFonts w:ascii="Times New Roman" w:eastAsia="Times New Roman" w:hAnsi="Times New Roman" w:cs="Times New Roman"/>
          <w:color w:val="000000"/>
          <w:sz w:val="24"/>
          <w:szCs w:val="24"/>
          <w:shd w:val="clear" w:color="auto" w:fill="FFFFFF"/>
          <w:lang w:eastAsia="ru-RU"/>
        </w:rPr>
        <w:t xml:space="preserve">.1 </w:t>
      </w:r>
      <w:proofErr w:type="spellStart"/>
      <w:r w:rsidR="006364B2" w:rsidRPr="00125FAF">
        <w:rPr>
          <w:rFonts w:ascii="Times New Roman" w:eastAsia="Times New Roman" w:hAnsi="Times New Roman" w:cs="Times New Roman"/>
          <w:color w:val="000000"/>
          <w:sz w:val="24"/>
          <w:szCs w:val="24"/>
          <w:shd w:val="clear" w:color="auto" w:fill="FFFFFF"/>
          <w:lang w:eastAsia="ru-RU"/>
        </w:rPr>
        <w:t>şi</w:t>
      </w:r>
      <w:proofErr w:type="spellEnd"/>
      <w:r w:rsidR="006364B2" w:rsidRPr="00125FAF">
        <w:rPr>
          <w:rFonts w:ascii="Times New Roman" w:eastAsia="Times New Roman" w:hAnsi="Times New Roman" w:cs="Times New Roman"/>
          <w:color w:val="000000"/>
          <w:sz w:val="24"/>
          <w:szCs w:val="24"/>
          <w:shd w:val="clear" w:color="auto" w:fill="FFFFFF"/>
          <w:lang w:eastAsia="ru-RU"/>
        </w:rPr>
        <w:t xml:space="preserve"> </w:t>
      </w:r>
      <w:r w:rsidR="00E13B78" w:rsidRPr="00125FAF">
        <w:rPr>
          <w:rFonts w:ascii="Times New Roman" w:eastAsia="Times New Roman" w:hAnsi="Times New Roman" w:cs="Times New Roman"/>
          <w:color w:val="000000"/>
          <w:sz w:val="24"/>
          <w:szCs w:val="24"/>
          <w:shd w:val="clear" w:color="auto" w:fill="FFFFFF"/>
          <w:lang w:eastAsia="ru-RU"/>
        </w:rPr>
        <w:t>4</w:t>
      </w:r>
      <w:r w:rsidR="006364B2" w:rsidRPr="00125FAF">
        <w:rPr>
          <w:rFonts w:ascii="Times New Roman" w:eastAsia="Times New Roman" w:hAnsi="Times New Roman" w:cs="Times New Roman"/>
          <w:color w:val="000000"/>
          <w:sz w:val="24"/>
          <w:szCs w:val="24"/>
          <w:shd w:val="clear" w:color="auto" w:fill="FFFFFF"/>
          <w:lang w:eastAsia="ru-RU"/>
        </w:rPr>
        <w:t>.2:</w:t>
      </w:r>
    </w:p>
    <w:p w14:paraId="0EE54547" w14:textId="39DACF91" w:rsidR="006364B2" w:rsidRPr="00125FAF" w:rsidRDefault="006364B2" w:rsidP="006364B2">
      <w:pPr>
        <w:spacing w:after="0" w:line="240" w:lineRule="auto"/>
        <w:ind w:firstLine="720"/>
        <w:jc w:val="both"/>
        <w:rPr>
          <w:rFonts w:ascii="Times New Roman" w:eastAsia="Times New Roman" w:hAnsi="Times New Roman" w:cs="Times New Roman"/>
          <w:sz w:val="24"/>
          <w:szCs w:val="24"/>
          <w:lang w:eastAsia="ru-RU"/>
        </w:rPr>
      </w:pPr>
      <w:r w:rsidRPr="00125FAF">
        <w:rPr>
          <w:rFonts w:ascii="Times New Roman" w:eastAsia="Times New Roman" w:hAnsi="Times New Roman" w:cs="Times New Roman"/>
          <w:b/>
          <w:bCs/>
          <w:color w:val="000000"/>
          <w:sz w:val="24"/>
          <w:szCs w:val="24"/>
          <w:lang w:eastAsia="ru-RU"/>
        </w:rPr>
        <w:t>Obiectiv specific 1</w:t>
      </w:r>
      <w:r w:rsidRPr="00125FAF">
        <w:rPr>
          <w:rFonts w:ascii="Times New Roman" w:eastAsia="Times New Roman" w:hAnsi="Times New Roman" w:cs="Times New Roman"/>
          <w:b/>
          <w:color w:val="000000"/>
          <w:sz w:val="24"/>
          <w:szCs w:val="24"/>
          <w:lang w:eastAsia="ru-RU"/>
        </w:rPr>
        <w:t>.</w:t>
      </w:r>
      <w:r w:rsidRPr="00125FAF">
        <w:rPr>
          <w:rFonts w:ascii="Times New Roman" w:eastAsia="Times New Roman" w:hAnsi="Times New Roman" w:cs="Times New Roman"/>
          <w:color w:val="000000"/>
          <w:sz w:val="24"/>
          <w:szCs w:val="24"/>
          <w:lang w:eastAsia="ru-RU"/>
        </w:rPr>
        <w:t xml:space="preserve"> Reducerea </w:t>
      </w:r>
      <w:proofErr w:type="spellStart"/>
      <w:r w:rsidRPr="00125FAF">
        <w:rPr>
          <w:rFonts w:ascii="Times New Roman" w:eastAsia="Times New Roman" w:hAnsi="Times New Roman" w:cs="Times New Roman"/>
          <w:color w:val="000000"/>
          <w:sz w:val="24"/>
          <w:szCs w:val="24"/>
          <w:lang w:eastAsia="ru-RU"/>
        </w:rPr>
        <w:t>necondiţionată</w:t>
      </w:r>
      <w:proofErr w:type="spellEnd"/>
      <w:r w:rsidRPr="00125FAF">
        <w:rPr>
          <w:rFonts w:ascii="Times New Roman" w:eastAsia="Times New Roman" w:hAnsi="Times New Roman" w:cs="Times New Roman"/>
          <w:color w:val="000000"/>
          <w:sz w:val="24"/>
          <w:szCs w:val="24"/>
          <w:lang w:eastAsia="ru-RU"/>
        </w:rPr>
        <w:t xml:space="preserve">, </w:t>
      </w:r>
      <w:proofErr w:type="spellStart"/>
      <w:r w:rsidRPr="00125FAF">
        <w:rPr>
          <w:rFonts w:ascii="Times New Roman" w:eastAsia="Times New Roman" w:hAnsi="Times New Roman" w:cs="Times New Roman"/>
          <w:color w:val="000000"/>
          <w:sz w:val="24"/>
          <w:szCs w:val="24"/>
          <w:lang w:eastAsia="ru-RU"/>
        </w:rPr>
        <w:t>pînă</w:t>
      </w:r>
      <w:proofErr w:type="spellEnd"/>
      <w:r w:rsidRPr="00125FAF">
        <w:rPr>
          <w:rFonts w:ascii="Times New Roman" w:eastAsia="Times New Roman" w:hAnsi="Times New Roman" w:cs="Times New Roman"/>
          <w:color w:val="000000"/>
          <w:sz w:val="24"/>
          <w:szCs w:val="24"/>
          <w:lang w:eastAsia="ru-RU"/>
        </w:rPr>
        <w:t xml:space="preserve"> în anul 2030, a emisiilor de gaze cu efect de seră provenite din sectorul </w:t>
      </w:r>
      <w:r w:rsidRPr="00125FAF">
        <w:rPr>
          <w:rFonts w:ascii="Times New Roman" w:eastAsia="Times New Roman" w:hAnsi="Times New Roman" w:cs="Times New Roman"/>
          <w:i/>
          <w:iCs/>
          <w:color w:val="000000"/>
          <w:sz w:val="24"/>
          <w:szCs w:val="24"/>
          <w:lang w:eastAsia="ru-RU"/>
        </w:rPr>
        <w:t>energetic</w:t>
      </w:r>
      <w:r w:rsidRPr="00125FAF">
        <w:rPr>
          <w:rFonts w:ascii="Times New Roman" w:eastAsia="Times New Roman" w:hAnsi="Times New Roman" w:cs="Times New Roman"/>
          <w:color w:val="000000"/>
          <w:sz w:val="24"/>
          <w:szCs w:val="24"/>
          <w:lang w:eastAsia="ru-RU"/>
        </w:rPr>
        <w:t xml:space="preserve"> cu </w:t>
      </w:r>
      <w:r w:rsidR="0067021F" w:rsidRPr="00125FAF">
        <w:rPr>
          <w:rFonts w:ascii="Times New Roman" w:eastAsia="Times New Roman" w:hAnsi="Times New Roman" w:cs="Times New Roman"/>
          <w:color w:val="000000"/>
          <w:sz w:val="24"/>
          <w:szCs w:val="24"/>
          <w:lang w:eastAsia="ru-RU"/>
        </w:rPr>
        <w:t>81</w:t>
      </w:r>
      <w:r w:rsidRPr="00125FAF">
        <w:rPr>
          <w:rFonts w:ascii="Times New Roman" w:eastAsia="Times New Roman" w:hAnsi="Times New Roman" w:cs="Times New Roman"/>
          <w:color w:val="000000"/>
          <w:sz w:val="24"/>
          <w:szCs w:val="24"/>
          <w:lang w:eastAsia="ru-RU"/>
        </w:rPr>
        <w:t xml:space="preserve">% </w:t>
      </w:r>
      <w:proofErr w:type="spellStart"/>
      <w:r w:rsidRPr="00125FAF">
        <w:rPr>
          <w:rFonts w:ascii="Times New Roman" w:eastAsia="Times New Roman" w:hAnsi="Times New Roman" w:cs="Times New Roman"/>
          <w:color w:val="000000"/>
          <w:sz w:val="24"/>
          <w:szCs w:val="24"/>
          <w:lang w:eastAsia="ru-RU"/>
        </w:rPr>
        <w:t>şi</w:t>
      </w:r>
      <w:proofErr w:type="spellEnd"/>
      <w:r w:rsidRPr="00125FAF">
        <w:rPr>
          <w:rFonts w:ascii="Times New Roman" w:eastAsia="Times New Roman" w:hAnsi="Times New Roman" w:cs="Times New Roman"/>
          <w:color w:val="000000"/>
          <w:sz w:val="24"/>
          <w:szCs w:val="24"/>
          <w:lang w:eastAsia="ru-RU"/>
        </w:rPr>
        <w:t xml:space="preserve"> reducerea de gaze cu efect de seră </w:t>
      </w:r>
      <w:proofErr w:type="spellStart"/>
      <w:r w:rsidRPr="00125FAF">
        <w:rPr>
          <w:rFonts w:ascii="Times New Roman" w:eastAsia="Times New Roman" w:hAnsi="Times New Roman" w:cs="Times New Roman"/>
          <w:color w:val="000000"/>
          <w:sz w:val="24"/>
          <w:szCs w:val="24"/>
          <w:lang w:eastAsia="ru-RU"/>
        </w:rPr>
        <w:t>condiţionată</w:t>
      </w:r>
      <w:proofErr w:type="spellEnd"/>
      <w:r w:rsidRPr="00125FAF">
        <w:rPr>
          <w:rFonts w:ascii="Times New Roman" w:eastAsia="Times New Roman" w:hAnsi="Times New Roman" w:cs="Times New Roman"/>
          <w:color w:val="000000"/>
          <w:sz w:val="24"/>
          <w:szCs w:val="24"/>
          <w:lang w:eastAsia="ru-RU"/>
        </w:rPr>
        <w:t xml:space="preserve"> </w:t>
      </w:r>
      <w:proofErr w:type="spellStart"/>
      <w:r w:rsidRPr="00125FAF">
        <w:rPr>
          <w:rFonts w:ascii="Times New Roman" w:eastAsia="Times New Roman" w:hAnsi="Times New Roman" w:cs="Times New Roman"/>
          <w:color w:val="000000"/>
          <w:sz w:val="24"/>
          <w:szCs w:val="24"/>
          <w:lang w:eastAsia="ru-RU"/>
        </w:rPr>
        <w:t>pînă</w:t>
      </w:r>
      <w:proofErr w:type="spellEnd"/>
      <w:r w:rsidRPr="00125FAF">
        <w:rPr>
          <w:rFonts w:ascii="Times New Roman" w:eastAsia="Times New Roman" w:hAnsi="Times New Roman" w:cs="Times New Roman"/>
          <w:color w:val="000000"/>
          <w:sz w:val="24"/>
          <w:szCs w:val="24"/>
          <w:lang w:eastAsia="ru-RU"/>
        </w:rPr>
        <w:t xml:space="preserve"> la </w:t>
      </w:r>
      <w:r w:rsidR="0067021F" w:rsidRPr="00125FAF">
        <w:rPr>
          <w:rFonts w:ascii="Times New Roman" w:eastAsia="Times New Roman" w:hAnsi="Times New Roman" w:cs="Times New Roman"/>
          <w:color w:val="000000"/>
          <w:sz w:val="24"/>
          <w:szCs w:val="24"/>
          <w:lang w:eastAsia="ru-RU"/>
        </w:rPr>
        <w:t>87</w:t>
      </w:r>
      <w:r w:rsidRPr="00125FAF">
        <w:rPr>
          <w:rFonts w:ascii="Times New Roman" w:eastAsia="Times New Roman" w:hAnsi="Times New Roman" w:cs="Times New Roman"/>
          <w:color w:val="000000"/>
          <w:sz w:val="24"/>
          <w:szCs w:val="24"/>
          <w:lang w:eastAsia="ru-RU"/>
        </w:rPr>
        <w:t>% comparativ cu anul 1990.</w:t>
      </w:r>
    </w:p>
    <w:p w14:paraId="0C9F7070" w14:textId="02E01244" w:rsidR="006364B2" w:rsidRPr="00125FAF" w:rsidRDefault="006364B2" w:rsidP="006364B2">
      <w:pPr>
        <w:spacing w:after="0" w:line="240" w:lineRule="auto"/>
        <w:ind w:firstLine="720"/>
        <w:jc w:val="both"/>
        <w:rPr>
          <w:rFonts w:ascii="Times New Roman" w:eastAsia="Times New Roman" w:hAnsi="Times New Roman" w:cs="Times New Roman"/>
          <w:sz w:val="24"/>
          <w:szCs w:val="24"/>
          <w:lang w:eastAsia="ru-RU"/>
        </w:rPr>
      </w:pPr>
      <w:r w:rsidRPr="00125FAF">
        <w:rPr>
          <w:rFonts w:ascii="Times New Roman" w:eastAsia="Times New Roman" w:hAnsi="Times New Roman" w:cs="Times New Roman"/>
          <w:b/>
          <w:bCs/>
          <w:color w:val="000000"/>
          <w:sz w:val="24"/>
          <w:szCs w:val="24"/>
          <w:lang w:eastAsia="ru-RU"/>
        </w:rPr>
        <w:t>Obiectivul specific 2.</w:t>
      </w:r>
      <w:r w:rsidRPr="00125FAF">
        <w:rPr>
          <w:rFonts w:ascii="Times New Roman" w:eastAsia="Times New Roman" w:hAnsi="Times New Roman" w:cs="Times New Roman"/>
          <w:color w:val="000000"/>
          <w:sz w:val="24"/>
          <w:szCs w:val="24"/>
          <w:lang w:eastAsia="ru-RU"/>
        </w:rPr>
        <w:t xml:space="preserve"> Reducerea </w:t>
      </w:r>
      <w:proofErr w:type="spellStart"/>
      <w:r w:rsidRPr="00125FAF">
        <w:rPr>
          <w:rFonts w:ascii="Times New Roman" w:eastAsia="Times New Roman" w:hAnsi="Times New Roman" w:cs="Times New Roman"/>
          <w:color w:val="000000"/>
          <w:sz w:val="24"/>
          <w:szCs w:val="24"/>
          <w:lang w:eastAsia="ru-RU"/>
        </w:rPr>
        <w:t>necondiţionată</w:t>
      </w:r>
      <w:proofErr w:type="spellEnd"/>
      <w:r w:rsidRPr="00125FAF">
        <w:rPr>
          <w:rFonts w:ascii="Times New Roman" w:eastAsia="Times New Roman" w:hAnsi="Times New Roman" w:cs="Times New Roman"/>
          <w:color w:val="000000"/>
          <w:sz w:val="24"/>
          <w:szCs w:val="24"/>
          <w:lang w:eastAsia="ru-RU"/>
        </w:rPr>
        <w:t xml:space="preserve">, </w:t>
      </w:r>
      <w:proofErr w:type="spellStart"/>
      <w:r w:rsidRPr="00125FAF">
        <w:rPr>
          <w:rFonts w:ascii="Times New Roman" w:eastAsia="Times New Roman" w:hAnsi="Times New Roman" w:cs="Times New Roman"/>
          <w:color w:val="000000"/>
          <w:sz w:val="24"/>
          <w:szCs w:val="24"/>
          <w:lang w:eastAsia="ru-RU"/>
        </w:rPr>
        <w:t>pînă</w:t>
      </w:r>
      <w:proofErr w:type="spellEnd"/>
      <w:r w:rsidRPr="00125FAF">
        <w:rPr>
          <w:rFonts w:ascii="Times New Roman" w:eastAsia="Times New Roman" w:hAnsi="Times New Roman" w:cs="Times New Roman"/>
          <w:color w:val="000000"/>
          <w:sz w:val="24"/>
          <w:szCs w:val="24"/>
          <w:lang w:eastAsia="ru-RU"/>
        </w:rPr>
        <w:t xml:space="preserve"> în anul 2030, a emisiilor de gaze cu efect de seră provenite din sectorul </w:t>
      </w:r>
      <w:r w:rsidRPr="00125FAF">
        <w:rPr>
          <w:rFonts w:ascii="Times New Roman" w:eastAsia="Times New Roman" w:hAnsi="Times New Roman" w:cs="Times New Roman"/>
          <w:i/>
          <w:iCs/>
          <w:color w:val="000000"/>
          <w:sz w:val="24"/>
          <w:szCs w:val="24"/>
          <w:lang w:eastAsia="ru-RU"/>
        </w:rPr>
        <w:t xml:space="preserve">transporturi </w:t>
      </w:r>
      <w:r w:rsidRPr="00125FAF">
        <w:rPr>
          <w:rFonts w:ascii="Times New Roman" w:eastAsia="Times New Roman" w:hAnsi="Times New Roman" w:cs="Times New Roman"/>
          <w:color w:val="000000"/>
          <w:sz w:val="24"/>
          <w:szCs w:val="24"/>
          <w:lang w:eastAsia="ru-RU"/>
        </w:rPr>
        <w:t xml:space="preserve">cu </w:t>
      </w:r>
      <w:r w:rsidR="0067021F" w:rsidRPr="00125FAF">
        <w:rPr>
          <w:rFonts w:ascii="Times New Roman" w:eastAsia="Times New Roman" w:hAnsi="Times New Roman" w:cs="Times New Roman"/>
          <w:color w:val="000000"/>
          <w:sz w:val="24"/>
          <w:szCs w:val="24"/>
          <w:lang w:eastAsia="ru-RU"/>
        </w:rPr>
        <w:t>52</w:t>
      </w:r>
      <w:r w:rsidRPr="00125FAF">
        <w:rPr>
          <w:rFonts w:ascii="Times New Roman" w:eastAsia="Times New Roman" w:hAnsi="Times New Roman" w:cs="Times New Roman"/>
          <w:color w:val="000000"/>
          <w:sz w:val="24"/>
          <w:szCs w:val="24"/>
          <w:lang w:eastAsia="ru-RU"/>
        </w:rPr>
        <w:t xml:space="preserve">% </w:t>
      </w:r>
      <w:proofErr w:type="spellStart"/>
      <w:r w:rsidRPr="00125FAF">
        <w:rPr>
          <w:rFonts w:ascii="Times New Roman" w:eastAsia="Times New Roman" w:hAnsi="Times New Roman" w:cs="Times New Roman"/>
          <w:color w:val="000000"/>
          <w:sz w:val="24"/>
          <w:szCs w:val="24"/>
          <w:lang w:eastAsia="ru-RU"/>
        </w:rPr>
        <w:t>şi</w:t>
      </w:r>
      <w:proofErr w:type="spellEnd"/>
      <w:r w:rsidRPr="00125FAF">
        <w:rPr>
          <w:rFonts w:ascii="Times New Roman" w:eastAsia="Times New Roman" w:hAnsi="Times New Roman" w:cs="Times New Roman"/>
          <w:color w:val="000000"/>
          <w:sz w:val="24"/>
          <w:szCs w:val="24"/>
          <w:lang w:eastAsia="ru-RU"/>
        </w:rPr>
        <w:t xml:space="preserve"> reducerea de gaze cu efect de seră </w:t>
      </w:r>
      <w:proofErr w:type="spellStart"/>
      <w:r w:rsidRPr="00125FAF">
        <w:rPr>
          <w:rFonts w:ascii="Times New Roman" w:eastAsia="Times New Roman" w:hAnsi="Times New Roman" w:cs="Times New Roman"/>
          <w:color w:val="000000"/>
          <w:sz w:val="24"/>
          <w:szCs w:val="24"/>
          <w:lang w:eastAsia="ru-RU"/>
        </w:rPr>
        <w:t>condiţionată</w:t>
      </w:r>
      <w:proofErr w:type="spellEnd"/>
      <w:r w:rsidRPr="00125FAF">
        <w:rPr>
          <w:rFonts w:ascii="Times New Roman" w:eastAsia="Times New Roman" w:hAnsi="Times New Roman" w:cs="Times New Roman"/>
          <w:color w:val="000000"/>
          <w:sz w:val="24"/>
          <w:szCs w:val="24"/>
          <w:lang w:eastAsia="ru-RU"/>
        </w:rPr>
        <w:t xml:space="preserve"> </w:t>
      </w:r>
      <w:proofErr w:type="spellStart"/>
      <w:r w:rsidRPr="00125FAF">
        <w:rPr>
          <w:rFonts w:ascii="Times New Roman" w:eastAsia="Times New Roman" w:hAnsi="Times New Roman" w:cs="Times New Roman"/>
          <w:color w:val="000000"/>
          <w:sz w:val="24"/>
          <w:szCs w:val="24"/>
          <w:lang w:eastAsia="ru-RU"/>
        </w:rPr>
        <w:t>pînă</w:t>
      </w:r>
      <w:proofErr w:type="spellEnd"/>
      <w:r w:rsidRPr="00125FAF">
        <w:rPr>
          <w:rFonts w:ascii="Times New Roman" w:eastAsia="Times New Roman" w:hAnsi="Times New Roman" w:cs="Times New Roman"/>
          <w:color w:val="000000"/>
          <w:sz w:val="24"/>
          <w:szCs w:val="24"/>
          <w:lang w:eastAsia="ru-RU"/>
        </w:rPr>
        <w:t xml:space="preserve"> la </w:t>
      </w:r>
      <w:r w:rsidR="0067021F" w:rsidRPr="00125FAF">
        <w:rPr>
          <w:rFonts w:ascii="Times New Roman" w:eastAsia="Times New Roman" w:hAnsi="Times New Roman" w:cs="Times New Roman"/>
          <w:color w:val="000000"/>
          <w:sz w:val="24"/>
          <w:szCs w:val="24"/>
          <w:lang w:eastAsia="ru-RU"/>
        </w:rPr>
        <w:t>55</w:t>
      </w:r>
      <w:r w:rsidRPr="00125FAF">
        <w:rPr>
          <w:rFonts w:ascii="Times New Roman" w:eastAsia="Times New Roman" w:hAnsi="Times New Roman" w:cs="Times New Roman"/>
          <w:color w:val="000000"/>
          <w:sz w:val="24"/>
          <w:szCs w:val="24"/>
          <w:lang w:eastAsia="ru-RU"/>
        </w:rPr>
        <w:t>% comparativ cu anul 1990.</w:t>
      </w:r>
    </w:p>
    <w:p w14:paraId="5BA942A4" w14:textId="73EDBDF8" w:rsidR="006364B2" w:rsidRPr="00125FAF" w:rsidRDefault="006364B2" w:rsidP="006364B2">
      <w:pPr>
        <w:spacing w:after="0"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125FAF">
        <w:rPr>
          <w:rFonts w:ascii="Times New Roman" w:eastAsia="Times New Roman" w:hAnsi="Times New Roman" w:cs="Times New Roman"/>
          <w:b/>
          <w:bCs/>
          <w:color w:val="000000"/>
          <w:sz w:val="24"/>
          <w:szCs w:val="24"/>
          <w:shd w:val="clear" w:color="auto" w:fill="FFFFFF"/>
          <w:lang w:eastAsia="ru-RU"/>
        </w:rPr>
        <w:t>Obiectivul specific 3.</w:t>
      </w:r>
      <w:r w:rsidRPr="00125FAF">
        <w:rPr>
          <w:rFonts w:ascii="Times New Roman" w:eastAsia="Times New Roman" w:hAnsi="Times New Roman" w:cs="Times New Roman"/>
          <w:color w:val="000000"/>
          <w:sz w:val="24"/>
          <w:szCs w:val="24"/>
          <w:shd w:val="clear" w:color="auto" w:fill="FFFFFF"/>
          <w:lang w:eastAsia="ru-RU"/>
        </w:rPr>
        <w:t xml:space="preserve"> Reducerea </w:t>
      </w:r>
      <w:proofErr w:type="spellStart"/>
      <w:r w:rsidRPr="00125FAF">
        <w:rPr>
          <w:rFonts w:ascii="Times New Roman" w:eastAsia="Times New Roman" w:hAnsi="Times New Roman" w:cs="Times New Roman"/>
          <w:color w:val="000000"/>
          <w:sz w:val="24"/>
          <w:szCs w:val="24"/>
          <w:shd w:val="clear" w:color="auto" w:fill="FFFFFF"/>
          <w:lang w:eastAsia="ru-RU"/>
        </w:rPr>
        <w:t>necondiţionată</w:t>
      </w:r>
      <w:proofErr w:type="spellEnd"/>
      <w:r w:rsidRPr="00125FAF">
        <w:rPr>
          <w:rFonts w:ascii="Times New Roman" w:eastAsia="Times New Roman" w:hAnsi="Times New Roman" w:cs="Times New Roman"/>
          <w:color w:val="000000"/>
          <w:sz w:val="24"/>
          <w:szCs w:val="24"/>
          <w:shd w:val="clear" w:color="auto" w:fill="FFFFFF"/>
          <w:lang w:eastAsia="ru-RU"/>
        </w:rPr>
        <w:t xml:space="preserve">, </w:t>
      </w:r>
      <w:proofErr w:type="spellStart"/>
      <w:r w:rsidRPr="00125FAF">
        <w:rPr>
          <w:rFonts w:ascii="Times New Roman" w:eastAsia="Times New Roman" w:hAnsi="Times New Roman" w:cs="Times New Roman"/>
          <w:color w:val="000000"/>
          <w:sz w:val="24"/>
          <w:szCs w:val="24"/>
          <w:shd w:val="clear" w:color="auto" w:fill="FFFFFF"/>
          <w:lang w:eastAsia="ru-RU"/>
        </w:rPr>
        <w:t>pînă</w:t>
      </w:r>
      <w:proofErr w:type="spellEnd"/>
      <w:r w:rsidRPr="00125FAF">
        <w:rPr>
          <w:rFonts w:ascii="Times New Roman" w:eastAsia="Times New Roman" w:hAnsi="Times New Roman" w:cs="Times New Roman"/>
          <w:color w:val="000000"/>
          <w:sz w:val="24"/>
          <w:szCs w:val="24"/>
          <w:shd w:val="clear" w:color="auto" w:fill="FFFFFF"/>
          <w:lang w:eastAsia="ru-RU"/>
        </w:rPr>
        <w:t xml:space="preserve"> în anul 2030, a emisiilor de gaze cu efect de seră provenite de la </w:t>
      </w:r>
      <w:r w:rsidRPr="00125FAF">
        <w:rPr>
          <w:rFonts w:ascii="Times New Roman" w:eastAsia="Times New Roman" w:hAnsi="Times New Roman" w:cs="Times New Roman"/>
          <w:iCs/>
          <w:color w:val="000000"/>
          <w:sz w:val="24"/>
          <w:szCs w:val="24"/>
          <w:shd w:val="clear" w:color="auto" w:fill="FFFFFF"/>
          <w:lang w:eastAsia="ru-RU"/>
        </w:rPr>
        <w:t xml:space="preserve">sectorul </w:t>
      </w:r>
      <w:r w:rsidRPr="00125FAF">
        <w:rPr>
          <w:rFonts w:ascii="Times New Roman" w:eastAsia="Times New Roman" w:hAnsi="Times New Roman" w:cs="Times New Roman"/>
          <w:i/>
          <w:color w:val="000000"/>
          <w:sz w:val="24"/>
          <w:szCs w:val="24"/>
          <w:shd w:val="clear" w:color="auto" w:fill="FFFFFF"/>
          <w:lang w:eastAsia="ru-RU"/>
        </w:rPr>
        <w:t xml:space="preserve">clădiri </w:t>
      </w:r>
      <w:r w:rsidRPr="00125FAF">
        <w:rPr>
          <w:rFonts w:ascii="Times New Roman" w:eastAsia="Times New Roman" w:hAnsi="Times New Roman" w:cs="Times New Roman"/>
          <w:color w:val="000000"/>
          <w:sz w:val="24"/>
          <w:szCs w:val="24"/>
          <w:shd w:val="clear" w:color="auto" w:fill="FFFFFF"/>
          <w:lang w:eastAsia="ru-RU"/>
        </w:rPr>
        <w:t xml:space="preserve">cu </w:t>
      </w:r>
      <w:r w:rsidR="0067021F" w:rsidRPr="00125FAF">
        <w:rPr>
          <w:rFonts w:ascii="Times New Roman" w:eastAsia="Times New Roman" w:hAnsi="Times New Roman" w:cs="Times New Roman"/>
          <w:color w:val="000000"/>
          <w:sz w:val="24"/>
          <w:szCs w:val="24"/>
          <w:shd w:val="clear" w:color="auto" w:fill="FFFFFF"/>
          <w:lang w:eastAsia="ru-RU"/>
        </w:rPr>
        <w:t>74</w:t>
      </w:r>
      <w:r w:rsidRPr="00125FAF">
        <w:rPr>
          <w:rFonts w:ascii="Times New Roman" w:eastAsia="Times New Roman" w:hAnsi="Times New Roman" w:cs="Times New Roman"/>
          <w:color w:val="000000"/>
          <w:sz w:val="24"/>
          <w:szCs w:val="24"/>
          <w:shd w:val="clear" w:color="auto" w:fill="FFFFFF"/>
          <w:lang w:eastAsia="ru-RU"/>
        </w:rPr>
        <w:t xml:space="preserve">% </w:t>
      </w:r>
      <w:proofErr w:type="spellStart"/>
      <w:r w:rsidRPr="00125FAF">
        <w:rPr>
          <w:rFonts w:ascii="Times New Roman" w:eastAsia="Times New Roman" w:hAnsi="Times New Roman" w:cs="Times New Roman"/>
          <w:color w:val="000000"/>
          <w:sz w:val="24"/>
          <w:szCs w:val="24"/>
          <w:shd w:val="clear" w:color="auto" w:fill="FFFFFF"/>
          <w:lang w:eastAsia="ru-RU"/>
        </w:rPr>
        <w:t>şi</w:t>
      </w:r>
      <w:proofErr w:type="spellEnd"/>
      <w:r w:rsidRPr="00125FAF">
        <w:rPr>
          <w:rFonts w:ascii="Times New Roman" w:eastAsia="Times New Roman" w:hAnsi="Times New Roman" w:cs="Times New Roman"/>
          <w:color w:val="000000"/>
          <w:sz w:val="24"/>
          <w:szCs w:val="24"/>
          <w:shd w:val="clear" w:color="auto" w:fill="FFFFFF"/>
          <w:lang w:eastAsia="ru-RU"/>
        </w:rPr>
        <w:t xml:space="preserve"> reducerea de gaze cu efect de seră </w:t>
      </w:r>
      <w:proofErr w:type="spellStart"/>
      <w:r w:rsidRPr="00125FAF">
        <w:rPr>
          <w:rFonts w:ascii="Times New Roman" w:eastAsia="Times New Roman" w:hAnsi="Times New Roman" w:cs="Times New Roman"/>
          <w:color w:val="000000"/>
          <w:sz w:val="24"/>
          <w:szCs w:val="24"/>
          <w:shd w:val="clear" w:color="auto" w:fill="FFFFFF"/>
          <w:lang w:eastAsia="ru-RU"/>
        </w:rPr>
        <w:t>condiţionată</w:t>
      </w:r>
      <w:proofErr w:type="spellEnd"/>
      <w:r w:rsidRPr="00125FAF">
        <w:rPr>
          <w:rFonts w:ascii="Times New Roman" w:eastAsia="Times New Roman" w:hAnsi="Times New Roman" w:cs="Times New Roman"/>
          <w:color w:val="000000"/>
          <w:sz w:val="24"/>
          <w:szCs w:val="24"/>
          <w:shd w:val="clear" w:color="auto" w:fill="FFFFFF"/>
          <w:lang w:eastAsia="ru-RU"/>
        </w:rPr>
        <w:t xml:space="preserve"> </w:t>
      </w:r>
      <w:proofErr w:type="spellStart"/>
      <w:r w:rsidRPr="00125FAF">
        <w:rPr>
          <w:rFonts w:ascii="Times New Roman" w:eastAsia="Times New Roman" w:hAnsi="Times New Roman" w:cs="Times New Roman"/>
          <w:color w:val="000000"/>
          <w:sz w:val="24"/>
          <w:szCs w:val="24"/>
          <w:shd w:val="clear" w:color="auto" w:fill="FFFFFF"/>
          <w:lang w:eastAsia="ru-RU"/>
        </w:rPr>
        <w:t>pînă</w:t>
      </w:r>
      <w:proofErr w:type="spellEnd"/>
      <w:r w:rsidRPr="00125FAF">
        <w:rPr>
          <w:rFonts w:ascii="Times New Roman" w:eastAsia="Times New Roman" w:hAnsi="Times New Roman" w:cs="Times New Roman"/>
          <w:color w:val="000000"/>
          <w:sz w:val="24"/>
          <w:szCs w:val="24"/>
          <w:shd w:val="clear" w:color="auto" w:fill="FFFFFF"/>
          <w:lang w:eastAsia="ru-RU"/>
        </w:rPr>
        <w:t xml:space="preserve"> la </w:t>
      </w:r>
      <w:r w:rsidR="0067021F" w:rsidRPr="00125FAF">
        <w:rPr>
          <w:rFonts w:ascii="Times New Roman" w:eastAsia="Times New Roman" w:hAnsi="Times New Roman" w:cs="Times New Roman"/>
          <w:color w:val="000000"/>
          <w:sz w:val="24"/>
          <w:szCs w:val="24"/>
          <w:shd w:val="clear" w:color="auto" w:fill="FFFFFF"/>
          <w:lang w:eastAsia="ru-RU"/>
        </w:rPr>
        <w:t>77</w:t>
      </w:r>
      <w:r w:rsidRPr="00125FAF">
        <w:rPr>
          <w:rFonts w:ascii="Times New Roman" w:eastAsia="Times New Roman" w:hAnsi="Times New Roman" w:cs="Times New Roman"/>
          <w:color w:val="000000"/>
          <w:sz w:val="24"/>
          <w:szCs w:val="24"/>
          <w:shd w:val="clear" w:color="auto" w:fill="FFFFFF"/>
          <w:lang w:eastAsia="ru-RU"/>
        </w:rPr>
        <w:t>% comparativ cu anul 1990.</w:t>
      </w:r>
    </w:p>
    <w:p w14:paraId="076E7223" w14:textId="7CE22F37" w:rsidR="006364B2" w:rsidRPr="00125FAF" w:rsidRDefault="006364B2" w:rsidP="006364B2">
      <w:pPr>
        <w:spacing w:after="0" w:line="240" w:lineRule="auto"/>
        <w:ind w:firstLine="720"/>
        <w:jc w:val="both"/>
        <w:rPr>
          <w:rFonts w:ascii="Times New Roman" w:eastAsia="Times New Roman" w:hAnsi="Times New Roman" w:cs="Times New Roman"/>
          <w:sz w:val="24"/>
          <w:szCs w:val="24"/>
          <w:lang w:eastAsia="ru-RU"/>
        </w:rPr>
      </w:pPr>
      <w:r w:rsidRPr="00125FAF">
        <w:rPr>
          <w:rFonts w:ascii="Times New Roman" w:eastAsia="Times New Roman" w:hAnsi="Times New Roman" w:cs="Times New Roman"/>
          <w:b/>
          <w:bCs/>
          <w:color w:val="000000"/>
          <w:sz w:val="24"/>
          <w:szCs w:val="24"/>
          <w:shd w:val="clear" w:color="auto" w:fill="FFFFFF"/>
          <w:lang w:eastAsia="ru-RU"/>
        </w:rPr>
        <w:lastRenderedPageBreak/>
        <w:t>Obiectivul specific 4.</w:t>
      </w:r>
      <w:r w:rsidRPr="00125FAF">
        <w:rPr>
          <w:rFonts w:ascii="Times New Roman" w:eastAsia="Times New Roman" w:hAnsi="Times New Roman" w:cs="Times New Roman"/>
          <w:color w:val="000000"/>
          <w:sz w:val="24"/>
          <w:szCs w:val="24"/>
          <w:shd w:val="clear" w:color="auto" w:fill="FFFFFF"/>
          <w:lang w:eastAsia="ru-RU"/>
        </w:rPr>
        <w:t xml:space="preserve"> Reducerea </w:t>
      </w:r>
      <w:proofErr w:type="spellStart"/>
      <w:r w:rsidRPr="00125FAF">
        <w:rPr>
          <w:rFonts w:ascii="Times New Roman" w:eastAsia="Times New Roman" w:hAnsi="Times New Roman" w:cs="Times New Roman"/>
          <w:color w:val="000000"/>
          <w:sz w:val="24"/>
          <w:szCs w:val="24"/>
          <w:shd w:val="clear" w:color="auto" w:fill="FFFFFF"/>
          <w:lang w:eastAsia="ru-RU"/>
        </w:rPr>
        <w:t>necondiţionată</w:t>
      </w:r>
      <w:proofErr w:type="spellEnd"/>
      <w:r w:rsidRPr="00125FAF">
        <w:rPr>
          <w:rFonts w:ascii="Times New Roman" w:eastAsia="Times New Roman" w:hAnsi="Times New Roman" w:cs="Times New Roman"/>
          <w:color w:val="000000"/>
          <w:sz w:val="24"/>
          <w:szCs w:val="24"/>
          <w:shd w:val="clear" w:color="auto" w:fill="FFFFFF"/>
          <w:lang w:eastAsia="ru-RU"/>
        </w:rPr>
        <w:t xml:space="preserve">, </w:t>
      </w:r>
      <w:proofErr w:type="spellStart"/>
      <w:r w:rsidRPr="00125FAF">
        <w:rPr>
          <w:rFonts w:ascii="Times New Roman" w:eastAsia="Times New Roman" w:hAnsi="Times New Roman" w:cs="Times New Roman"/>
          <w:color w:val="000000"/>
          <w:sz w:val="24"/>
          <w:szCs w:val="24"/>
          <w:shd w:val="clear" w:color="auto" w:fill="FFFFFF"/>
          <w:lang w:eastAsia="ru-RU"/>
        </w:rPr>
        <w:t>pînă</w:t>
      </w:r>
      <w:proofErr w:type="spellEnd"/>
      <w:r w:rsidRPr="00125FAF">
        <w:rPr>
          <w:rFonts w:ascii="Times New Roman" w:eastAsia="Times New Roman" w:hAnsi="Times New Roman" w:cs="Times New Roman"/>
          <w:color w:val="000000"/>
          <w:sz w:val="24"/>
          <w:szCs w:val="24"/>
          <w:shd w:val="clear" w:color="auto" w:fill="FFFFFF"/>
          <w:lang w:eastAsia="ru-RU"/>
        </w:rPr>
        <w:t xml:space="preserve"> în anul 2030, a emisiilor de gaze cu efect de seră provenite din </w:t>
      </w:r>
      <w:r w:rsidRPr="00125FAF">
        <w:rPr>
          <w:rFonts w:ascii="Times New Roman" w:eastAsia="Times New Roman" w:hAnsi="Times New Roman" w:cs="Times New Roman"/>
          <w:iCs/>
          <w:color w:val="000000"/>
          <w:sz w:val="24"/>
          <w:szCs w:val="24"/>
          <w:shd w:val="clear" w:color="auto" w:fill="FFFFFF"/>
          <w:lang w:eastAsia="ru-RU"/>
        </w:rPr>
        <w:t xml:space="preserve">sectorul </w:t>
      </w:r>
      <w:r w:rsidRPr="00125FAF">
        <w:rPr>
          <w:rFonts w:ascii="Times New Roman" w:eastAsia="Times New Roman" w:hAnsi="Times New Roman" w:cs="Times New Roman"/>
          <w:i/>
          <w:color w:val="000000"/>
          <w:sz w:val="24"/>
          <w:szCs w:val="24"/>
          <w:shd w:val="clear" w:color="auto" w:fill="FFFFFF"/>
          <w:lang w:eastAsia="ru-RU"/>
        </w:rPr>
        <w:t>industrial</w:t>
      </w:r>
      <w:r w:rsidRPr="00125FAF">
        <w:rPr>
          <w:rFonts w:ascii="Times New Roman" w:eastAsia="Times New Roman" w:hAnsi="Times New Roman" w:cs="Times New Roman"/>
          <w:color w:val="000000"/>
          <w:sz w:val="24"/>
          <w:szCs w:val="24"/>
          <w:shd w:val="clear" w:color="auto" w:fill="FFFFFF"/>
          <w:lang w:eastAsia="ru-RU"/>
        </w:rPr>
        <w:t xml:space="preserve"> cu </w:t>
      </w:r>
      <w:r w:rsidR="0067021F" w:rsidRPr="00125FAF">
        <w:rPr>
          <w:rFonts w:ascii="Times New Roman" w:eastAsia="Times New Roman" w:hAnsi="Times New Roman" w:cs="Times New Roman"/>
          <w:color w:val="000000"/>
          <w:sz w:val="24"/>
          <w:szCs w:val="24"/>
          <w:shd w:val="clear" w:color="auto" w:fill="FFFFFF"/>
          <w:lang w:eastAsia="ru-RU"/>
        </w:rPr>
        <w:t>27</w:t>
      </w:r>
      <w:r w:rsidRPr="00125FAF">
        <w:rPr>
          <w:rFonts w:ascii="Times New Roman" w:eastAsia="Times New Roman" w:hAnsi="Times New Roman" w:cs="Times New Roman"/>
          <w:color w:val="000000"/>
          <w:sz w:val="24"/>
          <w:szCs w:val="24"/>
          <w:shd w:val="clear" w:color="auto" w:fill="FFFFFF"/>
          <w:lang w:eastAsia="ru-RU"/>
        </w:rPr>
        <w:t xml:space="preserve">% </w:t>
      </w:r>
      <w:proofErr w:type="spellStart"/>
      <w:r w:rsidRPr="00125FAF">
        <w:rPr>
          <w:rFonts w:ascii="Times New Roman" w:eastAsia="Times New Roman" w:hAnsi="Times New Roman" w:cs="Times New Roman"/>
          <w:color w:val="000000"/>
          <w:sz w:val="24"/>
          <w:szCs w:val="24"/>
          <w:shd w:val="clear" w:color="auto" w:fill="FFFFFF"/>
          <w:lang w:eastAsia="ru-RU"/>
        </w:rPr>
        <w:t>şi</w:t>
      </w:r>
      <w:proofErr w:type="spellEnd"/>
      <w:r w:rsidRPr="00125FAF">
        <w:rPr>
          <w:rFonts w:ascii="Times New Roman" w:eastAsia="Times New Roman" w:hAnsi="Times New Roman" w:cs="Times New Roman"/>
          <w:color w:val="000000"/>
          <w:sz w:val="24"/>
          <w:szCs w:val="24"/>
          <w:shd w:val="clear" w:color="auto" w:fill="FFFFFF"/>
          <w:lang w:eastAsia="ru-RU"/>
        </w:rPr>
        <w:t xml:space="preserve"> reducerea de gaze cu efect de seră </w:t>
      </w:r>
      <w:proofErr w:type="spellStart"/>
      <w:r w:rsidRPr="00125FAF">
        <w:rPr>
          <w:rFonts w:ascii="Times New Roman" w:eastAsia="Times New Roman" w:hAnsi="Times New Roman" w:cs="Times New Roman"/>
          <w:color w:val="000000"/>
          <w:sz w:val="24"/>
          <w:szCs w:val="24"/>
          <w:shd w:val="clear" w:color="auto" w:fill="FFFFFF"/>
          <w:lang w:eastAsia="ru-RU"/>
        </w:rPr>
        <w:t>condiţionată</w:t>
      </w:r>
      <w:proofErr w:type="spellEnd"/>
      <w:r w:rsidRPr="00125FAF">
        <w:rPr>
          <w:rFonts w:ascii="Times New Roman" w:eastAsia="Times New Roman" w:hAnsi="Times New Roman" w:cs="Times New Roman"/>
          <w:color w:val="000000"/>
          <w:sz w:val="24"/>
          <w:szCs w:val="24"/>
          <w:shd w:val="clear" w:color="auto" w:fill="FFFFFF"/>
          <w:lang w:eastAsia="ru-RU"/>
        </w:rPr>
        <w:t xml:space="preserve"> poate atinge </w:t>
      </w:r>
      <w:proofErr w:type="spellStart"/>
      <w:r w:rsidRPr="00125FAF">
        <w:rPr>
          <w:rFonts w:ascii="Times New Roman" w:eastAsia="Times New Roman" w:hAnsi="Times New Roman" w:cs="Times New Roman"/>
          <w:color w:val="000000"/>
          <w:sz w:val="24"/>
          <w:szCs w:val="24"/>
          <w:shd w:val="clear" w:color="auto" w:fill="FFFFFF"/>
          <w:lang w:eastAsia="ru-RU"/>
        </w:rPr>
        <w:t>pînă</w:t>
      </w:r>
      <w:proofErr w:type="spellEnd"/>
      <w:r w:rsidRPr="00125FAF">
        <w:rPr>
          <w:rFonts w:ascii="Times New Roman" w:eastAsia="Times New Roman" w:hAnsi="Times New Roman" w:cs="Times New Roman"/>
          <w:color w:val="000000"/>
          <w:sz w:val="24"/>
          <w:szCs w:val="24"/>
          <w:shd w:val="clear" w:color="auto" w:fill="FFFFFF"/>
          <w:lang w:eastAsia="ru-RU"/>
        </w:rPr>
        <w:t xml:space="preserve"> la </w:t>
      </w:r>
      <w:r w:rsidR="0067021F" w:rsidRPr="00125FAF">
        <w:rPr>
          <w:rFonts w:ascii="Times New Roman" w:eastAsia="Times New Roman" w:hAnsi="Times New Roman" w:cs="Times New Roman"/>
          <w:color w:val="000000"/>
          <w:sz w:val="24"/>
          <w:szCs w:val="24"/>
          <w:shd w:val="clear" w:color="auto" w:fill="FFFFFF"/>
          <w:lang w:eastAsia="ru-RU"/>
        </w:rPr>
        <w:t>31</w:t>
      </w:r>
      <w:r w:rsidRPr="00125FAF">
        <w:rPr>
          <w:rFonts w:ascii="Times New Roman" w:eastAsia="Times New Roman" w:hAnsi="Times New Roman" w:cs="Times New Roman"/>
          <w:color w:val="000000"/>
          <w:sz w:val="24"/>
          <w:szCs w:val="24"/>
          <w:shd w:val="clear" w:color="auto" w:fill="FFFFFF"/>
          <w:lang w:eastAsia="ru-RU"/>
        </w:rPr>
        <w:t>% comparativ cu anul 1990.</w:t>
      </w:r>
    </w:p>
    <w:p w14:paraId="331D530D" w14:textId="351577A5" w:rsidR="006364B2" w:rsidRPr="00125FAF" w:rsidRDefault="006364B2" w:rsidP="006364B2">
      <w:pPr>
        <w:spacing w:after="0" w:line="240" w:lineRule="auto"/>
        <w:ind w:firstLine="720"/>
        <w:jc w:val="both"/>
        <w:rPr>
          <w:rFonts w:ascii="Times New Roman" w:eastAsia="Times New Roman" w:hAnsi="Times New Roman" w:cs="Times New Roman"/>
          <w:sz w:val="24"/>
          <w:szCs w:val="24"/>
          <w:lang w:eastAsia="ru-RU"/>
        </w:rPr>
      </w:pPr>
      <w:r w:rsidRPr="00125FAF">
        <w:rPr>
          <w:rFonts w:ascii="Times New Roman" w:eastAsia="Times New Roman" w:hAnsi="Times New Roman" w:cs="Times New Roman"/>
          <w:b/>
          <w:bCs/>
          <w:color w:val="000000"/>
          <w:sz w:val="24"/>
          <w:szCs w:val="24"/>
          <w:shd w:val="clear" w:color="auto" w:fill="FFFFFF"/>
          <w:lang w:eastAsia="ru-RU"/>
        </w:rPr>
        <w:t>Obiectivul specific 5.</w:t>
      </w:r>
      <w:r w:rsidRPr="00125FAF">
        <w:rPr>
          <w:rFonts w:ascii="Times New Roman" w:eastAsia="Times New Roman" w:hAnsi="Times New Roman" w:cs="Times New Roman"/>
          <w:color w:val="000000"/>
          <w:sz w:val="24"/>
          <w:szCs w:val="24"/>
          <w:shd w:val="clear" w:color="auto" w:fill="FFFFFF"/>
          <w:lang w:eastAsia="ru-RU"/>
        </w:rPr>
        <w:t xml:space="preserve"> Reducerea </w:t>
      </w:r>
      <w:proofErr w:type="spellStart"/>
      <w:r w:rsidRPr="00125FAF">
        <w:rPr>
          <w:rFonts w:ascii="Times New Roman" w:eastAsia="Times New Roman" w:hAnsi="Times New Roman" w:cs="Times New Roman"/>
          <w:color w:val="000000"/>
          <w:sz w:val="24"/>
          <w:szCs w:val="24"/>
          <w:shd w:val="clear" w:color="auto" w:fill="FFFFFF"/>
          <w:lang w:eastAsia="ru-RU"/>
        </w:rPr>
        <w:t>necondiţionată</w:t>
      </w:r>
      <w:proofErr w:type="spellEnd"/>
      <w:r w:rsidRPr="00125FAF">
        <w:rPr>
          <w:rFonts w:ascii="Times New Roman" w:eastAsia="Times New Roman" w:hAnsi="Times New Roman" w:cs="Times New Roman"/>
          <w:color w:val="000000"/>
          <w:sz w:val="24"/>
          <w:szCs w:val="24"/>
          <w:shd w:val="clear" w:color="auto" w:fill="FFFFFF"/>
          <w:lang w:eastAsia="ru-RU"/>
        </w:rPr>
        <w:t xml:space="preserve">, </w:t>
      </w:r>
      <w:proofErr w:type="spellStart"/>
      <w:r w:rsidRPr="00125FAF">
        <w:rPr>
          <w:rFonts w:ascii="Times New Roman" w:eastAsia="Times New Roman" w:hAnsi="Times New Roman" w:cs="Times New Roman"/>
          <w:color w:val="000000"/>
          <w:sz w:val="24"/>
          <w:szCs w:val="24"/>
          <w:shd w:val="clear" w:color="auto" w:fill="FFFFFF"/>
          <w:lang w:eastAsia="ru-RU"/>
        </w:rPr>
        <w:t>pînă</w:t>
      </w:r>
      <w:proofErr w:type="spellEnd"/>
      <w:r w:rsidRPr="00125FAF">
        <w:rPr>
          <w:rFonts w:ascii="Times New Roman" w:eastAsia="Times New Roman" w:hAnsi="Times New Roman" w:cs="Times New Roman"/>
          <w:color w:val="000000"/>
          <w:sz w:val="24"/>
          <w:szCs w:val="24"/>
          <w:shd w:val="clear" w:color="auto" w:fill="FFFFFF"/>
          <w:lang w:eastAsia="ru-RU"/>
        </w:rPr>
        <w:t xml:space="preserve"> în anul 2030, a emisiilor de gaze cu efect de seră provenite de la </w:t>
      </w:r>
      <w:r w:rsidRPr="00125FAF">
        <w:rPr>
          <w:rFonts w:ascii="Times New Roman" w:eastAsia="Times New Roman" w:hAnsi="Times New Roman" w:cs="Times New Roman"/>
          <w:iCs/>
          <w:color w:val="000000"/>
          <w:sz w:val="24"/>
          <w:szCs w:val="24"/>
          <w:shd w:val="clear" w:color="auto" w:fill="FFFFFF"/>
          <w:lang w:eastAsia="ru-RU"/>
        </w:rPr>
        <w:t xml:space="preserve">sectorul </w:t>
      </w:r>
      <w:r w:rsidRPr="00125FAF">
        <w:rPr>
          <w:rFonts w:ascii="Times New Roman" w:eastAsia="Times New Roman" w:hAnsi="Times New Roman" w:cs="Times New Roman"/>
          <w:i/>
          <w:color w:val="000000"/>
          <w:sz w:val="24"/>
          <w:szCs w:val="24"/>
          <w:shd w:val="clear" w:color="auto" w:fill="FFFFFF"/>
          <w:lang w:eastAsia="ru-RU"/>
        </w:rPr>
        <w:t xml:space="preserve">agricol </w:t>
      </w:r>
      <w:r w:rsidRPr="00125FAF">
        <w:rPr>
          <w:rFonts w:ascii="Times New Roman" w:eastAsia="Times New Roman" w:hAnsi="Times New Roman" w:cs="Times New Roman"/>
          <w:color w:val="000000"/>
          <w:sz w:val="24"/>
          <w:szCs w:val="24"/>
          <w:shd w:val="clear" w:color="auto" w:fill="FFFFFF"/>
          <w:lang w:eastAsia="ru-RU"/>
        </w:rPr>
        <w:t xml:space="preserve">cu </w:t>
      </w:r>
      <w:r w:rsidR="0067021F" w:rsidRPr="00125FAF">
        <w:rPr>
          <w:rFonts w:ascii="Times New Roman" w:eastAsia="Times New Roman" w:hAnsi="Times New Roman" w:cs="Times New Roman"/>
          <w:color w:val="000000"/>
          <w:sz w:val="24"/>
          <w:szCs w:val="24"/>
          <w:shd w:val="clear" w:color="auto" w:fill="FFFFFF"/>
          <w:lang w:eastAsia="ru-RU"/>
        </w:rPr>
        <w:t>44</w:t>
      </w:r>
      <w:r w:rsidRPr="00125FAF">
        <w:rPr>
          <w:rFonts w:ascii="Times New Roman" w:eastAsia="Times New Roman" w:hAnsi="Times New Roman" w:cs="Times New Roman"/>
          <w:color w:val="000000"/>
          <w:sz w:val="24"/>
          <w:szCs w:val="24"/>
          <w:shd w:val="clear" w:color="auto" w:fill="FFFFFF"/>
          <w:lang w:eastAsia="ru-RU"/>
        </w:rPr>
        <w:t xml:space="preserve">% </w:t>
      </w:r>
      <w:proofErr w:type="spellStart"/>
      <w:r w:rsidRPr="00125FAF">
        <w:rPr>
          <w:rFonts w:ascii="Times New Roman" w:eastAsia="Times New Roman" w:hAnsi="Times New Roman" w:cs="Times New Roman"/>
          <w:color w:val="000000"/>
          <w:sz w:val="24"/>
          <w:szCs w:val="24"/>
          <w:shd w:val="clear" w:color="auto" w:fill="FFFFFF"/>
          <w:lang w:eastAsia="ru-RU"/>
        </w:rPr>
        <w:t>şi</w:t>
      </w:r>
      <w:proofErr w:type="spellEnd"/>
      <w:r w:rsidRPr="00125FAF">
        <w:rPr>
          <w:rFonts w:ascii="Times New Roman" w:eastAsia="Times New Roman" w:hAnsi="Times New Roman" w:cs="Times New Roman"/>
          <w:color w:val="000000"/>
          <w:sz w:val="24"/>
          <w:szCs w:val="24"/>
          <w:shd w:val="clear" w:color="auto" w:fill="FFFFFF"/>
          <w:lang w:eastAsia="ru-RU"/>
        </w:rPr>
        <w:t xml:space="preserve"> reducerea de gaze cu efect de seră </w:t>
      </w:r>
      <w:proofErr w:type="spellStart"/>
      <w:r w:rsidRPr="00125FAF">
        <w:rPr>
          <w:rFonts w:ascii="Times New Roman" w:eastAsia="Times New Roman" w:hAnsi="Times New Roman" w:cs="Times New Roman"/>
          <w:color w:val="000000"/>
          <w:sz w:val="24"/>
          <w:szCs w:val="24"/>
          <w:shd w:val="clear" w:color="auto" w:fill="FFFFFF"/>
          <w:lang w:eastAsia="ru-RU"/>
        </w:rPr>
        <w:t>condiţionată</w:t>
      </w:r>
      <w:proofErr w:type="spellEnd"/>
      <w:r w:rsidRPr="00125FAF">
        <w:rPr>
          <w:rFonts w:ascii="Times New Roman" w:eastAsia="Times New Roman" w:hAnsi="Times New Roman" w:cs="Times New Roman"/>
          <w:color w:val="000000"/>
          <w:sz w:val="24"/>
          <w:szCs w:val="24"/>
          <w:shd w:val="clear" w:color="auto" w:fill="FFFFFF"/>
          <w:lang w:eastAsia="ru-RU"/>
        </w:rPr>
        <w:t xml:space="preserve"> </w:t>
      </w:r>
      <w:proofErr w:type="spellStart"/>
      <w:r w:rsidRPr="00125FAF">
        <w:rPr>
          <w:rFonts w:ascii="Times New Roman" w:eastAsia="Times New Roman" w:hAnsi="Times New Roman" w:cs="Times New Roman"/>
          <w:color w:val="000000"/>
          <w:sz w:val="24"/>
          <w:szCs w:val="24"/>
          <w:shd w:val="clear" w:color="auto" w:fill="FFFFFF"/>
          <w:lang w:eastAsia="ru-RU"/>
        </w:rPr>
        <w:t>pînă</w:t>
      </w:r>
      <w:proofErr w:type="spellEnd"/>
      <w:r w:rsidRPr="00125FAF">
        <w:rPr>
          <w:rFonts w:ascii="Times New Roman" w:eastAsia="Times New Roman" w:hAnsi="Times New Roman" w:cs="Times New Roman"/>
          <w:color w:val="000000"/>
          <w:sz w:val="24"/>
          <w:szCs w:val="24"/>
          <w:shd w:val="clear" w:color="auto" w:fill="FFFFFF"/>
          <w:lang w:eastAsia="ru-RU"/>
        </w:rPr>
        <w:t xml:space="preserve"> la </w:t>
      </w:r>
      <w:r w:rsidR="0067021F" w:rsidRPr="00125FAF">
        <w:rPr>
          <w:rFonts w:ascii="Times New Roman" w:eastAsia="Times New Roman" w:hAnsi="Times New Roman" w:cs="Times New Roman"/>
          <w:color w:val="000000"/>
          <w:sz w:val="24"/>
          <w:szCs w:val="24"/>
          <w:shd w:val="clear" w:color="auto" w:fill="FFFFFF"/>
          <w:lang w:eastAsia="ru-RU"/>
        </w:rPr>
        <w:t>47</w:t>
      </w:r>
      <w:r w:rsidRPr="00125FAF">
        <w:rPr>
          <w:rFonts w:ascii="Times New Roman" w:eastAsia="Times New Roman" w:hAnsi="Times New Roman" w:cs="Times New Roman"/>
          <w:color w:val="000000"/>
          <w:sz w:val="24"/>
          <w:szCs w:val="24"/>
          <w:shd w:val="clear" w:color="auto" w:fill="FFFFFF"/>
          <w:lang w:eastAsia="ru-RU"/>
        </w:rPr>
        <w:t>% comparativ cu anul 1990.</w:t>
      </w:r>
    </w:p>
    <w:p w14:paraId="0707E541" w14:textId="7A7FC39F" w:rsidR="006364B2" w:rsidRPr="00125FAF" w:rsidRDefault="006364B2" w:rsidP="006364B2">
      <w:pPr>
        <w:spacing w:after="0" w:line="240" w:lineRule="auto"/>
        <w:ind w:firstLine="720"/>
        <w:jc w:val="both"/>
        <w:rPr>
          <w:rFonts w:ascii="Times New Roman" w:eastAsia="Times New Roman" w:hAnsi="Times New Roman" w:cs="Times New Roman"/>
          <w:sz w:val="24"/>
          <w:szCs w:val="24"/>
          <w:lang w:eastAsia="ru-RU"/>
        </w:rPr>
      </w:pPr>
      <w:r w:rsidRPr="00125FAF">
        <w:rPr>
          <w:rFonts w:ascii="Times New Roman" w:eastAsia="Times New Roman" w:hAnsi="Times New Roman" w:cs="Times New Roman"/>
          <w:b/>
          <w:bCs/>
          <w:color w:val="000000"/>
          <w:sz w:val="24"/>
          <w:szCs w:val="24"/>
          <w:shd w:val="clear" w:color="auto" w:fill="FFFFFF"/>
          <w:lang w:eastAsia="ru-RU"/>
        </w:rPr>
        <w:t>Obiectivul specific 6.</w:t>
      </w:r>
      <w:r w:rsidRPr="00125FAF">
        <w:rPr>
          <w:rFonts w:ascii="Times New Roman" w:eastAsia="Times New Roman" w:hAnsi="Times New Roman" w:cs="Times New Roman"/>
          <w:color w:val="000000"/>
          <w:sz w:val="24"/>
          <w:szCs w:val="24"/>
          <w:shd w:val="clear" w:color="auto" w:fill="FFFFFF"/>
          <w:lang w:eastAsia="ru-RU"/>
        </w:rPr>
        <w:t xml:space="preserve"> Majorarea </w:t>
      </w:r>
      <w:proofErr w:type="spellStart"/>
      <w:r w:rsidRPr="00125FAF">
        <w:rPr>
          <w:rFonts w:ascii="Times New Roman" w:eastAsia="Times New Roman" w:hAnsi="Times New Roman" w:cs="Times New Roman"/>
          <w:color w:val="000000"/>
          <w:sz w:val="24"/>
          <w:szCs w:val="24"/>
          <w:shd w:val="clear" w:color="auto" w:fill="FFFFFF"/>
          <w:lang w:eastAsia="ru-RU"/>
        </w:rPr>
        <w:t>necondiţionată</w:t>
      </w:r>
      <w:proofErr w:type="spellEnd"/>
      <w:r w:rsidRPr="00125FAF">
        <w:rPr>
          <w:rFonts w:ascii="Times New Roman" w:eastAsia="Times New Roman" w:hAnsi="Times New Roman" w:cs="Times New Roman"/>
          <w:color w:val="000000"/>
          <w:sz w:val="24"/>
          <w:szCs w:val="24"/>
          <w:shd w:val="clear" w:color="auto" w:fill="FFFFFF"/>
          <w:lang w:eastAsia="ru-RU"/>
        </w:rPr>
        <w:t xml:space="preserve">, </w:t>
      </w:r>
      <w:proofErr w:type="spellStart"/>
      <w:r w:rsidRPr="00125FAF">
        <w:rPr>
          <w:rFonts w:ascii="Times New Roman" w:eastAsia="Times New Roman" w:hAnsi="Times New Roman" w:cs="Times New Roman"/>
          <w:color w:val="000000"/>
          <w:sz w:val="24"/>
          <w:szCs w:val="24"/>
          <w:shd w:val="clear" w:color="auto" w:fill="FFFFFF"/>
          <w:lang w:eastAsia="ru-RU"/>
        </w:rPr>
        <w:t>pînă</w:t>
      </w:r>
      <w:proofErr w:type="spellEnd"/>
      <w:r w:rsidRPr="00125FAF">
        <w:rPr>
          <w:rFonts w:ascii="Times New Roman" w:eastAsia="Times New Roman" w:hAnsi="Times New Roman" w:cs="Times New Roman"/>
          <w:color w:val="000000"/>
          <w:sz w:val="24"/>
          <w:szCs w:val="24"/>
          <w:shd w:val="clear" w:color="auto" w:fill="FFFFFF"/>
          <w:lang w:eastAsia="ru-RU"/>
        </w:rPr>
        <w:t xml:space="preserve"> în anul 2030, a </w:t>
      </w:r>
      <w:proofErr w:type="spellStart"/>
      <w:r w:rsidRPr="00125FAF">
        <w:rPr>
          <w:rFonts w:ascii="Times New Roman" w:eastAsia="Times New Roman" w:hAnsi="Times New Roman" w:cs="Times New Roman"/>
          <w:color w:val="000000"/>
          <w:sz w:val="24"/>
          <w:szCs w:val="24"/>
          <w:shd w:val="clear" w:color="auto" w:fill="FFFFFF"/>
          <w:lang w:eastAsia="ru-RU"/>
        </w:rPr>
        <w:t>capacităţii</w:t>
      </w:r>
      <w:proofErr w:type="spellEnd"/>
      <w:r w:rsidRPr="00125FAF">
        <w:rPr>
          <w:rFonts w:ascii="Times New Roman" w:eastAsia="Times New Roman" w:hAnsi="Times New Roman" w:cs="Times New Roman"/>
          <w:color w:val="000000"/>
          <w:sz w:val="24"/>
          <w:szCs w:val="24"/>
          <w:shd w:val="clear" w:color="auto" w:fill="FFFFFF"/>
          <w:lang w:eastAsia="ru-RU"/>
        </w:rPr>
        <w:t xml:space="preserve"> de sechestrare a dioxidului de carbon în cadrul </w:t>
      </w:r>
      <w:r w:rsidRPr="00125FAF">
        <w:rPr>
          <w:rFonts w:ascii="Times New Roman" w:eastAsia="Times New Roman" w:hAnsi="Times New Roman" w:cs="Times New Roman"/>
          <w:iCs/>
          <w:color w:val="000000"/>
          <w:sz w:val="24"/>
          <w:szCs w:val="24"/>
          <w:shd w:val="clear" w:color="auto" w:fill="FFFFFF"/>
          <w:lang w:eastAsia="ru-RU"/>
        </w:rPr>
        <w:t xml:space="preserve">sectorului </w:t>
      </w:r>
      <w:r w:rsidR="0067021F" w:rsidRPr="00125FAF">
        <w:rPr>
          <w:rFonts w:ascii="Times New Roman" w:eastAsia="Times New Roman" w:hAnsi="Times New Roman" w:cs="Times New Roman"/>
          <w:i/>
          <w:color w:val="000000"/>
          <w:sz w:val="24"/>
          <w:szCs w:val="24"/>
          <w:shd w:val="clear" w:color="auto" w:fill="FFFFFF"/>
          <w:lang w:eastAsia="ru-RU"/>
        </w:rPr>
        <w:t>folosința terenurilor, schimbarea categoriei de folosință a terenurilor și silvicultură</w:t>
      </w:r>
      <w:r w:rsidR="00D7776F" w:rsidRPr="00125FAF">
        <w:rPr>
          <w:rFonts w:ascii="Times New Roman" w:eastAsia="Times New Roman" w:hAnsi="Times New Roman" w:cs="Times New Roman"/>
          <w:iCs/>
          <w:color w:val="000000"/>
          <w:sz w:val="24"/>
          <w:szCs w:val="24"/>
          <w:shd w:val="clear" w:color="auto" w:fill="FFFFFF"/>
          <w:lang w:eastAsia="ru-RU"/>
        </w:rPr>
        <w:t xml:space="preserve"> </w:t>
      </w:r>
      <w:proofErr w:type="spellStart"/>
      <w:r w:rsidRPr="00125FAF">
        <w:rPr>
          <w:rFonts w:ascii="Times New Roman" w:eastAsia="Times New Roman" w:hAnsi="Times New Roman" w:cs="Times New Roman"/>
          <w:color w:val="000000"/>
          <w:sz w:val="24"/>
          <w:szCs w:val="24"/>
          <w:shd w:val="clear" w:color="auto" w:fill="FFFFFF"/>
          <w:lang w:eastAsia="ru-RU"/>
        </w:rPr>
        <w:t>pînă</w:t>
      </w:r>
      <w:proofErr w:type="spellEnd"/>
      <w:r w:rsidRPr="00125FAF">
        <w:rPr>
          <w:rFonts w:ascii="Times New Roman" w:eastAsia="Times New Roman" w:hAnsi="Times New Roman" w:cs="Times New Roman"/>
          <w:color w:val="000000"/>
          <w:sz w:val="24"/>
          <w:szCs w:val="24"/>
          <w:shd w:val="clear" w:color="auto" w:fill="FFFFFF"/>
          <w:lang w:eastAsia="ru-RU"/>
        </w:rPr>
        <w:t xml:space="preserve"> la </w:t>
      </w:r>
      <w:r w:rsidR="0067021F" w:rsidRPr="00125FAF">
        <w:rPr>
          <w:rFonts w:ascii="Times New Roman" w:eastAsia="Times New Roman" w:hAnsi="Times New Roman" w:cs="Times New Roman"/>
          <w:color w:val="000000"/>
          <w:sz w:val="24"/>
          <w:szCs w:val="24"/>
          <w:shd w:val="clear" w:color="auto" w:fill="FFFFFF"/>
          <w:lang w:eastAsia="ru-RU"/>
        </w:rPr>
        <w:t>10</w:t>
      </w:r>
      <w:r w:rsidRPr="00125FAF">
        <w:rPr>
          <w:rFonts w:ascii="Times New Roman" w:eastAsia="Times New Roman" w:hAnsi="Times New Roman" w:cs="Times New Roman"/>
          <w:color w:val="000000"/>
          <w:sz w:val="24"/>
          <w:szCs w:val="24"/>
          <w:shd w:val="clear" w:color="auto" w:fill="FFFFFF"/>
          <w:lang w:eastAsia="ru-RU"/>
        </w:rPr>
        <w:t xml:space="preserve">% </w:t>
      </w:r>
      <w:proofErr w:type="spellStart"/>
      <w:r w:rsidRPr="00125FAF">
        <w:rPr>
          <w:rFonts w:ascii="Times New Roman" w:eastAsia="Times New Roman" w:hAnsi="Times New Roman" w:cs="Times New Roman"/>
          <w:color w:val="000000"/>
          <w:sz w:val="24"/>
          <w:szCs w:val="24"/>
          <w:shd w:val="clear" w:color="auto" w:fill="FFFFFF"/>
          <w:lang w:eastAsia="ru-RU"/>
        </w:rPr>
        <w:t>şi</w:t>
      </w:r>
      <w:proofErr w:type="spellEnd"/>
      <w:r w:rsidRPr="00125FAF">
        <w:rPr>
          <w:rFonts w:ascii="Times New Roman" w:eastAsia="Times New Roman" w:hAnsi="Times New Roman" w:cs="Times New Roman"/>
          <w:color w:val="000000"/>
          <w:sz w:val="24"/>
          <w:szCs w:val="24"/>
          <w:shd w:val="clear" w:color="auto" w:fill="FFFFFF"/>
          <w:lang w:eastAsia="ru-RU"/>
        </w:rPr>
        <w:t xml:space="preserve"> sechestrarea de gaze cu efect de seră </w:t>
      </w:r>
      <w:proofErr w:type="spellStart"/>
      <w:r w:rsidRPr="00125FAF">
        <w:rPr>
          <w:rFonts w:ascii="Times New Roman" w:eastAsia="Times New Roman" w:hAnsi="Times New Roman" w:cs="Times New Roman"/>
          <w:color w:val="000000"/>
          <w:sz w:val="24"/>
          <w:szCs w:val="24"/>
          <w:shd w:val="clear" w:color="auto" w:fill="FFFFFF"/>
          <w:lang w:eastAsia="ru-RU"/>
        </w:rPr>
        <w:t>condiţionată</w:t>
      </w:r>
      <w:proofErr w:type="spellEnd"/>
      <w:r w:rsidRPr="00125FAF">
        <w:rPr>
          <w:rFonts w:ascii="Times New Roman" w:eastAsia="Times New Roman" w:hAnsi="Times New Roman" w:cs="Times New Roman"/>
          <w:color w:val="000000"/>
          <w:sz w:val="24"/>
          <w:szCs w:val="24"/>
          <w:shd w:val="clear" w:color="auto" w:fill="FFFFFF"/>
          <w:lang w:eastAsia="ru-RU"/>
        </w:rPr>
        <w:t xml:space="preserve"> </w:t>
      </w:r>
      <w:proofErr w:type="spellStart"/>
      <w:r w:rsidRPr="00125FAF">
        <w:rPr>
          <w:rFonts w:ascii="Times New Roman" w:eastAsia="Times New Roman" w:hAnsi="Times New Roman" w:cs="Times New Roman"/>
          <w:color w:val="000000"/>
          <w:sz w:val="24"/>
          <w:szCs w:val="24"/>
          <w:shd w:val="clear" w:color="auto" w:fill="FFFFFF"/>
          <w:lang w:eastAsia="ru-RU"/>
        </w:rPr>
        <w:t>pînă</w:t>
      </w:r>
      <w:proofErr w:type="spellEnd"/>
      <w:r w:rsidRPr="00125FAF">
        <w:rPr>
          <w:rFonts w:ascii="Times New Roman" w:eastAsia="Times New Roman" w:hAnsi="Times New Roman" w:cs="Times New Roman"/>
          <w:color w:val="000000"/>
          <w:sz w:val="24"/>
          <w:szCs w:val="24"/>
          <w:shd w:val="clear" w:color="auto" w:fill="FFFFFF"/>
          <w:lang w:eastAsia="ru-RU"/>
        </w:rPr>
        <w:t xml:space="preserve"> la </w:t>
      </w:r>
      <w:r w:rsidR="0067021F" w:rsidRPr="00125FAF">
        <w:rPr>
          <w:rFonts w:ascii="Times New Roman" w:eastAsia="Times New Roman" w:hAnsi="Times New Roman" w:cs="Times New Roman"/>
          <w:color w:val="000000"/>
          <w:sz w:val="24"/>
          <w:szCs w:val="24"/>
          <w:shd w:val="clear" w:color="auto" w:fill="FFFFFF"/>
          <w:lang w:eastAsia="ru-RU"/>
        </w:rPr>
        <w:t>391</w:t>
      </w:r>
      <w:r w:rsidRPr="00125FAF">
        <w:rPr>
          <w:rFonts w:ascii="Times New Roman" w:eastAsia="Times New Roman" w:hAnsi="Times New Roman" w:cs="Times New Roman"/>
          <w:color w:val="000000"/>
          <w:sz w:val="24"/>
          <w:szCs w:val="24"/>
          <w:shd w:val="clear" w:color="auto" w:fill="FFFFFF"/>
          <w:lang w:eastAsia="ru-RU"/>
        </w:rPr>
        <w:t>% comparativ cu anul</w:t>
      </w:r>
      <w:r w:rsidR="00E70219" w:rsidRPr="00125FAF">
        <w:rPr>
          <w:rFonts w:ascii="Times New Roman" w:eastAsia="Times New Roman" w:hAnsi="Times New Roman" w:cs="Times New Roman"/>
          <w:color w:val="000000"/>
          <w:sz w:val="24"/>
          <w:szCs w:val="24"/>
          <w:shd w:val="clear" w:color="auto" w:fill="FFFFFF"/>
          <w:lang w:eastAsia="ru-RU"/>
        </w:rPr>
        <w:t xml:space="preserve"> </w:t>
      </w:r>
      <w:r w:rsidRPr="00125FAF">
        <w:rPr>
          <w:rFonts w:ascii="Times New Roman" w:eastAsia="Times New Roman" w:hAnsi="Times New Roman" w:cs="Times New Roman"/>
          <w:color w:val="000000"/>
          <w:sz w:val="24"/>
          <w:szCs w:val="24"/>
          <w:shd w:val="clear" w:color="auto" w:fill="FFFFFF"/>
          <w:lang w:eastAsia="ru-RU"/>
        </w:rPr>
        <w:t>1990.</w:t>
      </w:r>
    </w:p>
    <w:p w14:paraId="54F2A5AF" w14:textId="6D7C2AC8" w:rsidR="006364B2" w:rsidRPr="00125FAF" w:rsidRDefault="006364B2" w:rsidP="00DF42B1">
      <w:pPr>
        <w:spacing w:after="120"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125FAF">
        <w:rPr>
          <w:rFonts w:ascii="Times New Roman" w:eastAsia="Times New Roman" w:hAnsi="Times New Roman" w:cs="Times New Roman"/>
          <w:b/>
          <w:bCs/>
          <w:color w:val="000000"/>
          <w:sz w:val="24"/>
          <w:szCs w:val="24"/>
          <w:shd w:val="clear" w:color="auto" w:fill="FFFFFF"/>
          <w:lang w:eastAsia="ru-RU"/>
        </w:rPr>
        <w:t>Obiectivul specific 7.</w:t>
      </w:r>
      <w:r w:rsidRPr="00125FAF">
        <w:rPr>
          <w:rFonts w:ascii="Times New Roman" w:eastAsia="Times New Roman" w:hAnsi="Times New Roman" w:cs="Times New Roman"/>
          <w:color w:val="000000"/>
          <w:sz w:val="24"/>
          <w:szCs w:val="24"/>
          <w:shd w:val="clear" w:color="auto" w:fill="FFFFFF"/>
          <w:lang w:eastAsia="ru-RU"/>
        </w:rPr>
        <w:t xml:space="preserve"> Reducerea </w:t>
      </w:r>
      <w:proofErr w:type="spellStart"/>
      <w:r w:rsidRPr="00125FAF">
        <w:rPr>
          <w:rFonts w:ascii="Times New Roman" w:eastAsia="Times New Roman" w:hAnsi="Times New Roman" w:cs="Times New Roman"/>
          <w:color w:val="000000"/>
          <w:sz w:val="24"/>
          <w:szCs w:val="24"/>
          <w:shd w:val="clear" w:color="auto" w:fill="FFFFFF"/>
          <w:lang w:eastAsia="ru-RU"/>
        </w:rPr>
        <w:t>necondiţionată</w:t>
      </w:r>
      <w:proofErr w:type="spellEnd"/>
      <w:r w:rsidRPr="00125FAF">
        <w:rPr>
          <w:rFonts w:ascii="Times New Roman" w:eastAsia="Times New Roman" w:hAnsi="Times New Roman" w:cs="Times New Roman"/>
          <w:color w:val="000000"/>
          <w:sz w:val="24"/>
          <w:szCs w:val="24"/>
          <w:shd w:val="clear" w:color="auto" w:fill="FFFFFF"/>
          <w:lang w:eastAsia="ru-RU"/>
        </w:rPr>
        <w:t xml:space="preserve">, </w:t>
      </w:r>
      <w:proofErr w:type="spellStart"/>
      <w:r w:rsidRPr="00125FAF">
        <w:rPr>
          <w:rFonts w:ascii="Times New Roman" w:eastAsia="Times New Roman" w:hAnsi="Times New Roman" w:cs="Times New Roman"/>
          <w:color w:val="000000"/>
          <w:sz w:val="24"/>
          <w:szCs w:val="24"/>
          <w:shd w:val="clear" w:color="auto" w:fill="FFFFFF"/>
          <w:lang w:eastAsia="ru-RU"/>
        </w:rPr>
        <w:t>pînă</w:t>
      </w:r>
      <w:proofErr w:type="spellEnd"/>
      <w:r w:rsidRPr="00125FAF">
        <w:rPr>
          <w:rFonts w:ascii="Times New Roman" w:eastAsia="Times New Roman" w:hAnsi="Times New Roman" w:cs="Times New Roman"/>
          <w:color w:val="000000"/>
          <w:sz w:val="24"/>
          <w:szCs w:val="24"/>
          <w:shd w:val="clear" w:color="auto" w:fill="FFFFFF"/>
          <w:lang w:eastAsia="ru-RU"/>
        </w:rPr>
        <w:t xml:space="preserve"> în anul 2030, a emisiilor de gaze cu efect de seră provenite de la sectorul </w:t>
      </w:r>
      <w:proofErr w:type="spellStart"/>
      <w:r w:rsidRPr="00125FAF">
        <w:rPr>
          <w:rFonts w:ascii="Times New Roman" w:eastAsia="Times New Roman" w:hAnsi="Times New Roman" w:cs="Times New Roman"/>
          <w:i/>
          <w:iCs/>
          <w:color w:val="000000"/>
          <w:sz w:val="24"/>
          <w:szCs w:val="24"/>
          <w:shd w:val="clear" w:color="auto" w:fill="FFFFFF"/>
          <w:lang w:eastAsia="ru-RU"/>
        </w:rPr>
        <w:t>deşeuri</w:t>
      </w:r>
      <w:proofErr w:type="spellEnd"/>
      <w:r w:rsidRPr="00125FAF">
        <w:rPr>
          <w:rFonts w:ascii="Times New Roman" w:eastAsia="Times New Roman" w:hAnsi="Times New Roman" w:cs="Times New Roman"/>
          <w:color w:val="000000"/>
          <w:sz w:val="24"/>
          <w:szCs w:val="24"/>
          <w:shd w:val="clear" w:color="auto" w:fill="FFFFFF"/>
          <w:lang w:eastAsia="ru-RU"/>
        </w:rPr>
        <w:t xml:space="preserve"> cu </w:t>
      </w:r>
      <w:r w:rsidR="00D7776F" w:rsidRPr="00125FAF">
        <w:rPr>
          <w:rFonts w:ascii="Times New Roman" w:eastAsia="Times New Roman" w:hAnsi="Times New Roman" w:cs="Times New Roman"/>
          <w:color w:val="000000"/>
          <w:sz w:val="24"/>
          <w:szCs w:val="24"/>
          <w:shd w:val="clear" w:color="auto" w:fill="FFFFFF"/>
          <w:lang w:eastAsia="ru-RU"/>
        </w:rPr>
        <w:t>14</w:t>
      </w:r>
      <w:r w:rsidRPr="00125FAF">
        <w:rPr>
          <w:rFonts w:ascii="Times New Roman" w:eastAsia="Times New Roman" w:hAnsi="Times New Roman" w:cs="Times New Roman"/>
          <w:color w:val="000000"/>
          <w:sz w:val="24"/>
          <w:szCs w:val="24"/>
          <w:shd w:val="clear" w:color="auto" w:fill="FFFFFF"/>
          <w:lang w:eastAsia="ru-RU"/>
        </w:rPr>
        <w:t xml:space="preserve">% </w:t>
      </w:r>
      <w:proofErr w:type="spellStart"/>
      <w:r w:rsidRPr="00125FAF">
        <w:rPr>
          <w:rFonts w:ascii="Times New Roman" w:eastAsia="Times New Roman" w:hAnsi="Times New Roman" w:cs="Times New Roman"/>
          <w:color w:val="000000"/>
          <w:sz w:val="24"/>
          <w:szCs w:val="24"/>
          <w:shd w:val="clear" w:color="auto" w:fill="FFFFFF"/>
          <w:lang w:eastAsia="ru-RU"/>
        </w:rPr>
        <w:t>şi</w:t>
      </w:r>
      <w:proofErr w:type="spellEnd"/>
      <w:r w:rsidRPr="00125FAF">
        <w:rPr>
          <w:rFonts w:ascii="Times New Roman" w:eastAsia="Times New Roman" w:hAnsi="Times New Roman" w:cs="Times New Roman"/>
          <w:color w:val="000000"/>
          <w:sz w:val="24"/>
          <w:szCs w:val="24"/>
          <w:shd w:val="clear" w:color="auto" w:fill="FFFFFF"/>
          <w:lang w:eastAsia="ru-RU"/>
        </w:rPr>
        <w:t xml:space="preserve"> reducerea de gaze cu efect de seră </w:t>
      </w:r>
      <w:proofErr w:type="spellStart"/>
      <w:r w:rsidRPr="00125FAF">
        <w:rPr>
          <w:rFonts w:ascii="Times New Roman" w:eastAsia="Times New Roman" w:hAnsi="Times New Roman" w:cs="Times New Roman"/>
          <w:color w:val="000000"/>
          <w:sz w:val="24"/>
          <w:szCs w:val="24"/>
          <w:shd w:val="clear" w:color="auto" w:fill="FFFFFF"/>
          <w:lang w:eastAsia="ru-RU"/>
        </w:rPr>
        <w:t>condiţionată</w:t>
      </w:r>
      <w:proofErr w:type="spellEnd"/>
      <w:r w:rsidR="00E70219" w:rsidRPr="00125FAF">
        <w:rPr>
          <w:rFonts w:ascii="Times New Roman" w:eastAsia="Times New Roman" w:hAnsi="Times New Roman" w:cs="Times New Roman"/>
          <w:color w:val="000000"/>
          <w:sz w:val="24"/>
          <w:szCs w:val="24"/>
          <w:shd w:val="clear" w:color="auto" w:fill="FFFFFF"/>
          <w:lang w:eastAsia="ru-RU"/>
        </w:rPr>
        <w:t xml:space="preserve"> </w:t>
      </w:r>
      <w:proofErr w:type="spellStart"/>
      <w:r w:rsidRPr="00125FAF">
        <w:rPr>
          <w:rFonts w:ascii="Times New Roman" w:eastAsia="Times New Roman" w:hAnsi="Times New Roman" w:cs="Times New Roman"/>
          <w:color w:val="000000"/>
          <w:sz w:val="24"/>
          <w:szCs w:val="24"/>
          <w:shd w:val="clear" w:color="auto" w:fill="FFFFFF"/>
          <w:lang w:eastAsia="ru-RU"/>
        </w:rPr>
        <w:t>pînă</w:t>
      </w:r>
      <w:proofErr w:type="spellEnd"/>
      <w:r w:rsidRPr="00125FAF">
        <w:rPr>
          <w:rFonts w:ascii="Times New Roman" w:eastAsia="Times New Roman" w:hAnsi="Times New Roman" w:cs="Times New Roman"/>
          <w:color w:val="000000"/>
          <w:sz w:val="24"/>
          <w:szCs w:val="24"/>
          <w:shd w:val="clear" w:color="auto" w:fill="FFFFFF"/>
          <w:lang w:eastAsia="ru-RU"/>
        </w:rPr>
        <w:t xml:space="preserve"> la </w:t>
      </w:r>
      <w:r w:rsidR="00D7776F" w:rsidRPr="00125FAF">
        <w:rPr>
          <w:rFonts w:ascii="Times New Roman" w:eastAsia="Times New Roman" w:hAnsi="Times New Roman" w:cs="Times New Roman"/>
          <w:color w:val="000000"/>
          <w:sz w:val="24"/>
          <w:szCs w:val="24"/>
          <w:shd w:val="clear" w:color="auto" w:fill="FFFFFF"/>
          <w:lang w:eastAsia="ru-RU"/>
        </w:rPr>
        <w:t>18</w:t>
      </w:r>
      <w:r w:rsidRPr="00125FAF">
        <w:rPr>
          <w:rFonts w:ascii="Times New Roman" w:eastAsia="Times New Roman" w:hAnsi="Times New Roman" w:cs="Times New Roman"/>
          <w:color w:val="000000"/>
          <w:sz w:val="24"/>
          <w:szCs w:val="24"/>
          <w:shd w:val="clear" w:color="auto" w:fill="FFFFFF"/>
          <w:lang w:eastAsia="ru-RU"/>
        </w:rPr>
        <w:t>% comparativ cu anul 1990.</w:t>
      </w:r>
    </w:p>
    <w:p w14:paraId="191ED6FE" w14:textId="77777777" w:rsidR="00B80085" w:rsidRDefault="00B80085" w:rsidP="00DF42B1">
      <w:pPr>
        <w:spacing w:after="120" w:line="240" w:lineRule="auto"/>
        <w:ind w:firstLine="720"/>
        <w:jc w:val="right"/>
        <w:rPr>
          <w:rFonts w:ascii="Times New Roman" w:eastAsia="Times New Roman" w:hAnsi="Times New Roman" w:cs="Times New Roman"/>
          <w:sz w:val="24"/>
          <w:szCs w:val="24"/>
          <w:lang w:eastAsia="ru-RU"/>
        </w:rPr>
      </w:pPr>
    </w:p>
    <w:p w14:paraId="58D067DB" w14:textId="5A736CB9" w:rsidR="006364B2" w:rsidRPr="00125FAF" w:rsidRDefault="006364B2" w:rsidP="00DF42B1">
      <w:pPr>
        <w:spacing w:after="120" w:line="240" w:lineRule="auto"/>
        <w:ind w:firstLine="720"/>
        <w:jc w:val="right"/>
        <w:rPr>
          <w:rFonts w:ascii="Times New Roman" w:eastAsia="Times New Roman" w:hAnsi="Times New Roman" w:cs="Times New Roman"/>
          <w:sz w:val="24"/>
          <w:szCs w:val="24"/>
          <w:lang w:eastAsia="ru-RU"/>
        </w:rPr>
      </w:pPr>
      <w:r w:rsidRPr="00125FAF">
        <w:rPr>
          <w:rFonts w:ascii="Times New Roman" w:eastAsia="Times New Roman" w:hAnsi="Times New Roman" w:cs="Times New Roman"/>
          <w:sz w:val="24"/>
          <w:szCs w:val="24"/>
          <w:lang w:eastAsia="ru-RU"/>
        </w:rPr>
        <w:t xml:space="preserve">Tabelul </w:t>
      </w:r>
      <w:r w:rsidR="00E13B78" w:rsidRPr="00125FAF">
        <w:rPr>
          <w:rFonts w:ascii="Times New Roman" w:eastAsia="Times New Roman" w:hAnsi="Times New Roman" w:cs="Times New Roman"/>
          <w:sz w:val="24"/>
          <w:szCs w:val="24"/>
          <w:lang w:eastAsia="ru-RU"/>
        </w:rPr>
        <w:t>4</w:t>
      </w:r>
      <w:r w:rsidRPr="00125FAF">
        <w:rPr>
          <w:rFonts w:ascii="Times New Roman" w:eastAsia="Times New Roman" w:hAnsi="Times New Roman" w:cs="Times New Roman"/>
          <w:sz w:val="24"/>
          <w:szCs w:val="24"/>
          <w:lang w:eastAsia="ru-RU"/>
        </w:rPr>
        <w:t>.1</w:t>
      </w:r>
    </w:p>
    <w:p w14:paraId="3519DDB3" w14:textId="7F1AB27D" w:rsidR="006364B2" w:rsidRPr="00125FAF" w:rsidRDefault="006F7BA8" w:rsidP="006364B2">
      <w:pPr>
        <w:spacing w:after="0" w:line="240" w:lineRule="auto"/>
        <w:jc w:val="center"/>
        <w:rPr>
          <w:rFonts w:ascii="Times New Roman" w:eastAsia="Times New Roman" w:hAnsi="Times New Roman" w:cs="Times New Roman"/>
          <w:b/>
          <w:sz w:val="24"/>
          <w:szCs w:val="24"/>
          <w:lang w:eastAsia="ru-RU"/>
        </w:rPr>
      </w:pPr>
      <w:r w:rsidRPr="00125FAF">
        <w:rPr>
          <w:rFonts w:ascii="Times New Roman" w:eastAsia="Times New Roman" w:hAnsi="Times New Roman" w:cs="Times New Roman"/>
          <w:b/>
          <w:sz w:val="24"/>
          <w:szCs w:val="24"/>
          <w:lang w:eastAsia="ru-RU"/>
        </w:rPr>
        <w:t>Obiectivele specifice</w:t>
      </w:r>
      <w:r w:rsidR="006364B2" w:rsidRPr="00125FAF">
        <w:rPr>
          <w:rFonts w:ascii="Times New Roman" w:eastAsia="Times New Roman" w:hAnsi="Times New Roman" w:cs="Times New Roman"/>
          <w:b/>
          <w:sz w:val="24"/>
          <w:szCs w:val="24"/>
          <w:lang w:eastAsia="ru-RU"/>
        </w:rPr>
        <w:t xml:space="preserve"> privind emisiile sectoriale </w:t>
      </w:r>
      <w:proofErr w:type="spellStart"/>
      <w:r w:rsidR="006364B2" w:rsidRPr="00125FAF">
        <w:rPr>
          <w:rFonts w:ascii="Times New Roman" w:eastAsia="Times New Roman" w:hAnsi="Times New Roman" w:cs="Times New Roman"/>
          <w:b/>
          <w:sz w:val="24"/>
          <w:szCs w:val="24"/>
          <w:lang w:eastAsia="ru-RU"/>
        </w:rPr>
        <w:t>şi</w:t>
      </w:r>
      <w:proofErr w:type="spellEnd"/>
      <w:r w:rsidR="006364B2" w:rsidRPr="00125FAF">
        <w:rPr>
          <w:rFonts w:ascii="Times New Roman" w:eastAsia="Times New Roman" w:hAnsi="Times New Roman" w:cs="Times New Roman"/>
          <w:b/>
          <w:sz w:val="24"/>
          <w:szCs w:val="24"/>
          <w:lang w:eastAsia="ru-RU"/>
        </w:rPr>
        <w:t xml:space="preserve"> </w:t>
      </w:r>
      <w:proofErr w:type="spellStart"/>
      <w:r w:rsidR="006364B2" w:rsidRPr="00125FAF">
        <w:rPr>
          <w:rFonts w:ascii="Times New Roman" w:eastAsia="Times New Roman" w:hAnsi="Times New Roman" w:cs="Times New Roman"/>
          <w:b/>
          <w:sz w:val="24"/>
          <w:szCs w:val="24"/>
          <w:lang w:eastAsia="ru-RU"/>
        </w:rPr>
        <w:t>naţionale</w:t>
      </w:r>
      <w:proofErr w:type="spellEnd"/>
      <w:r w:rsidR="006364B2" w:rsidRPr="00125FAF">
        <w:rPr>
          <w:rFonts w:ascii="Times New Roman" w:eastAsia="Times New Roman" w:hAnsi="Times New Roman" w:cs="Times New Roman"/>
          <w:b/>
          <w:sz w:val="24"/>
          <w:szCs w:val="24"/>
          <w:lang w:eastAsia="ru-RU"/>
        </w:rPr>
        <w:t xml:space="preserve"> de gaze cu efect</w:t>
      </w:r>
    </w:p>
    <w:p w14:paraId="3C5AE41C" w14:textId="1D4EFBA0" w:rsidR="006364B2" w:rsidRPr="00125FAF" w:rsidRDefault="006364B2" w:rsidP="006364B2">
      <w:pPr>
        <w:spacing w:after="0" w:line="240" w:lineRule="auto"/>
        <w:jc w:val="center"/>
        <w:rPr>
          <w:rFonts w:ascii="Times New Roman" w:eastAsia="Times New Roman" w:hAnsi="Times New Roman" w:cs="Times New Roman"/>
          <w:b/>
          <w:sz w:val="24"/>
          <w:szCs w:val="24"/>
          <w:lang w:eastAsia="ru-RU"/>
        </w:rPr>
      </w:pPr>
      <w:r w:rsidRPr="00125FAF">
        <w:rPr>
          <w:rFonts w:ascii="Times New Roman" w:eastAsia="Times New Roman" w:hAnsi="Times New Roman" w:cs="Times New Roman"/>
          <w:b/>
          <w:sz w:val="24"/>
          <w:szCs w:val="24"/>
          <w:lang w:eastAsia="ru-RU"/>
        </w:rPr>
        <w:t>de seră direct în Republica Moldova în cadrul scenariilor analizate pentru</w:t>
      </w:r>
    </w:p>
    <w:p w14:paraId="7A17DEEC" w14:textId="0D32FAEF" w:rsidR="0069230A" w:rsidRPr="00125FAF" w:rsidRDefault="0069230A" w:rsidP="006364B2">
      <w:pPr>
        <w:spacing w:after="0" w:line="240" w:lineRule="auto"/>
        <w:jc w:val="center"/>
        <w:rPr>
          <w:rFonts w:ascii="Times New Roman" w:eastAsia="Times New Roman" w:hAnsi="Times New Roman" w:cs="Times New Roman"/>
          <w:b/>
          <w:sz w:val="24"/>
          <w:szCs w:val="24"/>
          <w:lang w:eastAsia="ru-RU"/>
        </w:rPr>
      </w:pPr>
      <w:r w:rsidRPr="00125FAF">
        <w:rPr>
          <w:rFonts w:ascii="Times New Roman" w:eastAsia="Times New Roman" w:hAnsi="Times New Roman" w:cs="Times New Roman"/>
          <w:b/>
          <w:sz w:val="24"/>
          <w:szCs w:val="24"/>
          <w:lang w:eastAsia="ru-RU"/>
        </w:rPr>
        <w:t xml:space="preserve">perioada </w:t>
      </w:r>
      <w:proofErr w:type="spellStart"/>
      <w:r w:rsidRPr="00125FAF">
        <w:rPr>
          <w:rFonts w:ascii="Times New Roman" w:eastAsia="Times New Roman" w:hAnsi="Times New Roman" w:cs="Times New Roman"/>
          <w:b/>
          <w:sz w:val="24"/>
          <w:szCs w:val="24"/>
          <w:lang w:eastAsia="ru-RU"/>
        </w:rPr>
        <w:t>pînă</w:t>
      </w:r>
      <w:proofErr w:type="spellEnd"/>
      <w:r w:rsidRPr="00125FAF">
        <w:rPr>
          <w:rFonts w:ascii="Times New Roman" w:eastAsia="Times New Roman" w:hAnsi="Times New Roman" w:cs="Times New Roman"/>
          <w:b/>
          <w:sz w:val="24"/>
          <w:szCs w:val="24"/>
          <w:lang w:eastAsia="ru-RU"/>
        </w:rPr>
        <w:t xml:space="preserve"> în 2030, </w:t>
      </w:r>
      <w:proofErr w:type="spellStart"/>
      <w:r w:rsidRPr="00125FAF">
        <w:rPr>
          <w:rFonts w:ascii="Times New Roman" w:eastAsia="Times New Roman" w:hAnsi="Times New Roman" w:cs="Times New Roman"/>
          <w:b/>
          <w:sz w:val="24"/>
          <w:szCs w:val="24"/>
          <w:lang w:eastAsia="ru-RU"/>
        </w:rPr>
        <w:t>Gg</w:t>
      </w:r>
      <w:proofErr w:type="spellEnd"/>
      <w:r w:rsidRPr="00125FAF">
        <w:rPr>
          <w:rFonts w:ascii="Times New Roman" w:eastAsia="Times New Roman" w:hAnsi="Times New Roman" w:cs="Times New Roman"/>
          <w:b/>
          <w:sz w:val="24"/>
          <w:szCs w:val="24"/>
          <w:lang w:eastAsia="ru-RU"/>
        </w:rPr>
        <w:t xml:space="preserve"> CO</w:t>
      </w:r>
      <w:r w:rsidRPr="00125FAF">
        <w:rPr>
          <w:rFonts w:ascii="Times New Roman" w:eastAsia="Times New Roman" w:hAnsi="Times New Roman" w:cs="Times New Roman"/>
          <w:b/>
          <w:sz w:val="24"/>
          <w:szCs w:val="24"/>
          <w:vertAlign w:val="subscript"/>
          <w:lang w:eastAsia="ru-RU"/>
        </w:rPr>
        <w:t>2</w:t>
      </w:r>
      <w:r w:rsidRPr="00125FAF">
        <w:rPr>
          <w:rFonts w:ascii="Times New Roman" w:eastAsia="Times New Roman" w:hAnsi="Times New Roman" w:cs="Times New Roman"/>
          <w:b/>
          <w:sz w:val="24"/>
          <w:szCs w:val="24"/>
          <w:lang w:eastAsia="ru-RU"/>
        </w:rPr>
        <w:t xml:space="preserve"> echivalent</w:t>
      </w:r>
    </w:p>
    <w:tbl>
      <w:tblPr>
        <w:tblpPr w:leftFromText="180" w:rightFromText="180" w:vertAnchor="text" w:horzAnchor="margin" w:tblpY="142"/>
        <w:tblW w:w="5000" w:type="pct"/>
        <w:tblLayout w:type="fixed"/>
        <w:tblLook w:val="04A0" w:firstRow="1" w:lastRow="0" w:firstColumn="1" w:lastColumn="0" w:noHBand="0" w:noVBand="1"/>
      </w:tblPr>
      <w:tblGrid>
        <w:gridCol w:w="5370"/>
        <w:gridCol w:w="1229"/>
        <w:gridCol w:w="1231"/>
        <w:gridCol w:w="1289"/>
      </w:tblGrid>
      <w:tr w:rsidR="0069230A" w:rsidRPr="00125FAF" w14:paraId="7A40F45C" w14:textId="77777777" w:rsidTr="001F2F2D">
        <w:trPr>
          <w:trHeight w:val="315"/>
        </w:trPr>
        <w:tc>
          <w:tcPr>
            <w:tcW w:w="29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12F0F" w14:textId="77777777" w:rsidR="0069230A" w:rsidRPr="00125FAF" w:rsidRDefault="0069230A" w:rsidP="0069230A">
            <w:pPr>
              <w:spacing w:after="0" w:line="240" w:lineRule="auto"/>
              <w:jc w:val="center"/>
              <w:rPr>
                <w:rFonts w:ascii="Times New Roman" w:eastAsia="Times New Roman" w:hAnsi="Times New Roman" w:cs="Times New Roman"/>
                <w:b/>
                <w:bCs/>
                <w:color w:val="000000"/>
                <w:sz w:val="20"/>
                <w:szCs w:val="20"/>
                <w:lang w:eastAsia="ro-RO"/>
              </w:rPr>
            </w:pPr>
            <w:r w:rsidRPr="00125FAF">
              <w:rPr>
                <w:rFonts w:ascii="Times New Roman" w:eastAsia="Times New Roman" w:hAnsi="Times New Roman" w:cs="Times New Roman"/>
                <w:b/>
                <w:bCs/>
                <w:color w:val="000000"/>
                <w:sz w:val="20"/>
                <w:szCs w:val="20"/>
                <w:lang w:eastAsia="ro-RO"/>
              </w:rPr>
              <w:t>Sectoarele</w:t>
            </w:r>
          </w:p>
        </w:tc>
        <w:tc>
          <w:tcPr>
            <w:tcW w:w="674" w:type="pct"/>
            <w:tcBorders>
              <w:top w:val="single" w:sz="4" w:space="0" w:color="auto"/>
              <w:left w:val="nil"/>
              <w:bottom w:val="single" w:sz="4" w:space="0" w:color="auto"/>
              <w:right w:val="single" w:sz="4" w:space="0" w:color="auto"/>
            </w:tcBorders>
            <w:shd w:val="clear" w:color="auto" w:fill="auto"/>
            <w:noWrap/>
            <w:vAlign w:val="center"/>
            <w:hideMark/>
          </w:tcPr>
          <w:p w14:paraId="79C724A4" w14:textId="77777777" w:rsidR="0069230A" w:rsidRPr="00125FAF" w:rsidRDefault="0069230A" w:rsidP="0069230A">
            <w:pPr>
              <w:spacing w:after="0" w:line="240" w:lineRule="auto"/>
              <w:jc w:val="center"/>
              <w:rPr>
                <w:rFonts w:ascii="Times New Roman" w:eastAsia="Times New Roman" w:hAnsi="Times New Roman" w:cs="Times New Roman"/>
                <w:b/>
                <w:bCs/>
                <w:color w:val="000000"/>
                <w:sz w:val="20"/>
                <w:szCs w:val="20"/>
                <w:lang w:eastAsia="ro-RO"/>
              </w:rPr>
            </w:pPr>
            <w:r w:rsidRPr="00125FAF">
              <w:rPr>
                <w:rFonts w:ascii="Times New Roman" w:eastAsia="Times New Roman" w:hAnsi="Times New Roman" w:cs="Times New Roman"/>
                <w:b/>
                <w:bCs/>
                <w:color w:val="000000"/>
                <w:sz w:val="20"/>
                <w:szCs w:val="20"/>
                <w:lang w:eastAsia="ro-RO"/>
              </w:rPr>
              <w:t>1990</w:t>
            </w:r>
          </w:p>
        </w:tc>
        <w:tc>
          <w:tcPr>
            <w:tcW w:w="675" w:type="pct"/>
            <w:tcBorders>
              <w:top w:val="single" w:sz="4" w:space="0" w:color="auto"/>
              <w:left w:val="nil"/>
              <w:bottom w:val="single" w:sz="4" w:space="0" w:color="auto"/>
              <w:right w:val="single" w:sz="4" w:space="0" w:color="auto"/>
            </w:tcBorders>
            <w:shd w:val="clear" w:color="auto" w:fill="auto"/>
            <w:noWrap/>
            <w:vAlign w:val="center"/>
            <w:hideMark/>
          </w:tcPr>
          <w:p w14:paraId="67D5B1BE" w14:textId="77777777" w:rsidR="0069230A" w:rsidRPr="00125FAF" w:rsidRDefault="0069230A" w:rsidP="0069230A">
            <w:pPr>
              <w:spacing w:after="0" w:line="240" w:lineRule="auto"/>
              <w:jc w:val="center"/>
              <w:rPr>
                <w:rFonts w:ascii="Times New Roman" w:eastAsia="Times New Roman" w:hAnsi="Times New Roman" w:cs="Times New Roman"/>
                <w:b/>
                <w:bCs/>
                <w:color w:val="000000"/>
                <w:sz w:val="20"/>
                <w:szCs w:val="20"/>
                <w:lang w:eastAsia="ro-RO"/>
              </w:rPr>
            </w:pPr>
            <w:r w:rsidRPr="00125FAF">
              <w:rPr>
                <w:rFonts w:ascii="Times New Roman" w:eastAsia="Times New Roman" w:hAnsi="Times New Roman" w:cs="Times New Roman"/>
                <w:b/>
                <w:bCs/>
                <w:color w:val="000000"/>
                <w:sz w:val="20"/>
                <w:szCs w:val="20"/>
                <w:lang w:eastAsia="ro-RO"/>
              </w:rPr>
              <w:t>2025</w:t>
            </w:r>
          </w:p>
        </w:tc>
        <w:tc>
          <w:tcPr>
            <w:tcW w:w="706" w:type="pct"/>
            <w:tcBorders>
              <w:top w:val="single" w:sz="4" w:space="0" w:color="auto"/>
              <w:left w:val="nil"/>
              <w:bottom w:val="single" w:sz="4" w:space="0" w:color="auto"/>
              <w:right w:val="single" w:sz="4" w:space="0" w:color="auto"/>
            </w:tcBorders>
            <w:shd w:val="clear" w:color="auto" w:fill="auto"/>
            <w:noWrap/>
            <w:vAlign w:val="center"/>
            <w:hideMark/>
          </w:tcPr>
          <w:p w14:paraId="0C10C422" w14:textId="77777777" w:rsidR="0069230A" w:rsidRPr="00125FAF" w:rsidRDefault="0069230A" w:rsidP="0069230A">
            <w:pPr>
              <w:spacing w:after="0" w:line="240" w:lineRule="auto"/>
              <w:jc w:val="center"/>
              <w:rPr>
                <w:rFonts w:ascii="Times New Roman" w:eastAsia="Times New Roman" w:hAnsi="Times New Roman" w:cs="Times New Roman"/>
                <w:b/>
                <w:bCs/>
                <w:color w:val="000000"/>
                <w:sz w:val="20"/>
                <w:szCs w:val="20"/>
                <w:lang w:eastAsia="ro-RO"/>
              </w:rPr>
            </w:pPr>
            <w:r w:rsidRPr="00125FAF">
              <w:rPr>
                <w:rFonts w:ascii="Times New Roman" w:eastAsia="Times New Roman" w:hAnsi="Times New Roman" w:cs="Times New Roman"/>
                <w:b/>
                <w:bCs/>
                <w:color w:val="000000"/>
                <w:sz w:val="20"/>
                <w:szCs w:val="20"/>
                <w:lang w:eastAsia="ro-RO"/>
              </w:rPr>
              <w:t>2030</w:t>
            </w:r>
          </w:p>
        </w:tc>
      </w:tr>
      <w:tr w:rsidR="0069230A" w:rsidRPr="00125FAF" w14:paraId="6AD3A521" w14:textId="77777777" w:rsidTr="0069230A">
        <w:trPr>
          <w:trHeight w:val="31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EB6D7A" w14:textId="27A2919E" w:rsidR="0069230A" w:rsidRPr="00125FAF" w:rsidRDefault="0069230A" w:rsidP="0069230A">
            <w:pPr>
              <w:spacing w:after="0" w:line="240" w:lineRule="auto"/>
              <w:jc w:val="center"/>
              <w:rPr>
                <w:rFonts w:ascii="Times New Roman" w:eastAsia="Times New Roman" w:hAnsi="Times New Roman" w:cs="Times New Roman"/>
                <w:b/>
                <w:bCs/>
                <w:color w:val="000000"/>
                <w:sz w:val="20"/>
                <w:szCs w:val="20"/>
                <w:lang w:eastAsia="ro-RO"/>
              </w:rPr>
            </w:pPr>
            <w:r w:rsidRPr="00125FAF">
              <w:rPr>
                <w:rFonts w:ascii="Times New Roman" w:eastAsia="Times New Roman" w:hAnsi="Times New Roman" w:cs="Times New Roman"/>
                <w:b/>
                <w:bCs/>
                <w:color w:val="000000"/>
                <w:sz w:val="20"/>
                <w:szCs w:val="20"/>
                <w:lang w:eastAsia="ro-RO"/>
              </w:rPr>
              <w:t xml:space="preserve">Scenariul </w:t>
            </w:r>
            <w:proofErr w:type="spellStart"/>
            <w:r w:rsidRPr="00125FAF">
              <w:rPr>
                <w:rFonts w:ascii="Times New Roman" w:eastAsia="Times New Roman" w:hAnsi="Times New Roman" w:cs="Times New Roman"/>
                <w:b/>
                <w:bCs/>
                <w:color w:val="000000"/>
                <w:sz w:val="20"/>
                <w:szCs w:val="20"/>
                <w:lang w:eastAsia="ro-RO"/>
              </w:rPr>
              <w:t>necondiţionat</w:t>
            </w:r>
            <w:proofErr w:type="spellEnd"/>
          </w:p>
        </w:tc>
      </w:tr>
      <w:tr w:rsidR="0069230A" w:rsidRPr="00125FAF" w14:paraId="3A3F7F78" w14:textId="77777777" w:rsidTr="001F2F2D">
        <w:trPr>
          <w:trHeight w:val="329"/>
        </w:trPr>
        <w:tc>
          <w:tcPr>
            <w:tcW w:w="2944" w:type="pct"/>
            <w:tcBorders>
              <w:top w:val="nil"/>
              <w:left w:val="single" w:sz="4" w:space="0" w:color="auto"/>
              <w:bottom w:val="single" w:sz="4" w:space="0" w:color="auto"/>
              <w:right w:val="single" w:sz="4" w:space="0" w:color="auto"/>
            </w:tcBorders>
            <w:shd w:val="clear" w:color="auto" w:fill="auto"/>
            <w:noWrap/>
            <w:vAlign w:val="center"/>
            <w:hideMark/>
          </w:tcPr>
          <w:p w14:paraId="5472CB96" w14:textId="77777777" w:rsidR="0069230A" w:rsidRPr="00125FAF" w:rsidRDefault="0069230A" w:rsidP="0069230A">
            <w:pPr>
              <w:spacing w:after="0" w:line="240" w:lineRule="auto"/>
              <w:jc w:val="both"/>
              <w:rPr>
                <w:rFonts w:ascii="Times New Roman" w:eastAsia="Times New Roman" w:hAnsi="Times New Roman" w:cs="Times New Roman"/>
                <w:color w:val="000000"/>
                <w:sz w:val="20"/>
                <w:szCs w:val="20"/>
                <w:lang w:eastAsia="ro-RO"/>
              </w:rPr>
            </w:pPr>
            <w:r w:rsidRPr="00125FAF">
              <w:rPr>
                <w:rFonts w:ascii="Times New Roman" w:eastAsia="Times New Roman" w:hAnsi="Times New Roman" w:cs="Times New Roman"/>
                <w:color w:val="000000"/>
                <w:sz w:val="20"/>
                <w:szCs w:val="20"/>
                <w:lang w:eastAsia="ro-RO"/>
              </w:rPr>
              <w:t xml:space="preserve">Energetic (Producerea energiei electrice </w:t>
            </w:r>
            <w:proofErr w:type="spellStart"/>
            <w:r w:rsidRPr="00125FAF">
              <w:rPr>
                <w:rFonts w:ascii="Times New Roman" w:eastAsia="Times New Roman" w:hAnsi="Times New Roman" w:cs="Times New Roman"/>
                <w:color w:val="000000"/>
                <w:sz w:val="20"/>
                <w:szCs w:val="20"/>
                <w:lang w:eastAsia="ro-RO"/>
              </w:rPr>
              <w:t>şi</w:t>
            </w:r>
            <w:proofErr w:type="spellEnd"/>
            <w:r w:rsidRPr="00125FAF">
              <w:rPr>
                <w:rFonts w:ascii="Times New Roman" w:eastAsia="Times New Roman" w:hAnsi="Times New Roman" w:cs="Times New Roman"/>
                <w:color w:val="000000"/>
                <w:sz w:val="20"/>
                <w:szCs w:val="20"/>
                <w:lang w:eastAsia="ro-RO"/>
              </w:rPr>
              <w:t xml:space="preserve"> termice) </w:t>
            </w:r>
          </w:p>
        </w:tc>
        <w:tc>
          <w:tcPr>
            <w:tcW w:w="674" w:type="pct"/>
            <w:tcBorders>
              <w:top w:val="nil"/>
              <w:left w:val="nil"/>
              <w:bottom w:val="single" w:sz="4" w:space="0" w:color="auto"/>
              <w:right w:val="single" w:sz="4" w:space="0" w:color="auto"/>
            </w:tcBorders>
            <w:shd w:val="clear" w:color="auto" w:fill="auto"/>
            <w:noWrap/>
            <w:vAlign w:val="center"/>
            <w:hideMark/>
          </w:tcPr>
          <w:p w14:paraId="52F92936" w14:textId="77777777" w:rsidR="0069230A" w:rsidRPr="00125FAF" w:rsidRDefault="0069230A" w:rsidP="0069230A">
            <w:pPr>
              <w:spacing w:after="0" w:line="240" w:lineRule="auto"/>
              <w:jc w:val="center"/>
              <w:rPr>
                <w:rFonts w:ascii="Times New Roman" w:eastAsia="Times New Roman" w:hAnsi="Times New Roman" w:cs="Times New Roman"/>
                <w:color w:val="000000"/>
                <w:sz w:val="20"/>
                <w:szCs w:val="20"/>
                <w:lang w:eastAsia="ro-RO"/>
              </w:rPr>
            </w:pPr>
            <w:r w:rsidRPr="00125FAF">
              <w:rPr>
                <w:rFonts w:ascii="Times New Roman" w:eastAsia="Times New Roman" w:hAnsi="Times New Roman" w:cs="Times New Roman"/>
                <w:color w:val="000000"/>
                <w:sz w:val="20"/>
                <w:szCs w:val="20"/>
                <w:lang w:eastAsia="ro-RO"/>
              </w:rPr>
              <w:t>21308</w:t>
            </w:r>
          </w:p>
        </w:tc>
        <w:tc>
          <w:tcPr>
            <w:tcW w:w="675" w:type="pct"/>
            <w:tcBorders>
              <w:top w:val="nil"/>
              <w:left w:val="nil"/>
              <w:bottom w:val="single" w:sz="4" w:space="0" w:color="auto"/>
              <w:right w:val="single" w:sz="4" w:space="0" w:color="auto"/>
            </w:tcBorders>
            <w:shd w:val="clear" w:color="auto" w:fill="auto"/>
            <w:noWrap/>
            <w:vAlign w:val="center"/>
            <w:hideMark/>
          </w:tcPr>
          <w:p w14:paraId="3BAECFCA" w14:textId="77777777" w:rsidR="0069230A" w:rsidRPr="00125FAF" w:rsidRDefault="0069230A" w:rsidP="0069230A">
            <w:pPr>
              <w:spacing w:after="0" w:line="240" w:lineRule="auto"/>
              <w:jc w:val="center"/>
              <w:rPr>
                <w:rFonts w:ascii="Times New Roman" w:eastAsia="Times New Roman" w:hAnsi="Times New Roman" w:cs="Times New Roman"/>
                <w:color w:val="000000"/>
                <w:sz w:val="20"/>
                <w:szCs w:val="20"/>
                <w:lang w:eastAsia="ro-RO"/>
              </w:rPr>
            </w:pPr>
            <w:r w:rsidRPr="00125FAF">
              <w:rPr>
                <w:rFonts w:ascii="Times New Roman" w:eastAsia="Times New Roman" w:hAnsi="Times New Roman" w:cs="Times New Roman"/>
                <w:color w:val="000000"/>
                <w:sz w:val="20"/>
                <w:szCs w:val="20"/>
                <w:lang w:eastAsia="ro-RO"/>
              </w:rPr>
              <w:t>3624</w:t>
            </w:r>
          </w:p>
        </w:tc>
        <w:tc>
          <w:tcPr>
            <w:tcW w:w="706" w:type="pct"/>
            <w:tcBorders>
              <w:top w:val="nil"/>
              <w:left w:val="nil"/>
              <w:bottom w:val="single" w:sz="4" w:space="0" w:color="auto"/>
              <w:right w:val="single" w:sz="4" w:space="0" w:color="auto"/>
            </w:tcBorders>
            <w:shd w:val="clear" w:color="auto" w:fill="auto"/>
            <w:noWrap/>
            <w:vAlign w:val="center"/>
            <w:hideMark/>
          </w:tcPr>
          <w:p w14:paraId="3C6643B0" w14:textId="77777777" w:rsidR="0069230A" w:rsidRPr="00125FAF" w:rsidRDefault="0069230A" w:rsidP="0069230A">
            <w:pPr>
              <w:spacing w:after="0" w:line="240" w:lineRule="auto"/>
              <w:jc w:val="center"/>
              <w:rPr>
                <w:rFonts w:ascii="Times New Roman" w:eastAsia="Times New Roman" w:hAnsi="Times New Roman" w:cs="Times New Roman"/>
                <w:color w:val="000000"/>
                <w:sz w:val="20"/>
                <w:szCs w:val="20"/>
                <w:lang w:eastAsia="ro-RO"/>
              </w:rPr>
            </w:pPr>
            <w:r w:rsidRPr="00125FAF">
              <w:rPr>
                <w:rFonts w:ascii="Times New Roman" w:eastAsia="Times New Roman" w:hAnsi="Times New Roman" w:cs="Times New Roman"/>
                <w:color w:val="000000"/>
                <w:sz w:val="20"/>
                <w:szCs w:val="20"/>
                <w:lang w:eastAsia="ro-RO"/>
              </w:rPr>
              <w:t>4014</w:t>
            </w:r>
          </w:p>
        </w:tc>
      </w:tr>
      <w:tr w:rsidR="0069230A" w:rsidRPr="00125FAF" w14:paraId="1282C1DA" w14:textId="77777777" w:rsidTr="001F2F2D">
        <w:trPr>
          <w:trHeight w:val="315"/>
        </w:trPr>
        <w:tc>
          <w:tcPr>
            <w:tcW w:w="2944" w:type="pct"/>
            <w:tcBorders>
              <w:top w:val="nil"/>
              <w:left w:val="single" w:sz="4" w:space="0" w:color="auto"/>
              <w:bottom w:val="single" w:sz="4" w:space="0" w:color="auto"/>
              <w:right w:val="single" w:sz="4" w:space="0" w:color="auto"/>
            </w:tcBorders>
            <w:shd w:val="clear" w:color="auto" w:fill="auto"/>
            <w:noWrap/>
            <w:vAlign w:val="center"/>
            <w:hideMark/>
          </w:tcPr>
          <w:p w14:paraId="3109F1D7" w14:textId="77777777" w:rsidR="0069230A" w:rsidRPr="00125FAF" w:rsidRDefault="0069230A" w:rsidP="0069230A">
            <w:pPr>
              <w:spacing w:after="0" w:line="240" w:lineRule="auto"/>
              <w:jc w:val="both"/>
              <w:rPr>
                <w:rFonts w:ascii="Times New Roman" w:eastAsia="Times New Roman" w:hAnsi="Times New Roman" w:cs="Times New Roman"/>
                <w:color w:val="000000"/>
                <w:sz w:val="20"/>
                <w:szCs w:val="20"/>
                <w:lang w:eastAsia="ro-RO"/>
              </w:rPr>
            </w:pPr>
            <w:r w:rsidRPr="00125FAF">
              <w:rPr>
                <w:rFonts w:ascii="Times New Roman" w:eastAsia="Times New Roman" w:hAnsi="Times New Roman" w:cs="Times New Roman"/>
                <w:color w:val="000000"/>
                <w:sz w:val="20"/>
                <w:szCs w:val="20"/>
                <w:lang w:eastAsia="ro-RO"/>
              </w:rPr>
              <w:t>Transporturi</w:t>
            </w:r>
          </w:p>
        </w:tc>
        <w:tc>
          <w:tcPr>
            <w:tcW w:w="674" w:type="pct"/>
            <w:tcBorders>
              <w:top w:val="nil"/>
              <w:left w:val="nil"/>
              <w:bottom w:val="single" w:sz="4" w:space="0" w:color="auto"/>
              <w:right w:val="single" w:sz="4" w:space="0" w:color="auto"/>
            </w:tcBorders>
            <w:shd w:val="clear" w:color="auto" w:fill="auto"/>
            <w:noWrap/>
            <w:vAlign w:val="center"/>
            <w:hideMark/>
          </w:tcPr>
          <w:p w14:paraId="658F9760" w14:textId="77777777" w:rsidR="0069230A" w:rsidRPr="00125FAF" w:rsidRDefault="0069230A" w:rsidP="0069230A">
            <w:pPr>
              <w:spacing w:after="0" w:line="240" w:lineRule="auto"/>
              <w:jc w:val="center"/>
              <w:rPr>
                <w:rFonts w:ascii="Times New Roman" w:eastAsia="Times New Roman" w:hAnsi="Times New Roman" w:cs="Times New Roman"/>
                <w:color w:val="000000"/>
                <w:sz w:val="20"/>
                <w:szCs w:val="20"/>
                <w:lang w:eastAsia="ro-RO"/>
              </w:rPr>
            </w:pPr>
            <w:r w:rsidRPr="00125FAF">
              <w:rPr>
                <w:rFonts w:ascii="Times New Roman" w:eastAsia="Times New Roman" w:hAnsi="Times New Roman" w:cs="Times New Roman"/>
                <w:color w:val="000000"/>
                <w:sz w:val="20"/>
                <w:szCs w:val="20"/>
                <w:lang w:eastAsia="ro-RO"/>
              </w:rPr>
              <w:t>4479</w:t>
            </w:r>
          </w:p>
        </w:tc>
        <w:tc>
          <w:tcPr>
            <w:tcW w:w="675" w:type="pct"/>
            <w:tcBorders>
              <w:top w:val="nil"/>
              <w:left w:val="nil"/>
              <w:bottom w:val="single" w:sz="4" w:space="0" w:color="auto"/>
              <w:right w:val="single" w:sz="4" w:space="0" w:color="auto"/>
            </w:tcBorders>
            <w:shd w:val="clear" w:color="auto" w:fill="auto"/>
            <w:noWrap/>
            <w:vAlign w:val="center"/>
            <w:hideMark/>
          </w:tcPr>
          <w:p w14:paraId="50AF28A6" w14:textId="77777777" w:rsidR="0069230A" w:rsidRPr="00125FAF" w:rsidRDefault="0069230A" w:rsidP="0069230A">
            <w:pPr>
              <w:spacing w:after="0" w:line="240" w:lineRule="auto"/>
              <w:jc w:val="center"/>
              <w:rPr>
                <w:rFonts w:ascii="Times New Roman" w:eastAsia="Times New Roman" w:hAnsi="Times New Roman" w:cs="Times New Roman"/>
                <w:color w:val="000000"/>
                <w:sz w:val="20"/>
                <w:szCs w:val="20"/>
                <w:lang w:eastAsia="ro-RO"/>
              </w:rPr>
            </w:pPr>
            <w:r w:rsidRPr="00125FAF">
              <w:rPr>
                <w:rFonts w:ascii="Times New Roman" w:eastAsia="Times New Roman" w:hAnsi="Times New Roman" w:cs="Times New Roman"/>
                <w:color w:val="000000"/>
                <w:sz w:val="20"/>
                <w:szCs w:val="20"/>
                <w:lang w:eastAsia="ro-RO"/>
              </w:rPr>
              <w:t>1966</w:t>
            </w:r>
          </w:p>
        </w:tc>
        <w:tc>
          <w:tcPr>
            <w:tcW w:w="706" w:type="pct"/>
            <w:tcBorders>
              <w:top w:val="nil"/>
              <w:left w:val="nil"/>
              <w:bottom w:val="single" w:sz="4" w:space="0" w:color="auto"/>
              <w:right w:val="single" w:sz="4" w:space="0" w:color="auto"/>
            </w:tcBorders>
            <w:shd w:val="clear" w:color="auto" w:fill="auto"/>
            <w:noWrap/>
            <w:vAlign w:val="center"/>
            <w:hideMark/>
          </w:tcPr>
          <w:p w14:paraId="6AB73BEC" w14:textId="77777777" w:rsidR="0069230A" w:rsidRPr="00125FAF" w:rsidRDefault="0069230A" w:rsidP="0069230A">
            <w:pPr>
              <w:spacing w:after="0" w:line="240" w:lineRule="auto"/>
              <w:jc w:val="center"/>
              <w:rPr>
                <w:rFonts w:ascii="Times New Roman" w:eastAsia="Times New Roman" w:hAnsi="Times New Roman" w:cs="Times New Roman"/>
                <w:color w:val="000000"/>
                <w:sz w:val="20"/>
                <w:szCs w:val="20"/>
                <w:lang w:eastAsia="ro-RO"/>
              </w:rPr>
            </w:pPr>
            <w:r w:rsidRPr="00125FAF">
              <w:rPr>
                <w:rFonts w:ascii="Times New Roman" w:eastAsia="Times New Roman" w:hAnsi="Times New Roman" w:cs="Times New Roman"/>
                <w:color w:val="000000"/>
                <w:sz w:val="20"/>
                <w:szCs w:val="20"/>
                <w:lang w:eastAsia="ro-RO"/>
              </w:rPr>
              <w:t>2150</w:t>
            </w:r>
          </w:p>
        </w:tc>
      </w:tr>
      <w:tr w:rsidR="0069230A" w:rsidRPr="00125FAF" w14:paraId="6EF54109" w14:textId="77777777" w:rsidTr="001F2F2D">
        <w:trPr>
          <w:trHeight w:val="315"/>
        </w:trPr>
        <w:tc>
          <w:tcPr>
            <w:tcW w:w="2944" w:type="pct"/>
            <w:tcBorders>
              <w:top w:val="nil"/>
              <w:left w:val="single" w:sz="4" w:space="0" w:color="auto"/>
              <w:bottom w:val="single" w:sz="4" w:space="0" w:color="auto"/>
              <w:right w:val="single" w:sz="4" w:space="0" w:color="auto"/>
            </w:tcBorders>
            <w:shd w:val="clear" w:color="auto" w:fill="auto"/>
            <w:noWrap/>
            <w:vAlign w:val="center"/>
            <w:hideMark/>
          </w:tcPr>
          <w:p w14:paraId="3D537800" w14:textId="77777777" w:rsidR="0069230A" w:rsidRPr="00125FAF" w:rsidRDefault="0069230A" w:rsidP="0069230A">
            <w:pPr>
              <w:spacing w:after="0" w:line="240" w:lineRule="auto"/>
              <w:jc w:val="both"/>
              <w:rPr>
                <w:rFonts w:ascii="Times New Roman" w:eastAsia="Times New Roman" w:hAnsi="Times New Roman" w:cs="Times New Roman"/>
                <w:color w:val="000000"/>
                <w:sz w:val="20"/>
                <w:szCs w:val="20"/>
                <w:lang w:eastAsia="ro-RO"/>
              </w:rPr>
            </w:pPr>
            <w:r w:rsidRPr="00125FAF">
              <w:rPr>
                <w:rFonts w:ascii="Times New Roman" w:eastAsia="Times New Roman" w:hAnsi="Times New Roman" w:cs="Times New Roman"/>
                <w:color w:val="000000"/>
                <w:sz w:val="20"/>
                <w:szCs w:val="20"/>
                <w:lang w:eastAsia="ro-RO"/>
              </w:rPr>
              <w:t>Clădiri</w:t>
            </w:r>
          </w:p>
        </w:tc>
        <w:tc>
          <w:tcPr>
            <w:tcW w:w="674" w:type="pct"/>
            <w:tcBorders>
              <w:top w:val="nil"/>
              <w:left w:val="nil"/>
              <w:bottom w:val="single" w:sz="4" w:space="0" w:color="auto"/>
              <w:right w:val="single" w:sz="4" w:space="0" w:color="auto"/>
            </w:tcBorders>
            <w:shd w:val="clear" w:color="auto" w:fill="auto"/>
            <w:noWrap/>
            <w:vAlign w:val="center"/>
            <w:hideMark/>
          </w:tcPr>
          <w:p w14:paraId="462F6D7E" w14:textId="77777777" w:rsidR="0069230A" w:rsidRPr="00125FAF" w:rsidRDefault="0069230A" w:rsidP="0069230A">
            <w:pPr>
              <w:spacing w:after="0" w:line="240" w:lineRule="auto"/>
              <w:jc w:val="center"/>
              <w:rPr>
                <w:rFonts w:ascii="Times New Roman" w:eastAsia="Times New Roman" w:hAnsi="Times New Roman" w:cs="Times New Roman"/>
                <w:color w:val="000000"/>
                <w:sz w:val="20"/>
                <w:szCs w:val="20"/>
                <w:lang w:eastAsia="ro-RO"/>
              </w:rPr>
            </w:pPr>
            <w:r w:rsidRPr="00125FAF">
              <w:rPr>
                <w:rFonts w:ascii="Times New Roman" w:eastAsia="Times New Roman" w:hAnsi="Times New Roman" w:cs="Times New Roman"/>
                <w:color w:val="000000"/>
                <w:sz w:val="20"/>
                <w:szCs w:val="20"/>
                <w:lang w:eastAsia="ro-RO"/>
              </w:rPr>
              <w:t>9902</w:t>
            </w:r>
          </w:p>
        </w:tc>
        <w:tc>
          <w:tcPr>
            <w:tcW w:w="675" w:type="pct"/>
            <w:tcBorders>
              <w:top w:val="nil"/>
              <w:left w:val="nil"/>
              <w:bottom w:val="single" w:sz="4" w:space="0" w:color="auto"/>
              <w:right w:val="single" w:sz="4" w:space="0" w:color="auto"/>
            </w:tcBorders>
            <w:shd w:val="clear" w:color="auto" w:fill="auto"/>
            <w:noWrap/>
            <w:vAlign w:val="center"/>
            <w:hideMark/>
          </w:tcPr>
          <w:p w14:paraId="24885E48" w14:textId="77777777" w:rsidR="0069230A" w:rsidRPr="00125FAF" w:rsidRDefault="0069230A" w:rsidP="0069230A">
            <w:pPr>
              <w:spacing w:after="0" w:line="240" w:lineRule="auto"/>
              <w:jc w:val="center"/>
              <w:rPr>
                <w:rFonts w:ascii="Times New Roman" w:eastAsia="Times New Roman" w:hAnsi="Times New Roman" w:cs="Times New Roman"/>
                <w:color w:val="000000"/>
                <w:sz w:val="20"/>
                <w:szCs w:val="20"/>
                <w:lang w:eastAsia="ro-RO"/>
              </w:rPr>
            </w:pPr>
            <w:r w:rsidRPr="00125FAF">
              <w:rPr>
                <w:rFonts w:ascii="Times New Roman" w:eastAsia="Times New Roman" w:hAnsi="Times New Roman" w:cs="Times New Roman"/>
                <w:color w:val="000000"/>
                <w:sz w:val="20"/>
                <w:szCs w:val="20"/>
                <w:lang w:eastAsia="ro-RO"/>
              </w:rPr>
              <w:t>2403</w:t>
            </w:r>
          </w:p>
        </w:tc>
        <w:tc>
          <w:tcPr>
            <w:tcW w:w="706" w:type="pct"/>
            <w:tcBorders>
              <w:top w:val="nil"/>
              <w:left w:val="nil"/>
              <w:bottom w:val="single" w:sz="4" w:space="0" w:color="auto"/>
              <w:right w:val="single" w:sz="4" w:space="0" w:color="auto"/>
            </w:tcBorders>
            <w:shd w:val="clear" w:color="auto" w:fill="auto"/>
            <w:noWrap/>
            <w:vAlign w:val="center"/>
            <w:hideMark/>
          </w:tcPr>
          <w:p w14:paraId="1E95AC07" w14:textId="77777777" w:rsidR="0069230A" w:rsidRPr="00125FAF" w:rsidRDefault="0069230A" w:rsidP="0069230A">
            <w:pPr>
              <w:spacing w:after="0" w:line="240" w:lineRule="auto"/>
              <w:jc w:val="center"/>
              <w:rPr>
                <w:rFonts w:ascii="Times New Roman" w:eastAsia="Times New Roman" w:hAnsi="Times New Roman" w:cs="Times New Roman"/>
                <w:color w:val="000000"/>
                <w:sz w:val="20"/>
                <w:szCs w:val="20"/>
                <w:lang w:eastAsia="ro-RO"/>
              </w:rPr>
            </w:pPr>
            <w:r w:rsidRPr="00125FAF">
              <w:rPr>
                <w:rFonts w:ascii="Times New Roman" w:eastAsia="Times New Roman" w:hAnsi="Times New Roman" w:cs="Times New Roman"/>
                <w:color w:val="000000"/>
                <w:sz w:val="20"/>
                <w:szCs w:val="20"/>
                <w:lang w:eastAsia="ro-RO"/>
              </w:rPr>
              <w:t>2538</w:t>
            </w:r>
          </w:p>
        </w:tc>
      </w:tr>
      <w:tr w:rsidR="0069230A" w:rsidRPr="00125FAF" w14:paraId="34EE0492" w14:textId="77777777" w:rsidTr="001F2F2D">
        <w:trPr>
          <w:trHeight w:val="315"/>
        </w:trPr>
        <w:tc>
          <w:tcPr>
            <w:tcW w:w="2944" w:type="pct"/>
            <w:tcBorders>
              <w:top w:val="nil"/>
              <w:left w:val="single" w:sz="4" w:space="0" w:color="auto"/>
              <w:bottom w:val="single" w:sz="4" w:space="0" w:color="auto"/>
              <w:right w:val="single" w:sz="4" w:space="0" w:color="auto"/>
            </w:tcBorders>
            <w:shd w:val="clear" w:color="auto" w:fill="auto"/>
            <w:noWrap/>
            <w:vAlign w:val="center"/>
            <w:hideMark/>
          </w:tcPr>
          <w:p w14:paraId="51CCF4D3" w14:textId="77777777" w:rsidR="0069230A" w:rsidRPr="00125FAF" w:rsidRDefault="0069230A" w:rsidP="0069230A">
            <w:pPr>
              <w:spacing w:after="0" w:line="240" w:lineRule="auto"/>
              <w:jc w:val="both"/>
              <w:rPr>
                <w:rFonts w:ascii="Times New Roman" w:eastAsia="Times New Roman" w:hAnsi="Times New Roman" w:cs="Times New Roman"/>
                <w:color w:val="000000"/>
                <w:sz w:val="20"/>
                <w:szCs w:val="20"/>
                <w:lang w:eastAsia="ro-RO"/>
              </w:rPr>
            </w:pPr>
            <w:r w:rsidRPr="00125FAF">
              <w:rPr>
                <w:rFonts w:ascii="Times New Roman" w:eastAsia="Times New Roman" w:hAnsi="Times New Roman" w:cs="Times New Roman"/>
                <w:color w:val="000000"/>
                <w:sz w:val="20"/>
                <w:szCs w:val="20"/>
                <w:lang w:eastAsia="ro-RO"/>
              </w:rPr>
              <w:t>Industrial</w:t>
            </w:r>
          </w:p>
        </w:tc>
        <w:tc>
          <w:tcPr>
            <w:tcW w:w="674" w:type="pct"/>
            <w:tcBorders>
              <w:top w:val="nil"/>
              <w:left w:val="nil"/>
              <w:bottom w:val="single" w:sz="4" w:space="0" w:color="auto"/>
              <w:right w:val="single" w:sz="4" w:space="0" w:color="auto"/>
            </w:tcBorders>
            <w:shd w:val="clear" w:color="auto" w:fill="auto"/>
            <w:noWrap/>
            <w:vAlign w:val="center"/>
            <w:hideMark/>
          </w:tcPr>
          <w:p w14:paraId="3ED9148D" w14:textId="77777777" w:rsidR="0069230A" w:rsidRPr="00125FAF" w:rsidRDefault="0069230A" w:rsidP="0069230A">
            <w:pPr>
              <w:spacing w:after="0" w:line="240" w:lineRule="auto"/>
              <w:jc w:val="center"/>
              <w:rPr>
                <w:rFonts w:ascii="Times New Roman" w:eastAsia="Times New Roman" w:hAnsi="Times New Roman" w:cs="Times New Roman"/>
                <w:color w:val="000000"/>
                <w:sz w:val="20"/>
                <w:szCs w:val="20"/>
                <w:lang w:eastAsia="ro-RO"/>
              </w:rPr>
            </w:pPr>
            <w:r w:rsidRPr="00125FAF">
              <w:rPr>
                <w:rFonts w:ascii="Times New Roman" w:eastAsia="Times New Roman" w:hAnsi="Times New Roman" w:cs="Times New Roman"/>
                <w:color w:val="000000"/>
                <w:sz w:val="20"/>
                <w:szCs w:val="20"/>
                <w:lang w:eastAsia="ro-RO"/>
              </w:rPr>
              <w:t>1572</w:t>
            </w:r>
          </w:p>
        </w:tc>
        <w:tc>
          <w:tcPr>
            <w:tcW w:w="675" w:type="pct"/>
            <w:tcBorders>
              <w:top w:val="nil"/>
              <w:left w:val="nil"/>
              <w:bottom w:val="single" w:sz="4" w:space="0" w:color="auto"/>
              <w:right w:val="single" w:sz="4" w:space="0" w:color="auto"/>
            </w:tcBorders>
            <w:shd w:val="clear" w:color="auto" w:fill="auto"/>
            <w:noWrap/>
            <w:vAlign w:val="center"/>
            <w:hideMark/>
          </w:tcPr>
          <w:p w14:paraId="28F62D28" w14:textId="77777777" w:rsidR="0069230A" w:rsidRPr="00125FAF" w:rsidRDefault="0069230A" w:rsidP="0069230A">
            <w:pPr>
              <w:spacing w:after="0" w:line="240" w:lineRule="auto"/>
              <w:jc w:val="center"/>
              <w:rPr>
                <w:rFonts w:ascii="Times New Roman" w:eastAsia="Times New Roman" w:hAnsi="Times New Roman" w:cs="Times New Roman"/>
                <w:color w:val="000000"/>
                <w:sz w:val="20"/>
                <w:szCs w:val="20"/>
                <w:lang w:eastAsia="ro-RO"/>
              </w:rPr>
            </w:pPr>
            <w:r w:rsidRPr="00125FAF">
              <w:rPr>
                <w:rFonts w:ascii="Times New Roman" w:eastAsia="Times New Roman" w:hAnsi="Times New Roman" w:cs="Times New Roman"/>
                <w:color w:val="000000"/>
                <w:sz w:val="20"/>
                <w:szCs w:val="20"/>
                <w:lang w:eastAsia="ro-RO"/>
              </w:rPr>
              <w:t>1036</w:t>
            </w:r>
          </w:p>
        </w:tc>
        <w:tc>
          <w:tcPr>
            <w:tcW w:w="706" w:type="pct"/>
            <w:tcBorders>
              <w:top w:val="nil"/>
              <w:left w:val="nil"/>
              <w:bottom w:val="single" w:sz="4" w:space="0" w:color="auto"/>
              <w:right w:val="single" w:sz="4" w:space="0" w:color="auto"/>
            </w:tcBorders>
            <w:shd w:val="clear" w:color="auto" w:fill="auto"/>
            <w:noWrap/>
            <w:vAlign w:val="center"/>
            <w:hideMark/>
          </w:tcPr>
          <w:p w14:paraId="072F1966" w14:textId="77777777" w:rsidR="0069230A" w:rsidRPr="00125FAF" w:rsidRDefault="0069230A" w:rsidP="0069230A">
            <w:pPr>
              <w:spacing w:after="0" w:line="240" w:lineRule="auto"/>
              <w:jc w:val="center"/>
              <w:rPr>
                <w:rFonts w:ascii="Times New Roman" w:eastAsia="Times New Roman" w:hAnsi="Times New Roman" w:cs="Times New Roman"/>
                <w:color w:val="000000"/>
                <w:sz w:val="20"/>
                <w:szCs w:val="20"/>
                <w:lang w:eastAsia="ro-RO"/>
              </w:rPr>
            </w:pPr>
            <w:r w:rsidRPr="00125FAF">
              <w:rPr>
                <w:rFonts w:ascii="Times New Roman" w:eastAsia="Times New Roman" w:hAnsi="Times New Roman" w:cs="Times New Roman"/>
                <w:color w:val="000000"/>
                <w:sz w:val="20"/>
                <w:szCs w:val="20"/>
                <w:lang w:eastAsia="ro-RO"/>
              </w:rPr>
              <w:t>1144</w:t>
            </w:r>
          </w:p>
        </w:tc>
      </w:tr>
      <w:tr w:rsidR="0069230A" w:rsidRPr="00125FAF" w14:paraId="37F6D93F" w14:textId="77777777" w:rsidTr="001F2F2D">
        <w:trPr>
          <w:trHeight w:val="315"/>
        </w:trPr>
        <w:tc>
          <w:tcPr>
            <w:tcW w:w="2944" w:type="pct"/>
            <w:tcBorders>
              <w:top w:val="nil"/>
              <w:left w:val="single" w:sz="4" w:space="0" w:color="auto"/>
              <w:bottom w:val="single" w:sz="4" w:space="0" w:color="auto"/>
              <w:right w:val="single" w:sz="4" w:space="0" w:color="auto"/>
            </w:tcBorders>
            <w:shd w:val="clear" w:color="auto" w:fill="auto"/>
            <w:noWrap/>
            <w:vAlign w:val="center"/>
            <w:hideMark/>
          </w:tcPr>
          <w:p w14:paraId="2A321674" w14:textId="77777777" w:rsidR="0069230A" w:rsidRPr="00125FAF" w:rsidRDefault="0069230A" w:rsidP="0069230A">
            <w:pPr>
              <w:spacing w:after="0" w:line="240" w:lineRule="auto"/>
              <w:jc w:val="both"/>
              <w:rPr>
                <w:rFonts w:ascii="Times New Roman" w:eastAsia="Times New Roman" w:hAnsi="Times New Roman" w:cs="Times New Roman"/>
                <w:color w:val="000000"/>
                <w:sz w:val="20"/>
                <w:szCs w:val="20"/>
                <w:lang w:eastAsia="ro-RO"/>
              </w:rPr>
            </w:pPr>
            <w:r w:rsidRPr="00125FAF">
              <w:rPr>
                <w:rFonts w:ascii="Times New Roman" w:eastAsia="Times New Roman" w:hAnsi="Times New Roman" w:cs="Times New Roman"/>
                <w:color w:val="000000"/>
                <w:sz w:val="20"/>
                <w:szCs w:val="20"/>
                <w:lang w:eastAsia="ro-RO"/>
              </w:rPr>
              <w:t>Agricol</w:t>
            </w:r>
          </w:p>
        </w:tc>
        <w:tc>
          <w:tcPr>
            <w:tcW w:w="674" w:type="pct"/>
            <w:tcBorders>
              <w:top w:val="nil"/>
              <w:left w:val="nil"/>
              <w:bottom w:val="single" w:sz="4" w:space="0" w:color="auto"/>
              <w:right w:val="single" w:sz="4" w:space="0" w:color="auto"/>
            </w:tcBorders>
            <w:shd w:val="clear" w:color="auto" w:fill="auto"/>
            <w:noWrap/>
            <w:vAlign w:val="center"/>
            <w:hideMark/>
          </w:tcPr>
          <w:p w14:paraId="5E942992" w14:textId="77777777" w:rsidR="0069230A" w:rsidRPr="00125FAF" w:rsidRDefault="0069230A" w:rsidP="0069230A">
            <w:pPr>
              <w:spacing w:after="0" w:line="240" w:lineRule="auto"/>
              <w:jc w:val="center"/>
              <w:rPr>
                <w:rFonts w:ascii="Times New Roman" w:eastAsia="Times New Roman" w:hAnsi="Times New Roman" w:cs="Times New Roman"/>
                <w:color w:val="000000"/>
                <w:sz w:val="20"/>
                <w:szCs w:val="20"/>
                <w:lang w:eastAsia="ro-RO"/>
              </w:rPr>
            </w:pPr>
            <w:r w:rsidRPr="00125FAF">
              <w:rPr>
                <w:rFonts w:ascii="Times New Roman" w:eastAsia="Times New Roman" w:hAnsi="Times New Roman" w:cs="Times New Roman"/>
                <w:color w:val="000000"/>
                <w:sz w:val="20"/>
                <w:szCs w:val="20"/>
                <w:lang w:eastAsia="ro-RO"/>
              </w:rPr>
              <w:t>5221</w:t>
            </w:r>
          </w:p>
        </w:tc>
        <w:tc>
          <w:tcPr>
            <w:tcW w:w="675" w:type="pct"/>
            <w:tcBorders>
              <w:top w:val="nil"/>
              <w:left w:val="nil"/>
              <w:bottom w:val="single" w:sz="4" w:space="0" w:color="auto"/>
              <w:right w:val="single" w:sz="4" w:space="0" w:color="auto"/>
            </w:tcBorders>
            <w:shd w:val="clear" w:color="auto" w:fill="auto"/>
            <w:noWrap/>
            <w:vAlign w:val="center"/>
            <w:hideMark/>
          </w:tcPr>
          <w:p w14:paraId="750BA02D" w14:textId="77777777" w:rsidR="0069230A" w:rsidRPr="00125FAF" w:rsidRDefault="0069230A" w:rsidP="0069230A">
            <w:pPr>
              <w:spacing w:after="0" w:line="240" w:lineRule="auto"/>
              <w:jc w:val="center"/>
              <w:rPr>
                <w:rFonts w:ascii="Times New Roman" w:eastAsia="Times New Roman" w:hAnsi="Times New Roman" w:cs="Times New Roman"/>
                <w:color w:val="000000"/>
                <w:sz w:val="20"/>
                <w:szCs w:val="20"/>
                <w:lang w:eastAsia="ro-RO"/>
              </w:rPr>
            </w:pPr>
            <w:r w:rsidRPr="00125FAF">
              <w:rPr>
                <w:rFonts w:ascii="Times New Roman" w:eastAsia="Times New Roman" w:hAnsi="Times New Roman" w:cs="Times New Roman"/>
                <w:color w:val="000000"/>
                <w:sz w:val="20"/>
                <w:szCs w:val="20"/>
                <w:lang w:eastAsia="ro-RO"/>
              </w:rPr>
              <w:t>2703</w:t>
            </w:r>
          </w:p>
        </w:tc>
        <w:tc>
          <w:tcPr>
            <w:tcW w:w="706" w:type="pct"/>
            <w:tcBorders>
              <w:top w:val="nil"/>
              <w:left w:val="nil"/>
              <w:bottom w:val="single" w:sz="4" w:space="0" w:color="auto"/>
              <w:right w:val="single" w:sz="4" w:space="0" w:color="auto"/>
            </w:tcBorders>
            <w:shd w:val="clear" w:color="auto" w:fill="auto"/>
            <w:noWrap/>
            <w:vAlign w:val="center"/>
            <w:hideMark/>
          </w:tcPr>
          <w:p w14:paraId="5A0CCBE4" w14:textId="77777777" w:rsidR="0069230A" w:rsidRPr="00125FAF" w:rsidRDefault="0069230A" w:rsidP="0069230A">
            <w:pPr>
              <w:spacing w:after="0" w:line="240" w:lineRule="auto"/>
              <w:jc w:val="center"/>
              <w:rPr>
                <w:rFonts w:ascii="Times New Roman" w:eastAsia="Times New Roman" w:hAnsi="Times New Roman" w:cs="Times New Roman"/>
                <w:color w:val="000000"/>
                <w:sz w:val="20"/>
                <w:szCs w:val="20"/>
                <w:lang w:eastAsia="ro-RO"/>
              </w:rPr>
            </w:pPr>
            <w:r w:rsidRPr="00125FAF">
              <w:rPr>
                <w:rFonts w:ascii="Times New Roman" w:eastAsia="Times New Roman" w:hAnsi="Times New Roman" w:cs="Times New Roman"/>
                <w:color w:val="000000"/>
                <w:sz w:val="20"/>
                <w:szCs w:val="20"/>
                <w:lang w:eastAsia="ro-RO"/>
              </w:rPr>
              <w:t>2929</w:t>
            </w:r>
          </w:p>
        </w:tc>
      </w:tr>
      <w:tr w:rsidR="0069230A" w:rsidRPr="00125FAF" w14:paraId="40C5F35E" w14:textId="77777777" w:rsidTr="001F2F2D">
        <w:trPr>
          <w:trHeight w:val="630"/>
        </w:trPr>
        <w:tc>
          <w:tcPr>
            <w:tcW w:w="2944" w:type="pct"/>
            <w:tcBorders>
              <w:top w:val="nil"/>
              <w:left w:val="single" w:sz="4" w:space="0" w:color="auto"/>
              <w:bottom w:val="single" w:sz="4" w:space="0" w:color="auto"/>
              <w:right w:val="single" w:sz="4" w:space="0" w:color="auto"/>
            </w:tcBorders>
            <w:shd w:val="clear" w:color="auto" w:fill="auto"/>
            <w:noWrap/>
            <w:vAlign w:val="center"/>
            <w:hideMark/>
          </w:tcPr>
          <w:p w14:paraId="13F9238D" w14:textId="7308C6B4" w:rsidR="0069230A" w:rsidRPr="00125FAF" w:rsidRDefault="0069230A" w:rsidP="0069230A">
            <w:pPr>
              <w:spacing w:after="0" w:line="240" w:lineRule="auto"/>
              <w:jc w:val="both"/>
              <w:rPr>
                <w:rFonts w:ascii="Times New Roman" w:eastAsia="Times New Roman" w:hAnsi="Times New Roman" w:cs="Times New Roman"/>
                <w:color w:val="000000"/>
                <w:sz w:val="20"/>
                <w:szCs w:val="20"/>
                <w:lang w:eastAsia="ro-RO"/>
              </w:rPr>
            </w:pPr>
            <w:r w:rsidRPr="00125FAF">
              <w:rPr>
                <w:rFonts w:ascii="Times New Roman" w:eastAsia="Times New Roman" w:hAnsi="Times New Roman" w:cs="Times New Roman"/>
                <w:color w:val="000000"/>
                <w:sz w:val="20"/>
                <w:szCs w:val="20"/>
                <w:lang w:eastAsia="ro-RO"/>
              </w:rPr>
              <w:t>Folosința terenurilor, schimbarea categoriei de folosință a terenurilor și silvicultură</w:t>
            </w:r>
            <w:r w:rsidR="003218FD">
              <w:rPr>
                <w:rFonts w:ascii="Times New Roman" w:eastAsia="Times New Roman" w:hAnsi="Times New Roman" w:cs="Times New Roman"/>
                <w:color w:val="000000"/>
                <w:sz w:val="20"/>
                <w:szCs w:val="20"/>
                <w:lang w:eastAsia="ro-RO"/>
              </w:rPr>
              <w:t xml:space="preserve"> (</w:t>
            </w:r>
            <w:r w:rsidR="003218FD" w:rsidRPr="00505AD8">
              <w:rPr>
                <w:rFonts w:ascii="Times New Roman" w:eastAsia="Times New Roman" w:hAnsi="Times New Roman" w:cs="Times New Roman"/>
                <w:i/>
                <w:color w:val="000000"/>
                <w:sz w:val="20"/>
                <w:szCs w:val="20"/>
              </w:rPr>
              <w:t>FTSCFTS</w:t>
            </w:r>
            <w:r w:rsidR="003218FD">
              <w:rPr>
                <w:rFonts w:ascii="Times New Roman" w:eastAsia="Times New Roman" w:hAnsi="Times New Roman" w:cs="Times New Roman"/>
                <w:color w:val="000000"/>
                <w:sz w:val="20"/>
                <w:szCs w:val="20"/>
                <w:lang w:eastAsia="ro-RO"/>
              </w:rPr>
              <w:t>)</w:t>
            </w:r>
          </w:p>
        </w:tc>
        <w:tc>
          <w:tcPr>
            <w:tcW w:w="674" w:type="pct"/>
            <w:tcBorders>
              <w:top w:val="nil"/>
              <w:left w:val="nil"/>
              <w:bottom w:val="single" w:sz="4" w:space="0" w:color="auto"/>
              <w:right w:val="single" w:sz="4" w:space="0" w:color="auto"/>
            </w:tcBorders>
            <w:shd w:val="clear" w:color="auto" w:fill="auto"/>
            <w:noWrap/>
            <w:vAlign w:val="center"/>
            <w:hideMark/>
          </w:tcPr>
          <w:p w14:paraId="57D58DA5" w14:textId="77777777" w:rsidR="0069230A" w:rsidRPr="00125FAF" w:rsidRDefault="0069230A" w:rsidP="0069230A">
            <w:pPr>
              <w:spacing w:after="0" w:line="240" w:lineRule="auto"/>
              <w:jc w:val="center"/>
              <w:rPr>
                <w:rFonts w:ascii="Times New Roman" w:eastAsia="Times New Roman" w:hAnsi="Times New Roman" w:cs="Times New Roman"/>
                <w:color w:val="000000"/>
                <w:sz w:val="20"/>
                <w:szCs w:val="20"/>
                <w:lang w:eastAsia="ro-RO"/>
              </w:rPr>
            </w:pPr>
            <w:r w:rsidRPr="00125FAF">
              <w:rPr>
                <w:rFonts w:ascii="Times New Roman" w:eastAsia="Times New Roman" w:hAnsi="Times New Roman" w:cs="Times New Roman"/>
                <w:color w:val="000000"/>
                <w:sz w:val="20"/>
                <w:szCs w:val="20"/>
                <w:lang w:eastAsia="ro-RO"/>
              </w:rPr>
              <w:t>-1528</w:t>
            </w:r>
          </w:p>
        </w:tc>
        <w:tc>
          <w:tcPr>
            <w:tcW w:w="675" w:type="pct"/>
            <w:tcBorders>
              <w:top w:val="nil"/>
              <w:left w:val="nil"/>
              <w:bottom w:val="single" w:sz="4" w:space="0" w:color="auto"/>
              <w:right w:val="single" w:sz="4" w:space="0" w:color="auto"/>
            </w:tcBorders>
            <w:shd w:val="clear" w:color="auto" w:fill="auto"/>
            <w:noWrap/>
            <w:vAlign w:val="center"/>
            <w:hideMark/>
          </w:tcPr>
          <w:p w14:paraId="36A7E056" w14:textId="77777777" w:rsidR="0069230A" w:rsidRPr="00125FAF" w:rsidRDefault="0069230A" w:rsidP="0069230A">
            <w:pPr>
              <w:spacing w:after="0" w:line="240" w:lineRule="auto"/>
              <w:jc w:val="center"/>
              <w:rPr>
                <w:rFonts w:ascii="Times New Roman" w:eastAsia="Times New Roman" w:hAnsi="Times New Roman" w:cs="Times New Roman"/>
                <w:color w:val="000000"/>
                <w:sz w:val="20"/>
                <w:szCs w:val="20"/>
                <w:lang w:eastAsia="ro-RO"/>
              </w:rPr>
            </w:pPr>
            <w:r w:rsidRPr="00125FAF">
              <w:rPr>
                <w:rFonts w:ascii="Times New Roman" w:eastAsia="Times New Roman" w:hAnsi="Times New Roman" w:cs="Times New Roman"/>
                <w:color w:val="000000"/>
                <w:sz w:val="20"/>
                <w:szCs w:val="20"/>
                <w:lang w:eastAsia="ro-RO"/>
              </w:rPr>
              <w:t>-1024</w:t>
            </w:r>
          </w:p>
        </w:tc>
        <w:tc>
          <w:tcPr>
            <w:tcW w:w="706" w:type="pct"/>
            <w:tcBorders>
              <w:top w:val="nil"/>
              <w:left w:val="nil"/>
              <w:bottom w:val="single" w:sz="4" w:space="0" w:color="auto"/>
              <w:right w:val="single" w:sz="4" w:space="0" w:color="auto"/>
            </w:tcBorders>
            <w:shd w:val="clear" w:color="auto" w:fill="auto"/>
            <w:noWrap/>
            <w:vAlign w:val="center"/>
            <w:hideMark/>
          </w:tcPr>
          <w:p w14:paraId="61562493" w14:textId="77777777" w:rsidR="0069230A" w:rsidRPr="00125FAF" w:rsidRDefault="0069230A" w:rsidP="0069230A">
            <w:pPr>
              <w:spacing w:after="0" w:line="240" w:lineRule="auto"/>
              <w:jc w:val="center"/>
              <w:rPr>
                <w:rFonts w:ascii="Times New Roman" w:eastAsia="Times New Roman" w:hAnsi="Times New Roman" w:cs="Times New Roman"/>
                <w:color w:val="000000"/>
                <w:sz w:val="20"/>
                <w:szCs w:val="20"/>
                <w:lang w:eastAsia="ro-RO"/>
              </w:rPr>
            </w:pPr>
            <w:r w:rsidRPr="00125FAF">
              <w:rPr>
                <w:rFonts w:ascii="Times New Roman" w:eastAsia="Times New Roman" w:hAnsi="Times New Roman" w:cs="Times New Roman"/>
                <w:color w:val="000000"/>
                <w:sz w:val="20"/>
                <w:szCs w:val="20"/>
                <w:lang w:eastAsia="ro-RO"/>
              </w:rPr>
              <w:t>-1686</w:t>
            </w:r>
          </w:p>
        </w:tc>
      </w:tr>
      <w:tr w:rsidR="0069230A" w:rsidRPr="00125FAF" w14:paraId="10E0FEE5" w14:textId="77777777" w:rsidTr="001F2F2D">
        <w:trPr>
          <w:trHeight w:val="315"/>
        </w:trPr>
        <w:tc>
          <w:tcPr>
            <w:tcW w:w="2944" w:type="pct"/>
            <w:tcBorders>
              <w:top w:val="nil"/>
              <w:left w:val="single" w:sz="4" w:space="0" w:color="auto"/>
              <w:bottom w:val="single" w:sz="4" w:space="0" w:color="auto"/>
              <w:right w:val="single" w:sz="4" w:space="0" w:color="auto"/>
            </w:tcBorders>
            <w:shd w:val="clear" w:color="auto" w:fill="auto"/>
            <w:noWrap/>
            <w:vAlign w:val="center"/>
            <w:hideMark/>
          </w:tcPr>
          <w:p w14:paraId="0516406F" w14:textId="77777777" w:rsidR="0069230A" w:rsidRPr="00125FAF" w:rsidRDefault="0069230A" w:rsidP="0069230A">
            <w:pPr>
              <w:spacing w:after="0" w:line="240" w:lineRule="auto"/>
              <w:jc w:val="both"/>
              <w:rPr>
                <w:rFonts w:ascii="Times New Roman" w:eastAsia="Times New Roman" w:hAnsi="Times New Roman" w:cs="Times New Roman"/>
                <w:color w:val="000000"/>
                <w:sz w:val="20"/>
                <w:szCs w:val="20"/>
                <w:lang w:eastAsia="ro-RO"/>
              </w:rPr>
            </w:pPr>
            <w:proofErr w:type="spellStart"/>
            <w:r w:rsidRPr="00125FAF">
              <w:rPr>
                <w:rFonts w:ascii="Times New Roman" w:eastAsia="Times New Roman" w:hAnsi="Times New Roman" w:cs="Times New Roman"/>
                <w:color w:val="000000"/>
                <w:sz w:val="20"/>
                <w:szCs w:val="20"/>
                <w:lang w:eastAsia="ro-RO"/>
              </w:rPr>
              <w:t>Deşeuri</w:t>
            </w:r>
            <w:proofErr w:type="spellEnd"/>
          </w:p>
        </w:tc>
        <w:tc>
          <w:tcPr>
            <w:tcW w:w="674" w:type="pct"/>
            <w:tcBorders>
              <w:top w:val="nil"/>
              <w:left w:val="nil"/>
              <w:bottom w:val="single" w:sz="4" w:space="0" w:color="auto"/>
              <w:right w:val="single" w:sz="4" w:space="0" w:color="auto"/>
            </w:tcBorders>
            <w:shd w:val="clear" w:color="auto" w:fill="auto"/>
            <w:noWrap/>
            <w:vAlign w:val="center"/>
            <w:hideMark/>
          </w:tcPr>
          <w:p w14:paraId="41B2894A" w14:textId="77777777" w:rsidR="0069230A" w:rsidRPr="00125FAF" w:rsidRDefault="0069230A" w:rsidP="0069230A">
            <w:pPr>
              <w:spacing w:after="0" w:line="240" w:lineRule="auto"/>
              <w:jc w:val="center"/>
              <w:rPr>
                <w:rFonts w:ascii="Times New Roman" w:eastAsia="Times New Roman" w:hAnsi="Times New Roman" w:cs="Times New Roman"/>
                <w:color w:val="000000"/>
                <w:sz w:val="20"/>
                <w:szCs w:val="20"/>
                <w:lang w:eastAsia="ro-RO"/>
              </w:rPr>
            </w:pPr>
            <w:r w:rsidRPr="00125FAF">
              <w:rPr>
                <w:rFonts w:ascii="Times New Roman" w:eastAsia="Times New Roman" w:hAnsi="Times New Roman" w:cs="Times New Roman"/>
                <w:color w:val="000000"/>
                <w:sz w:val="20"/>
                <w:szCs w:val="20"/>
                <w:lang w:eastAsia="ro-RO"/>
              </w:rPr>
              <w:t>1515</w:t>
            </w:r>
          </w:p>
        </w:tc>
        <w:tc>
          <w:tcPr>
            <w:tcW w:w="675" w:type="pct"/>
            <w:tcBorders>
              <w:top w:val="nil"/>
              <w:left w:val="nil"/>
              <w:bottom w:val="single" w:sz="4" w:space="0" w:color="auto"/>
              <w:right w:val="single" w:sz="4" w:space="0" w:color="auto"/>
            </w:tcBorders>
            <w:shd w:val="clear" w:color="auto" w:fill="auto"/>
            <w:noWrap/>
            <w:vAlign w:val="center"/>
            <w:hideMark/>
          </w:tcPr>
          <w:p w14:paraId="7949A0BD" w14:textId="77777777" w:rsidR="0069230A" w:rsidRPr="00125FAF" w:rsidRDefault="0069230A" w:rsidP="0069230A">
            <w:pPr>
              <w:spacing w:after="0" w:line="240" w:lineRule="auto"/>
              <w:jc w:val="center"/>
              <w:rPr>
                <w:rFonts w:ascii="Times New Roman" w:eastAsia="Times New Roman" w:hAnsi="Times New Roman" w:cs="Times New Roman"/>
                <w:color w:val="000000"/>
                <w:sz w:val="20"/>
                <w:szCs w:val="20"/>
                <w:lang w:eastAsia="ro-RO"/>
              </w:rPr>
            </w:pPr>
            <w:r w:rsidRPr="00125FAF">
              <w:rPr>
                <w:rFonts w:ascii="Times New Roman" w:eastAsia="Times New Roman" w:hAnsi="Times New Roman" w:cs="Times New Roman"/>
                <w:color w:val="000000"/>
                <w:sz w:val="20"/>
                <w:szCs w:val="20"/>
                <w:lang w:eastAsia="ro-RO"/>
              </w:rPr>
              <w:t>1273</w:t>
            </w:r>
          </w:p>
        </w:tc>
        <w:tc>
          <w:tcPr>
            <w:tcW w:w="706" w:type="pct"/>
            <w:tcBorders>
              <w:top w:val="nil"/>
              <w:left w:val="nil"/>
              <w:bottom w:val="single" w:sz="4" w:space="0" w:color="auto"/>
              <w:right w:val="single" w:sz="4" w:space="0" w:color="auto"/>
            </w:tcBorders>
            <w:shd w:val="clear" w:color="auto" w:fill="auto"/>
            <w:noWrap/>
            <w:vAlign w:val="center"/>
            <w:hideMark/>
          </w:tcPr>
          <w:p w14:paraId="18A87018" w14:textId="77777777" w:rsidR="0069230A" w:rsidRPr="00125FAF" w:rsidRDefault="0069230A" w:rsidP="0069230A">
            <w:pPr>
              <w:spacing w:after="0" w:line="240" w:lineRule="auto"/>
              <w:jc w:val="center"/>
              <w:rPr>
                <w:rFonts w:ascii="Times New Roman" w:eastAsia="Times New Roman" w:hAnsi="Times New Roman" w:cs="Times New Roman"/>
                <w:color w:val="000000"/>
                <w:sz w:val="20"/>
                <w:szCs w:val="20"/>
                <w:lang w:eastAsia="ro-RO"/>
              </w:rPr>
            </w:pPr>
            <w:r w:rsidRPr="00125FAF">
              <w:rPr>
                <w:rFonts w:ascii="Times New Roman" w:eastAsia="Times New Roman" w:hAnsi="Times New Roman" w:cs="Times New Roman"/>
                <w:color w:val="000000"/>
                <w:sz w:val="20"/>
                <w:szCs w:val="20"/>
                <w:lang w:eastAsia="ro-RO"/>
              </w:rPr>
              <w:t>1309</w:t>
            </w:r>
          </w:p>
        </w:tc>
      </w:tr>
      <w:tr w:rsidR="0069230A" w:rsidRPr="00125FAF" w14:paraId="01378FEE" w14:textId="77777777" w:rsidTr="004E37D6">
        <w:trPr>
          <w:trHeight w:val="605"/>
        </w:trPr>
        <w:tc>
          <w:tcPr>
            <w:tcW w:w="2944" w:type="pct"/>
            <w:tcBorders>
              <w:top w:val="nil"/>
              <w:left w:val="single" w:sz="4" w:space="0" w:color="auto"/>
              <w:bottom w:val="single" w:sz="4" w:space="0" w:color="auto"/>
              <w:right w:val="single" w:sz="4" w:space="0" w:color="auto"/>
            </w:tcBorders>
            <w:shd w:val="clear" w:color="auto" w:fill="auto"/>
            <w:noWrap/>
            <w:vAlign w:val="center"/>
            <w:hideMark/>
          </w:tcPr>
          <w:p w14:paraId="229F572F" w14:textId="5960EAB4" w:rsidR="0069230A" w:rsidRPr="00125FAF" w:rsidRDefault="0069230A" w:rsidP="003218FD">
            <w:pPr>
              <w:spacing w:after="0" w:line="240" w:lineRule="auto"/>
              <w:jc w:val="both"/>
              <w:rPr>
                <w:rFonts w:ascii="Times New Roman" w:eastAsia="Times New Roman" w:hAnsi="Times New Roman" w:cs="Times New Roman"/>
                <w:color w:val="000000"/>
                <w:sz w:val="20"/>
                <w:szCs w:val="20"/>
                <w:lang w:eastAsia="ro-RO"/>
              </w:rPr>
            </w:pPr>
            <w:r w:rsidRPr="00125FAF">
              <w:rPr>
                <w:rFonts w:ascii="Times New Roman" w:eastAsia="Times New Roman" w:hAnsi="Times New Roman" w:cs="Times New Roman"/>
                <w:color w:val="000000"/>
                <w:sz w:val="20"/>
                <w:szCs w:val="20"/>
                <w:lang w:eastAsia="ro-RO"/>
              </w:rPr>
              <w:t xml:space="preserve">Total </w:t>
            </w:r>
            <w:proofErr w:type="spellStart"/>
            <w:r w:rsidRPr="00125FAF">
              <w:rPr>
                <w:rFonts w:ascii="Times New Roman" w:eastAsia="Times New Roman" w:hAnsi="Times New Roman" w:cs="Times New Roman"/>
                <w:color w:val="000000"/>
                <w:sz w:val="20"/>
                <w:szCs w:val="20"/>
                <w:lang w:eastAsia="ro-RO"/>
              </w:rPr>
              <w:t>naţional</w:t>
            </w:r>
            <w:proofErr w:type="spellEnd"/>
            <w:r w:rsidRPr="00125FAF">
              <w:rPr>
                <w:rFonts w:ascii="Times New Roman" w:eastAsia="Times New Roman" w:hAnsi="Times New Roman" w:cs="Times New Roman"/>
                <w:color w:val="000000"/>
                <w:sz w:val="20"/>
                <w:szCs w:val="20"/>
                <w:lang w:eastAsia="ro-RO"/>
              </w:rPr>
              <w:t xml:space="preserve"> de gaze cu efect de seră, cu </w:t>
            </w:r>
            <w:r w:rsidR="003218FD" w:rsidRPr="00505AD8">
              <w:rPr>
                <w:rFonts w:ascii="Times New Roman" w:eastAsia="Times New Roman" w:hAnsi="Times New Roman" w:cs="Times New Roman"/>
                <w:i/>
                <w:color w:val="000000"/>
                <w:sz w:val="20"/>
                <w:szCs w:val="20"/>
              </w:rPr>
              <w:t>FTSCFTS</w:t>
            </w:r>
          </w:p>
        </w:tc>
        <w:tc>
          <w:tcPr>
            <w:tcW w:w="674" w:type="pct"/>
            <w:tcBorders>
              <w:top w:val="nil"/>
              <w:left w:val="nil"/>
              <w:bottom w:val="single" w:sz="4" w:space="0" w:color="auto"/>
              <w:right w:val="single" w:sz="4" w:space="0" w:color="auto"/>
            </w:tcBorders>
            <w:shd w:val="clear" w:color="auto" w:fill="auto"/>
            <w:noWrap/>
            <w:vAlign w:val="center"/>
            <w:hideMark/>
          </w:tcPr>
          <w:p w14:paraId="55E05E32" w14:textId="77777777" w:rsidR="0069230A" w:rsidRPr="00125FAF" w:rsidRDefault="0069230A" w:rsidP="0069230A">
            <w:pPr>
              <w:spacing w:after="0" w:line="240" w:lineRule="auto"/>
              <w:jc w:val="center"/>
              <w:rPr>
                <w:rFonts w:ascii="Times New Roman" w:eastAsia="Times New Roman" w:hAnsi="Times New Roman" w:cs="Times New Roman"/>
                <w:color w:val="000000"/>
                <w:sz w:val="20"/>
                <w:szCs w:val="20"/>
                <w:lang w:eastAsia="ro-RO"/>
              </w:rPr>
            </w:pPr>
            <w:r w:rsidRPr="00125FAF">
              <w:rPr>
                <w:rFonts w:ascii="Times New Roman" w:eastAsia="Times New Roman" w:hAnsi="Times New Roman" w:cs="Times New Roman"/>
                <w:color w:val="000000"/>
                <w:sz w:val="20"/>
                <w:szCs w:val="20"/>
                <w:lang w:eastAsia="ro-RO"/>
              </w:rPr>
              <w:t>43391</w:t>
            </w:r>
          </w:p>
        </w:tc>
        <w:tc>
          <w:tcPr>
            <w:tcW w:w="675" w:type="pct"/>
            <w:tcBorders>
              <w:top w:val="nil"/>
              <w:left w:val="nil"/>
              <w:bottom w:val="single" w:sz="4" w:space="0" w:color="auto"/>
              <w:right w:val="single" w:sz="4" w:space="0" w:color="auto"/>
            </w:tcBorders>
            <w:shd w:val="clear" w:color="auto" w:fill="auto"/>
            <w:noWrap/>
            <w:vAlign w:val="center"/>
            <w:hideMark/>
          </w:tcPr>
          <w:p w14:paraId="1B8A7FE1" w14:textId="77777777" w:rsidR="0069230A" w:rsidRPr="00125FAF" w:rsidRDefault="0069230A" w:rsidP="0069230A">
            <w:pPr>
              <w:spacing w:after="0" w:line="240" w:lineRule="auto"/>
              <w:jc w:val="center"/>
              <w:rPr>
                <w:rFonts w:ascii="Times New Roman" w:eastAsia="Times New Roman" w:hAnsi="Times New Roman" w:cs="Times New Roman"/>
                <w:color w:val="000000"/>
                <w:sz w:val="20"/>
                <w:szCs w:val="20"/>
                <w:lang w:eastAsia="ro-RO"/>
              </w:rPr>
            </w:pPr>
            <w:r w:rsidRPr="00125FAF">
              <w:rPr>
                <w:rFonts w:ascii="Times New Roman" w:eastAsia="Times New Roman" w:hAnsi="Times New Roman" w:cs="Times New Roman"/>
                <w:color w:val="000000"/>
                <w:sz w:val="20"/>
                <w:szCs w:val="20"/>
                <w:lang w:eastAsia="ro-RO"/>
              </w:rPr>
              <w:t>12448</w:t>
            </w:r>
          </w:p>
        </w:tc>
        <w:tc>
          <w:tcPr>
            <w:tcW w:w="706" w:type="pct"/>
            <w:tcBorders>
              <w:top w:val="nil"/>
              <w:left w:val="nil"/>
              <w:bottom w:val="single" w:sz="4" w:space="0" w:color="auto"/>
              <w:right w:val="single" w:sz="4" w:space="0" w:color="auto"/>
            </w:tcBorders>
            <w:shd w:val="clear" w:color="auto" w:fill="auto"/>
            <w:noWrap/>
            <w:vAlign w:val="center"/>
            <w:hideMark/>
          </w:tcPr>
          <w:p w14:paraId="2B589ACE" w14:textId="77777777" w:rsidR="0069230A" w:rsidRPr="00125FAF" w:rsidRDefault="0069230A" w:rsidP="0069230A">
            <w:pPr>
              <w:spacing w:after="0" w:line="240" w:lineRule="auto"/>
              <w:jc w:val="center"/>
              <w:rPr>
                <w:rFonts w:ascii="Times New Roman" w:eastAsia="Times New Roman" w:hAnsi="Times New Roman" w:cs="Times New Roman"/>
                <w:color w:val="000000"/>
                <w:sz w:val="20"/>
                <w:szCs w:val="20"/>
                <w:lang w:eastAsia="ro-RO"/>
              </w:rPr>
            </w:pPr>
            <w:r w:rsidRPr="00125FAF">
              <w:rPr>
                <w:rFonts w:ascii="Times New Roman" w:eastAsia="Times New Roman" w:hAnsi="Times New Roman" w:cs="Times New Roman"/>
                <w:color w:val="000000"/>
                <w:sz w:val="20"/>
                <w:szCs w:val="20"/>
                <w:lang w:eastAsia="ro-RO"/>
              </w:rPr>
              <w:t>12820</w:t>
            </w:r>
          </w:p>
        </w:tc>
      </w:tr>
      <w:tr w:rsidR="0069230A" w:rsidRPr="00125FAF" w14:paraId="3F4BFED6" w14:textId="77777777" w:rsidTr="004E37D6">
        <w:trPr>
          <w:trHeight w:val="623"/>
        </w:trPr>
        <w:tc>
          <w:tcPr>
            <w:tcW w:w="2944" w:type="pct"/>
            <w:tcBorders>
              <w:top w:val="nil"/>
              <w:left w:val="single" w:sz="4" w:space="0" w:color="auto"/>
              <w:bottom w:val="single" w:sz="4" w:space="0" w:color="auto"/>
              <w:right w:val="single" w:sz="4" w:space="0" w:color="auto"/>
            </w:tcBorders>
            <w:shd w:val="clear" w:color="auto" w:fill="auto"/>
            <w:noWrap/>
            <w:vAlign w:val="center"/>
            <w:hideMark/>
          </w:tcPr>
          <w:p w14:paraId="4B994EB0" w14:textId="31432F69" w:rsidR="0069230A" w:rsidRPr="00125FAF" w:rsidRDefault="0069230A" w:rsidP="0069230A">
            <w:pPr>
              <w:spacing w:after="0" w:line="240" w:lineRule="auto"/>
              <w:jc w:val="both"/>
              <w:rPr>
                <w:rFonts w:ascii="Times New Roman" w:eastAsia="Times New Roman" w:hAnsi="Times New Roman" w:cs="Times New Roman"/>
                <w:color w:val="000000"/>
                <w:sz w:val="20"/>
                <w:szCs w:val="20"/>
                <w:lang w:eastAsia="ro-RO"/>
              </w:rPr>
            </w:pPr>
            <w:r w:rsidRPr="00125FAF">
              <w:rPr>
                <w:rFonts w:ascii="Times New Roman" w:eastAsia="Times New Roman" w:hAnsi="Times New Roman" w:cs="Times New Roman"/>
                <w:color w:val="000000"/>
                <w:sz w:val="20"/>
                <w:szCs w:val="20"/>
                <w:lang w:eastAsia="ro-RO"/>
              </w:rPr>
              <w:t xml:space="preserve">Total </w:t>
            </w:r>
            <w:proofErr w:type="spellStart"/>
            <w:r w:rsidRPr="00125FAF">
              <w:rPr>
                <w:rFonts w:ascii="Times New Roman" w:eastAsia="Times New Roman" w:hAnsi="Times New Roman" w:cs="Times New Roman"/>
                <w:color w:val="000000"/>
                <w:sz w:val="20"/>
                <w:szCs w:val="20"/>
                <w:lang w:eastAsia="ro-RO"/>
              </w:rPr>
              <w:t>naţional</w:t>
            </w:r>
            <w:proofErr w:type="spellEnd"/>
            <w:r w:rsidRPr="00125FAF">
              <w:rPr>
                <w:rFonts w:ascii="Times New Roman" w:eastAsia="Times New Roman" w:hAnsi="Times New Roman" w:cs="Times New Roman"/>
                <w:color w:val="000000"/>
                <w:sz w:val="20"/>
                <w:szCs w:val="20"/>
                <w:lang w:eastAsia="ro-RO"/>
              </w:rPr>
              <w:t xml:space="preserve"> de gaze cu efect de seră, fără </w:t>
            </w:r>
            <w:r w:rsidR="00577421" w:rsidRPr="00505AD8">
              <w:rPr>
                <w:rFonts w:ascii="Times New Roman" w:eastAsia="Times New Roman" w:hAnsi="Times New Roman" w:cs="Times New Roman"/>
                <w:i/>
                <w:color w:val="000000"/>
                <w:sz w:val="20"/>
                <w:szCs w:val="20"/>
              </w:rPr>
              <w:t xml:space="preserve"> FTSCFTS</w:t>
            </w:r>
          </w:p>
        </w:tc>
        <w:tc>
          <w:tcPr>
            <w:tcW w:w="674" w:type="pct"/>
            <w:tcBorders>
              <w:top w:val="nil"/>
              <w:left w:val="nil"/>
              <w:bottom w:val="single" w:sz="4" w:space="0" w:color="auto"/>
              <w:right w:val="single" w:sz="4" w:space="0" w:color="auto"/>
            </w:tcBorders>
            <w:shd w:val="clear" w:color="auto" w:fill="auto"/>
            <w:noWrap/>
            <w:vAlign w:val="center"/>
            <w:hideMark/>
          </w:tcPr>
          <w:p w14:paraId="536C9CBD" w14:textId="77777777" w:rsidR="0069230A" w:rsidRPr="00125FAF" w:rsidRDefault="0069230A" w:rsidP="0069230A">
            <w:pPr>
              <w:spacing w:after="0" w:line="240" w:lineRule="auto"/>
              <w:jc w:val="center"/>
              <w:rPr>
                <w:rFonts w:ascii="Times New Roman" w:eastAsia="Times New Roman" w:hAnsi="Times New Roman" w:cs="Times New Roman"/>
                <w:color w:val="000000"/>
                <w:sz w:val="20"/>
                <w:szCs w:val="20"/>
                <w:lang w:eastAsia="ro-RO"/>
              </w:rPr>
            </w:pPr>
            <w:r w:rsidRPr="00125FAF">
              <w:rPr>
                <w:rFonts w:ascii="Times New Roman" w:eastAsia="Times New Roman" w:hAnsi="Times New Roman" w:cs="Times New Roman"/>
                <w:color w:val="000000"/>
                <w:sz w:val="20"/>
                <w:szCs w:val="20"/>
                <w:lang w:eastAsia="ro-RO"/>
              </w:rPr>
              <w:t>44919</w:t>
            </w:r>
          </w:p>
        </w:tc>
        <w:tc>
          <w:tcPr>
            <w:tcW w:w="675" w:type="pct"/>
            <w:tcBorders>
              <w:top w:val="nil"/>
              <w:left w:val="nil"/>
              <w:bottom w:val="single" w:sz="4" w:space="0" w:color="auto"/>
              <w:right w:val="single" w:sz="4" w:space="0" w:color="auto"/>
            </w:tcBorders>
            <w:shd w:val="clear" w:color="auto" w:fill="auto"/>
            <w:noWrap/>
            <w:vAlign w:val="center"/>
            <w:hideMark/>
          </w:tcPr>
          <w:p w14:paraId="08C5EC0F" w14:textId="77777777" w:rsidR="0069230A" w:rsidRPr="00125FAF" w:rsidRDefault="0069230A" w:rsidP="0069230A">
            <w:pPr>
              <w:spacing w:after="0" w:line="240" w:lineRule="auto"/>
              <w:jc w:val="center"/>
              <w:rPr>
                <w:rFonts w:ascii="Times New Roman" w:eastAsia="Times New Roman" w:hAnsi="Times New Roman" w:cs="Times New Roman"/>
                <w:color w:val="000000"/>
                <w:sz w:val="20"/>
                <w:szCs w:val="20"/>
                <w:lang w:eastAsia="ro-RO"/>
              </w:rPr>
            </w:pPr>
            <w:r w:rsidRPr="00125FAF">
              <w:rPr>
                <w:rFonts w:ascii="Times New Roman" w:eastAsia="Times New Roman" w:hAnsi="Times New Roman" w:cs="Times New Roman"/>
                <w:color w:val="000000"/>
                <w:sz w:val="20"/>
                <w:szCs w:val="20"/>
                <w:lang w:eastAsia="ro-RO"/>
              </w:rPr>
              <w:t>13472</w:t>
            </w:r>
          </w:p>
        </w:tc>
        <w:tc>
          <w:tcPr>
            <w:tcW w:w="706" w:type="pct"/>
            <w:tcBorders>
              <w:top w:val="nil"/>
              <w:left w:val="nil"/>
              <w:bottom w:val="single" w:sz="4" w:space="0" w:color="auto"/>
              <w:right w:val="single" w:sz="4" w:space="0" w:color="auto"/>
            </w:tcBorders>
            <w:shd w:val="clear" w:color="auto" w:fill="auto"/>
            <w:noWrap/>
            <w:vAlign w:val="center"/>
            <w:hideMark/>
          </w:tcPr>
          <w:p w14:paraId="2BFDB66B" w14:textId="77777777" w:rsidR="0069230A" w:rsidRPr="00125FAF" w:rsidRDefault="0069230A" w:rsidP="0069230A">
            <w:pPr>
              <w:spacing w:after="0" w:line="240" w:lineRule="auto"/>
              <w:jc w:val="center"/>
              <w:rPr>
                <w:rFonts w:ascii="Times New Roman" w:eastAsia="Times New Roman" w:hAnsi="Times New Roman" w:cs="Times New Roman"/>
                <w:color w:val="000000"/>
                <w:sz w:val="20"/>
                <w:szCs w:val="20"/>
                <w:lang w:eastAsia="ro-RO"/>
              </w:rPr>
            </w:pPr>
            <w:r w:rsidRPr="00125FAF">
              <w:rPr>
                <w:rFonts w:ascii="Times New Roman" w:eastAsia="Times New Roman" w:hAnsi="Times New Roman" w:cs="Times New Roman"/>
                <w:color w:val="000000"/>
                <w:sz w:val="20"/>
                <w:szCs w:val="20"/>
                <w:lang w:eastAsia="ro-RO"/>
              </w:rPr>
              <w:t>14506</w:t>
            </w:r>
          </w:p>
        </w:tc>
      </w:tr>
      <w:tr w:rsidR="0069230A" w:rsidRPr="00125FAF" w14:paraId="75F12281" w14:textId="77777777" w:rsidTr="0069230A">
        <w:trPr>
          <w:trHeight w:val="31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7C3B05" w14:textId="329DA1CB" w:rsidR="0069230A" w:rsidRPr="00125FAF" w:rsidRDefault="0069230A" w:rsidP="0069230A">
            <w:pPr>
              <w:spacing w:after="0" w:line="240" w:lineRule="auto"/>
              <w:jc w:val="center"/>
              <w:rPr>
                <w:rFonts w:ascii="Times New Roman" w:eastAsia="Times New Roman" w:hAnsi="Times New Roman" w:cs="Times New Roman"/>
                <w:b/>
                <w:bCs/>
                <w:color w:val="000000"/>
                <w:sz w:val="20"/>
                <w:szCs w:val="20"/>
                <w:lang w:eastAsia="ro-RO"/>
              </w:rPr>
            </w:pPr>
            <w:r w:rsidRPr="00125FAF">
              <w:rPr>
                <w:rFonts w:ascii="Times New Roman" w:eastAsia="Times New Roman" w:hAnsi="Times New Roman" w:cs="Times New Roman"/>
                <w:b/>
                <w:bCs/>
                <w:color w:val="000000"/>
                <w:sz w:val="20"/>
                <w:szCs w:val="20"/>
                <w:lang w:eastAsia="ro-RO"/>
              </w:rPr>
              <w:t xml:space="preserve">Scenariul </w:t>
            </w:r>
            <w:proofErr w:type="spellStart"/>
            <w:r w:rsidRPr="00125FAF">
              <w:rPr>
                <w:rFonts w:ascii="Times New Roman" w:eastAsia="Times New Roman" w:hAnsi="Times New Roman" w:cs="Times New Roman"/>
                <w:b/>
                <w:bCs/>
                <w:color w:val="000000"/>
                <w:sz w:val="20"/>
                <w:szCs w:val="20"/>
                <w:lang w:eastAsia="ro-RO"/>
              </w:rPr>
              <w:t>condiţionat</w:t>
            </w:r>
            <w:proofErr w:type="spellEnd"/>
          </w:p>
        </w:tc>
      </w:tr>
      <w:tr w:rsidR="0069230A" w:rsidRPr="00125FAF" w14:paraId="2F28D376" w14:textId="77777777" w:rsidTr="004E37D6">
        <w:trPr>
          <w:trHeight w:val="299"/>
        </w:trPr>
        <w:tc>
          <w:tcPr>
            <w:tcW w:w="2944" w:type="pct"/>
            <w:tcBorders>
              <w:top w:val="nil"/>
              <w:left w:val="single" w:sz="4" w:space="0" w:color="auto"/>
              <w:bottom w:val="single" w:sz="4" w:space="0" w:color="auto"/>
              <w:right w:val="single" w:sz="4" w:space="0" w:color="auto"/>
            </w:tcBorders>
            <w:shd w:val="clear" w:color="auto" w:fill="auto"/>
            <w:noWrap/>
            <w:vAlign w:val="center"/>
            <w:hideMark/>
          </w:tcPr>
          <w:p w14:paraId="3EC59A16" w14:textId="77777777" w:rsidR="0069230A" w:rsidRPr="00125FAF" w:rsidRDefault="0069230A" w:rsidP="0069230A">
            <w:pPr>
              <w:spacing w:after="0" w:line="240" w:lineRule="auto"/>
              <w:jc w:val="both"/>
              <w:rPr>
                <w:rFonts w:ascii="Times New Roman" w:eastAsia="Times New Roman" w:hAnsi="Times New Roman" w:cs="Times New Roman"/>
                <w:color w:val="000000"/>
                <w:sz w:val="20"/>
                <w:szCs w:val="20"/>
                <w:lang w:eastAsia="ro-RO"/>
              </w:rPr>
            </w:pPr>
            <w:r w:rsidRPr="00125FAF">
              <w:rPr>
                <w:rFonts w:ascii="Times New Roman" w:eastAsia="Times New Roman" w:hAnsi="Times New Roman" w:cs="Times New Roman"/>
                <w:color w:val="000000"/>
                <w:sz w:val="20"/>
                <w:szCs w:val="20"/>
                <w:lang w:eastAsia="ro-RO"/>
              </w:rPr>
              <w:t xml:space="preserve">Energetic (Producerea energiei electrice </w:t>
            </w:r>
            <w:proofErr w:type="spellStart"/>
            <w:r w:rsidRPr="00125FAF">
              <w:rPr>
                <w:rFonts w:ascii="Times New Roman" w:eastAsia="Times New Roman" w:hAnsi="Times New Roman" w:cs="Times New Roman"/>
                <w:color w:val="000000"/>
                <w:sz w:val="20"/>
                <w:szCs w:val="20"/>
                <w:lang w:eastAsia="ro-RO"/>
              </w:rPr>
              <w:t>şi</w:t>
            </w:r>
            <w:proofErr w:type="spellEnd"/>
            <w:r w:rsidRPr="00125FAF">
              <w:rPr>
                <w:rFonts w:ascii="Times New Roman" w:eastAsia="Times New Roman" w:hAnsi="Times New Roman" w:cs="Times New Roman"/>
                <w:color w:val="000000"/>
                <w:sz w:val="20"/>
                <w:szCs w:val="20"/>
                <w:lang w:eastAsia="ro-RO"/>
              </w:rPr>
              <w:t xml:space="preserve"> termice) </w:t>
            </w:r>
          </w:p>
        </w:tc>
        <w:tc>
          <w:tcPr>
            <w:tcW w:w="674" w:type="pct"/>
            <w:tcBorders>
              <w:top w:val="nil"/>
              <w:left w:val="nil"/>
              <w:bottom w:val="single" w:sz="4" w:space="0" w:color="auto"/>
              <w:right w:val="single" w:sz="4" w:space="0" w:color="auto"/>
            </w:tcBorders>
            <w:shd w:val="clear" w:color="auto" w:fill="auto"/>
            <w:noWrap/>
            <w:vAlign w:val="center"/>
            <w:hideMark/>
          </w:tcPr>
          <w:p w14:paraId="3DB51522" w14:textId="77777777" w:rsidR="0069230A" w:rsidRPr="00125FAF" w:rsidRDefault="0069230A" w:rsidP="0069230A">
            <w:pPr>
              <w:spacing w:after="0" w:line="240" w:lineRule="auto"/>
              <w:jc w:val="center"/>
              <w:rPr>
                <w:rFonts w:ascii="Times New Roman" w:eastAsia="Times New Roman" w:hAnsi="Times New Roman" w:cs="Times New Roman"/>
                <w:color w:val="000000"/>
                <w:sz w:val="20"/>
                <w:szCs w:val="20"/>
                <w:lang w:eastAsia="ro-RO"/>
              </w:rPr>
            </w:pPr>
            <w:r w:rsidRPr="00125FAF">
              <w:rPr>
                <w:rFonts w:ascii="Times New Roman" w:eastAsia="Times New Roman" w:hAnsi="Times New Roman" w:cs="Times New Roman"/>
                <w:color w:val="000000"/>
                <w:sz w:val="20"/>
                <w:szCs w:val="20"/>
                <w:lang w:eastAsia="ro-RO"/>
              </w:rPr>
              <w:t>21308</w:t>
            </w:r>
          </w:p>
        </w:tc>
        <w:tc>
          <w:tcPr>
            <w:tcW w:w="675" w:type="pct"/>
            <w:tcBorders>
              <w:top w:val="nil"/>
              <w:left w:val="nil"/>
              <w:bottom w:val="single" w:sz="4" w:space="0" w:color="auto"/>
              <w:right w:val="single" w:sz="4" w:space="0" w:color="auto"/>
            </w:tcBorders>
            <w:shd w:val="clear" w:color="auto" w:fill="auto"/>
            <w:noWrap/>
            <w:vAlign w:val="center"/>
            <w:hideMark/>
          </w:tcPr>
          <w:p w14:paraId="66F89CB4" w14:textId="77777777" w:rsidR="0069230A" w:rsidRPr="00125FAF" w:rsidRDefault="0069230A" w:rsidP="0069230A">
            <w:pPr>
              <w:spacing w:after="0" w:line="240" w:lineRule="auto"/>
              <w:jc w:val="center"/>
              <w:rPr>
                <w:rFonts w:ascii="Times New Roman" w:eastAsia="Times New Roman" w:hAnsi="Times New Roman" w:cs="Times New Roman"/>
                <w:color w:val="000000"/>
                <w:sz w:val="20"/>
                <w:szCs w:val="20"/>
                <w:lang w:eastAsia="ro-RO"/>
              </w:rPr>
            </w:pPr>
            <w:r w:rsidRPr="00125FAF">
              <w:rPr>
                <w:rFonts w:ascii="Times New Roman" w:eastAsia="Times New Roman" w:hAnsi="Times New Roman" w:cs="Times New Roman"/>
                <w:color w:val="000000"/>
                <w:sz w:val="20"/>
                <w:szCs w:val="20"/>
                <w:lang w:eastAsia="ro-RO"/>
              </w:rPr>
              <w:t>2785</w:t>
            </w:r>
          </w:p>
        </w:tc>
        <w:tc>
          <w:tcPr>
            <w:tcW w:w="706" w:type="pct"/>
            <w:tcBorders>
              <w:top w:val="nil"/>
              <w:left w:val="nil"/>
              <w:bottom w:val="single" w:sz="4" w:space="0" w:color="auto"/>
              <w:right w:val="single" w:sz="4" w:space="0" w:color="auto"/>
            </w:tcBorders>
            <w:shd w:val="clear" w:color="auto" w:fill="auto"/>
            <w:noWrap/>
            <w:vAlign w:val="center"/>
            <w:hideMark/>
          </w:tcPr>
          <w:p w14:paraId="6AA0A00C" w14:textId="77777777" w:rsidR="0069230A" w:rsidRPr="00125FAF" w:rsidRDefault="0069230A" w:rsidP="0069230A">
            <w:pPr>
              <w:spacing w:after="0" w:line="240" w:lineRule="auto"/>
              <w:jc w:val="center"/>
              <w:rPr>
                <w:rFonts w:ascii="Times New Roman" w:eastAsia="Times New Roman" w:hAnsi="Times New Roman" w:cs="Times New Roman"/>
                <w:color w:val="000000"/>
                <w:sz w:val="20"/>
                <w:szCs w:val="20"/>
                <w:lang w:eastAsia="ro-RO"/>
              </w:rPr>
            </w:pPr>
            <w:r w:rsidRPr="00125FAF">
              <w:rPr>
                <w:rFonts w:ascii="Times New Roman" w:eastAsia="Times New Roman" w:hAnsi="Times New Roman" w:cs="Times New Roman"/>
                <w:color w:val="000000"/>
                <w:sz w:val="20"/>
                <w:szCs w:val="20"/>
                <w:lang w:eastAsia="ro-RO"/>
              </w:rPr>
              <w:t>2764</w:t>
            </w:r>
          </w:p>
        </w:tc>
      </w:tr>
      <w:tr w:rsidR="0069230A" w:rsidRPr="00125FAF" w14:paraId="300728A9" w14:textId="77777777" w:rsidTr="001F2F2D">
        <w:trPr>
          <w:trHeight w:val="315"/>
        </w:trPr>
        <w:tc>
          <w:tcPr>
            <w:tcW w:w="2944" w:type="pct"/>
            <w:tcBorders>
              <w:top w:val="nil"/>
              <w:left w:val="single" w:sz="4" w:space="0" w:color="auto"/>
              <w:bottom w:val="single" w:sz="4" w:space="0" w:color="auto"/>
              <w:right w:val="single" w:sz="4" w:space="0" w:color="auto"/>
            </w:tcBorders>
            <w:shd w:val="clear" w:color="auto" w:fill="auto"/>
            <w:noWrap/>
            <w:vAlign w:val="center"/>
            <w:hideMark/>
          </w:tcPr>
          <w:p w14:paraId="4C452D4F" w14:textId="77777777" w:rsidR="0069230A" w:rsidRPr="00125FAF" w:rsidRDefault="0069230A" w:rsidP="0069230A">
            <w:pPr>
              <w:spacing w:after="0" w:line="240" w:lineRule="auto"/>
              <w:jc w:val="both"/>
              <w:rPr>
                <w:rFonts w:ascii="Times New Roman" w:eastAsia="Times New Roman" w:hAnsi="Times New Roman" w:cs="Times New Roman"/>
                <w:color w:val="000000"/>
                <w:sz w:val="20"/>
                <w:szCs w:val="20"/>
                <w:lang w:eastAsia="ro-RO"/>
              </w:rPr>
            </w:pPr>
            <w:r w:rsidRPr="00125FAF">
              <w:rPr>
                <w:rFonts w:ascii="Times New Roman" w:eastAsia="Times New Roman" w:hAnsi="Times New Roman" w:cs="Times New Roman"/>
                <w:color w:val="000000"/>
                <w:sz w:val="20"/>
                <w:szCs w:val="20"/>
                <w:lang w:eastAsia="ro-RO"/>
              </w:rPr>
              <w:t>Transporturi</w:t>
            </w:r>
          </w:p>
        </w:tc>
        <w:tc>
          <w:tcPr>
            <w:tcW w:w="674" w:type="pct"/>
            <w:tcBorders>
              <w:top w:val="nil"/>
              <w:left w:val="nil"/>
              <w:bottom w:val="single" w:sz="4" w:space="0" w:color="auto"/>
              <w:right w:val="single" w:sz="4" w:space="0" w:color="auto"/>
            </w:tcBorders>
            <w:shd w:val="clear" w:color="auto" w:fill="auto"/>
            <w:noWrap/>
            <w:vAlign w:val="center"/>
            <w:hideMark/>
          </w:tcPr>
          <w:p w14:paraId="14E80891" w14:textId="77777777" w:rsidR="0069230A" w:rsidRPr="00125FAF" w:rsidRDefault="0069230A" w:rsidP="0069230A">
            <w:pPr>
              <w:spacing w:after="0" w:line="240" w:lineRule="auto"/>
              <w:jc w:val="center"/>
              <w:rPr>
                <w:rFonts w:ascii="Times New Roman" w:eastAsia="Times New Roman" w:hAnsi="Times New Roman" w:cs="Times New Roman"/>
                <w:color w:val="000000"/>
                <w:sz w:val="20"/>
                <w:szCs w:val="20"/>
                <w:lang w:eastAsia="ro-RO"/>
              </w:rPr>
            </w:pPr>
            <w:r w:rsidRPr="00125FAF">
              <w:rPr>
                <w:rFonts w:ascii="Times New Roman" w:eastAsia="Times New Roman" w:hAnsi="Times New Roman" w:cs="Times New Roman"/>
                <w:color w:val="000000"/>
                <w:sz w:val="20"/>
                <w:szCs w:val="20"/>
                <w:lang w:eastAsia="ro-RO"/>
              </w:rPr>
              <w:t>4479</w:t>
            </w:r>
          </w:p>
        </w:tc>
        <w:tc>
          <w:tcPr>
            <w:tcW w:w="675" w:type="pct"/>
            <w:tcBorders>
              <w:top w:val="nil"/>
              <w:left w:val="nil"/>
              <w:bottom w:val="single" w:sz="4" w:space="0" w:color="auto"/>
              <w:right w:val="single" w:sz="4" w:space="0" w:color="auto"/>
            </w:tcBorders>
            <w:shd w:val="clear" w:color="auto" w:fill="auto"/>
            <w:noWrap/>
            <w:vAlign w:val="center"/>
            <w:hideMark/>
          </w:tcPr>
          <w:p w14:paraId="249D667D" w14:textId="77777777" w:rsidR="0069230A" w:rsidRPr="00125FAF" w:rsidRDefault="0069230A" w:rsidP="0069230A">
            <w:pPr>
              <w:spacing w:after="0" w:line="240" w:lineRule="auto"/>
              <w:jc w:val="center"/>
              <w:rPr>
                <w:rFonts w:ascii="Times New Roman" w:eastAsia="Times New Roman" w:hAnsi="Times New Roman" w:cs="Times New Roman"/>
                <w:color w:val="000000"/>
                <w:sz w:val="20"/>
                <w:szCs w:val="20"/>
                <w:lang w:eastAsia="ro-RO"/>
              </w:rPr>
            </w:pPr>
            <w:r w:rsidRPr="00125FAF">
              <w:rPr>
                <w:rFonts w:ascii="Times New Roman" w:eastAsia="Times New Roman" w:hAnsi="Times New Roman" w:cs="Times New Roman"/>
                <w:color w:val="000000"/>
                <w:sz w:val="20"/>
                <w:szCs w:val="20"/>
                <w:lang w:eastAsia="ro-RO"/>
              </w:rPr>
              <w:t>1887</w:t>
            </w:r>
          </w:p>
        </w:tc>
        <w:tc>
          <w:tcPr>
            <w:tcW w:w="706" w:type="pct"/>
            <w:tcBorders>
              <w:top w:val="nil"/>
              <w:left w:val="nil"/>
              <w:bottom w:val="single" w:sz="4" w:space="0" w:color="auto"/>
              <w:right w:val="single" w:sz="4" w:space="0" w:color="auto"/>
            </w:tcBorders>
            <w:shd w:val="clear" w:color="auto" w:fill="auto"/>
            <w:noWrap/>
            <w:vAlign w:val="center"/>
            <w:hideMark/>
          </w:tcPr>
          <w:p w14:paraId="45718BA6" w14:textId="77777777" w:rsidR="0069230A" w:rsidRPr="00125FAF" w:rsidRDefault="0069230A" w:rsidP="0069230A">
            <w:pPr>
              <w:spacing w:after="0" w:line="240" w:lineRule="auto"/>
              <w:jc w:val="center"/>
              <w:rPr>
                <w:rFonts w:ascii="Times New Roman" w:eastAsia="Times New Roman" w:hAnsi="Times New Roman" w:cs="Times New Roman"/>
                <w:color w:val="000000"/>
                <w:sz w:val="20"/>
                <w:szCs w:val="20"/>
                <w:lang w:eastAsia="ro-RO"/>
              </w:rPr>
            </w:pPr>
            <w:r w:rsidRPr="00125FAF">
              <w:rPr>
                <w:rFonts w:ascii="Times New Roman" w:eastAsia="Times New Roman" w:hAnsi="Times New Roman" w:cs="Times New Roman"/>
                <w:color w:val="000000"/>
                <w:sz w:val="20"/>
                <w:szCs w:val="20"/>
                <w:lang w:eastAsia="ro-RO"/>
              </w:rPr>
              <w:t>2026</w:t>
            </w:r>
          </w:p>
        </w:tc>
      </w:tr>
      <w:tr w:rsidR="0069230A" w:rsidRPr="00125FAF" w14:paraId="264788EB" w14:textId="77777777" w:rsidTr="001F2F2D">
        <w:trPr>
          <w:trHeight w:val="315"/>
        </w:trPr>
        <w:tc>
          <w:tcPr>
            <w:tcW w:w="2944" w:type="pct"/>
            <w:tcBorders>
              <w:top w:val="nil"/>
              <w:left w:val="single" w:sz="4" w:space="0" w:color="auto"/>
              <w:bottom w:val="single" w:sz="4" w:space="0" w:color="auto"/>
              <w:right w:val="single" w:sz="4" w:space="0" w:color="auto"/>
            </w:tcBorders>
            <w:shd w:val="clear" w:color="auto" w:fill="auto"/>
            <w:noWrap/>
            <w:vAlign w:val="center"/>
            <w:hideMark/>
          </w:tcPr>
          <w:p w14:paraId="1DAFAE91" w14:textId="77777777" w:rsidR="0069230A" w:rsidRPr="00125FAF" w:rsidRDefault="0069230A" w:rsidP="0069230A">
            <w:pPr>
              <w:spacing w:after="0" w:line="240" w:lineRule="auto"/>
              <w:jc w:val="both"/>
              <w:rPr>
                <w:rFonts w:ascii="Times New Roman" w:eastAsia="Times New Roman" w:hAnsi="Times New Roman" w:cs="Times New Roman"/>
                <w:color w:val="000000"/>
                <w:sz w:val="20"/>
                <w:szCs w:val="20"/>
                <w:lang w:eastAsia="ro-RO"/>
              </w:rPr>
            </w:pPr>
            <w:r w:rsidRPr="00125FAF">
              <w:rPr>
                <w:rFonts w:ascii="Times New Roman" w:eastAsia="Times New Roman" w:hAnsi="Times New Roman" w:cs="Times New Roman"/>
                <w:color w:val="000000"/>
                <w:sz w:val="20"/>
                <w:szCs w:val="20"/>
                <w:lang w:eastAsia="ro-RO"/>
              </w:rPr>
              <w:t>Clădiri</w:t>
            </w:r>
          </w:p>
        </w:tc>
        <w:tc>
          <w:tcPr>
            <w:tcW w:w="674" w:type="pct"/>
            <w:tcBorders>
              <w:top w:val="nil"/>
              <w:left w:val="nil"/>
              <w:bottom w:val="single" w:sz="4" w:space="0" w:color="auto"/>
              <w:right w:val="single" w:sz="4" w:space="0" w:color="auto"/>
            </w:tcBorders>
            <w:shd w:val="clear" w:color="auto" w:fill="auto"/>
            <w:noWrap/>
            <w:vAlign w:val="center"/>
            <w:hideMark/>
          </w:tcPr>
          <w:p w14:paraId="77C8BBFA" w14:textId="77777777" w:rsidR="0069230A" w:rsidRPr="00125FAF" w:rsidRDefault="0069230A" w:rsidP="0069230A">
            <w:pPr>
              <w:spacing w:after="0" w:line="240" w:lineRule="auto"/>
              <w:jc w:val="center"/>
              <w:rPr>
                <w:rFonts w:ascii="Times New Roman" w:eastAsia="Times New Roman" w:hAnsi="Times New Roman" w:cs="Times New Roman"/>
                <w:color w:val="000000"/>
                <w:sz w:val="20"/>
                <w:szCs w:val="20"/>
                <w:lang w:eastAsia="ro-RO"/>
              </w:rPr>
            </w:pPr>
            <w:r w:rsidRPr="00125FAF">
              <w:rPr>
                <w:rFonts w:ascii="Times New Roman" w:eastAsia="Times New Roman" w:hAnsi="Times New Roman" w:cs="Times New Roman"/>
                <w:color w:val="000000"/>
                <w:sz w:val="20"/>
                <w:szCs w:val="20"/>
                <w:lang w:eastAsia="ro-RO"/>
              </w:rPr>
              <w:t>9902</w:t>
            </w:r>
          </w:p>
        </w:tc>
        <w:tc>
          <w:tcPr>
            <w:tcW w:w="675" w:type="pct"/>
            <w:tcBorders>
              <w:top w:val="nil"/>
              <w:left w:val="nil"/>
              <w:bottom w:val="single" w:sz="4" w:space="0" w:color="auto"/>
              <w:right w:val="single" w:sz="4" w:space="0" w:color="auto"/>
            </w:tcBorders>
            <w:shd w:val="clear" w:color="auto" w:fill="auto"/>
            <w:noWrap/>
            <w:vAlign w:val="center"/>
            <w:hideMark/>
          </w:tcPr>
          <w:p w14:paraId="6AE054B6" w14:textId="77777777" w:rsidR="0069230A" w:rsidRPr="00125FAF" w:rsidRDefault="0069230A" w:rsidP="0069230A">
            <w:pPr>
              <w:spacing w:after="0" w:line="240" w:lineRule="auto"/>
              <w:jc w:val="center"/>
              <w:rPr>
                <w:rFonts w:ascii="Times New Roman" w:eastAsia="Times New Roman" w:hAnsi="Times New Roman" w:cs="Times New Roman"/>
                <w:color w:val="000000"/>
                <w:sz w:val="20"/>
                <w:szCs w:val="20"/>
                <w:lang w:eastAsia="ro-RO"/>
              </w:rPr>
            </w:pPr>
            <w:r w:rsidRPr="00125FAF">
              <w:rPr>
                <w:rFonts w:ascii="Times New Roman" w:eastAsia="Times New Roman" w:hAnsi="Times New Roman" w:cs="Times New Roman"/>
                <w:color w:val="000000"/>
                <w:sz w:val="20"/>
                <w:szCs w:val="20"/>
                <w:lang w:eastAsia="ro-RO"/>
              </w:rPr>
              <w:t>2150</w:t>
            </w:r>
          </w:p>
        </w:tc>
        <w:tc>
          <w:tcPr>
            <w:tcW w:w="706" w:type="pct"/>
            <w:tcBorders>
              <w:top w:val="nil"/>
              <w:left w:val="nil"/>
              <w:bottom w:val="single" w:sz="4" w:space="0" w:color="auto"/>
              <w:right w:val="single" w:sz="4" w:space="0" w:color="auto"/>
            </w:tcBorders>
            <w:shd w:val="clear" w:color="auto" w:fill="auto"/>
            <w:noWrap/>
            <w:vAlign w:val="center"/>
            <w:hideMark/>
          </w:tcPr>
          <w:p w14:paraId="3B1EC3BA" w14:textId="77777777" w:rsidR="0069230A" w:rsidRPr="00125FAF" w:rsidRDefault="0069230A" w:rsidP="0069230A">
            <w:pPr>
              <w:spacing w:after="0" w:line="240" w:lineRule="auto"/>
              <w:jc w:val="center"/>
              <w:rPr>
                <w:rFonts w:ascii="Times New Roman" w:eastAsia="Times New Roman" w:hAnsi="Times New Roman" w:cs="Times New Roman"/>
                <w:color w:val="000000"/>
                <w:sz w:val="20"/>
                <w:szCs w:val="20"/>
                <w:lang w:eastAsia="ro-RO"/>
              </w:rPr>
            </w:pPr>
            <w:r w:rsidRPr="00125FAF">
              <w:rPr>
                <w:rFonts w:ascii="Times New Roman" w:eastAsia="Times New Roman" w:hAnsi="Times New Roman" w:cs="Times New Roman"/>
                <w:color w:val="000000"/>
                <w:sz w:val="20"/>
                <w:szCs w:val="20"/>
                <w:lang w:eastAsia="ro-RO"/>
              </w:rPr>
              <w:t>2247</w:t>
            </w:r>
          </w:p>
        </w:tc>
      </w:tr>
      <w:tr w:rsidR="0069230A" w:rsidRPr="00125FAF" w14:paraId="64159F91" w14:textId="77777777" w:rsidTr="001F2F2D">
        <w:trPr>
          <w:trHeight w:val="315"/>
        </w:trPr>
        <w:tc>
          <w:tcPr>
            <w:tcW w:w="2944" w:type="pct"/>
            <w:tcBorders>
              <w:top w:val="nil"/>
              <w:left w:val="single" w:sz="4" w:space="0" w:color="auto"/>
              <w:bottom w:val="single" w:sz="4" w:space="0" w:color="auto"/>
              <w:right w:val="single" w:sz="4" w:space="0" w:color="auto"/>
            </w:tcBorders>
            <w:shd w:val="clear" w:color="auto" w:fill="auto"/>
            <w:noWrap/>
            <w:vAlign w:val="center"/>
            <w:hideMark/>
          </w:tcPr>
          <w:p w14:paraId="215C6AC0" w14:textId="77777777" w:rsidR="0069230A" w:rsidRPr="00125FAF" w:rsidRDefault="0069230A" w:rsidP="0069230A">
            <w:pPr>
              <w:spacing w:after="0" w:line="240" w:lineRule="auto"/>
              <w:jc w:val="both"/>
              <w:rPr>
                <w:rFonts w:ascii="Times New Roman" w:eastAsia="Times New Roman" w:hAnsi="Times New Roman" w:cs="Times New Roman"/>
                <w:color w:val="000000"/>
                <w:sz w:val="20"/>
                <w:szCs w:val="20"/>
                <w:lang w:eastAsia="ro-RO"/>
              </w:rPr>
            </w:pPr>
            <w:r w:rsidRPr="00125FAF">
              <w:rPr>
                <w:rFonts w:ascii="Times New Roman" w:eastAsia="Times New Roman" w:hAnsi="Times New Roman" w:cs="Times New Roman"/>
                <w:color w:val="000000"/>
                <w:sz w:val="20"/>
                <w:szCs w:val="20"/>
                <w:lang w:eastAsia="ro-RO"/>
              </w:rPr>
              <w:t>Industrial</w:t>
            </w:r>
          </w:p>
        </w:tc>
        <w:tc>
          <w:tcPr>
            <w:tcW w:w="674" w:type="pct"/>
            <w:tcBorders>
              <w:top w:val="nil"/>
              <w:left w:val="nil"/>
              <w:bottom w:val="single" w:sz="4" w:space="0" w:color="auto"/>
              <w:right w:val="single" w:sz="4" w:space="0" w:color="auto"/>
            </w:tcBorders>
            <w:shd w:val="clear" w:color="auto" w:fill="auto"/>
            <w:noWrap/>
            <w:vAlign w:val="center"/>
            <w:hideMark/>
          </w:tcPr>
          <w:p w14:paraId="7178173F" w14:textId="77777777" w:rsidR="0069230A" w:rsidRPr="00125FAF" w:rsidRDefault="0069230A" w:rsidP="0069230A">
            <w:pPr>
              <w:spacing w:after="0" w:line="240" w:lineRule="auto"/>
              <w:jc w:val="center"/>
              <w:rPr>
                <w:rFonts w:ascii="Times New Roman" w:eastAsia="Times New Roman" w:hAnsi="Times New Roman" w:cs="Times New Roman"/>
                <w:color w:val="000000"/>
                <w:sz w:val="20"/>
                <w:szCs w:val="20"/>
                <w:lang w:eastAsia="ro-RO"/>
              </w:rPr>
            </w:pPr>
            <w:r w:rsidRPr="00125FAF">
              <w:rPr>
                <w:rFonts w:ascii="Times New Roman" w:eastAsia="Times New Roman" w:hAnsi="Times New Roman" w:cs="Times New Roman"/>
                <w:color w:val="000000"/>
                <w:sz w:val="20"/>
                <w:szCs w:val="20"/>
                <w:lang w:eastAsia="ro-RO"/>
              </w:rPr>
              <w:t>1572</w:t>
            </w:r>
          </w:p>
        </w:tc>
        <w:tc>
          <w:tcPr>
            <w:tcW w:w="675" w:type="pct"/>
            <w:tcBorders>
              <w:top w:val="nil"/>
              <w:left w:val="nil"/>
              <w:bottom w:val="single" w:sz="4" w:space="0" w:color="auto"/>
              <w:right w:val="single" w:sz="4" w:space="0" w:color="auto"/>
            </w:tcBorders>
            <w:shd w:val="clear" w:color="auto" w:fill="auto"/>
            <w:noWrap/>
            <w:vAlign w:val="center"/>
            <w:hideMark/>
          </w:tcPr>
          <w:p w14:paraId="2720C160" w14:textId="77777777" w:rsidR="0069230A" w:rsidRPr="00125FAF" w:rsidRDefault="0069230A" w:rsidP="0069230A">
            <w:pPr>
              <w:spacing w:after="0" w:line="240" w:lineRule="auto"/>
              <w:jc w:val="center"/>
              <w:rPr>
                <w:rFonts w:ascii="Times New Roman" w:eastAsia="Times New Roman" w:hAnsi="Times New Roman" w:cs="Times New Roman"/>
                <w:color w:val="000000"/>
                <w:sz w:val="20"/>
                <w:szCs w:val="20"/>
                <w:lang w:eastAsia="ro-RO"/>
              </w:rPr>
            </w:pPr>
            <w:r w:rsidRPr="00125FAF">
              <w:rPr>
                <w:rFonts w:ascii="Times New Roman" w:eastAsia="Times New Roman" w:hAnsi="Times New Roman" w:cs="Times New Roman"/>
                <w:color w:val="000000"/>
                <w:sz w:val="20"/>
                <w:szCs w:val="20"/>
                <w:lang w:eastAsia="ro-RO"/>
              </w:rPr>
              <w:t>995</w:t>
            </w:r>
          </w:p>
        </w:tc>
        <w:tc>
          <w:tcPr>
            <w:tcW w:w="706" w:type="pct"/>
            <w:tcBorders>
              <w:top w:val="nil"/>
              <w:left w:val="nil"/>
              <w:bottom w:val="single" w:sz="4" w:space="0" w:color="auto"/>
              <w:right w:val="single" w:sz="4" w:space="0" w:color="auto"/>
            </w:tcBorders>
            <w:shd w:val="clear" w:color="auto" w:fill="auto"/>
            <w:noWrap/>
            <w:vAlign w:val="center"/>
            <w:hideMark/>
          </w:tcPr>
          <w:p w14:paraId="2EA75286" w14:textId="77777777" w:rsidR="0069230A" w:rsidRPr="00125FAF" w:rsidRDefault="0069230A" w:rsidP="0069230A">
            <w:pPr>
              <w:spacing w:after="0" w:line="240" w:lineRule="auto"/>
              <w:jc w:val="center"/>
              <w:rPr>
                <w:rFonts w:ascii="Times New Roman" w:eastAsia="Times New Roman" w:hAnsi="Times New Roman" w:cs="Times New Roman"/>
                <w:color w:val="000000"/>
                <w:sz w:val="20"/>
                <w:szCs w:val="20"/>
                <w:lang w:eastAsia="ro-RO"/>
              </w:rPr>
            </w:pPr>
            <w:r w:rsidRPr="00125FAF">
              <w:rPr>
                <w:rFonts w:ascii="Times New Roman" w:eastAsia="Times New Roman" w:hAnsi="Times New Roman" w:cs="Times New Roman"/>
                <w:color w:val="000000"/>
                <w:sz w:val="20"/>
                <w:szCs w:val="20"/>
                <w:lang w:eastAsia="ro-RO"/>
              </w:rPr>
              <w:t>1080</w:t>
            </w:r>
          </w:p>
        </w:tc>
      </w:tr>
      <w:tr w:rsidR="0069230A" w:rsidRPr="00125FAF" w14:paraId="7B5A6C49" w14:textId="77777777" w:rsidTr="001F2F2D">
        <w:trPr>
          <w:trHeight w:val="315"/>
        </w:trPr>
        <w:tc>
          <w:tcPr>
            <w:tcW w:w="2944" w:type="pct"/>
            <w:tcBorders>
              <w:top w:val="nil"/>
              <w:left w:val="single" w:sz="4" w:space="0" w:color="auto"/>
              <w:bottom w:val="single" w:sz="4" w:space="0" w:color="auto"/>
              <w:right w:val="single" w:sz="4" w:space="0" w:color="auto"/>
            </w:tcBorders>
            <w:shd w:val="clear" w:color="auto" w:fill="auto"/>
            <w:noWrap/>
            <w:vAlign w:val="center"/>
            <w:hideMark/>
          </w:tcPr>
          <w:p w14:paraId="2C97630E" w14:textId="77777777" w:rsidR="0069230A" w:rsidRPr="00125FAF" w:rsidRDefault="0069230A" w:rsidP="0069230A">
            <w:pPr>
              <w:spacing w:after="0" w:line="240" w:lineRule="auto"/>
              <w:jc w:val="both"/>
              <w:rPr>
                <w:rFonts w:ascii="Times New Roman" w:eastAsia="Times New Roman" w:hAnsi="Times New Roman" w:cs="Times New Roman"/>
                <w:color w:val="000000"/>
                <w:sz w:val="20"/>
                <w:szCs w:val="20"/>
                <w:lang w:eastAsia="ro-RO"/>
              </w:rPr>
            </w:pPr>
            <w:r w:rsidRPr="00125FAF">
              <w:rPr>
                <w:rFonts w:ascii="Times New Roman" w:eastAsia="Times New Roman" w:hAnsi="Times New Roman" w:cs="Times New Roman"/>
                <w:color w:val="000000"/>
                <w:sz w:val="20"/>
                <w:szCs w:val="20"/>
                <w:lang w:eastAsia="ro-RO"/>
              </w:rPr>
              <w:t>Agricol</w:t>
            </w:r>
          </w:p>
        </w:tc>
        <w:tc>
          <w:tcPr>
            <w:tcW w:w="674" w:type="pct"/>
            <w:tcBorders>
              <w:top w:val="nil"/>
              <w:left w:val="nil"/>
              <w:bottom w:val="single" w:sz="4" w:space="0" w:color="auto"/>
              <w:right w:val="single" w:sz="4" w:space="0" w:color="auto"/>
            </w:tcBorders>
            <w:shd w:val="clear" w:color="auto" w:fill="auto"/>
            <w:noWrap/>
            <w:vAlign w:val="center"/>
            <w:hideMark/>
          </w:tcPr>
          <w:p w14:paraId="46BFE0B5" w14:textId="77777777" w:rsidR="0069230A" w:rsidRPr="00125FAF" w:rsidRDefault="0069230A" w:rsidP="0069230A">
            <w:pPr>
              <w:spacing w:after="0" w:line="240" w:lineRule="auto"/>
              <w:jc w:val="center"/>
              <w:rPr>
                <w:rFonts w:ascii="Times New Roman" w:eastAsia="Times New Roman" w:hAnsi="Times New Roman" w:cs="Times New Roman"/>
                <w:color w:val="000000"/>
                <w:sz w:val="20"/>
                <w:szCs w:val="20"/>
                <w:lang w:eastAsia="ro-RO"/>
              </w:rPr>
            </w:pPr>
            <w:r w:rsidRPr="00125FAF">
              <w:rPr>
                <w:rFonts w:ascii="Times New Roman" w:eastAsia="Times New Roman" w:hAnsi="Times New Roman" w:cs="Times New Roman"/>
                <w:color w:val="000000"/>
                <w:sz w:val="20"/>
                <w:szCs w:val="20"/>
                <w:lang w:eastAsia="ro-RO"/>
              </w:rPr>
              <w:t>5221</w:t>
            </w:r>
          </w:p>
        </w:tc>
        <w:tc>
          <w:tcPr>
            <w:tcW w:w="675" w:type="pct"/>
            <w:tcBorders>
              <w:top w:val="nil"/>
              <w:left w:val="nil"/>
              <w:bottom w:val="single" w:sz="4" w:space="0" w:color="auto"/>
              <w:right w:val="single" w:sz="4" w:space="0" w:color="auto"/>
            </w:tcBorders>
            <w:shd w:val="clear" w:color="auto" w:fill="auto"/>
            <w:noWrap/>
            <w:vAlign w:val="center"/>
            <w:hideMark/>
          </w:tcPr>
          <w:p w14:paraId="4A1C6AAD" w14:textId="77777777" w:rsidR="0069230A" w:rsidRPr="00125FAF" w:rsidRDefault="0069230A" w:rsidP="0069230A">
            <w:pPr>
              <w:spacing w:after="0" w:line="240" w:lineRule="auto"/>
              <w:jc w:val="center"/>
              <w:rPr>
                <w:rFonts w:ascii="Times New Roman" w:eastAsia="Times New Roman" w:hAnsi="Times New Roman" w:cs="Times New Roman"/>
                <w:color w:val="000000"/>
                <w:sz w:val="20"/>
                <w:szCs w:val="20"/>
                <w:lang w:eastAsia="ro-RO"/>
              </w:rPr>
            </w:pPr>
            <w:r w:rsidRPr="00125FAF">
              <w:rPr>
                <w:rFonts w:ascii="Times New Roman" w:eastAsia="Times New Roman" w:hAnsi="Times New Roman" w:cs="Times New Roman"/>
                <w:color w:val="000000"/>
                <w:sz w:val="20"/>
                <w:szCs w:val="20"/>
                <w:lang w:eastAsia="ro-RO"/>
              </w:rPr>
              <w:t>2597</w:t>
            </w:r>
          </w:p>
        </w:tc>
        <w:tc>
          <w:tcPr>
            <w:tcW w:w="706" w:type="pct"/>
            <w:tcBorders>
              <w:top w:val="nil"/>
              <w:left w:val="nil"/>
              <w:bottom w:val="single" w:sz="4" w:space="0" w:color="auto"/>
              <w:right w:val="single" w:sz="4" w:space="0" w:color="auto"/>
            </w:tcBorders>
            <w:shd w:val="clear" w:color="auto" w:fill="auto"/>
            <w:noWrap/>
            <w:vAlign w:val="center"/>
            <w:hideMark/>
          </w:tcPr>
          <w:p w14:paraId="3F355068" w14:textId="77777777" w:rsidR="0069230A" w:rsidRPr="00125FAF" w:rsidRDefault="0069230A" w:rsidP="0069230A">
            <w:pPr>
              <w:spacing w:after="0" w:line="240" w:lineRule="auto"/>
              <w:jc w:val="center"/>
              <w:rPr>
                <w:rFonts w:ascii="Times New Roman" w:eastAsia="Times New Roman" w:hAnsi="Times New Roman" w:cs="Times New Roman"/>
                <w:color w:val="000000"/>
                <w:sz w:val="20"/>
                <w:szCs w:val="20"/>
                <w:lang w:eastAsia="ro-RO"/>
              </w:rPr>
            </w:pPr>
            <w:r w:rsidRPr="00125FAF">
              <w:rPr>
                <w:rFonts w:ascii="Times New Roman" w:eastAsia="Times New Roman" w:hAnsi="Times New Roman" w:cs="Times New Roman"/>
                <w:color w:val="000000"/>
                <w:sz w:val="20"/>
                <w:szCs w:val="20"/>
                <w:lang w:eastAsia="ro-RO"/>
              </w:rPr>
              <w:t>2756</w:t>
            </w:r>
          </w:p>
        </w:tc>
      </w:tr>
      <w:tr w:rsidR="0069230A" w:rsidRPr="00125FAF" w14:paraId="2BDF7158" w14:textId="77777777" w:rsidTr="004E37D6">
        <w:trPr>
          <w:trHeight w:val="527"/>
        </w:trPr>
        <w:tc>
          <w:tcPr>
            <w:tcW w:w="2944" w:type="pct"/>
            <w:tcBorders>
              <w:top w:val="nil"/>
              <w:left w:val="single" w:sz="4" w:space="0" w:color="auto"/>
              <w:bottom w:val="single" w:sz="4" w:space="0" w:color="auto"/>
              <w:right w:val="single" w:sz="4" w:space="0" w:color="auto"/>
            </w:tcBorders>
            <w:shd w:val="clear" w:color="auto" w:fill="auto"/>
            <w:noWrap/>
            <w:vAlign w:val="center"/>
            <w:hideMark/>
          </w:tcPr>
          <w:p w14:paraId="56F929CC" w14:textId="07AA8550" w:rsidR="0069230A" w:rsidRPr="00125FAF" w:rsidRDefault="00577421" w:rsidP="0069230A">
            <w:pPr>
              <w:spacing w:after="0" w:line="240" w:lineRule="auto"/>
              <w:jc w:val="both"/>
              <w:rPr>
                <w:rFonts w:ascii="Times New Roman" w:eastAsia="Times New Roman" w:hAnsi="Times New Roman" w:cs="Times New Roman"/>
                <w:color w:val="000000"/>
                <w:sz w:val="20"/>
                <w:szCs w:val="20"/>
                <w:lang w:eastAsia="ro-RO"/>
              </w:rPr>
            </w:pPr>
            <w:r w:rsidRPr="00505AD8">
              <w:rPr>
                <w:rFonts w:ascii="Times New Roman" w:eastAsia="Times New Roman" w:hAnsi="Times New Roman" w:cs="Times New Roman"/>
                <w:i/>
                <w:color w:val="000000"/>
                <w:sz w:val="20"/>
                <w:szCs w:val="20"/>
              </w:rPr>
              <w:t>FTSCFTS</w:t>
            </w:r>
          </w:p>
        </w:tc>
        <w:tc>
          <w:tcPr>
            <w:tcW w:w="674" w:type="pct"/>
            <w:tcBorders>
              <w:top w:val="nil"/>
              <w:left w:val="nil"/>
              <w:bottom w:val="single" w:sz="4" w:space="0" w:color="auto"/>
              <w:right w:val="single" w:sz="4" w:space="0" w:color="auto"/>
            </w:tcBorders>
            <w:shd w:val="clear" w:color="auto" w:fill="auto"/>
            <w:noWrap/>
            <w:vAlign w:val="center"/>
            <w:hideMark/>
          </w:tcPr>
          <w:p w14:paraId="2FC56BED" w14:textId="77777777" w:rsidR="0069230A" w:rsidRPr="00125FAF" w:rsidRDefault="0069230A" w:rsidP="0069230A">
            <w:pPr>
              <w:spacing w:after="0" w:line="240" w:lineRule="auto"/>
              <w:jc w:val="center"/>
              <w:rPr>
                <w:rFonts w:ascii="Times New Roman" w:eastAsia="Times New Roman" w:hAnsi="Times New Roman" w:cs="Times New Roman"/>
                <w:color w:val="000000"/>
                <w:sz w:val="20"/>
                <w:szCs w:val="20"/>
                <w:lang w:eastAsia="ro-RO"/>
              </w:rPr>
            </w:pPr>
            <w:r w:rsidRPr="00125FAF">
              <w:rPr>
                <w:rFonts w:ascii="Times New Roman" w:eastAsia="Times New Roman" w:hAnsi="Times New Roman" w:cs="Times New Roman"/>
                <w:color w:val="000000"/>
                <w:sz w:val="20"/>
                <w:szCs w:val="20"/>
                <w:lang w:eastAsia="ro-RO"/>
              </w:rPr>
              <w:t>-1528</w:t>
            </w:r>
          </w:p>
        </w:tc>
        <w:tc>
          <w:tcPr>
            <w:tcW w:w="675" w:type="pct"/>
            <w:tcBorders>
              <w:top w:val="nil"/>
              <w:left w:val="nil"/>
              <w:bottom w:val="single" w:sz="4" w:space="0" w:color="auto"/>
              <w:right w:val="single" w:sz="4" w:space="0" w:color="auto"/>
            </w:tcBorders>
            <w:shd w:val="clear" w:color="auto" w:fill="auto"/>
            <w:noWrap/>
            <w:vAlign w:val="center"/>
            <w:hideMark/>
          </w:tcPr>
          <w:p w14:paraId="43CA1D64" w14:textId="77777777" w:rsidR="0069230A" w:rsidRPr="00125FAF" w:rsidRDefault="0069230A" w:rsidP="0069230A">
            <w:pPr>
              <w:spacing w:after="0" w:line="240" w:lineRule="auto"/>
              <w:jc w:val="center"/>
              <w:rPr>
                <w:rFonts w:ascii="Times New Roman" w:eastAsia="Times New Roman" w:hAnsi="Times New Roman" w:cs="Times New Roman"/>
                <w:color w:val="000000"/>
                <w:sz w:val="20"/>
                <w:szCs w:val="20"/>
                <w:lang w:eastAsia="ro-RO"/>
              </w:rPr>
            </w:pPr>
            <w:r w:rsidRPr="00125FAF">
              <w:rPr>
                <w:rFonts w:ascii="Times New Roman" w:eastAsia="Times New Roman" w:hAnsi="Times New Roman" w:cs="Times New Roman"/>
                <w:color w:val="000000"/>
                <w:sz w:val="20"/>
                <w:szCs w:val="20"/>
                <w:lang w:eastAsia="ro-RO"/>
              </w:rPr>
              <w:t>-4504</w:t>
            </w:r>
          </w:p>
        </w:tc>
        <w:tc>
          <w:tcPr>
            <w:tcW w:w="706" w:type="pct"/>
            <w:tcBorders>
              <w:top w:val="nil"/>
              <w:left w:val="nil"/>
              <w:bottom w:val="single" w:sz="4" w:space="0" w:color="auto"/>
              <w:right w:val="single" w:sz="4" w:space="0" w:color="auto"/>
            </w:tcBorders>
            <w:shd w:val="clear" w:color="auto" w:fill="auto"/>
            <w:noWrap/>
            <w:vAlign w:val="center"/>
            <w:hideMark/>
          </w:tcPr>
          <w:p w14:paraId="3BD66B4E" w14:textId="77777777" w:rsidR="0069230A" w:rsidRPr="00125FAF" w:rsidRDefault="0069230A" w:rsidP="0069230A">
            <w:pPr>
              <w:spacing w:after="0" w:line="240" w:lineRule="auto"/>
              <w:jc w:val="center"/>
              <w:rPr>
                <w:rFonts w:ascii="Times New Roman" w:eastAsia="Times New Roman" w:hAnsi="Times New Roman" w:cs="Times New Roman"/>
                <w:color w:val="000000"/>
                <w:sz w:val="20"/>
                <w:szCs w:val="20"/>
                <w:lang w:eastAsia="ro-RO"/>
              </w:rPr>
            </w:pPr>
            <w:r w:rsidRPr="00125FAF">
              <w:rPr>
                <w:rFonts w:ascii="Times New Roman" w:eastAsia="Times New Roman" w:hAnsi="Times New Roman" w:cs="Times New Roman"/>
                <w:color w:val="000000"/>
                <w:sz w:val="20"/>
                <w:szCs w:val="20"/>
                <w:lang w:eastAsia="ro-RO"/>
              </w:rPr>
              <w:t>-7507</w:t>
            </w:r>
          </w:p>
        </w:tc>
      </w:tr>
      <w:tr w:rsidR="0069230A" w:rsidRPr="00125FAF" w14:paraId="498DDC77" w14:textId="77777777" w:rsidTr="001F2F2D">
        <w:trPr>
          <w:trHeight w:val="315"/>
        </w:trPr>
        <w:tc>
          <w:tcPr>
            <w:tcW w:w="2944" w:type="pct"/>
            <w:tcBorders>
              <w:top w:val="nil"/>
              <w:left w:val="single" w:sz="4" w:space="0" w:color="auto"/>
              <w:bottom w:val="single" w:sz="4" w:space="0" w:color="auto"/>
              <w:right w:val="single" w:sz="4" w:space="0" w:color="auto"/>
            </w:tcBorders>
            <w:shd w:val="clear" w:color="auto" w:fill="auto"/>
            <w:noWrap/>
            <w:vAlign w:val="center"/>
            <w:hideMark/>
          </w:tcPr>
          <w:p w14:paraId="360C06ED" w14:textId="77777777" w:rsidR="0069230A" w:rsidRPr="00125FAF" w:rsidRDefault="0069230A" w:rsidP="0069230A">
            <w:pPr>
              <w:spacing w:after="0" w:line="240" w:lineRule="auto"/>
              <w:jc w:val="both"/>
              <w:rPr>
                <w:rFonts w:ascii="Times New Roman" w:eastAsia="Times New Roman" w:hAnsi="Times New Roman" w:cs="Times New Roman"/>
                <w:color w:val="000000"/>
                <w:sz w:val="20"/>
                <w:szCs w:val="20"/>
                <w:lang w:eastAsia="ro-RO"/>
              </w:rPr>
            </w:pPr>
            <w:proofErr w:type="spellStart"/>
            <w:r w:rsidRPr="00125FAF">
              <w:rPr>
                <w:rFonts w:ascii="Times New Roman" w:eastAsia="Times New Roman" w:hAnsi="Times New Roman" w:cs="Times New Roman"/>
                <w:color w:val="000000"/>
                <w:sz w:val="20"/>
                <w:szCs w:val="20"/>
                <w:lang w:eastAsia="ro-RO"/>
              </w:rPr>
              <w:t>Deşeuri</w:t>
            </w:r>
            <w:proofErr w:type="spellEnd"/>
          </w:p>
        </w:tc>
        <w:tc>
          <w:tcPr>
            <w:tcW w:w="674" w:type="pct"/>
            <w:tcBorders>
              <w:top w:val="nil"/>
              <w:left w:val="nil"/>
              <w:bottom w:val="single" w:sz="4" w:space="0" w:color="auto"/>
              <w:right w:val="single" w:sz="4" w:space="0" w:color="auto"/>
            </w:tcBorders>
            <w:shd w:val="clear" w:color="auto" w:fill="auto"/>
            <w:noWrap/>
            <w:vAlign w:val="center"/>
            <w:hideMark/>
          </w:tcPr>
          <w:p w14:paraId="0672704B" w14:textId="77777777" w:rsidR="0069230A" w:rsidRPr="00125FAF" w:rsidRDefault="0069230A" w:rsidP="0069230A">
            <w:pPr>
              <w:spacing w:after="0" w:line="240" w:lineRule="auto"/>
              <w:jc w:val="center"/>
              <w:rPr>
                <w:rFonts w:ascii="Times New Roman" w:eastAsia="Times New Roman" w:hAnsi="Times New Roman" w:cs="Times New Roman"/>
                <w:color w:val="000000"/>
                <w:sz w:val="20"/>
                <w:szCs w:val="20"/>
                <w:lang w:eastAsia="ro-RO"/>
              </w:rPr>
            </w:pPr>
            <w:r w:rsidRPr="00125FAF">
              <w:rPr>
                <w:rFonts w:ascii="Times New Roman" w:eastAsia="Times New Roman" w:hAnsi="Times New Roman" w:cs="Times New Roman"/>
                <w:color w:val="000000"/>
                <w:sz w:val="20"/>
                <w:szCs w:val="20"/>
                <w:lang w:eastAsia="ro-RO"/>
              </w:rPr>
              <w:t>1515</w:t>
            </w:r>
          </w:p>
        </w:tc>
        <w:tc>
          <w:tcPr>
            <w:tcW w:w="675" w:type="pct"/>
            <w:tcBorders>
              <w:top w:val="nil"/>
              <w:left w:val="nil"/>
              <w:bottom w:val="single" w:sz="4" w:space="0" w:color="auto"/>
              <w:right w:val="single" w:sz="4" w:space="0" w:color="auto"/>
            </w:tcBorders>
            <w:shd w:val="clear" w:color="auto" w:fill="auto"/>
            <w:noWrap/>
            <w:vAlign w:val="center"/>
            <w:hideMark/>
          </w:tcPr>
          <w:p w14:paraId="6F4A9794" w14:textId="77777777" w:rsidR="0069230A" w:rsidRPr="00125FAF" w:rsidRDefault="0069230A" w:rsidP="0069230A">
            <w:pPr>
              <w:spacing w:after="0" w:line="240" w:lineRule="auto"/>
              <w:jc w:val="center"/>
              <w:rPr>
                <w:rFonts w:ascii="Times New Roman" w:eastAsia="Times New Roman" w:hAnsi="Times New Roman" w:cs="Times New Roman"/>
                <w:color w:val="000000"/>
                <w:sz w:val="20"/>
                <w:szCs w:val="20"/>
                <w:lang w:eastAsia="ro-RO"/>
              </w:rPr>
            </w:pPr>
            <w:r w:rsidRPr="00125FAF">
              <w:rPr>
                <w:rFonts w:ascii="Times New Roman" w:eastAsia="Times New Roman" w:hAnsi="Times New Roman" w:cs="Times New Roman"/>
                <w:color w:val="000000"/>
                <w:sz w:val="20"/>
                <w:szCs w:val="20"/>
                <w:lang w:eastAsia="ro-RO"/>
              </w:rPr>
              <w:t>1224</w:t>
            </w:r>
          </w:p>
        </w:tc>
        <w:tc>
          <w:tcPr>
            <w:tcW w:w="706" w:type="pct"/>
            <w:tcBorders>
              <w:top w:val="nil"/>
              <w:left w:val="nil"/>
              <w:bottom w:val="single" w:sz="4" w:space="0" w:color="auto"/>
              <w:right w:val="single" w:sz="4" w:space="0" w:color="auto"/>
            </w:tcBorders>
            <w:shd w:val="clear" w:color="auto" w:fill="auto"/>
            <w:noWrap/>
            <w:vAlign w:val="center"/>
            <w:hideMark/>
          </w:tcPr>
          <w:p w14:paraId="1BA5FAA9" w14:textId="77777777" w:rsidR="0069230A" w:rsidRPr="00125FAF" w:rsidRDefault="0069230A" w:rsidP="0069230A">
            <w:pPr>
              <w:spacing w:after="0" w:line="240" w:lineRule="auto"/>
              <w:jc w:val="center"/>
              <w:rPr>
                <w:rFonts w:ascii="Times New Roman" w:eastAsia="Times New Roman" w:hAnsi="Times New Roman" w:cs="Times New Roman"/>
                <w:color w:val="000000"/>
                <w:sz w:val="20"/>
                <w:szCs w:val="20"/>
                <w:lang w:eastAsia="ro-RO"/>
              </w:rPr>
            </w:pPr>
            <w:r w:rsidRPr="00125FAF">
              <w:rPr>
                <w:rFonts w:ascii="Times New Roman" w:eastAsia="Times New Roman" w:hAnsi="Times New Roman" w:cs="Times New Roman"/>
                <w:color w:val="000000"/>
                <w:sz w:val="20"/>
                <w:szCs w:val="20"/>
                <w:lang w:eastAsia="ro-RO"/>
              </w:rPr>
              <w:t>1241</w:t>
            </w:r>
          </w:p>
        </w:tc>
      </w:tr>
      <w:tr w:rsidR="0069230A" w:rsidRPr="00125FAF" w14:paraId="3AB00AF7" w14:textId="77777777" w:rsidTr="004E37D6">
        <w:trPr>
          <w:trHeight w:val="563"/>
        </w:trPr>
        <w:tc>
          <w:tcPr>
            <w:tcW w:w="2944" w:type="pct"/>
            <w:tcBorders>
              <w:top w:val="nil"/>
              <w:left w:val="single" w:sz="4" w:space="0" w:color="auto"/>
              <w:bottom w:val="single" w:sz="4" w:space="0" w:color="auto"/>
              <w:right w:val="single" w:sz="4" w:space="0" w:color="auto"/>
            </w:tcBorders>
            <w:shd w:val="clear" w:color="auto" w:fill="auto"/>
            <w:noWrap/>
            <w:vAlign w:val="center"/>
            <w:hideMark/>
          </w:tcPr>
          <w:p w14:paraId="624FAE79" w14:textId="42F649AA" w:rsidR="0069230A" w:rsidRPr="00125FAF" w:rsidRDefault="0069230A" w:rsidP="0069230A">
            <w:pPr>
              <w:spacing w:after="0" w:line="240" w:lineRule="auto"/>
              <w:jc w:val="both"/>
              <w:rPr>
                <w:rFonts w:ascii="Times New Roman" w:eastAsia="Times New Roman" w:hAnsi="Times New Roman" w:cs="Times New Roman"/>
                <w:color w:val="000000"/>
                <w:sz w:val="20"/>
                <w:szCs w:val="20"/>
                <w:lang w:eastAsia="ro-RO"/>
              </w:rPr>
            </w:pPr>
            <w:r w:rsidRPr="00125FAF">
              <w:rPr>
                <w:rFonts w:ascii="Times New Roman" w:eastAsia="Times New Roman" w:hAnsi="Times New Roman" w:cs="Times New Roman"/>
                <w:color w:val="000000"/>
                <w:sz w:val="20"/>
                <w:szCs w:val="20"/>
                <w:lang w:eastAsia="ro-RO"/>
              </w:rPr>
              <w:t xml:space="preserve">Total </w:t>
            </w:r>
            <w:proofErr w:type="spellStart"/>
            <w:r w:rsidRPr="00125FAF">
              <w:rPr>
                <w:rFonts w:ascii="Times New Roman" w:eastAsia="Times New Roman" w:hAnsi="Times New Roman" w:cs="Times New Roman"/>
                <w:color w:val="000000"/>
                <w:sz w:val="20"/>
                <w:szCs w:val="20"/>
                <w:lang w:eastAsia="ro-RO"/>
              </w:rPr>
              <w:t>naţional</w:t>
            </w:r>
            <w:proofErr w:type="spellEnd"/>
            <w:r w:rsidRPr="00125FAF">
              <w:rPr>
                <w:rFonts w:ascii="Times New Roman" w:eastAsia="Times New Roman" w:hAnsi="Times New Roman" w:cs="Times New Roman"/>
                <w:color w:val="000000"/>
                <w:sz w:val="20"/>
                <w:szCs w:val="20"/>
                <w:lang w:eastAsia="ro-RO"/>
              </w:rPr>
              <w:t xml:space="preserve"> de gaze cu efect de seră, cu </w:t>
            </w:r>
            <w:r w:rsidR="00577421" w:rsidRPr="00505AD8">
              <w:rPr>
                <w:rFonts w:ascii="Times New Roman" w:eastAsia="Times New Roman" w:hAnsi="Times New Roman" w:cs="Times New Roman"/>
                <w:i/>
                <w:color w:val="000000"/>
                <w:sz w:val="20"/>
                <w:szCs w:val="20"/>
              </w:rPr>
              <w:t xml:space="preserve"> FTSCFTS</w:t>
            </w:r>
          </w:p>
        </w:tc>
        <w:tc>
          <w:tcPr>
            <w:tcW w:w="674" w:type="pct"/>
            <w:tcBorders>
              <w:top w:val="nil"/>
              <w:left w:val="nil"/>
              <w:bottom w:val="single" w:sz="4" w:space="0" w:color="auto"/>
              <w:right w:val="single" w:sz="4" w:space="0" w:color="auto"/>
            </w:tcBorders>
            <w:shd w:val="clear" w:color="auto" w:fill="auto"/>
            <w:noWrap/>
            <w:vAlign w:val="center"/>
            <w:hideMark/>
          </w:tcPr>
          <w:p w14:paraId="25E551B8" w14:textId="77777777" w:rsidR="0069230A" w:rsidRPr="00125FAF" w:rsidRDefault="0069230A" w:rsidP="0069230A">
            <w:pPr>
              <w:spacing w:after="0" w:line="240" w:lineRule="auto"/>
              <w:jc w:val="center"/>
              <w:rPr>
                <w:rFonts w:ascii="Times New Roman" w:eastAsia="Times New Roman" w:hAnsi="Times New Roman" w:cs="Times New Roman"/>
                <w:color w:val="000000"/>
                <w:sz w:val="20"/>
                <w:szCs w:val="20"/>
                <w:lang w:eastAsia="ro-RO"/>
              </w:rPr>
            </w:pPr>
            <w:r w:rsidRPr="00125FAF">
              <w:rPr>
                <w:rFonts w:ascii="Times New Roman" w:eastAsia="Times New Roman" w:hAnsi="Times New Roman" w:cs="Times New Roman"/>
                <w:color w:val="000000"/>
                <w:sz w:val="20"/>
                <w:szCs w:val="20"/>
                <w:lang w:eastAsia="ro-RO"/>
              </w:rPr>
              <w:t>43391</w:t>
            </w:r>
          </w:p>
        </w:tc>
        <w:tc>
          <w:tcPr>
            <w:tcW w:w="675" w:type="pct"/>
            <w:tcBorders>
              <w:top w:val="nil"/>
              <w:left w:val="nil"/>
              <w:bottom w:val="single" w:sz="4" w:space="0" w:color="auto"/>
              <w:right w:val="single" w:sz="4" w:space="0" w:color="auto"/>
            </w:tcBorders>
            <w:shd w:val="clear" w:color="auto" w:fill="auto"/>
            <w:noWrap/>
            <w:vAlign w:val="center"/>
            <w:hideMark/>
          </w:tcPr>
          <w:p w14:paraId="697CB9B0" w14:textId="77777777" w:rsidR="0069230A" w:rsidRPr="00125FAF" w:rsidRDefault="0069230A" w:rsidP="0069230A">
            <w:pPr>
              <w:spacing w:after="0" w:line="240" w:lineRule="auto"/>
              <w:jc w:val="center"/>
              <w:rPr>
                <w:rFonts w:ascii="Times New Roman" w:eastAsia="Times New Roman" w:hAnsi="Times New Roman" w:cs="Times New Roman"/>
                <w:color w:val="000000"/>
                <w:sz w:val="20"/>
                <w:szCs w:val="20"/>
                <w:lang w:eastAsia="ro-RO"/>
              </w:rPr>
            </w:pPr>
            <w:r w:rsidRPr="00125FAF">
              <w:rPr>
                <w:rFonts w:ascii="Times New Roman" w:eastAsia="Times New Roman" w:hAnsi="Times New Roman" w:cs="Times New Roman"/>
                <w:color w:val="000000"/>
                <w:sz w:val="20"/>
                <w:szCs w:val="20"/>
                <w:lang w:eastAsia="ro-RO"/>
              </w:rPr>
              <w:t>7570</w:t>
            </w:r>
          </w:p>
        </w:tc>
        <w:tc>
          <w:tcPr>
            <w:tcW w:w="706" w:type="pct"/>
            <w:tcBorders>
              <w:top w:val="nil"/>
              <w:left w:val="nil"/>
              <w:bottom w:val="single" w:sz="4" w:space="0" w:color="auto"/>
              <w:right w:val="single" w:sz="4" w:space="0" w:color="auto"/>
            </w:tcBorders>
            <w:shd w:val="clear" w:color="auto" w:fill="auto"/>
            <w:noWrap/>
            <w:vAlign w:val="center"/>
            <w:hideMark/>
          </w:tcPr>
          <w:p w14:paraId="70EC7777" w14:textId="77777777" w:rsidR="0069230A" w:rsidRPr="00125FAF" w:rsidRDefault="0069230A" w:rsidP="0069230A">
            <w:pPr>
              <w:spacing w:after="0" w:line="240" w:lineRule="auto"/>
              <w:jc w:val="center"/>
              <w:rPr>
                <w:rFonts w:ascii="Times New Roman" w:eastAsia="Times New Roman" w:hAnsi="Times New Roman" w:cs="Times New Roman"/>
                <w:color w:val="000000"/>
                <w:sz w:val="20"/>
                <w:szCs w:val="20"/>
                <w:lang w:eastAsia="ro-RO"/>
              </w:rPr>
            </w:pPr>
            <w:r w:rsidRPr="00125FAF">
              <w:rPr>
                <w:rFonts w:ascii="Times New Roman" w:eastAsia="Times New Roman" w:hAnsi="Times New Roman" w:cs="Times New Roman"/>
                <w:color w:val="000000"/>
                <w:sz w:val="20"/>
                <w:szCs w:val="20"/>
                <w:lang w:eastAsia="ro-RO"/>
              </w:rPr>
              <w:t>4981</w:t>
            </w:r>
          </w:p>
        </w:tc>
      </w:tr>
      <w:tr w:rsidR="0069230A" w:rsidRPr="00125FAF" w14:paraId="40F74A56" w14:textId="77777777" w:rsidTr="004E37D6">
        <w:trPr>
          <w:trHeight w:val="617"/>
        </w:trPr>
        <w:tc>
          <w:tcPr>
            <w:tcW w:w="2944" w:type="pct"/>
            <w:tcBorders>
              <w:top w:val="nil"/>
              <w:left w:val="single" w:sz="4" w:space="0" w:color="auto"/>
              <w:bottom w:val="single" w:sz="4" w:space="0" w:color="auto"/>
              <w:right w:val="single" w:sz="4" w:space="0" w:color="auto"/>
            </w:tcBorders>
            <w:shd w:val="clear" w:color="auto" w:fill="auto"/>
            <w:noWrap/>
            <w:vAlign w:val="center"/>
            <w:hideMark/>
          </w:tcPr>
          <w:p w14:paraId="0EA16D97" w14:textId="7D74DC0A" w:rsidR="0069230A" w:rsidRPr="00125FAF" w:rsidRDefault="0069230A" w:rsidP="0069230A">
            <w:pPr>
              <w:spacing w:after="0" w:line="240" w:lineRule="auto"/>
              <w:jc w:val="both"/>
              <w:rPr>
                <w:rFonts w:ascii="Times New Roman" w:eastAsia="Times New Roman" w:hAnsi="Times New Roman" w:cs="Times New Roman"/>
                <w:color w:val="000000"/>
                <w:sz w:val="20"/>
                <w:szCs w:val="20"/>
                <w:lang w:eastAsia="ro-RO"/>
              </w:rPr>
            </w:pPr>
            <w:r w:rsidRPr="00125FAF">
              <w:rPr>
                <w:rFonts w:ascii="Times New Roman" w:eastAsia="Times New Roman" w:hAnsi="Times New Roman" w:cs="Times New Roman"/>
                <w:color w:val="000000"/>
                <w:sz w:val="20"/>
                <w:szCs w:val="20"/>
                <w:lang w:eastAsia="ro-RO"/>
              </w:rPr>
              <w:t xml:space="preserve">Total </w:t>
            </w:r>
            <w:proofErr w:type="spellStart"/>
            <w:r w:rsidRPr="00125FAF">
              <w:rPr>
                <w:rFonts w:ascii="Times New Roman" w:eastAsia="Times New Roman" w:hAnsi="Times New Roman" w:cs="Times New Roman"/>
                <w:color w:val="000000"/>
                <w:sz w:val="20"/>
                <w:szCs w:val="20"/>
                <w:lang w:eastAsia="ro-RO"/>
              </w:rPr>
              <w:t>naţional</w:t>
            </w:r>
            <w:proofErr w:type="spellEnd"/>
            <w:r w:rsidRPr="00125FAF">
              <w:rPr>
                <w:rFonts w:ascii="Times New Roman" w:eastAsia="Times New Roman" w:hAnsi="Times New Roman" w:cs="Times New Roman"/>
                <w:color w:val="000000"/>
                <w:sz w:val="20"/>
                <w:szCs w:val="20"/>
                <w:lang w:eastAsia="ro-RO"/>
              </w:rPr>
              <w:t xml:space="preserve"> de gaze cu efect de seră, fără </w:t>
            </w:r>
            <w:r w:rsidR="00577421" w:rsidRPr="00505AD8">
              <w:rPr>
                <w:rFonts w:ascii="Times New Roman" w:eastAsia="Times New Roman" w:hAnsi="Times New Roman" w:cs="Times New Roman"/>
                <w:i/>
                <w:color w:val="000000"/>
                <w:sz w:val="20"/>
                <w:szCs w:val="20"/>
              </w:rPr>
              <w:t xml:space="preserve"> FTSCFTS</w:t>
            </w:r>
          </w:p>
        </w:tc>
        <w:tc>
          <w:tcPr>
            <w:tcW w:w="674" w:type="pct"/>
            <w:tcBorders>
              <w:top w:val="nil"/>
              <w:left w:val="nil"/>
              <w:bottom w:val="single" w:sz="4" w:space="0" w:color="auto"/>
              <w:right w:val="single" w:sz="4" w:space="0" w:color="auto"/>
            </w:tcBorders>
            <w:shd w:val="clear" w:color="auto" w:fill="auto"/>
            <w:noWrap/>
            <w:vAlign w:val="center"/>
            <w:hideMark/>
          </w:tcPr>
          <w:p w14:paraId="61F5F4BF" w14:textId="77777777" w:rsidR="0069230A" w:rsidRPr="00125FAF" w:rsidRDefault="0069230A" w:rsidP="0069230A">
            <w:pPr>
              <w:spacing w:after="0" w:line="240" w:lineRule="auto"/>
              <w:jc w:val="center"/>
              <w:rPr>
                <w:rFonts w:ascii="Times New Roman" w:eastAsia="Times New Roman" w:hAnsi="Times New Roman" w:cs="Times New Roman"/>
                <w:color w:val="000000"/>
                <w:sz w:val="20"/>
                <w:szCs w:val="20"/>
                <w:lang w:eastAsia="ro-RO"/>
              </w:rPr>
            </w:pPr>
            <w:r w:rsidRPr="00125FAF">
              <w:rPr>
                <w:rFonts w:ascii="Times New Roman" w:eastAsia="Times New Roman" w:hAnsi="Times New Roman" w:cs="Times New Roman"/>
                <w:color w:val="000000"/>
                <w:sz w:val="20"/>
                <w:szCs w:val="20"/>
                <w:lang w:eastAsia="ro-RO"/>
              </w:rPr>
              <w:t>44919</w:t>
            </w:r>
          </w:p>
        </w:tc>
        <w:tc>
          <w:tcPr>
            <w:tcW w:w="675" w:type="pct"/>
            <w:tcBorders>
              <w:top w:val="nil"/>
              <w:left w:val="nil"/>
              <w:bottom w:val="single" w:sz="4" w:space="0" w:color="auto"/>
              <w:right w:val="single" w:sz="4" w:space="0" w:color="auto"/>
            </w:tcBorders>
            <w:shd w:val="clear" w:color="auto" w:fill="auto"/>
            <w:noWrap/>
            <w:vAlign w:val="center"/>
            <w:hideMark/>
          </w:tcPr>
          <w:p w14:paraId="33BB3AC0" w14:textId="77777777" w:rsidR="0069230A" w:rsidRPr="00125FAF" w:rsidRDefault="0069230A" w:rsidP="0069230A">
            <w:pPr>
              <w:spacing w:after="0" w:line="240" w:lineRule="auto"/>
              <w:jc w:val="center"/>
              <w:rPr>
                <w:rFonts w:ascii="Times New Roman" w:eastAsia="Times New Roman" w:hAnsi="Times New Roman" w:cs="Times New Roman"/>
                <w:color w:val="000000"/>
                <w:sz w:val="20"/>
                <w:szCs w:val="20"/>
                <w:lang w:eastAsia="ro-RO"/>
              </w:rPr>
            </w:pPr>
            <w:r w:rsidRPr="00125FAF">
              <w:rPr>
                <w:rFonts w:ascii="Times New Roman" w:eastAsia="Times New Roman" w:hAnsi="Times New Roman" w:cs="Times New Roman"/>
                <w:color w:val="000000"/>
                <w:sz w:val="20"/>
                <w:szCs w:val="20"/>
                <w:lang w:eastAsia="ro-RO"/>
              </w:rPr>
              <w:t>12074</w:t>
            </w:r>
          </w:p>
        </w:tc>
        <w:tc>
          <w:tcPr>
            <w:tcW w:w="706" w:type="pct"/>
            <w:tcBorders>
              <w:top w:val="nil"/>
              <w:left w:val="nil"/>
              <w:bottom w:val="single" w:sz="4" w:space="0" w:color="auto"/>
              <w:right w:val="single" w:sz="4" w:space="0" w:color="auto"/>
            </w:tcBorders>
            <w:shd w:val="clear" w:color="auto" w:fill="auto"/>
            <w:noWrap/>
            <w:vAlign w:val="center"/>
            <w:hideMark/>
          </w:tcPr>
          <w:p w14:paraId="30C998CA" w14:textId="77777777" w:rsidR="0069230A" w:rsidRPr="00125FAF" w:rsidRDefault="0069230A" w:rsidP="0069230A">
            <w:pPr>
              <w:spacing w:after="0" w:line="240" w:lineRule="auto"/>
              <w:jc w:val="center"/>
              <w:rPr>
                <w:rFonts w:ascii="Times New Roman" w:eastAsia="Times New Roman" w:hAnsi="Times New Roman" w:cs="Times New Roman"/>
                <w:color w:val="000000"/>
                <w:sz w:val="20"/>
                <w:szCs w:val="20"/>
                <w:lang w:eastAsia="ro-RO"/>
              </w:rPr>
            </w:pPr>
            <w:r w:rsidRPr="00125FAF">
              <w:rPr>
                <w:rFonts w:ascii="Times New Roman" w:eastAsia="Times New Roman" w:hAnsi="Times New Roman" w:cs="Times New Roman"/>
                <w:color w:val="000000"/>
                <w:sz w:val="20"/>
                <w:szCs w:val="20"/>
                <w:lang w:eastAsia="ro-RO"/>
              </w:rPr>
              <w:t>12488</w:t>
            </w:r>
          </w:p>
        </w:tc>
      </w:tr>
    </w:tbl>
    <w:p w14:paraId="4EDA196C" w14:textId="528E71FB" w:rsidR="006364B2" w:rsidRPr="00125FAF" w:rsidRDefault="006364B2" w:rsidP="006364B2">
      <w:pPr>
        <w:spacing w:after="0" w:line="240" w:lineRule="auto"/>
        <w:ind w:firstLine="720"/>
        <w:jc w:val="both"/>
        <w:rPr>
          <w:rFonts w:ascii="Times New Roman" w:eastAsia="Times New Roman" w:hAnsi="Times New Roman" w:cs="Times New Roman"/>
          <w:sz w:val="28"/>
          <w:szCs w:val="28"/>
          <w:lang w:eastAsia="ru-RU"/>
        </w:rPr>
      </w:pPr>
    </w:p>
    <w:p w14:paraId="3DB7963B" w14:textId="77777777" w:rsidR="0069230A" w:rsidRPr="00125FAF" w:rsidRDefault="0069230A" w:rsidP="006364B2">
      <w:pPr>
        <w:spacing w:after="0" w:line="240" w:lineRule="auto"/>
        <w:ind w:firstLine="720"/>
        <w:jc w:val="both"/>
        <w:rPr>
          <w:rFonts w:ascii="Times New Roman" w:eastAsia="Times New Roman" w:hAnsi="Times New Roman" w:cs="Times New Roman"/>
          <w:sz w:val="28"/>
          <w:szCs w:val="28"/>
          <w:lang w:eastAsia="ru-RU"/>
        </w:rPr>
      </w:pPr>
    </w:p>
    <w:p w14:paraId="1A8538AE" w14:textId="77777777" w:rsidR="00297173" w:rsidRPr="00125FAF" w:rsidRDefault="0080628D" w:rsidP="006364B2">
      <w:pPr>
        <w:spacing w:after="0" w:line="240" w:lineRule="auto"/>
        <w:jc w:val="both"/>
        <w:rPr>
          <w:rFonts w:ascii="Times New Roman" w:eastAsia="Times New Roman" w:hAnsi="Times New Roman" w:cs="Times New Roman"/>
          <w:sz w:val="28"/>
          <w:szCs w:val="28"/>
          <w:lang w:eastAsia="ru-RU"/>
        </w:rPr>
      </w:pPr>
      <w:r w:rsidRPr="00125FAF">
        <w:rPr>
          <w:noProof/>
          <w:lang w:val="en-US"/>
        </w:rPr>
        <w:drawing>
          <wp:inline distT="0" distB="0" distL="0" distR="0" wp14:anchorId="6C102092" wp14:editId="0D1973C2">
            <wp:extent cx="5844540" cy="2743200"/>
            <wp:effectExtent l="0" t="0" r="381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3DC2163" w14:textId="77777777" w:rsidR="006364B2" w:rsidRPr="00125FAF" w:rsidRDefault="006364B2" w:rsidP="006364B2">
      <w:pPr>
        <w:spacing w:after="0" w:line="240" w:lineRule="auto"/>
        <w:jc w:val="both"/>
        <w:rPr>
          <w:rFonts w:ascii="Times New Roman" w:eastAsia="Times New Roman" w:hAnsi="Times New Roman" w:cs="Times New Roman"/>
          <w:sz w:val="28"/>
          <w:szCs w:val="28"/>
          <w:lang w:eastAsia="ru-RU"/>
        </w:rPr>
      </w:pPr>
    </w:p>
    <w:p w14:paraId="2EF992F4" w14:textId="03B25501" w:rsidR="006364B2" w:rsidRPr="00125FAF" w:rsidRDefault="006364B2" w:rsidP="006364B2">
      <w:pPr>
        <w:spacing w:after="0" w:line="240" w:lineRule="auto"/>
        <w:ind w:firstLine="720"/>
        <w:jc w:val="both"/>
        <w:rPr>
          <w:rFonts w:ascii="Times New Roman" w:eastAsia="Times New Roman" w:hAnsi="Times New Roman" w:cs="Times New Roman"/>
          <w:iCs/>
          <w:sz w:val="24"/>
          <w:szCs w:val="24"/>
          <w:lang w:eastAsia="ru-RU"/>
        </w:rPr>
      </w:pPr>
      <w:r w:rsidRPr="00125FAF">
        <w:rPr>
          <w:rFonts w:ascii="Times New Roman" w:eastAsia="Times New Roman" w:hAnsi="Times New Roman" w:cs="Times New Roman"/>
          <w:b/>
          <w:sz w:val="24"/>
          <w:szCs w:val="24"/>
          <w:lang w:eastAsia="ru-RU"/>
        </w:rPr>
        <w:t xml:space="preserve">Figura </w:t>
      </w:r>
      <w:r w:rsidR="00E13B78" w:rsidRPr="00125FAF">
        <w:rPr>
          <w:rFonts w:ascii="Times New Roman" w:eastAsia="Times New Roman" w:hAnsi="Times New Roman" w:cs="Times New Roman"/>
          <w:b/>
          <w:sz w:val="24"/>
          <w:szCs w:val="24"/>
          <w:lang w:eastAsia="ru-RU"/>
        </w:rPr>
        <w:t>4</w:t>
      </w:r>
      <w:r w:rsidRPr="00125FAF">
        <w:rPr>
          <w:rFonts w:ascii="Times New Roman" w:eastAsia="Times New Roman" w:hAnsi="Times New Roman" w:cs="Times New Roman"/>
          <w:b/>
          <w:sz w:val="24"/>
          <w:szCs w:val="24"/>
          <w:lang w:eastAsia="ru-RU"/>
        </w:rPr>
        <w:t>.1</w:t>
      </w:r>
      <w:r w:rsidR="0069230A" w:rsidRPr="00125FAF">
        <w:rPr>
          <w:rFonts w:ascii="Times New Roman" w:eastAsia="Times New Roman" w:hAnsi="Times New Roman" w:cs="Times New Roman"/>
          <w:b/>
          <w:sz w:val="24"/>
          <w:szCs w:val="24"/>
          <w:lang w:eastAsia="ru-RU"/>
        </w:rPr>
        <w:t>:</w:t>
      </w:r>
      <w:r w:rsidRPr="00125FAF">
        <w:rPr>
          <w:rFonts w:ascii="Times New Roman" w:eastAsia="Times New Roman" w:hAnsi="Times New Roman" w:cs="Times New Roman"/>
          <w:sz w:val="24"/>
          <w:szCs w:val="24"/>
          <w:lang w:eastAsia="ru-RU"/>
        </w:rPr>
        <w:t xml:space="preserve"> </w:t>
      </w:r>
      <w:r w:rsidRPr="00125FAF">
        <w:rPr>
          <w:rFonts w:ascii="Times New Roman" w:eastAsia="Times New Roman" w:hAnsi="Times New Roman" w:cs="Times New Roman"/>
          <w:iCs/>
          <w:sz w:val="24"/>
          <w:szCs w:val="24"/>
          <w:lang w:eastAsia="ru-RU"/>
        </w:rPr>
        <w:t xml:space="preserve">Emisiile sectoriale de gaze cu efect de seră direct în Republica Moldova în cadrul scenariului </w:t>
      </w:r>
      <w:proofErr w:type="spellStart"/>
      <w:r w:rsidRPr="00125FAF">
        <w:rPr>
          <w:rFonts w:ascii="Times New Roman" w:eastAsia="Times New Roman" w:hAnsi="Times New Roman" w:cs="Times New Roman"/>
          <w:iCs/>
          <w:sz w:val="24"/>
          <w:szCs w:val="24"/>
          <w:lang w:eastAsia="ru-RU"/>
        </w:rPr>
        <w:t>necondiţionat</w:t>
      </w:r>
      <w:proofErr w:type="spellEnd"/>
      <w:r w:rsidRPr="00125FAF">
        <w:rPr>
          <w:rFonts w:ascii="Times New Roman" w:eastAsia="Times New Roman" w:hAnsi="Times New Roman" w:cs="Times New Roman"/>
          <w:iCs/>
          <w:sz w:val="24"/>
          <w:szCs w:val="24"/>
          <w:lang w:eastAsia="ru-RU"/>
        </w:rPr>
        <w:t xml:space="preserve"> pentru perioada </w:t>
      </w:r>
      <w:proofErr w:type="spellStart"/>
      <w:r w:rsidRPr="00125FAF">
        <w:rPr>
          <w:rFonts w:ascii="Times New Roman" w:eastAsia="Times New Roman" w:hAnsi="Times New Roman" w:cs="Times New Roman"/>
          <w:iCs/>
          <w:sz w:val="24"/>
          <w:szCs w:val="24"/>
          <w:lang w:eastAsia="ru-RU"/>
        </w:rPr>
        <w:t>pînă</w:t>
      </w:r>
      <w:proofErr w:type="spellEnd"/>
      <w:r w:rsidRPr="00125FAF">
        <w:rPr>
          <w:rFonts w:ascii="Times New Roman" w:eastAsia="Times New Roman" w:hAnsi="Times New Roman" w:cs="Times New Roman"/>
          <w:iCs/>
          <w:sz w:val="24"/>
          <w:szCs w:val="24"/>
          <w:lang w:eastAsia="ru-RU"/>
        </w:rPr>
        <w:t xml:space="preserve"> în anul 2030, </w:t>
      </w:r>
      <w:proofErr w:type="spellStart"/>
      <w:r w:rsidRPr="00125FAF">
        <w:rPr>
          <w:rFonts w:ascii="Times New Roman" w:eastAsia="Times New Roman" w:hAnsi="Times New Roman" w:cs="Times New Roman"/>
          <w:iCs/>
          <w:sz w:val="24"/>
          <w:szCs w:val="24"/>
          <w:lang w:eastAsia="ru-RU"/>
        </w:rPr>
        <w:t>Gg</w:t>
      </w:r>
      <w:proofErr w:type="spellEnd"/>
      <w:r w:rsidRPr="00125FAF">
        <w:rPr>
          <w:rFonts w:ascii="Times New Roman" w:eastAsia="Times New Roman" w:hAnsi="Times New Roman" w:cs="Times New Roman"/>
          <w:iCs/>
          <w:sz w:val="24"/>
          <w:szCs w:val="24"/>
          <w:lang w:eastAsia="ru-RU"/>
        </w:rPr>
        <w:t xml:space="preserve"> CO</w:t>
      </w:r>
      <w:r w:rsidRPr="00125FAF">
        <w:rPr>
          <w:rFonts w:ascii="Times New Roman" w:eastAsia="Times New Roman" w:hAnsi="Times New Roman" w:cs="Times New Roman"/>
          <w:iCs/>
          <w:sz w:val="24"/>
          <w:szCs w:val="24"/>
          <w:vertAlign w:val="subscript"/>
          <w:lang w:eastAsia="ru-RU"/>
        </w:rPr>
        <w:t>2</w:t>
      </w:r>
      <w:r w:rsidRPr="00125FAF">
        <w:rPr>
          <w:rFonts w:ascii="Times New Roman" w:eastAsia="Times New Roman" w:hAnsi="Times New Roman" w:cs="Times New Roman"/>
          <w:iCs/>
          <w:sz w:val="24"/>
          <w:szCs w:val="24"/>
          <w:lang w:eastAsia="ru-RU"/>
        </w:rPr>
        <w:t xml:space="preserve"> echivalent</w:t>
      </w:r>
      <w:r w:rsidR="0069230A" w:rsidRPr="00125FAF">
        <w:rPr>
          <w:rFonts w:ascii="Times New Roman" w:eastAsia="Times New Roman" w:hAnsi="Times New Roman" w:cs="Times New Roman"/>
          <w:iCs/>
          <w:sz w:val="24"/>
          <w:szCs w:val="24"/>
          <w:lang w:eastAsia="ru-RU"/>
        </w:rPr>
        <w:t>.</w:t>
      </w:r>
    </w:p>
    <w:p w14:paraId="37877920" w14:textId="77777777" w:rsidR="006364B2" w:rsidRPr="00125FAF" w:rsidRDefault="006364B2" w:rsidP="006364B2">
      <w:pPr>
        <w:spacing w:after="0" w:line="240" w:lineRule="auto"/>
        <w:jc w:val="both"/>
        <w:rPr>
          <w:rFonts w:ascii="Times New Roman" w:eastAsia="Times New Roman" w:hAnsi="Times New Roman" w:cs="Times New Roman"/>
          <w:sz w:val="28"/>
          <w:szCs w:val="28"/>
          <w:lang w:eastAsia="ru-RU"/>
        </w:rPr>
      </w:pPr>
    </w:p>
    <w:p w14:paraId="633E9C56" w14:textId="4657445C" w:rsidR="006364B2" w:rsidRPr="00125FAF" w:rsidRDefault="006364B2" w:rsidP="006364B2">
      <w:pPr>
        <w:spacing w:after="0" w:line="240" w:lineRule="auto"/>
        <w:jc w:val="both"/>
        <w:rPr>
          <w:rFonts w:ascii="Times New Roman" w:eastAsia="Times New Roman" w:hAnsi="Times New Roman" w:cs="Times New Roman"/>
          <w:sz w:val="24"/>
          <w:szCs w:val="24"/>
          <w:lang w:eastAsia="ru-RU"/>
        </w:rPr>
      </w:pPr>
    </w:p>
    <w:p w14:paraId="50AF0693" w14:textId="77777777" w:rsidR="0080628D" w:rsidRPr="00125FAF" w:rsidRDefault="0080628D" w:rsidP="006364B2">
      <w:pPr>
        <w:spacing w:after="0" w:line="240" w:lineRule="auto"/>
        <w:jc w:val="both"/>
        <w:rPr>
          <w:rFonts w:ascii="Times New Roman" w:eastAsia="Times New Roman" w:hAnsi="Times New Roman" w:cs="Times New Roman"/>
          <w:sz w:val="24"/>
          <w:szCs w:val="24"/>
          <w:lang w:eastAsia="ru-RU"/>
        </w:rPr>
      </w:pPr>
      <w:r w:rsidRPr="00125FAF">
        <w:rPr>
          <w:noProof/>
          <w:lang w:val="en-US"/>
        </w:rPr>
        <w:drawing>
          <wp:inline distT="0" distB="0" distL="0" distR="0" wp14:anchorId="7169611C" wp14:editId="2D4FF761">
            <wp:extent cx="5692140" cy="2743200"/>
            <wp:effectExtent l="0" t="0" r="381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59C0D24" w14:textId="50A04C89" w:rsidR="006364B2" w:rsidRPr="00125FAF" w:rsidRDefault="006364B2" w:rsidP="006364B2">
      <w:pPr>
        <w:spacing w:after="0" w:line="240" w:lineRule="auto"/>
        <w:ind w:firstLine="709"/>
        <w:rPr>
          <w:rFonts w:ascii="Times New Roman" w:eastAsia="Times New Roman" w:hAnsi="Times New Roman" w:cs="Times New Roman"/>
          <w:iCs/>
          <w:sz w:val="24"/>
          <w:szCs w:val="24"/>
          <w:lang w:eastAsia="ru-RU"/>
        </w:rPr>
      </w:pPr>
      <w:r w:rsidRPr="00125FAF">
        <w:rPr>
          <w:rFonts w:ascii="Times New Roman" w:eastAsia="Times New Roman" w:hAnsi="Times New Roman" w:cs="Times New Roman"/>
          <w:b/>
          <w:sz w:val="24"/>
          <w:szCs w:val="24"/>
          <w:lang w:eastAsia="ru-RU"/>
        </w:rPr>
        <w:t xml:space="preserve">Figura </w:t>
      </w:r>
      <w:r w:rsidR="00E13B78" w:rsidRPr="00125FAF">
        <w:rPr>
          <w:rFonts w:ascii="Times New Roman" w:eastAsia="Times New Roman" w:hAnsi="Times New Roman" w:cs="Times New Roman"/>
          <w:b/>
          <w:sz w:val="24"/>
          <w:szCs w:val="24"/>
          <w:lang w:eastAsia="ru-RU"/>
        </w:rPr>
        <w:t>4</w:t>
      </w:r>
      <w:r w:rsidRPr="00125FAF">
        <w:rPr>
          <w:rFonts w:ascii="Times New Roman" w:eastAsia="Times New Roman" w:hAnsi="Times New Roman" w:cs="Times New Roman"/>
          <w:b/>
          <w:sz w:val="24"/>
          <w:szCs w:val="24"/>
          <w:lang w:eastAsia="ru-RU"/>
        </w:rPr>
        <w:t>.2</w:t>
      </w:r>
      <w:r w:rsidR="0069230A" w:rsidRPr="00125FAF">
        <w:rPr>
          <w:rFonts w:ascii="Times New Roman" w:eastAsia="Times New Roman" w:hAnsi="Times New Roman" w:cs="Times New Roman"/>
          <w:b/>
          <w:sz w:val="24"/>
          <w:szCs w:val="24"/>
          <w:lang w:eastAsia="ru-RU"/>
        </w:rPr>
        <w:t>:</w:t>
      </w:r>
      <w:r w:rsidRPr="00125FAF">
        <w:rPr>
          <w:rFonts w:ascii="Times New Roman" w:eastAsia="Times New Roman" w:hAnsi="Times New Roman" w:cs="Times New Roman"/>
          <w:sz w:val="24"/>
          <w:szCs w:val="24"/>
          <w:lang w:eastAsia="ru-RU"/>
        </w:rPr>
        <w:t xml:space="preserve"> </w:t>
      </w:r>
      <w:r w:rsidRPr="00125FAF">
        <w:rPr>
          <w:rFonts w:ascii="Times New Roman" w:eastAsia="Times New Roman" w:hAnsi="Times New Roman" w:cs="Times New Roman"/>
          <w:iCs/>
          <w:sz w:val="24"/>
          <w:szCs w:val="24"/>
          <w:lang w:eastAsia="ru-RU"/>
        </w:rPr>
        <w:t xml:space="preserve">Emisiile sectoriale de gaze cu efect de seră direct în Republica Moldova în cadrul scenariului </w:t>
      </w:r>
      <w:proofErr w:type="spellStart"/>
      <w:r w:rsidRPr="00125FAF">
        <w:rPr>
          <w:rFonts w:ascii="Times New Roman" w:eastAsia="Times New Roman" w:hAnsi="Times New Roman" w:cs="Times New Roman"/>
          <w:iCs/>
          <w:sz w:val="24"/>
          <w:szCs w:val="24"/>
          <w:lang w:eastAsia="ru-RU"/>
        </w:rPr>
        <w:t>condiţionat</w:t>
      </w:r>
      <w:proofErr w:type="spellEnd"/>
      <w:r w:rsidRPr="00125FAF">
        <w:rPr>
          <w:rFonts w:ascii="Times New Roman" w:eastAsia="Times New Roman" w:hAnsi="Times New Roman" w:cs="Times New Roman"/>
          <w:iCs/>
          <w:sz w:val="24"/>
          <w:szCs w:val="24"/>
          <w:lang w:eastAsia="ru-RU"/>
        </w:rPr>
        <w:t xml:space="preserve"> pentru perioada </w:t>
      </w:r>
      <w:proofErr w:type="spellStart"/>
      <w:r w:rsidRPr="00125FAF">
        <w:rPr>
          <w:rFonts w:ascii="Times New Roman" w:eastAsia="Times New Roman" w:hAnsi="Times New Roman" w:cs="Times New Roman"/>
          <w:iCs/>
          <w:sz w:val="24"/>
          <w:szCs w:val="24"/>
          <w:lang w:eastAsia="ru-RU"/>
        </w:rPr>
        <w:t>pînă</w:t>
      </w:r>
      <w:proofErr w:type="spellEnd"/>
      <w:r w:rsidRPr="00125FAF">
        <w:rPr>
          <w:rFonts w:ascii="Times New Roman" w:eastAsia="Times New Roman" w:hAnsi="Times New Roman" w:cs="Times New Roman"/>
          <w:iCs/>
          <w:sz w:val="24"/>
          <w:szCs w:val="24"/>
          <w:lang w:eastAsia="ru-RU"/>
        </w:rPr>
        <w:t xml:space="preserve"> în anul 2030, </w:t>
      </w:r>
      <w:proofErr w:type="spellStart"/>
      <w:r w:rsidRPr="00125FAF">
        <w:rPr>
          <w:rFonts w:ascii="Times New Roman" w:eastAsia="Times New Roman" w:hAnsi="Times New Roman" w:cs="Times New Roman"/>
          <w:iCs/>
          <w:sz w:val="24"/>
          <w:szCs w:val="24"/>
          <w:lang w:eastAsia="ru-RU"/>
        </w:rPr>
        <w:t>Gg</w:t>
      </w:r>
      <w:proofErr w:type="spellEnd"/>
      <w:r w:rsidR="00E70219" w:rsidRPr="00125FAF">
        <w:rPr>
          <w:rFonts w:ascii="Times New Roman" w:eastAsia="Times New Roman" w:hAnsi="Times New Roman" w:cs="Times New Roman"/>
          <w:iCs/>
          <w:sz w:val="24"/>
          <w:szCs w:val="24"/>
          <w:lang w:eastAsia="ru-RU"/>
        </w:rPr>
        <w:t xml:space="preserve"> </w:t>
      </w:r>
      <w:r w:rsidRPr="00125FAF">
        <w:rPr>
          <w:rFonts w:ascii="Times New Roman" w:eastAsia="Times New Roman" w:hAnsi="Times New Roman" w:cs="Times New Roman"/>
          <w:iCs/>
          <w:sz w:val="24"/>
          <w:szCs w:val="24"/>
          <w:lang w:eastAsia="ru-RU"/>
        </w:rPr>
        <w:t>CO</w:t>
      </w:r>
      <w:r w:rsidRPr="00125FAF">
        <w:rPr>
          <w:rFonts w:ascii="Times New Roman" w:eastAsia="Times New Roman" w:hAnsi="Times New Roman" w:cs="Times New Roman"/>
          <w:iCs/>
          <w:sz w:val="24"/>
          <w:szCs w:val="24"/>
          <w:vertAlign w:val="subscript"/>
          <w:lang w:eastAsia="ru-RU"/>
        </w:rPr>
        <w:t>2</w:t>
      </w:r>
      <w:r w:rsidRPr="00125FAF">
        <w:rPr>
          <w:rFonts w:ascii="Times New Roman" w:eastAsia="Times New Roman" w:hAnsi="Times New Roman" w:cs="Times New Roman"/>
          <w:iCs/>
          <w:sz w:val="24"/>
          <w:szCs w:val="24"/>
          <w:lang w:eastAsia="ru-RU"/>
        </w:rPr>
        <w:t xml:space="preserve"> echivalent</w:t>
      </w:r>
      <w:r w:rsidR="00D4322A" w:rsidRPr="00125FAF">
        <w:rPr>
          <w:rFonts w:ascii="Times New Roman" w:eastAsia="Times New Roman" w:hAnsi="Times New Roman" w:cs="Times New Roman"/>
          <w:iCs/>
          <w:sz w:val="24"/>
          <w:szCs w:val="24"/>
          <w:lang w:eastAsia="ru-RU"/>
        </w:rPr>
        <w:t>.</w:t>
      </w:r>
    </w:p>
    <w:p w14:paraId="2EB112D1" w14:textId="77777777" w:rsidR="006364B2" w:rsidRPr="00125FAF" w:rsidRDefault="006364B2" w:rsidP="006364B2">
      <w:pPr>
        <w:spacing w:after="0" w:line="240" w:lineRule="auto"/>
        <w:ind w:firstLine="720"/>
        <w:jc w:val="both"/>
        <w:rPr>
          <w:rFonts w:ascii="Times New Roman" w:eastAsia="Times New Roman" w:hAnsi="Times New Roman" w:cs="Times New Roman"/>
          <w:color w:val="000000"/>
          <w:sz w:val="24"/>
          <w:szCs w:val="24"/>
          <w:shd w:val="clear" w:color="auto" w:fill="FFFFFF"/>
          <w:lang w:eastAsia="ru-RU"/>
        </w:rPr>
      </w:pPr>
    </w:p>
    <w:p w14:paraId="5A2BB59D" w14:textId="0D210BBF" w:rsidR="006364B2" w:rsidRPr="00125FAF" w:rsidRDefault="006364B2" w:rsidP="00DF42B1">
      <w:pPr>
        <w:spacing w:after="120" w:line="240" w:lineRule="auto"/>
        <w:ind w:firstLine="720"/>
        <w:jc w:val="both"/>
        <w:rPr>
          <w:rFonts w:ascii="Times New Roman" w:eastAsia="Times New Roman" w:hAnsi="Times New Roman" w:cs="Times New Roman"/>
          <w:sz w:val="24"/>
          <w:szCs w:val="24"/>
          <w:lang w:eastAsia="ru-RU"/>
        </w:rPr>
      </w:pPr>
      <w:r w:rsidRPr="00125FAF">
        <w:rPr>
          <w:rFonts w:ascii="Times New Roman" w:eastAsia="Times New Roman" w:hAnsi="Times New Roman" w:cs="Times New Roman"/>
          <w:color w:val="000000"/>
          <w:sz w:val="24"/>
          <w:szCs w:val="24"/>
          <w:shd w:val="clear" w:color="auto" w:fill="FFFFFF"/>
          <w:lang w:eastAsia="ru-RU"/>
        </w:rPr>
        <w:t>2</w:t>
      </w:r>
      <w:r w:rsidR="007909C8" w:rsidRPr="00125FAF">
        <w:rPr>
          <w:rFonts w:ascii="Times New Roman" w:eastAsia="Times New Roman" w:hAnsi="Times New Roman" w:cs="Times New Roman"/>
          <w:color w:val="000000"/>
          <w:sz w:val="24"/>
          <w:szCs w:val="24"/>
          <w:shd w:val="clear" w:color="auto" w:fill="FFFFFF"/>
          <w:lang w:eastAsia="ru-RU"/>
        </w:rPr>
        <w:t>3</w:t>
      </w:r>
      <w:r w:rsidRPr="00125FAF">
        <w:rPr>
          <w:rFonts w:ascii="Times New Roman" w:eastAsia="Times New Roman" w:hAnsi="Times New Roman" w:cs="Times New Roman"/>
          <w:color w:val="000000"/>
          <w:sz w:val="24"/>
          <w:szCs w:val="24"/>
          <w:shd w:val="clear" w:color="auto" w:fill="FFFFFF"/>
          <w:lang w:eastAsia="ru-RU"/>
        </w:rPr>
        <w:t xml:space="preserve">. </w:t>
      </w:r>
      <w:proofErr w:type="spellStart"/>
      <w:r w:rsidRPr="00125FAF">
        <w:rPr>
          <w:rFonts w:ascii="Times New Roman" w:eastAsia="Times New Roman" w:hAnsi="Times New Roman" w:cs="Times New Roman"/>
          <w:color w:val="000000"/>
          <w:sz w:val="24"/>
          <w:szCs w:val="24"/>
          <w:shd w:val="clear" w:color="auto" w:fill="FFFFFF"/>
          <w:lang w:eastAsia="ru-RU"/>
        </w:rPr>
        <w:t>Ţint</w:t>
      </w:r>
      <w:r w:rsidR="0080628D" w:rsidRPr="00125FAF">
        <w:rPr>
          <w:rFonts w:ascii="Times New Roman" w:eastAsia="Times New Roman" w:hAnsi="Times New Roman" w:cs="Times New Roman"/>
          <w:color w:val="000000"/>
          <w:sz w:val="24"/>
          <w:szCs w:val="24"/>
          <w:shd w:val="clear" w:color="auto" w:fill="FFFFFF"/>
          <w:lang w:eastAsia="ru-RU"/>
        </w:rPr>
        <w:t>ă</w:t>
      </w:r>
      <w:proofErr w:type="spellEnd"/>
      <w:r w:rsidRPr="00125FAF">
        <w:rPr>
          <w:rFonts w:ascii="Times New Roman" w:eastAsia="Times New Roman" w:hAnsi="Times New Roman" w:cs="Times New Roman"/>
          <w:color w:val="000000"/>
          <w:sz w:val="24"/>
          <w:szCs w:val="24"/>
          <w:shd w:val="clear" w:color="auto" w:fill="FFFFFF"/>
          <w:lang w:eastAsia="ru-RU"/>
        </w:rPr>
        <w:t xml:space="preserve"> intermediar</w:t>
      </w:r>
      <w:r w:rsidR="0080628D" w:rsidRPr="00125FAF">
        <w:rPr>
          <w:rFonts w:ascii="Times New Roman" w:eastAsia="Times New Roman" w:hAnsi="Times New Roman" w:cs="Times New Roman"/>
          <w:color w:val="000000"/>
          <w:sz w:val="24"/>
          <w:szCs w:val="24"/>
          <w:shd w:val="clear" w:color="auto" w:fill="FFFFFF"/>
          <w:lang w:eastAsia="ru-RU"/>
        </w:rPr>
        <w:t>ă</w:t>
      </w:r>
      <w:r w:rsidRPr="00125FAF">
        <w:rPr>
          <w:rFonts w:ascii="Times New Roman" w:eastAsia="Times New Roman" w:hAnsi="Times New Roman" w:cs="Times New Roman"/>
          <w:color w:val="000000"/>
          <w:sz w:val="24"/>
          <w:szCs w:val="24"/>
          <w:shd w:val="clear" w:color="auto" w:fill="FFFFFF"/>
          <w:lang w:eastAsia="ru-RU"/>
        </w:rPr>
        <w:t xml:space="preserve"> a fost stabilit</w:t>
      </w:r>
      <w:r w:rsidR="0080628D" w:rsidRPr="00125FAF">
        <w:rPr>
          <w:rFonts w:ascii="Times New Roman" w:eastAsia="Times New Roman" w:hAnsi="Times New Roman" w:cs="Times New Roman"/>
          <w:color w:val="000000"/>
          <w:sz w:val="24"/>
          <w:szCs w:val="24"/>
          <w:shd w:val="clear" w:color="auto" w:fill="FFFFFF"/>
          <w:lang w:eastAsia="ru-RU"/>
        </w:rPr>
        <w:t>ă</w:t>
      </w:r>
      <w:r w:rsidRPr="00125FAF">
        <w:rPr>
          <w:rFonts w:ascii="Times New Roman" w:eastAsia="Times New Roman" w:hAnsi="Times New Roman" w:cs="Times New Roman"/>
          <w:color w:val="000000"/>
          <w:sz w:val="24"/>
          <w:szCs w:val="24"/>
          <w:shd w:val="clear" w:color="auto" w:fill="FFFFFF"/>
          <w:lang w:eastAsia="ru-RU"/>
        </w:rPr>
        <w:t xml:space="preserve"> pentru an</w:t>
      </w:r>
      <w:r w:rsidR="0080628D" w:rsidRPr="00125FAF">
        <w:rPr>
          <w:rFonts w:ascii="Times New Roman" w:eastAsia="Times New Roman" w:hAnsi="Times New Roman" w:cs="Times New Roman"/>
          <w:color w:val="000000"/>
          <w:sz w:val="24"/>
          <w:szCs w:val="24"/>
          <w:shd w:val="clear" w:color="auto" w:fill="FFFFFF"/>
          <w:lang w:eastAsia="ru-RU"/>
        </w:rPr>
        <w:t>ul</w:t>
      </w:r>
      <w:r w:rsidRPr="00125FAF">
        <w:rPr>
          <w:rFonts w:ascii="Times New Roman" w:eastAsia="Times New Roman" w:hAnsi="Times New Roman" w:cs="Times New Roman"/>
          <w:color w:val="000000"/>
          <w:sz w:val="24"/>
          <w:szCs w:val="24"/>
          <w:shd w:val="clear" w:color="auto" w:fill="FFFFFF"/>
          <w:lang w:eastAsia="ru-RU"/>
        </w:rPr>
        <w:t xml:space="preserve"> 2025 </w:t>
      </w:r>
      <w:proofErr w:type="spellStart"/>
      <w:r w:rsidRPr="00125FAF">
        <w:rPr>
          <w:rFonts w:ascii="Times New Roman" w:eastAsia="Times New Roman" w:hAnsi="Times New Roman" w:cs="Times New Roman"/>
          <w:color w:val="000000"/>
          <w:sz w:val="24"/>
          <w:szCs w:val="24"/>
          <w:shd w:val="clear" w:color="auto" w:fill="FFFFFF"/>
          <w:lang w:eastAsia="ru-RU"/>
        </w:rPr>
        <w:t>şi</w:t>
      </w:r>
      <w:proofErr w:type="spellEnd"/>
      <w:r w:rsidRPr="00125FAF">
        <w:rPr>
          <w:rFonts w:ascii="Times New Roman" w:eastAsia="Times New Roman" w:hAnsi="Times New Roman" w:cs="Times New Roman"/>
          <w:color w:val="000000"/>
          <w:sz w:val="24"/>
          <w:szCs w:val="24"/>
          <w:shd w:val="clear" w:color="auto" w:fill="FFFFFF"/>
          <w:lang w:eastAsia="ru-RU"/>
        </w:rPr>
        <w:t xml:space="preserve"> prev</w:t>
      </w:r>
      <w:r w:rsidR="0080628D" w:rsidRPr="00125FAF">
        <w:rPr>
          <w:rFonts w:ascii="Times New Roman" w:eastAsia="Times New Roman" w:hAnsi="Times New Roman" w:cs="Times New Roman"/>
          <w:color w:val="000000"/>
          <w:sz w:val="24"/>
          <w:szCs w:val="24"/>
          <w:shd w:val="clear" w:color="auto" w:fill="FFFFFF"/>
          <w:lang w:eastAsia="ru-RU"/>
        </w:rPr>
        <w:t>ede pentru acest an</w:t>
      </w:r>
      <w:r w:rsidRPr="00125FAF">
        <w:rPr>
          <w:rFonts w:ascii="Times New Roman" w:eastAsia="Times New Roman" w:hAnsi="Times New Roman" w:cs="Times New Roman"/>
          <w:color w:val="000000"/>
          <w:sz w:val="24"/>
          <w:szCs w:val="24"/>
          <w:lang w:eastAsia="ru-RU"/>
        </w:rPr>
        <w:t xml:space="preserve"> </w:t>
      </w:r>
      <w:r w:rsidRPr="00125FAF">
        <w:rPr>
          <w:rFonts w:ascii="Times New Roman" w:eastAsia="Times New Roman" w:hAnsi="Times New Roman" w:cs="Times New Roman"/>
          <w:color w:val="000000"/>
          <w:sz w:val="24"/>
          <w:szCs w:val="24"/>
          <w:shd w:val="clear" w:color="auto" w:fill="FFFFFF"/>
          <w:lang w:eastAsia="ru-RU"/>
        </w:rPr>
        <w:t xml:space="preserve">reducerea emisiilor totale </w:t>
      </w:r>
      <w:proofErr w:type="spellStart"/>
      <w:r w:rsidRPr="00125FAF">
        <w:rPr>
          <w:rFonts w:ascii="Times New Roman" w:eastAsia="Times New Roman" w:hAnsi="Times New Roman" w:cs="Times New Roman"/>
          <w:color w:val="000000"/>
          <w:sz w:val="24"/>
          <w:szCs w:val="24"/>
          <w:shd w:val="clear" w:color="auto" w:fill="FFFFFF"/>
          <w:lang w:eastAsia="ru-RU"/>
        </w:rPr>
        <w:t>naţionale</w:t>
      </w:r>
      <w:proofErr w:type="spellEnd"/>
      <w:r w:rsidRPr="00125FAF">
        <w:rPr>
          <w:rFonts w:ascii="Times New Roman" w:eastAsia="Times New Roman" w:hAnsi="Times New Roman" w:cs="Times New Roman"/>
          <w:color w:val="000000"/>
          <w:sz w:val="24"/>
          <w:szCs w:val="24"/>
          <w:shd w:val="clear" w:color="auto" w:fill="FFFFFF"/>
          <w:lang w:eastAsia="ru-RU"/>
        </w:rPr>
        <w:t xml:space="preserve"> de gaze cu efect de seră cu nu mai </w:t>
      </w:r>
      <w:proofErr w:type="spellStart"/>
      <w:r w:rsidRPr="00125FAF">
        <w:rPr>
          <w:rFonts w:ascii="Times New Roman" w:eastAsia="Times New Roman" w:hAnsi="Times New Roman" w:cs="Times New Roman"/>
          <w:color w:val="000000"/>
          <w:sz w:val="24"/>
          <w:szCs w:val="24"/>
          <w:shd w:val="clear" w:color="auto" w:fill="FFFFFF"/>
          <w:lang w:eastAsia="ru-RU"/>
        </w:rPr>
        <w:t>puţin</w:t>
      </w:r>
      <w:proofErr w:type="spellEnd"/>
      <w:r w:rsidRPr="00125FAF">
        <w:rPr>
          <w:rFonts w:ascii="Times New Roman" w:eastAsia="Times New Roman" w:hAnsi="Times New Roman" w:cs="Times New Roman"/>
          <w:color w:val="000000"/>
          <w:sz w:val="24"/>
          <w:szCs w:val="24"/>
          <w:shd w:val="clear" w:color="auto" w:fill="FFFFFF"/>
          <w:lang w:eastAsia="ru-RU"/>
        </w:rPr>
        <w:t xml:space="preserve"> de </w:t>
      </w:r>
      <w:r w:rsidR="0080628D" w:rsidRPr="00125FAF">
        <w:rPr>
          <w:rFonts w:ascii="Times New Roman" w:eastAsia="Times New Roman" w:hAnsi="Times New Roman" w:cs="Times New Roman"/>
          <w:color w:val="000000"/>
          <w:sz w:val="24"/>
          <w:szCs w:val="24"/>
          <w:shd w:val="clear" w:color="auto" w:fill="FFFFFF"/>
          <w:lang w:eastAsia="ru-RU"/>
        </w:rPr>
        <w:t>71</w:t>
      </w:r>
      <w:r w:rsidRPr="00125FAF">
        <w:rPr>
          <w:rFonts w:ascii="Times New Roman" w:eastAsia="Times New Roman" w:hAnsi="Times New Roman" w:cs="Times New Roman"/>
          <w:color w:val="000000"/>
          <w:sz w:val="24"/>
          <w:szCs w:val="24"/>
          <w:shd w:val="clear" w:color="auto" w:fill="FFFFFF"/>
          <w:lang w:eastAsia="ru-RU"/>
        </w:rPr>
        <w:t xml:space="preserve">% comparativ cu nivelul anului 1990, aceste </w:t>
      </w:r>
      <w:proofErr w:type="spellStart"/>
      <w:r w:rsidRPr="00125FAF">
        <w:rPr>
          <w:rFonts w:ascii="Times New Roman" w:eastAsia="Times New Roman" w:hAnsi="Times New Roman" w:cs="Times New Roman"/>
          <w:color w:val="000000"/>
          <w:sz w:val="24"/>
          <w:szCs w:val="24"/>
          <w:shd w:val="clear" w:color="auto" w:fill="FFFFFF"/>
          <w:lang w:eastAsia="ru-RU"/>
        </w:rPr>
        <w:t>ţinte</w:t>
      </w:r>
      <w:proofErr w:type="spellEnd"/>
      <w:r w:rsidRPr="00125FAF">
        <w:rPr>
          <w:rFonts w:ascii="Times New Roman" w:eastAsia="Times New Roman" w:hAnsi="Times New Roman" w:cs="Times New Roman"/>
          <w:color w:val="000000"/>
          <w:sz w:val="24"/>
          <w:szCs w:val="24"/>
          <w:shd w:val="clear" w:color="auto" w:fill="FFFFFF"/>
          <w:lang w:eastAsia="ru-RU"/>
        </w:rPr>
        <w:t xml:space="preserve"> put</w:t>
      </w:r>
      <w:r w:rsidR="0080628D" w:rsidRPr="00125FAF">
        <w:rPr>
          <w:rFonts w:ascii="Times New Roman" w:eastAsia="Times New Roman" w:hAnsi="Times New Roman" w:cs="Times New Roman"/>
          <w:color w:val="000000"/>
          <w:sz w:val="24"/>
          <w:szCs w:val="24"/>
          <w:shd w:val="clear" w:color="auto" w:fill="FFFFFF"/>
          <w:lang w:eastAsia="ru-RU"/>
        </w:rPr>
        <w:t>â</w:t>
      </w:r>
      <w:r w:rsidRPr="00125FAF">
        <w:rPr>
          <w:rFonts w:ascii="Times New Roman" w:eastAsia="Times New Roman" w:hAnsi="Times New Roman" w:cs="Times New Roman"/>
          <w:color w:val="000000"/>
          <w:sz w:val="24"/>
          <w:szCs w:val="24"/>
          <w:shd w:val="clear" w:color="auto" w:fill="FFFFFF"/>
          <w:lang w:eastAsia="ru-RU"/>
        </w:rPr>
        <w:t xml:space="preserve">nd fi majorate în </w:t>
      </w:r>
      <w:proofErr w:type="spellStart"/>
      <w:r w:rsidRPr="00125FAF">
        <w:rPr>
          <w:rFonts w:ascii="Times New Roman" w:eastAsia="Times New Roman" w:hAnsi="Times New Roman" w:cs="Times New Roman"/>
          <w:color w:val="000000"/>
          <w:sz w:val="24"/>
          <w:szCs w:val="24"/>
          <w:shd w:val="clear" w:color="auto" w:fill="FFFFFF"/>
          <w:lang w:eastAsia="ru-RU"/>
        </w:rPr>
        <w:t>condiţiile</w:t>
      </w:r>
      <w:proofErr w:type="spellEnd"/>
      <w:r w:rsidRPr="00125FAF">
        <w:rPr>
          <w:rFonts w:ascii="Times New Roman" w:eastAsia="Times New Roman" w:hAnsi="Times New Roman" w:cs="Times New Roman"/>
          <w:color w:val="000000"/>
          <w:sz w:val="24"/>
          <w:szCs w:val="24"/>
          <w:shd w:val="clear" w:color="auto" w:fill="FFFFFF"/>
          <w:lang w:eastAsia="ru-RU"/>
        </w:rPr>
        <w:t xml:space="preserve"> </w:t>
      </w:r>
      <w:proofErr w:type="spellStart"/>
      <w:r w:rsidRPr="00125FAF">
        <w:rPr>
          <w:rFonts w:ascii="Times New Roman" w:eastAsia="Times New Roman" w:hAnsi="Times New Roman" w:cs="Times New Roman"/>
          <w:color w:val="000000"/>
          <w:sz w:val="24"/>
          <w:szCs w:val="24"/>
          <w:shd w:val="clear" w:color="auto" w:fill="FFFFFF"/>
          <w:lang w:eastAsia="ru-RU"/>
        </w:rPr>
        <w:t>prezenţei</w:t>
      </w:r>
      <w:proofErr w:type="spellEnd"/>
      <w:r w:rsidRPr="00125FAF">
        <w:rPr>
          <w:rFonts w:ascii="Times New Roman" w:eastAsia="Times New Roman" w:hAnsi="Times New Roman" w:cs="Times New Roman"/>
          <w:color w:val="000000"/>
          <w:sz w:val="24"/>
          <w:szCs w:val="24"/>
          <w:shd w:val="clear" w:color="auto" w:fill="FFFFFF"/>
          <w:lang w:eastAsia="ru-RU"/>
        </w:rPr>
        <w:t xml:space="preserve"> unui suport financiar mai considerabil </w:t>
      </w:r>
      <w:r w:rsidR="0069230A" w:rsidRPr="00125FAF">
        <w:rPr>
          <w:rFonts w:ascii="Times New Roman" w:eastAsia="Times New Roman" w:hAnsi="Times New Roman" w:cs="Times New Roman"/>
          <w:color w:val="000000"/>
          <w:sz w:val="24"/>
          <w:szCs w:val="24"/>
          <w:shd w:val="clear" w:color="auto" w:fill="FFFFFF"/>
          <w:lang w:eastAsia="ru-RU"/>
        </w:rPr>
        <w:t xml:space="preserve">din partea donatorilor </w:t>
      </w:r>
      <w:proofErr w:type="spellStart"/>
      <w:r w:rsidR="0069230A" w:rsidRPr="00125FAF">
        <w:rPr>
          <w:rFonts w:ascii="Times New Roman" w:eastAsia="Times New Roman" w:hAnsi="Times New Roman" w:cs="Times New Roman"/>
          <w:color w:val="000000"/>
          <w:sz w:val="24"/>
          <w:szCs w:val="24"/>
          <w:shd w:val="clear" w:color="auto" w:fill="FFFFFF"/>
          <w:lang w:eastAsia="ru-RU"/>
        </w:rPr>
        <w:t>internaţionali</w:t>
      </w:r>
      <w:proofErr w:type="spellEnd"/>
      <w:r w:rsidRPr="00125FAF">
        <w:rPr>
          <w:rFonts w:ascii="Times New Roman" w:eastAsia="Times New Roman" w:hAnsi="Times New Roman" w:cs="Times New Roman"/>
          <w:color w:val="000000"/>
          <w:sz w:val="24"/>
          <w:szCs w:val="24"/>
          <w:shd w:val="clear" w:color="auto" w:fill="FFFFFF"/>
          <w:lang w:eastAsia="ru-RU"/>
        </w:rPr>
        <w:t xml:space="preserve">. </w:t>
      </w:r>
      <w:proofErr w:type="spellStart"/>
      <w:r w:rsidRPr="00125FAF">
        <w:rPr>
          <w:rFonts w:ascii="Times New Roman" w:eastAsia="Times New Roman" w:hAnsi="Times New Roman" w:cs="Times New Roman"/>
          <w:color w:val="000000"/>
          <w:sz w:val="24"/>
          <w:szCs w:val="24"/>
          <w:shd w:val="clear" w:color="auto" w:fill="FFFFFF"/>
          <w:lang w:eastAsia="ru-RU"/>
        </w:rPr>
        <w:t>Ţintele</w:t>
      </w:r>
      <w:proofErr w:type="spellEnd"/>
      <w:r w:rsidRPr="00125FAF">
        <w:rPr>
          <w:rFonts w:ascii="Times New Roman" w:eastAsia="Times New Roman" w:hAnsi="Times New Roman" w:cs="Times New Roman"/>
          <w:color w:val="000000"/>
          <w:sz w:val="24"/>
          <w:szCs w:val="24"/>
          <w:shd w:val="clear" w:color="auto" w:fill="FFFFFF"/>
          <w:lang w:eastAsia="ru-RU"/>
        </w:rPr>
        <w:t xml:space="preserve"> pentru fiecare sector în parte</w:t>
      </w:r>
      <w:r w:rsidR="006F7BA8" w:rsidRPr="00125FAF">
        <w:rPr>
          <w:rFonts w:ascii="Times New Roman" w:eastAsia="Times New Roman" w:hAnsi="Times New Roman" w:cs="Times New Roman"/>
          <w:color w:val="000000"/>
          <w:sz w:val="24"/>
          <w:szCs w:val="24"/>
          <w:shd w:val="clear" w:color="auto" w:fill="FFFFFF"/>
          <w:lang w:eastAsia="ru-RU"/>
        </w:rPr>
        <w:t>, inclusiv intermediare,</w:t>
      </w:r>
      <w:r w:rsidRPr="00125FAF">
        <w:rPr>
          <w:rFonts w:ascii="Times New Roman" w:eastAsia="Times New Roman" w:hAnsi="Times New Roman" w:cs="Times New Roman"/>
          <w:color w:val="000000"/>
          <w:sz w:val="24"/>
          <w:szCs w:val="24"/>
          <w:shd w:val="clear" w:color="auto" w:fill="FFFFFF"/>
          <w:lang w:eastAsia="ru-RU"/>
        </w:rPr>
        <w:t xml:space="preserve"> </w:t>
      </w:r>
      <w:proofErr w:type="spellStart"/>
      <w:r w:rsidRPr="00125FAF">
        <w:rPr>
          <w:rFonts w:ascii="Times New Roman" w:eastAsia="Times New Roman" w:hAnsi="Times New Roman" w:cs="Times New Roman"/>
          <w:color w:val="000000"/>
          <w:sz w:val="24"/>
          <w:szCs w:val="24"/>
          <w:shd w:val="clear" w:color="auto" w:fill="FFFFFF"/>
          <w:lang w:eastAsia="ru-RU"/>
        </w:rPr>
        <w:t>sînt</w:t>
      </w:r>
      <w:proofErr w:type="spellEnd"/>
      <w:r w:rsidRPr="00125FAF">
        <w:rPr>
          <w:rFonts w:ascii="Times New Roman" w:eastAsia="Times New Roman" w:hAnsi="Times New Roman" w:cs="Times New Roman"/>
          <w:color w:val="000000"/>
          <w:sz w:val="24"/>
          <w:szCs w:val="24"/>
          <w:shd w:val="clear" w:color="auto" w:fill="FFFFFF"/>
          <w:lang w:eastAsia="ru-RU"/>
        </w:rPr>
        <w:t xml:space="preserve"> prezentate în </w:t>
      </w:r>
      <w:r w:rsidR="00E13B78" w:rsidRPr="00125FAF">
        <w:rPr>
          <w:rFonts w:ascii="Times New Roman" w:eastAsia="Times New Roman" w:hAnsi="Times New Roman" w:cs="Times New Roman"/>
          <w:color w:val="000000"/>
          <w:sz w:val="24"/>
          <w:szCs w:val="24"/>
          <w:shd w:val="clear" w:color="auto" w:fill="FFFFFF"/>
          <w:lang w:eastAsia="ru-RU"/>
        </w:rPr>
        <w:t>Tab.</w:t>
      </w:r>
      <w:r w:rsidRPr="00125FAF">
        <w:rPr>
          <w:rFonts w:ascii="Times New Roman" w:eastAsia="Times New Roman" w:hAnsi="Times New Roman" w:cs="Times New Roman"/>
          <w:color w:val="000000"/>
          <w:sz w:val="24"/>
          <w:szCs w:val="24"/>
          <w:shd w:val="clear" w:color="auto" w:fill="FFFFFF"/>
          <w:lang w:eastAsia="ru-RU"/>
        </w:rPr>
        <w:t xml:space="preserve"> </w:t>
      </w:r>
      <w:r w:rsidR="00E13B78" w:rsidRPr="00125FAF">
        <w:rPr>
          <w:rFonts w:ascii="Times New Roman" w:eastAsia="Times New Roman" w:hAnsi="Times New Roman" w:cs="Times New Roman"/>
          <w:color w:val="000000"/>
          <w:sz w:val="24"/>
          <w:szCs w:val="24"/>
          <w:shd w:val="clear" w:color="auto" w:fill="FFFFFF"/>
          <w:lang w:eastAsia="ru-RU"/>
        </w:rPr>
        <w:t>4</w:t>
      </w:r>
      <w:r w:rsidRPr="00125FAF">
        <w:rPr>
          <w:rFonts w:ascii="Times New Roman" w:eastAsia="Times New Roman" w:hAnsi="Times New Roman" w:cs="Times New Roman"/>
          <w:color w:val="000000"/>
          <w:sz w:val="24"/>
          <w:szCs w:val="24"/>
          <w:shd w:val="clear" w:color="auto" w:fill="FFFFFF"/>
          <w:lang w:eastAsia="ru-RU"/>
        </w:rPr>
        <w:t>.2.</w:t>
      </w:r>
    </w:p>
    <w:p w14:paraId="7C0723FB" w14:textId="68B6116E" w:rsidR="006364B2" w:rsidRPr="00125FAF" w:rsidRDefault="006364B2" w:rsidP="00DF42B1">
      <w:pPr>
        <w:spacing w:after="120" w:line="240" w:lineRule="auto"/>
        <w:ind w:firstLine="720"/>
        <w:jc w:val="right"/>
        <w:rPr>
          <w:rFonts w:ascii="Times New Roman" w:eastAsia="Times New Roman" w:hAnsi="Times New Roman" w:cs="Times New Roman"/>
          <w:color w:val="000000"/>
          <w:sz w:val="24"/>
          <w:szCs w:val="24"/>
          <w:shd w:val="clear" w:color="auto" w:fill="FFFFFF"/>
          <w:lang w:eastAsia="ru-RU"/>
        </w:rPr>
      </w:pPr>
      <w:r w:rsidRPr="00125FAF">
        <w:rPr>
          <w:rFonts w:ascii="Times New Roman" w:eastAsia="Times New Roman" w:hAnsi="Times New Roman" w:cs="Times New Roman"/>
          <w:color w:val="000000"/>
          <w:sz w:val="24"/>
          <w:szCs w:val="24"/>
          <w:shd w:val="clear" w:color="auto" w:fill="FFFFFF"/>
          <w:lang w:eastAsia="ru-RU"/>
        </w:rPr>
        <w:t xml:space="preserve">Tabelul </w:t>
      </w:r>
      <w:r w:rsidR="00E13B78" w:rsidRPr="00125FAF">
        <w:rPr>
          <w:rFonts w:ascii="Times New Roman" w:eastAsia="Times New Roman" w:hAnsi="Times New Roman" w:cs="Times New Roman"/>
          <w:color w:val="000000"/>
          <w:sz w:val="24"/>
          <w:szCs w:val="24"/>
          <w:shd w:val="clear" w:color="auto" w:fill="FFFFFF"/>
          <w:lang w:eastAsia="ru-RU"/>
        </w:rPr>
        <w:t>4</w:t>
      </w:r>
      <w:r w:rsidRPr="00125FAF">
        <w:rPr>
          <w:rFonts w:ascii="Times New Roman" w:eastAsia="Times New Roman" w:hAnsi="Times New Roman" w:cs="Times New Roman"/>
          <w:color w:val="000000"/>
          <w:sz w:val="24"/>
          <w:szCs w:val="24"/>
          <w:shd w:val="clear" w:color="auto" w:fill="FFFFFF"/>
          <w:lang w:eastAsia="ru-RU"/>
        </w:rPr>
        <w:t>.2</w:t>
      </w:r>
    </w:p>
    <w:p w14:paraId="38FC4806" w14:textId="7F1B9AF4" w:rsidR="006364B2" w:rsidRPr="00125FAF" w:rsidRDefault="006364B2" w:rsidP="006364B2">
      <w:pPr>
        <w:spacing w:after="0" w:line="240" w:lineRule="auto"/>
        <w:jc w:val="center"/>
        <w:rPr>
          <w:rFonts w:ascii="Times New Roman" w:eastAsia="Times New Roman" w:hAnsi="Times New Roman" w:cs="Times New Roman"/>
          <w:b/>
          <w:color w:val="000000"/>
          <w:sz w:val="24"/>
          <w:szCs w:val="24"/>
          <w:shd w:val="clear" w:color="auto" w:fill="FFFFFF"/>
          <w:lang w:eastAsia="ru-RU"/>
        </w:rPr>
      </w:pPr>
      <w:proofErr w:type="spellStart"/>
      <w:r w:rsidRPr="00125FAF">
        <w:rPr>
          <w:rFonts w:ascii="Times New Roman" w:eastAsia="Times New Roman" w:hAnsi="Times New Roman" w:cs="Times New Roman"/>
          <w:b/>
          <w:color w:val="000000"/>
          <w:sz w:val="24"/>
          <w:szCs w:val="24"/>
          <w:shd w:val="clear" w:color="auto" w:fill="FFFFFF"/>
          <w:lang w:eastAsia="ru-RU"/>
        </w:rPr>
        <w:t>Ţintele</w:t>
      </w:r>
      <w:proofErr w:type="spellEnd"/>
      <w:r w:rsidRPr="00125FAF">
        <w:rPr>
          <w:rFonts w:ascii="Times New Roman" w:eastAsia="Times New Roman" w:hAnsi="Times New Roman" w:cs="Times New Roman"/>
          <w:b/>
          <w:color w:val="000000"/>
          <w:sz w:val="24"/>
          <w:szCs w:val="24"/>
          <w:shd w:val="clear" w:color="auto" w:fill="FFFFFF"/>
          <w:lang w:eastAsia="ru-RU"/>
        </w:rPr>
        <w:t xml:space="preserve"> intermediare </w:t>
      </w:r>
      <w:proofErr w:type="spellStart"/>
      <w:r w:rsidR="00DF42B1" w:rsidRPr="00125FAF">
        <w:rPr>
          <w:rFonts w:ascii="Times New Roman" w:eastAsia="Times New Roman" w:hAnsi="Times New Roman" w:cs="Times New Roman"/>
          <w:b/>
          <w:color w:val="000000"/>
          <w:sz w:val="24"/>
          <w:szCs w:val="24"/>
          <w:shd w:val="clear" w:color="auto" w:fill="FFFFFF"/>
          <w:lang w:eastAsia="ru-RU"/>
        </w:rPr>
        <w:t>şi</w:t>
      </w:r>
      <w:proofErr w:type="spellEnd"/>
      <w:r w:rsidR="00DF42B1" w:rsidRPr="00125FAF">
        <w:rPr>
          <w:rFonts w:ascii="Times New Roman" w:eastAsia="Times New Roman" w:hAnsi="Times New Roman" w:cs="Times New Roman"/>
          <w:b/>
          <w:color w:val="000000"/>
          <w:sz w:val="24"/>
          <w:szCs w:val="24"/>
          <w:shd w:val="clear" w:color="auto" w:fill="FFFFFF"/>
          <w:lang w:eastAsia="ru-RU"/>
        </w:rPr>
        <w:t xml:space="preserve"> totale </w:t>
      </w:r>
      <w:r w:rsidRPr="00125FAF">
        <w:rPr>
          <w:rFonts w:ascii="Times New Roman" w:eastAsia="Times New Roman" w:hAnsi="Times New Roman" w:cs="Times New Roman"/>
          <w:b/>
          <w:color w:val="000000"/>
          <w:sz w:val="24"/>
          <w:szCs w:val="24"/>
          <w:shd w:val="clear" w:color="auto" w:fill="FFFFFF"/>
          <w:lang w:eastAsia="ru-RU"/>
        </w:rPr>
        <w:t xml:space="preserve">ale </w:t>
      </w:r>
      <w:r w:rsidR="006F7BA8" w:rsidRPr="00125FAF">
        <w:rPr>
          <w:rFonts w:ascii="Times New Roman" w:eastAsia="Times New Roman" w:hAnsi="Times New Roman" w:cs="Times New Roman"/>
          <w:b/>
          <w:color w:val="000000"/>
          <w:sz w:val="24"/>
          <w:szCs w:val="24"/>
          <w:shd w:val="clear" w:color="auto" w:fill="FFFFFF"/>
          <w:lang w:eastAsia="ru-RU"/>
        </w:rPr>
        <w:t>Program</w:t>
      </w:r>
      <w:r w:rsidR="00DF42B1" w:rsidRPr="00125FAF">
        <w:rPr>
          <w:rFonts w:ascii="Times New Roman" w:eastAsia="Times New Roman" w:hAnsi="Times New Roman" w:cs="Times New Roman"/>
          <w:b/>
          <w:color w:val="000000"/>
          <w:sz w:val="24"/>
          <w:szCs w:val="24"/>
          <w:shd w:val="clear" w:color="auto" w:fill="FFFFFF"/>
          <w:lang w:eastAsia="ru-RU"/>
        </w:rPr>
        <w:t>ului</w:t>
      </w:r>
      <w:r w:rsidRPr="00125FAF">
        <w:rPr>
          <w:rFonts w:ascii="Times New Roman" w:eastAsia="Times New Roman" w:hAnsi="Times New Roman" w:cs="Times New Roman"/>
          <w:b/>
          <w:color w:val="000000"/>
          <w:sz w:val="24"/>
          <w:szCs w:val="24"/>
          <w:shd w:val="clear" w:color="auto" w:fill="FFFFFF"/>
          <w:lang w:eastAsia="ru-RU"/>
        </w:rPr>
        <w:t>, divizate pe sectoare, %</w:t>
      </w:r>
    </w:p>
    <w:tbl>
      <w:tblPr>
        <w:tblW w:w="5000" w:type="pct"/>
        <w:tblLook w:val="04A0" w:firstRow="1" w:lastRow="0" w:firstColumn="1" w:lastColumn="0" w:noHBand="0" w:noVBand="1"/>
      </w:tblPr>
      <w:tblGrid>
        <w:gridCol w:w="3399"/>
        <w:gridCol w:w="1541"/>
        <w:gridCol w:w="1319"/>
        <w:gridCol w:w="1541"/>
        <w:gridCol w:w="1319"/>
      </w:tblGrid>
      <w:tr w:rsidR="00012CD6" w:rsidRPr="00125FAF" w14:paraId="4E9157D6" w14:textId="77777777" w:rsidTr="001F2F2D">
        <w:trPr>
          <w:trHeight w:val="300"/>
        </w:trPr>
        <w:tc>
          <w:tcPr>
            <w:tcW w:w="18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C06563" w14:textId="77777777" w:rsidR="00012CD6" w:rsidRPr="00125FAF" w:rsidRDefault="00012CD6" w:rsidP="00012CD6">
            <w:pPr>
              <w:spacing w:after="0" w:line="240" w:lineRule="auto"/>
              <w:jc w:val="both"/>
              <w:rPr>
                <w:rFonts w:ascii="Times New Roman" w:eastAsia="Times New Roman" w:hAnsi="Times New Roman" w:cs="Times New Roman"/>
                <w:b/>
                <w:bCs/>
                <w:color w:val="000000"/>
                <w:sz w:val="20"/>
                <w:szCs w:val="20"/>
                <w:lang w:eastAsia="ro-RO"/>
              </w:rPr>
            </w:pPr>
            <w:r w:rsidRPr="00125FAF">
              <w:rPr>
                <w:rFonts w:ascii="Times New Roman" w:eastAsia="Times New Roman" w:hAnsi="Times New Roman" w:cs="Times New Roman"/>
                <w:b/>
                <w:bCs/>
                <w:color w:val="000000"/>
                <w:sz w:val="20"/>
                <w:szCs w:val="20"/>
                <w:lang w:eastAsia="ro-RO"/>
              </w:rPr>
              <w:t>Sectoarele</w:t>
            </w:r>
          </w:p>
        </w:tc>
        <w:tc>
          <w:tcPr>
            <w:tcW w:w="1568" w:type="pct"/>
            <w:gridSpan w:val="2"/>
            <w:tcBorders>
              <w:top w:val="single" w:sz="4" w:space="0" w:color="auto"/>
              <w:left w:val="nil"/>
              <w:bottom w:val="single" w:sz="4" w:space="0" w:color="auto"/>
              <w:right w:val="single" w:sz="4" w:space="0" w:color="000000"/>
            </w:tcBorders>
            <w:shd w:val="clear" w:color="auto" w:fill="auto"/>
            <w:vAlign w:val="center"/>
            <w:hideMark/>
          </w:tcPr>
          <w:p w14:paraId="02FE5BDD" w14:textId="77777777" w:rsidR="00012CD6" w:rsidRPr="00125FAF" w:rsidRDefault="00012CD6" w:rsidP="00012CD6">
            <w:pPr>
              <w:spacing w:after="0" w:line="240" w:lineRule="auto"/>
              <w:jc w:val="center"/>
              <w:rPr>
                <w:rFonts w:ascii="Times New Roman" w:eastAsia="Times New Roman" w:hAnsi="Times New Roman" w:cs="Times New Roman"/>
                <w:b/>
                <w:bCs/>
                <w:color w:val="000000"/>
                <w:sz w:val="20"/>
                <w:szCs w:val="20"/>
                <w:lang w:eastAsia="ro-RO"/>
              </w:rPr>
            </w:pPr>
            <w:proofErr w:type="spellStart"/>
            <w:r w:rsidRPr="00125FAF">
              <w:rPr>
                <w:rFonts w:ascii="Times New Roman" w:eastAsia="Times New Roman" w:hAnsi="Times New Roman" w:cs="Times New Roman"/>
                <w:b/>
                <w:bCs/>
                <w:color w:val="000000"/>
                <w:sz w:val="20"/>
                <w:szCs w:val="20"/>
                <w:lang w:eastAsia="ro-RO"/>
              </w:rPr>
              <w:t>Pînă</w:t>
            </w:r>
            <w:proofErr w:type="spellEnd"/>
            <w:r w:rsidRPr="00125FAF">
              <w:rPr>
                <w:rFonts w:ascii="Times New Roman" w:eastAsia="Times New Roman" w:hAnsi="Times New Roman" w:cs="Times New Roman"/>
                <w:b/>
                <w:bCs/>
                <w:color w:val="000000"/>
                <w:sz w:val="20"/>
                <w:szCs w:val="20"/>
                <w:lang w:eastAsia="ro-RO"/>
              </w:rPr>
              <w:t xml:space="preserve"> în anul 2025</w:t>
            </w:r>
          </w:p>
        </w:tc>
        <w:tc>
          <w:tcPr>
            <w:tcW w:w="1568" w:type="pct"/>
            <w:gridSpan w:val="2"/>
            <w:tcBorders>
              <w:top w:val="single" w:sz="4" w:space="0" w:color="auto"/>
              <w:left w:val="nil"/>
              <w:bottom w:val="single" w:sz="4" w:space="0" w:color="auto"/>
              <w:right w:val="single" w:sz="4" w:space="0" w:color="auto"/>
            </w:tcBorders>
            <w:shd w:val="clear" w:color="auto" w:fill="auto"/>
            <w:vAlign w:val="center"/>
            <w:hideMark/>
          </w:tcPr>
          <w:p w14:paraId="7316D90A" w14:textId="77777777" w:rsidR="00012CD6" w:rsidRPr="00125FAF" w:rsidRDefault="00012CD6" w:rsidP="00012CD6">
            <w:pPr>
              <w:spacing w:after="0" w:line="240" w:lineRule="auto"/>
              <w:jc w:val="center"/>
              <w:rPr>
                <w:rFonts w:ascii="Times New Roman" w:eastAsia="Times New Roman" w:hAnsi="Times New Roman" w:cs="Times New Roman"/>
                <w:b/>
                <w:bCs/>
                <w:color w:val="000000"/>
                <w:sz w:val="20"/>
                <w:szCs w:val="20"/>
                <w:lang w:eastAsia="ro-RO"/>
              </w:rPr>
            </w:pPr>
            <w:proofErr w:type="spellStart"/>
            <w:r w:rsidRPr="00125FAF">
              <w:rPr>
                <w:rFonts w:ascii="Times New Roman" w:eastAsia="Times New Roman" w:hAnsi="Times New Roman" w:cs="Times New Roman"/>
                <w:b/>
                <w:bCs/>
                <w:color w:val="000000"/>
                <w:sz w:val="20"/>
                <w:szCs w:val="20"/>
                <w:lang w:eastAsia="ro-RO"/>
              </w:rPr>
              <w:t>Pînă</w:t>
            </w:r>
            <w:proofErr w:type="spellEnd"/>
            <w:r w:rsidRPr="00125FAF">
              <w:rPr>
                <w:rFonts w:ascii="Times New Roman" w:eastAsia="Times New Roman" w:hAnsi="Times New Roman" w:cs="Times New Roman"/>
                <w:b/>
                <w:bCs/>
                <w:color w:val="000000"/>
                <w:sz w:val="20"/>
                <w:szCs w:val="20"/>
                <w:lang w:eastAsia="ro-RO"/>
              </w:rPr>
              <w:t xml:space="preserve"> în anul 2030</w:t>
            </w:r>
          </w:p>
        </w:tc>
      </w:tr>
      <w:tr w:rsidR="00012CD6" w:rsidRPr="00125FAF" w14:paraId="1600739A" w14:textId="77777777" w:rsidTr="001F2F2D">
        <w:trPr>
          <w:trHeight w:val="510"/>
        </w:trPr>
        <w:tc>
          <w:tcPr>
            <w:tcW w:w="1863" w:type="pct"/>
            <w:vMerge/>
            <w:tcBorders>
              <w:top w:val="single" w:sz="4" w:space="0" w:color="auto"/>
              <w:left w:val="single" w:sz="4" w:space="0" w:color="auto"/>
              <w:bottom w:val="single" w:sz="4" w:space="0" w:color="auto"/>
              <w:right w:val="single" w:sz="4" w:space="0" w:color="auto"/>
            </w:tcBorders>
            <w:vAlign w:val="center"/>
            <w:hideMark/>
          </w:tcPr>
          <w:p w14:paraId="38E3793F" w14:textId="77777777" w:rsidR="00012CD6" w:rsidRPr="00125FAF" w:rsidRDefault="00012CD6" w:rsidP="00012CD6">
            <w:pPr>
              <w:spacing w:after="0" w:line="240" w:lineRule="auto"/>
              <w:rPr>
                <w:rFonts w:ascii="Times New Roman" w:eastAsia="Times New Roman" w:hAnsi="Times New Roman" w:cs="Times New Roman"/>
                <w:b/>
                <w:bCs/>
                <w:color w:val="000000"/>
                <w:sz w:val="20"/>
                <w:szCs w:val="20"/>
                <w:lang w:eastAsia="ro-RO"/>
              </w:rPr>
            </w:pPr>
          </w:p>
        </w:tc>
        <w:tc>
          <w:tcPr>
            <w:tcW w:w="845" w:type="pct"/>
            <w:tcBorders>
              <w:top w:val="nil"/>
              <w:left w:val="nil"/>
              <w:bottom w:val="single" w:sz="4" w:space="0" w:color="auto"/>
              <w:right w:val="single" w:sz="4" w:space="0" w:color="auto"/>
            </w:tcBorders>
            <w:shd w:val="clear" w:color="auto" w:fill="auto"/>
            <w:vAlign w:val="center"/>
            <w:hideMark/>
          </w:tcPr>
          <w:p w14:paraId="09AF2AD3" w14:textId="77777777" w:rsidR="00012CD6" w:rsidRPr="00125FAF" w:rsidRDefault="00012CD6" w:rsidP="00012CD6">
            <w:pPr>
              <w:spacing w:after="0" w:line="240" w:lineRule="auto"/>
              <w:jc w:val="center"/>
              <w:rPr>
                <w:rFonts w:ascii="Times New Roman" w:eastAsia="Times New Roman" w:hAnsi="Times New Roman" w:cs="Times New Roman"/>
                <w:b/>
                <w:bCs/>
                <w:color w:val="000000"/>
                <w:sz w:val="20"/>
                <w:szCs w:val="20"/>
                <w:lang w:eastAsia="ro-RO"/>
              </w:rPr>
            </w:pPr>
            <w:proofErr w:type="spellStart"/>
            <w:r w:rsidRPr="00125FAF">
              <w:rPr>
                <w:rFonts w:ascii="Times New Roman" w:eastAsia="Times New Roman" w:hAnsi="Times New Roman" w:cs="Times New Roman"/>
                <w:b/>
                <w:bCs/>
                <w:color w:val="000000"/>
                <w:sz w:val="20"/>
                <w:szCs w:val="20"/>
                <w:lang w:eastAsia="ro-RO"/>
              </w:rPr>
              <w:t>necondiţionat</w:t>
            </w:r>
            <w:proofErr w:type="spellEnd"/>
          </w:p>
        </w:tc>
        <w:tc>
          <w:tcPr>
            <w:tcW w:w="723" w:type="pct"/>
            <w:tcBorders>
              <w:top w:val="nil"/>
              <w:left w:val="nil"/>
              <w:bottom w:val="single" w:sz="4" w:space="0" w:color="auto"/>
              <w:right w:val="single" w:sz="4" w:space="0" w:color="auto"/>
            </w:tcBorders>
            <w:shd w:val="clear" w:color="auto" w:fill="auto"/>
            <w:vAlign w:val="center"/>
            <w:hideMark/>
          </w:tcPr>
          <w:p w14:paraId="200A9854" w14:textId="77777777" w:rsidR="00012CD6" w:rsidRPr="00125FAF" w:rsidRDefault="00012CD6" w:rsidP="00012CD6">
            <w:pPr>
              <w:spacing w:after="0" w:line="240" w:lineRule="auto"/>
              <w:jc w:val="center"/>
              <w:rPr>
                <w:rFonts w:ascii="Times New Roman" w:eastAsia="Times New Roman" w:hAnsi="Times New Roman" w:cs="Times New Roman"/>
                <w:b/>
                <w:bCs/>
                <w:color w:val="000000"/>
                <w:sz w:val="20"/>
                <w:szCs w:val="20"/>
                <w:lang w:eastAsia="ro-RO"/>
              </w:rPr>
            </w:pPr>
            <w:proofErr w:type="spellStart"/>
            <w:r w:rsidRPr="00125FAF">
              <w:rPr>
                <w:rFonts w:ascii="Times New Roman" w:eastAsia="Times New Roman" w:hAnsi="Times New Roman" w:cs="Times New Roman"/>
                <w:b/>
                <w:bCs/>
                <w:color w:val="000000"/>
                <w:sz w:val="20"/>
                <w:szCs w:val="20"/>
                <w:lang w:eastAsia="ro-RO"/>
              </w:rPr>
              <w:t>condiţionat</w:t>
            </w:r>
            <w:proofErr w:type="spellEnd"/>
          </w:p>
        </w:tc>
        <w:tc>
          <w:tcPr>
            <w:tcW w:w="845" w:type="pct"/>
            <w:tcBorders>
              <w:top w:val="nil"/>
              <w:left w:val="nil"/>
              <w:bottom w:val="single" w:sz="4" w:space="0" w:color="auto"/>
              <w:right w:val="single" w:sz="4" w:space="0" w:color="auto"/>
            </w:tcBorders>
            <w:shd w:val="clear" w:color="auto" w:fill="auto"/>
            <w:vAlign w:val="center"/>
            <w:hideMark/>
          </w:tcPr>
          <w:p w14:paraId="5182806B" w14:textId="77777777" w:rsidR="00012CD6" w:rsidRPr="00125FAF" w:rsidRDefault="00012CD6" w:rsidP="00012CD6">
            <w:pPr>
              <w:spacing w:after="0" w:line="240" w:lineRule="auto"/>
              <w:jc w:val="center"/>
              <w:rPr>
                <w:rFonts w:ascii="Times New Roman" w:eastAsia="Times New Roman" w:hAnsi="Times New Roman" w:cs="Times New Roman"/>
                <w:b/>
                <w:bCs/>
                <w:color w:val="000000"/>
                <w:sz w:val="20"/>
                <w:szCs w:val="20"/>
                <w:lang w:eastAsia="ro-RO"/>
              </w:rPr>
            </w:pPr>
            <w:proofErr w:type="spellStart"/>
            <w:r w:rsidRPr="00125FAF">
              <w:rPr>
                <w:rFonts w:ascii="Times New Roman" w:eastAsia="Times New Roman" w:hAnsi="Times New Roman" w:cs="Times New Roman"/>
                <w:b/>
                <w:bCs/>
                <w:color w:val="000000"/>
                <w:sz w:val="20"/>
                <w:szCs w:val="20"/>
                <w:lang w:eastAsia="ro-RO"/>
              </w:rPr>
              <w:t>necondiţionat</w:t>
            </w:r>
            <w:proofErr w:type="spellEnd"/>
          </w:p>
        </w:tc>
        <w:tc>
          <w:tcPr>
            <w:tcW w:w="723" w:type="pct"/>
            <w:tcBorders>
              <w:top w:val="nil"/>
              <w:left w:val="nil"/>
              <w:bottom w:val="single" w:sz="4" w:space="0" w:color="auto"/>
              <w:right w:val="single" w:sz="4" w:space="0" w:color="auto"/>
            </w:tcBorders>
            <w:shd w:val="clear" w:color="auto" w:fill="auto"/>
            <w:vAlign w:val="center"/>
            <w:hideMark/>
          </w:tcPr>
          <w:p w14:paraId="168561AA" w14:textId="77777777" w:rsidR="00012CD6" w:rsidRPr="00125FAF" w:rsidRDefault="00012CD6" w:rsidP="00012CD6">
            <w:pPr>
              <w:spacing w:after="0" w:line="240" w:lineRule="auto"/>
              <w:jc w:val="center"/>
              <w:rPr>
                <w:rFonts w:ascii="Times New Roman" w:eastAsia="Times New Roman" w:hAnsi="Times New Roman" w:cs="Times New Roman"/>
                <w:b/>
                <w:bCs/>
                <w:color w:val="000000"/>
                <w:sz w:val="20"/>
                <w:szCs w:val="20"/>
                <w:lang w:eastAsia="ro-RO"/>
              </w:rPr>
            </w:pPr>
            <w:proofErr w:type="spellStart"/>
            <w:r w:rsidRPr="00125FAF">
              <w:rPr>
                <w:rFonts w:ascii="Times New Roman" w:eastAsia="Times New Roman" w:hAnsi="Times New Roman" w:cs="Times New Roman"/>
                <w:b/>
                <w:bCs/>
                <w:color w:val="000000"/>
                <w:sz w:val="20"/>
                <w:szCs w:val="20"/>
                <w:lang w:eastAsia="ro-RO"/>
              </w:rPr>
              <w:t>condiţionat</w:t>
            </w:r>
            <w:proofErr w:type="spellEnd"/>
          </w:p>
        </w:tc>
      </w:tr>
      <w:tr w:rsidR="00012CD6" w:rsidRPr="00125FAF" w14:paraId="427BFB6A" w14:textId="77777777" w:rsidTr="001F2F2D">
        <w:trPr>
          <w:trHeight w:val="300"/>
        </w:trPr>
        <w:tc>
          <w:tcPr>
            <w:tcW w:w="1863" w:type="pct"/>
            <w:tcBorders>
              <w:top w:val="nil"/>
              <w:left w:val="single" w:sz="4" w:space="0" w:color="auto"/>
              <w:bottom w:val="single" w:sz="4" w:space="0" w:color="auto"/>
              <w:right w:val="single" w:sz="4" w:space="0" w:color="auto"/>
            </w:tcBorders>
            <w:shd w:val="clear" w:color="auto" w:fill="auto"/>
            <w:vAlign w:val="center"/>
            <w:hideMark/>
          </w:tcPr>
          <w:p w14:paraId="2A5FA14E" w14:textId="77777777" w:rsidR="00012CD6" w:rsidRPr="00125FAF" w:rsidRDefault="00012CD6" w:rsidP="00012CD6">
            <w:pPr>
              <w:spacing w:after="0" w:line="240" w:lineRule="auto"/>
              <w:jc w:val="both"/>
              <w:rPr>
                <w:rFonts w:ascii="Times New Roman" w:eastAsia="Times New Roman" w:hAnsi="Times New Roman" w:cs="Times New Roman"/>
                <w:color w:val="000000"/>
                <w:sz w:val="20"/>
                <w:szCs w:val="20"/>
                <w:lang w:eastAsia="ro-RO"/>
              </w:rPr>
            </w:pPr>
            <w:r w:rsidRPr="00125FAF">
              <w:rPr>
                <w:rFonts w:ascii="Times New Roman" w:eastAsia="Times New Roman" w:hAnsi="Times New Roman" w:cs="Times New Roman"/>
                <w:color w:val="000000"/>
                <w:sz w:val="20"/>
                <w:szCs w:val="20"/>
                <w:lang w:eastAsia="ro-RO"/>
              </w:rPr>
              <w:lastRenderedPageBreak/>
              <w:t>Energetic</w:t>
            </w:r>
          </w:p>
        </w:tc>
        <w:tc>
          <w:tcPr>
            <w:tcW w:w="845" w:type="pct"/>
            <w:tcBorders>
              <w:top w:val="nil"/>
              <w:left w:val="nil"/>
              <w:bottom w:val="single" w:sz="4" w:space="0" w:color="auto"/>
              <w:right w:val="single" w:sz="4" w:space="0" w:color="auto"/>
            </w:tcBorders>
            <w:shd w:val="clear" w:color="auto" w:fill="auto"/>
            <w:vAlign w:val="center"/>
            <w:hideMark/>
          </w:tcPr>
          <w:p w14:paraId="31BBF651" w14:textId="77777777" w:rsidR="00012CD6" w:rsidRPr="00125FAF" w:rsidRDefault="00012CD6" w:rsidP="00012CD6">
            <w:pPr>
              <w:spacing w:after="0" w:line="240" w:lineRule="auto"/>
              <w:jc w:val="center"/>
              <w:rPr>
                <w:rFonts w:ascii="Times New Roman" w:eastAsia="Times New Roman" w:hAnsi="Times New Roman" w:cs="Times New Roman"/>
                <w:color w:val="000000"/>
                <w:sz w:val="20"/>
                <w:szCs w:val="20"/>
                <w:lang w:eastAsia="ro-RO"/>
              </w:rPr>
            </w:pPr>
            <w:r w:rsidRPr="00125FAF">
              <w:rPr>
                <w:rFonts w:ascii="Times New Roman" w:eastAsia="Times New Roman" w:hAnsi="Times New Roman" w:cs="Times New Roman"/>
                <w:color w:val="000000"/>
                <w:sz w:val="20"/>
                <w:szCs w:val="20"/>
                <w:lang w:eastAsia="ro-RO"/>
              </w:rPr>
              <w:t>83</w:t>
            </w:r>
          </w:p>
        </w:tc>
        <w:tc>
          <w:tcPr>
            <w:tcW w:w="723" w:type="pct"/>
            <w:tcBorders>
              <w:top w:val="nil"/>
              <w:left w:val="nil"/>
              <w:bottom w:val="single" w:sz="4" w:space="0" w:color="auto"/>
              <w:right w:val="single" w:sz="4" w:space="0" w:color="auto"/>
            </w:tcBorders>
            <w:shd w:val="clear" w:color="auto" w:fill="auto"/>
            <w:vAlign w:val="center"/>
            <w:hideMark/>
          </w:tcPr>
          <w:p w14:paraId="12E5581F" w14:textId="77777777" w:rsidR="00012CD6" w:rsidRPr="00125FAF" w:rsidRDefault="00012CD6" w:rsidP="00012CD6">
            <w:pPr>
              <w:spacing w:after="0" w:line="240" w:lineRule="auto"/>
              <w:jc w:val="center"/>
              <w:rPr>
                <w:rFonts w:ascii="Times New Roman" w:eastAsia="Times New Roman" w:hAnsi="Times New Roman" w:cs="Times New Roman"/>
                <w:color w:val="000000"/>
                <w:sz w:val="20"/>
                <w:szCs w:val="20"/>
                <w:lang w:eastAsia="ro-RO"/>
              </w:rPr>
            </w:pPr>
            <w:r w:rsidRPr="00125FAF">
              <w:rPr>
                <w:rFonts w:ascii="Times New Roman" w:eastAsia="Times New Roman" w:hAnsi="Times New Roman" w:cs="Times New Roman"/>
                <w:color w:val="000000"/>
                <w:sz w:val="20"/>
                <w:szCs w:val="20"/>
                <w:lang w:eastAsia="ro-RO"/>
              </w:rPr>
              <w:t>87</w:t>
            </w:r>
          </w:p>
        </w:tc>
        <w:tc>
          <w:tcPr>
            <w:tcW w:w="845" w:type="pct"/>
            <w:tcBorders>
              <w:top w:val="nil"/>
              <w:left w:val="nil"/>
              <w:bottom w:val="single" w:sz="4" w:space="0" w:color="auto"/>
              <w:right w:val="single" w:sz="4" w:space="0" w:color="auto"/>
            </w:tcBorders>
            <w:shd w:val="clear" w:color="auto" w:fill="auto"/>
            <w:vAlign w:val="center"/>
            <w:hideMark/>
          </w:tcPr>
          <w:p w14:paraId="037256D0" w14:textId="77777777" w:rsidR="00012CD6" w:rsidRPr="00125FAF" w:rsidRDefault="00012CD6" w:rsidP="00012CD6">
            <w:pPr>
              <w:spacing w:after="0" w:line="240" w:lineRule="auto"/>
              <w:jc w:val="center"/>
              <w:rPr>
                <w:rFonts w:ascii="Times New Roman" w:eastAsia="Times New Roman" w:hAnsi="Times New Roman" w:cs="Times New Roman"/>
                <w:color w:val="000000"/>
                <w:sz w:val="20"/>
                <w:szCs w:val="20"/>
                <w:lang w:eastAsia="ro-RO"/>
              </w:rPr>
            </w:pPr>
            <w:r w:rsidRPr="00125FAF">
              <w:rPr>
                <w:rFonts w:ascii="Times New Roman" w:eastAsia="Times New Roman" w:hAnsi="Times New Roman" w:cs="Times New Roman"/>
                <w:color w:val="000000"/>
                <w:sz w:val="20"/>
                <w:szCs w:val="20"/>
                <w:lang w:eastAsia="ro-RO"/>
              </w:rPr>
              <w:t>81</w:t>
            </w:r>
          </w:p>
        </w:tc>
        <w:tc>
          <w:tcPr>
            <w:tcW w:w="723" w:type="pct"/>
            <w:tcBorders>
              <w:top w:val="nil"/>
              <w:left w:val="nil"/>
              <w:bottom w:val="single" w:sz="4" w:space="0" w:color="auto"/>
              <w:right w:val="single" w:sz="4" w:space="0" w:color="auto"/>
            </w:tcBorders>
            <w:shd w:val="clear" w:color="auto" w:fill="auto"/>
            <w:vAlign w:val="center"/>
            <w:hideMark/>
          </w:tcPr>
          <w:p w14:paraId="547909DB" w14:textId="77777777" w:rsidR="00012CD6" w:rsidRPr="00125FAF" w:rsidRDefault="00012CD6" w:rsidP="00012CD6">
            <w:pPr>
              <w:spacing w:after="0" w:line="240" w:lineRule="auto"/>
              <w:jc w:val="center"/>
              <w:rPr>
                <w:rFonts w:ascii="Times New Roman" w:eastAsia="Times New Roman" w:hAnsi="Times New Roman" w:cs="Times New Roman"/>
                <w:color w:val="000000"/>
                <w:sz w:val="20"/>
                <w:szCs w:val="20"/>
                <w:lang w:eastAsia="ro-RO"/>
              </w:rPr>
            </w:pPr>
            <w:r w:rsidRPr="00125FAF">
              <w:rPr>
                <w:rFonts w:ascii="Times New Roman" w:eastAsia="Times New Roman" w:hAnsi="Times New Roman" w:cs="Times New Roman"/>
                <w:color w:val="000000"/>
                <w:sz w:val="20"/>
                <w:szCs w:val="20"/>
                <w:lang w:eastAsia="ro-RO"/>
              </w:rPr>
              <w:t>87</w:t>
            </w:r>
          </w:p>
        </w:tc>
      </w:tr>
      <w:tr w:rsidR="00012CD6" w:rsidRPr="00125FAF" w14:paraId="3728B8EA" w14:textId="77777777" w:rsidTr="001F2F2D">
        <w:trPr>
          <w:trHeight w:val="300"/>
        </w:trPr>
        <w:tc>
          <w:tcPr>
            <w:tcW w:w="1863" w:type="pct"/>
            <w:tcBorders>
              <w:top w:val="nil"/>
              <w:left w:val="single" w:sz="4" w:space="0" w:color="auto"/>
              <w:bottom w:val="single" w:sz="4" w:space="0" w:color="auto"/>
              <w:right w:val="single" w:sz="4" w:space="0" w:color="auto"/>
            </w:tcBorders>
            <w:shd w:val="clear" w:color="auto" w:fill="auto"/>
            <w:vAlign w:val="center"/>
            <w:hideMark/>
          </w:tcPr>
          <w:p w14:paraId="2968D7B8" w14:textId="77777777" w:rsidR="00012CD6" w:rsidRPr="00125FAF" w:rsidRDefault="00012CD6" w:rsidP="00012CD6">
            <w:pPr>
              <w:spacing w:after="0" w:line="240" w:lineRule="auto"/>
              <w:jc w:val="both"/>
              <w:rPr>
                <w:rFonts w:ascii="Times New Roman" w:eastAsia="Times New Roman" w:hAnsi="Times New Roman" w:cs="Times New Roman"/>
                <w:color w:val="000000"/>
                <w:sz w:val="20"/>
                <w:szCs w:val="20"/>
                <w:lang w:eastAsia="ro-RO"/>
              </w:rPr>
            </w:pPr>
            <w:r w:rsidRPr="00125FAF">
              <w:rPr>
                <w:rFonts w:ascii="Times New Roman" w:eastAsia="Times New Roman" w:hAnsi="Times New Roman" w:cs="Times New Roman"/>
                <w:color w:val="000000"/>
                <w:sz w:val="20"/>
                <w:szCs w:val="20"/>
                <w:lang w:eastAsia="ro-RO"/>
              </w:rPr>
              <w:t>Transporturi</w:t>
            </w:r>
          </w:p>
        </w:tc>
        <w:tc>
          <w:tcPr>
            <w:tcW w:w="845" w:type="pct"/>
            <w:tcBorders>
              <w:top w:val="nil"/>
              <w:left w:val="nil"/>
              <w:bottom w:val="single" w:sz="4" w:space="0" w:color="auto"/>
              <w:right w:val="single" w:sz="4" w:space="0" w:color="auto"/>
            </w:tcBorders>
            <w:shd w:val="clear" w:color="auto" w:fill="auto"/>
            <w:vAlign w:val="center"/>
            <w:hideMark/>
          </w:tcPr>
          <w:p w14:paraId="362868E3" w14:textId="77777777" w:rsidR="00012CD6" w:rsidRPr="00125FAF" w:rsidRDefault="00012CD6" w:rsidP="00012CD6">
            <w:pPr>
              <w:spacing w:after="0" w:line="240" w:lineRule="auto"/>
              <w:jc w:val="center"/>
              <w:rPr>
                <w:rFonts w:ascii="Times New Roman" w:eastAsia="Times New Roman" w:hAnsi="Times New Roman" w:cs="Times New Roman"/>
                <w:color w:val="000000"/>
                <w:sz w:val="20"/>
                <w:szCs w:val="20"/>
                <w:lang w:eastAsia="ro-RO"/>
              </w:rPr>
            </w:pPr>
            <w:r w:rsidRPr="00125FAF">
              <w:rPr>
                <w:rFonts w:ascii="Times New Roman" w:eastAsia="Times New Roman" w:hAnsi="Times New Roman" w:cs="Times New Roman"/>
                <w:color w:val="000000"/>
                <w:sz w:val="20"/>
                <w:szCs w:val="20"/>
                <w:lang w:eastAsia="ro-RO"/>
              </w:rPr>
              <w:t>56</w:t>
            </w:r>
          </w:p>
        </w:tc>
        <w:tc>
          <w:tcPr>
            <w:tcW w:w="723" w:type="pct"/>
            <w:tcBorders>
              <w:top w:val="nil"/>
              <w:left w:val="nil"/>
              <w:bottom w:val="single" w:sz="4" w:space="0" w:color="auto"/>
              <w:right w:val="single" w:sz="4" w:space="0" w:color="auto"/>
            </w:tcBorders>
            <w:shd w:val="clear" w:color="auto" w:fill="auto"/>
            <w:vAlign w:val="center"/>
            <w:hideMark/>
          </w:tcPr>
          <w:p w14:paraId="474CAB66" w14:textId="77777777" w:rsidR="00012CD6" w:rsidRPr="00125FAF" w:rsidRDefault="00012CD6" w:rsidP="00012CD6">
            <w:pPr>
              <w:spacing w:after="0" w:line="240" w:lineRule="auto"/>
              <w:jc w:val="center"/>
              <w:rPr>
                <w:rFonts w:ascii="Times New Roman" w:eastAsia="Times New Roman" w:hAnsi="Times New Roman" w:cs="Times New Roman"/>
                <w:color w:val="000000"/>
                <w:sz w:val="20"/>
                <w:szCs w:val="20"/>
                <w:lang w:eastAsia="ro-RO"/>
              </w:rPr>
            </w:pPr>
            <w:r w:rsidRPr="00125FAF">
              <w:rPr>
                <w:rFonts w:ascii="Times New Roman" w:eastAsia="Times New Roman" w:hAnsi="Times New Roman" w:cs="Times New Roman"/>
                <w:color w:val="000000"/>
                <w:sz w:val="20"/>
                <w:szCs w:val="20"/>
                <w:lang w:eastAsia="ro-RO"/>
              </w:rPr>
              <w:t>58</w:t>
            </w:r>
          </w:p>
        </w:tc>
        <w:tc>
          <w:tcPr>
            <w:tcW w:w="845" w:type="pct"/>
            <w:tcBorders>
              <w:top w:val="nil"/>
              <w:left w:val="nil"/>
              <w:bottom w:val="single" w:sz="4" w:space="0" w:color="auto"/>
              <w:right w:val="single" w:sz="4" w:space="0" w:color="auto"/>
            </w:tcBorders>
            <w:shd w:val="clear" w:color="auto" w:fill="auto"/>
            <w:vAlign w:val="center"/>
            <w:hideMark/>
          </w:tcPr>
          <w:p w14:paraId="63584736" w14:textId="77777777" w:rsidR="00012CD6" w:rsidRPr="00125FAF" w:rsidRDefault="00012CD6" w:rsidP="00012CD6">
            <w:pPr>
              <w:spacing w:after="0" w:line="240" w:lineRule="auto"/>
              <w:jc w:val="center"/>
              <w:rPr>
                <w:rFonts w:ascii="Times New Roman" w:eastAsia="Times New Roman" w:hAnsi="Times New Roman" w:cs="Times New Roman"/>
                <w:color w:val="000000"/>
                <w:sz w:val="20"/>
                <w:szCs w:val="20"/>
                <w:lang w:eastAsia="ro-RO"/>
              </w:rPr>
            </w:pPr>
            <w:r w:rsidRPr="00125FAF">
              <w:rPr>
                <w:rFonts w:ascii="Times New Roman" w:eastAsia="Times New Roman" w:hAnsi="Times New Roman" w:cs="Times New Roman"/>
                <w:color w:val="000000"/>
                <w:sz w:val="20"/>
                <w:szCs w:val="20"/>
                <w:lang w:eastAsia="ro-RO"/>
              </w:rPr>
              <w:t>52</w:t>
            </w:r>
          </w:p>
        </w:tc>
        <w:tc>
          <w:tcPr>
            <w:tcW w:w="723" w:type="pct"/>
            <w:tcBorders>
              <w:top w:val="nil"/>
              <w:left w:val="nil"/>
              <w:bottom w:val="single" w:sz="4" w:space="0" w:color="auto"/>
              <w:right w:val="single" w:sz="4" w:space="0" w:color="auto"/>
            </w:tcBorders>
            <w:shd w:val="clear" w:color="auto" w:fill="auto"/>
            <w:vAlign w:val="center"/>
            <w:hideMark/>
          </w:tcPr>
          <w:p w14:paraId="4CB0D6AE" w14:textId="77777777" w:rsidR="00012CD6" w:rsidRPr="00125FAF" w:rsidRDefault="00012CD6" w:rsidP="00012CD6">
            <w:pPr>
              <w:spacing w:after="0" w:line="240" w:lineRule="auto"/>
              <w:jc w:val="center"/>
              <w:rPr>
                <w:rFonts w:ascii="Times New Roman" w:eastAsia="Times New Roman" w:hAnsi="Times New Roman" w:cs="Times New Roman"/>
                <w:color w:val="000000"/>
                <w:sz w:val="20"/>
                <w:szCs w:val="20"/>
                <w:lang w:eastAsia="ro-RO"/>
              </w:rPr>
            </w:pPr>
            <w:r w:rsidRPr="00125FAF">
              <w:rPr>
                <w:rFonts w:ascii="Times New Roman" w:eastAsia="Times New Roman" w:hAnsi="Times New Roman" w:cs="Times New Roman"/>
                <w:color w:val="000000"/>
                <w:sz w:val="20"/>
                <w:szCs w:val="20"/>
                <w:lang w:eastAsia="ro-RO"/>
              </w:rPr>
              <w:t>55</w:t>
            </w:r>
          </w:p>
        </w:tc>
      </w:tr>
      <w:tr w:rsidR="00012CD6" w:rsidRPr="00125FAF" w14:paraId="4586292A" w14:textId="77777777" w:rsidTr="001F2F2D">
        <w:trPr>
          <w:trHeight w:val="300"/>
        </w:trPr>
        <w:tc>
          <w:tcPr>
            <w:tcW w:w="1863" w:type="pct"/>
            <w:tcBorders>
              <w:top w:val="nil"/>
              <w:left w:val="single" w:sz="4" w:space="0" w:color="auto"/>
              <w:bottom w:val="single" w:sz="4" w:space="0" w:color="auto"/>
              <w:right w:val="single" w:sz="4" w:space="0" w:color="auto"/>
            </w:tcBorders>
            <w:shd w:val="clear" w:color="auto" w:fill="auto"/>
            <w:vAlign w:val="center"/>
            <w:hideMark/>
          </w:tcPr>
          <w:p w14:paraId="304AAB78" w14:textId="77777777" w:rsidR="00012CD6" w:rsidRPr="00125FAF" w:rsidRDefault="00012CD6" w:rsidP="00012CD6">
            <w:pPr>
              <w:spacing w:after="0" w:line="240" w:lineRule="auto"/>
              <w:jc w:val="both"/>
              <w:rPr>
                <w:rFonts w:ascii="Times New Roman" w:eastAsia="Times New Roman" w:hAnsi="Times New Roman" w:cs="Times New Roman"/>
                <w:color w:val="000000"/>
                <w:sz w:val="20"/>
                <w:szCs w:val="20"/>
                <w:lang w:eastAsia="ro-RO"/>
              </w:rPr>
            </w:pPr>
            <w:r w:rsidRPr="00125FAF">
              <w:rPr>
                <w:rFonts w:ascii="Times New Roman" w:eastAsia="Times New Roman" w:hAnsi="Times New Roman" w:cs="Times New Roman"/>
                <w:color w:val="000000"/>
                <w:sz w:val="20"/>
                <w:szCs w:val="20"/>
                <w:lang w:eastAsia="ro-RO"/>
              </w:rPr>
              <w:t>Clădiri</w:t>
            </w:r>
          </w:p>
        </w:tc>
        <w:tc>
          <w:tcPr>
            <w:tcW w:w="845" w:type="pct"/>
            <w:tcBorders>
              <w:top w:val="nil"/>
              <w:left w:val="nil"/>
              <w:bottom w:val="single" w:sz="4" w:space="0" w:color="auto"/>
              <w:right w:val="single" w:sz="4" w:space="0" w:color="auto"/>
            </w:tcBorders>
            <w:shd w:val="clear" w:color="auto" w:fill="auto"/>
            <w:vAlign w:val="center"/>
            <w:hideMark/>
          </w:tcPr>
          <w:p w14:paraId="3BA0F8DB" w14:textId="77777777" w:rsidR="00012CD6" w:rsidRPr="00125FAF" w:rsidRDefault="00012CD6" w:rsidP="00012CD6">
            <w:pPr>
              <w:spacing w:after="0" w:line="240" w:lineRule="auto"/>
              <w:jc w:val="center"/>
              <w:rPr>
                <w:rFonts w:ascii="Times New Roman" w:eastAsia="Times New Roman" w:hAnsi="Times New Roman" w:cs="Times New Roman"/>
                <w:color w:val="000000"/>
                <w:sz w:val="20"/>
                <w:szCs w:val="20"/>
                <w:lang w:eastAsia="ro-RO"/>
              </w:rPr>
            </w:pPr>
            <w:r w:rsidRPr="00125FAF">
              <w:rPr>
                <w:rFonts w:ascii="Times New Roman" w:eastAsia="Times New Roman" w:hAnsi="Times New Roman" w:cs="Times New Roman"/>
                <w:color w:val="000000"/>
                <w:sz w:val="20"/>
                <w:szCs w:val="20"/>
                <w:lang w:eastAsia="ro-RO"/>
              </w:rPr>
              <w:t>76</w:t>
            </w:r>
          </w:p>
        </w:tc>
        <w:tc>
          <w:tcPr>
            <w:tcW w:w="723" w:type="pct"/>
            <w:tcBorders>
              <w:top w:val="nil"/>
              <w:left w:val="nil"/>
              <w:bottom w:val="single" w:sz="4" w:space="0" w:color="auto"/>
              <w:right w:val="single" w:sz="4" w:space="0" w:color="auto"/>
            </w:tcBorders>
            <w:shd w:val="clear" w:color="auto" w:fill="auto"/>
            <w:vAlign w:val="center"/>
            <w:hideMark/>
          </w:tcPr>
          <w:p w14:paraId="2977B05E" w14:textId="77777777" w:rsidR="00012CD6" w:rsidRPr="00125FAF" w:rsidRDefault="00012CD6" w:rsidP="00012CD6">
            <w:pPr>
              <w:spacing w:after="0" w:line="240" w:lineRule="auto"/>
              <w:jc w:val="center"/>
              <w:rPr>
                <w:rFonts w:ascii="Times New Roman" w:eastAsia="Times New Roman" w:hAnsi="Times New Roman" w:cs="Times New Roman"/>
                <w:color w:val="000000"/>
                <w:sz w:val="20"/>
                <w:szCs w:val="20"/>
                <w:lang w:eastAsia="ro-RO"/>
              </w:rPr>
            </w:pPr>
            <w:r w:rsidRPr="00125FAF">
              <w:rPr>
                <w:rFonts w:ascii="Times New Roman" w:eastAsia="Times New Roman" w:hAnsi="Times New Roman" w:cs="Times New Roman"/>
                <w:color w:val="000000"/>
                <w:sz w:val="20"/>
                <w:szCs w:val="20"/>
                <w:lang w:eastAsia="ro-RO"/>
              </w:rPr>
              <w:t>78</w:t>
            </w:r>
          </w:p>
        </w:tc>
        <w:tc>
          <w:tcPr>
            <w:tcW w:w="845" w:type="pct"/>
            <w:tcBorders>
              <w:top w:val="nil"/>
              <w:left w:val="nil"/>
              <w:bottom w:val="single" w:sz="4" w:space="0" w:color="auto"/>
              <w:right w:val="single" w:sz="4" w:space="0" w:color="auto"/>
            </w:tcBorders>
            <w:shd w:val="clear" w:color="auto" w:fill="auto"/>
            <w:vAlign w:val="center"/>
            <w:hideMark/>
          </w:tcPr>
          <w:p w14:paraId="6FB5D293" w14:textId="77777777" w:rsidR="00012CD6" w:rsidRPr="00125FAF" w:rsidRDefault="00012CD6" w:rsidP="00012CD6">
            <w:pPr>
              <w:spacing w:after="0" w:line="240" w:lineRule="auto"/>
              <w:jc w:val="center"/>
              <w:rPr>
                <w:rFonts w:ascii="Times New Roman" w:eastAsia="Times New Roman" w:hAnsi="Times New Roman" w:cs="Times New Roman"/>
                <w:color w:val="000000"/>
                <w:sz w:val="20"/>
                <w:szCs w:val="20"/>
                <w:lang w:eastAsia="ro-RO"/>
              </w:rPr>
            </w:pPr>
            <w:r w:rsidRPr="00125FAF">
              <w:rPr>
                <w:rFonts w:ascii="Times New Roman" w:eastAsia="Times New Roman" w:hAnsi="Times New Roman" w:cs="Times New Roman"/>
                <w:color w:val="000000"/>
                <w:sz w:val="20"/>
                <w:szCs w:val="20"/>
                <w:lang w:eastAsia="ro-RO"/>
              </w:rPr>
              <w:t>74</w:t>
            </w:r>
          </w:p>
        </w:tc>
        <w:tc>
          <w:tcPr>
            <w:tcW w:w="723" w:type="pct"/>
            <w:tcBorders>
              <w:top w:val="nil"/>
              <w:left w:val="nil"/>
              <w:bottom w:val="single" w:sz="4" w:space="0" w:color="auto"/>
              <w:right w:val="single" w:sz="4" w:space="0" w:color="auto"/>
            </w:tcBorders>
            <w:shd w:val="clear" w:color="auto" w:fill="auto"/>
            <w:vAlign w:val="center"/>
            <w:hideMark/>
          </w:tcPr>
          <w:p w14:paraId="2D5C35BC" w14:textId="77777777" w:rsidR="00012CD6" w:rsidRPr="00125FAF" w:rsidRDefault="00012CD6" w:rsidP="00012CD6">
            <w:pPr>
              <w:spacing w:after="0" w:line="240" w:lineRule="auto"/>
              <w:jc w:val="center"/>
              <w:rPr>
                <w:rFonts w:ascii="Times New Roman" w:eastAsia="Times New Roman" w:hAnsi="Times New Roman" w:cs="Times New Roman"/>
                <w:color w:val="000000"/>
                <w:sz w:val="20"/>
                <w:szCs w:val="20"/>
                <w:lang w:eastAsia="ro-RO"/>
              </w:rPr>
            </w:pPr>
            <w:r w:rsidRPr="00125FAF">
              <w:rPr>
                <w:rFonts w:ascii="Times New Roman" w:eastAsia="Times New Roman" w:hAnsi="Times New Roman" w:cs="Times New Roman"/>
                <w:color w:val="000000"/>
                <w:sz w:val="20"/>
                <w:szCs w:val="20"/>
                <w:lang w:eastAsia="ro-RO"/>
              </w:rPr>
              <w:t>77</w:t>
            </w:r>
          </w:p>
        </w:tc>
      </w:tr>
      <w:tr w:rsidR="00012CD6" w:rsidRPr="00125FAF" w14:paraId="1BF1A52E" w14:textId="77777777" w:rsidTr="001F2F2D">
        <w:trPr>
          <w:trHeight w:val="300"/>
        </w:trPr>
        <w:tc>
          <w:tcPr>
            <w:tcW w:w="1863" w:type="pct"/>
            <w:tcBorders>
              <w:top w:val="nil"/>
              <w:left w:val="single" w:sz="4" w:space="0" w:color="auto"/>
              <w:bottom w:val="single" w:sz="4" w:space="0" w:color="auto"/>
              <w:right w:val="single" w:sz="4" w:space="0" w:color="auto"/>
            </w:tcBorders>
            <w:shd w:val="clear" w:color="auto" w:fill="auto"/>
            <w:vAlign w:val="center"/>
            <w:hideMark/>
          </w:tcPr>
          <w:p w14:paraId="46E60F1E" w14:textId="77777777" w:rsidR="00012CD6" w:rsidRPr="00125FAF" w:rsidRDefault="00012CD6" w:rsidP="00012CD6">
            <w:pPr>
              <w:spacing w:after="0" w:line="240" w:lineRule="auto"/>
              <w:jc w:val="both"/>
              <w:rPr>
                <w:rFonts w:ascii="Times New Roman" w:eastAsia="Times New Roman" w:hAnsi="Times New Roman" w:cs="Times New Roman"/>
                <w:color w:val="000000"/>
                <w:sz w:val="20"/>
                <w:szCs w:val="20"/>
                <w:lang w:eastAsia="ro-RO"/>
              </w:rPr>
            </w:pPr>
            <w:r w:rsidRPr="00125FAF">
              <w:rPr>
                <w:rFonts w:ascii="Times New Roman" w:eastAsia="Times New Roman" w:hAnsi="Times New Roman" w:cs="Times New Roman"/>
                <w:color w:val="000000"/>
                <w:sz w:val="20"/>
                <w:szCs w:val="20"/>
                <w:lang w:eastAsia="ro-RO"/>
              </w:rPr>
              <w:t>Industrial</w:t>
            </w:r>
          </w:p>
        </w:tc>
        <w:tc>
          <w:tcPr>
            <w:tcW w:w="845" w:type="pct"/>
            <w:tcBorders>
              <w:top w:val="nil"/>
              <w:left w:val="nil"/>
              <w:bottom w:val="single" w:sz="4" w:space="0" w:color="auto"/>
              <w:right w:val="single" w:sz="4" w:space="0" w:color="auto"/>
            </w:tcBorders>
            <w:shd w:val="clear" w:color="auto" w:fill="auto"/>
            <w:vAlign w:val="center"/>
            <w:hideMark/>
          </w:tcPr>
          <w:p w14:paraId="02DECA18" w14:textId="77777777" w:rsidR="00012CD6" w:rsidRPr="00125FAF" w:rsidRDefault="00012CD6" w:rsidP="00012CD6">
            <w:pPr>
              <w:spacing w:after="0" w:line="240" w:lineRule="auto"/>
              <w:jc w:val="center"/>
              <w:rPr>
                <w:rFonts w:ascii="Times New Roman" w:eastAsia="Times New Roman" w:hAnsi="Times New Roman" w:cs="Times New Roman"/>
                <w:color w:val="000000"/>
                <w:sz w:val="20"/>
                <w:szCs w:val="20"/>
                <w:lang w:eastAsia="ro-RO"/>
              </w:rPr>
            </w:pPr>
            <w:r w:rsidRPr="00125FAF">
              <w:rPr>
                <w:rFonts w:ascii="Times New Roman" w:eastAsia="Times New Roman" w:hAnsi="Times New Roman" w:cs="Times New Roman"/>
                <w:color w:val="000000"/>
                <w:sz w:val="20"/>
                <w:szCs w:val="20"/>
                <w:lang w:eastAsia="ro-RO"/>
              </w:rPr>
              <w:t>34</w:t>
            </w:r>
          </w:p>
        </w:tc>
        <w:tc>
          <w:tcPr>
            <w:tcW w:w="723" w:type="pct"/>
            <w:tcBorders>
              <w:top w:val="nil"/>
              <w:left w:val="nil"/>
              <w:bottom w:val="single" w:sz="4" w:space="0" w:color="auto"/>
              <w:right w:val="single" w:sz="4" w:space="0" w:color="auto"/>
            </w:tcBorders>
            <w:shd w:val="clear" w:color="auto" w:fill="auto"/>
            <w:vAlign w:val="center"/>
            <w:hideMark/>
          </w:tcPr>
          <w:p w14:paraId="37FBA62E" w14:textId="77777777" w:rsidR="00012CD6" w:rsidRPr="00125FAF" w:rsidRDefault="00012CD6" w:rsidP="00012CD6">
            <w:pPr>
              <w:spacing w:after="0" w:line="240" w:lineRule="auto"/>
              <w:jc w:val="center"/>
              <w:rPr>
                <w:rFonts w:ascii="Times New Roman" w:eastAsia="Times New Roman" w:hAnsi="Times New Roman" w:cs="Times New Roman"/>
                <w:color w:val="000000"/>
                <w:sz w:val="20"/>
                <w:szCs w:val="20"/>
                <w:lang w:eastAsia="ro-RO"/>
              </w:rPr>
            </w:pPr>
            <w:r w:rsidRPr="00125FAF">
              <w:rPr>
                <w:rFonts w:ascii="Times New Roman" w:eastAsia="Times New Roman" w:hAnsi="Times New Roman" w:cs="Times New Roman"/>
                <w:color w:val="000000"/>
                <w:sz w:val="20"/>
                <w:szCs w:val="20"/>
                <w:lang w:eastAsia="ro-RO"/>
              </w:rPr>
              <w:t>37</w:t>
            </w:r>
          </w:p>
        </w:tc>
        <w:tc>
          <w:tcPr>
            <w:tcW w:w="845" w:type="pct"/>
            <w:tcBorders>
              <w:top w:val="nil"/>
              <w:left w:val="nil"/>
              <w:bottom w:val="single" w:sz="4" w:space="0" w:color="auto"/>
              <w:right w:val="single" w:sz="4" w:space="0" w:color="auto"/>
            </w:tcBorders>
            <w:shd w:val="clear" w:color="auto" w:fill="auto"/>
            <w:vAlign w:val="center"/>
            <w:hideMark/>
          </w:tcPr>
          <w:p w14:paraId="4C22F3AD" w14:textId="77777777" w:rsidR="00012CD6" w:rsidRPr="00125FAF" w:rsidRDefault="00012CD6" w:rsidP="00012CD6">
            <w:pPr>
              <w:spacing w:after="0" w:line="240" w:lineRule="auto"/>
              <w:jc w:val="center"/>
              <w:rPr>
                <w:rFonts w:ascii="Times New Roman" w:eastAsia="Times New Roman" w:hAnsi="Times New Roman" w:cs="Times New Roman"/>
                <w:color w:val="000000"/>
                <w:sz w:val="20"/>
                <w:szCs w:val="20"/>
                <w:lang w:eastAsia="ro-RO"/>
              </w:rPr>
            </w:pPr>
            <w:r w:rsidRPr="00125FAF">
              <w:rPr>
                <w:rFonts w:ascii="Times New Roman" w:eastAsia="Times New Roman" w:hAnsi="Times New Roman" w:cs="Times New Roman"/>
                <w:color w:val="000000"/>
                <w:sz w:val="20"/>
                <w:szCs w:val="20"/>
                <w:lang w:eastAsia="ro-RO"/>
              </w:rPr>
              <w:t>27</w:t>
            </w:r>
          </w:p>
        </w:tc>
        <w:tc>
          <w:tcPr>
            <w:tcW w:w="723" w:type="pct"/>
            <w:tcBorders>
              <w:top w:val="nil"/>
              <w:left w:val="nil"/>
              <w:bottom w:val="single" w:sz="4" w:space="0" w:color="auto"/>
              <w:right w:val="single" w:sz="4" w:space="0" w:color="auto"/>
            </w:tcBorders>
            <w:shd w:val="clear" w:color="auto" w:fill="auto"/>
            <w:vAlign w:val="center"/>
            <w:hideMark/>
          </w:tcPr>
          <w:p w14:paraId="73EB10D5" w14:textId="77777777" w:rsidR="00012CD6" w:rsidRPr="00125FAF" w:rsidRDefault="00012CD6" w:rsidP="00012CD6">
            <w:pPr>
              <w:spacing w:after="0" w:line="240" w:lineRule="auto"/>
              <w:jc w:val="center"/>
              <w:rPr>
                <w:rFonts w:ascii="Times New Roman" w:eastAsia="Times New Roman" w:hAnsi="Times New Roman" w:cs="Times New Roman"/>
                <w:color w:val="000000"/>
                <w:sz w:val="20"/>
                <w:szCs w:val="20"/>
                <w:lang w:eastAsia="ro-RO"/>
              </w:rPr>
            </w:pPr>
            <w:r w:rsidRPr="00125FAF">
              <w:rPr>
                <w:rFonts w:ascii="Times New Roman" w:eastAsia="Times New Roman" w:hAnsi="Times New Roman" w:cs="Times New Roman"/>
                <w:color w:val="000000"/>
                <w:sz w:val="20"/>
                <w:szCs w:val="20"/>
                <w:lang w:eastAsia="ro-RO"/>
              </w:rPr>
              <w:t>31</w:t>
            </w:r>
          </w:p>
        </w:tc>
      </w:tr>
      <w:tr w:rsidR="00012CD6" w:rsidRPr="00125FAF" w14:paraId="3E03FB9D" w14:textId="77777777" w:rsidTr="001F2F2D">
        <w:trPr>
          <w:trHeight w:val="300"/>
        </w:trPr>
        <w:tc>
          <w:tcPr>
            <w:tcW w:w="1863" w:type="pct"/>
            <w:tcBorders>
              <w:top w:val="nil"/>
              <w:left w:val="single" w:sz="4" w:space="0" w:color="auto"/>
              <w:bottom w:val="single" w:sz="4" w:space="0" w:color="auto"/>
              <w:right w:val="single" w:sz="4" w:space="0" w:color="auto"/>
            </w:tcBorders>
            <w:shd w:val="clear" w:color="auto" w:fill="auto"/>
            <w:vAlign w:val="center"/>
            <w:hideMark/>
          </w:tcPr>
          <w:p w14:paraId="205A9B79" w14:textId="77777777" w:rsidR="00012CD6" w:rsidRPr="00125FAF" w:rsidRDefault="00012CD6" w:rsidP="00012CD6">
            <w:pPr>
              <w:spacing w:after="0" w:line="240" w:lineRule="auto"/>
              <w:jc w:val="both"/>
              <w:rPr>
                <w:rFonts w:ascii="Times New Roman" w:eastAsia="Times New Roman" w:hAnsi="Times New Roman" w:cs="Times New Roman"/>
                <w:color w:val="000000"/>
                <w:sz w:val="20"/>
                <w:szCs w:val="20"/>
                <w:lang w:eastAsia="ro-RO"/>
              </w:rPr>
            </w:pPr>
            <w:r w:rsidRPr="00125FAF">
              <w:rPr>
                <w:rFonts w:ascii="Times New Roman" w:eastAsia="Times New Roman" w:hAnsi="Times New Roman" w:cs="Times New Roman"/>
                <w:color w:val="000000"/>
                <w:sz w:val="20"/>
                <w:szCs w:val="20"/>
                <w:lang w:eastAsia="ro-RO"/>
              </w:rPr>
              <w:t>Agricol</w:t>
            </w:r>
          </w:p>
        </w:tc>
        <w:tc>
          <w:tcPr>
            <w:tcW w:w="845" w:type="pct"/>
            <w:tcBorders>
              <w:top w:val="nil"/>
              <w:left w:val="nil"/>
              <w:bottom w:val="single" w:sz="4" w:space="0" w:color="auto"/>
              <w:right w:val="single" w:sz="4" w:space="0" w:color="auto"/>
            </w:tcBorders>
            <w:shd w:val="clear" w:color="auto" w:fill="auto"/>
            <w:vAlign w:val="center"/>
            <w:hideMark/>
          </w:tcPr>
          <w:p w14:paraId="4F0B288E" w14:textId="77777777" w:rsidR="00012CD6" w:rsidRPr="00125FAF" w:rsidRDefault="00012CD6" w:rsidP="00012CD6">
            <w:pPr>
              <w:spacing w:after="0" w:line="240" w:lineRule="auto"/>
              <w:jc w:val="center"/>
              <w:rPr>
                <w:rFonts w:ascii="Times New Roman" w:eastAsia="Times New Roman" w:hAnsi="Times New Roman" w:cs="Times New Roman"/>
                <w:color w:val="000000"/>
                <w:sz w:val="20"/>
                <w:szCs w:val="20"/>
                <w:lang w:eastAsia="ro-RO"/>
              </w:rPr>
            </w:pPr>
            <w:r w:rsidRPr="00125FAF">
              <w:rPr>
                <w:rFonts w:ascii="Times New Roman" w:eastAsia="Times New Roman" w:hAnsi="Times New Roman" w:cs="Times New Roman"/>
                <w:color w:val="000000"/>
                <w:sz w:val="20"/>
                <w:szCs w:val="20"/>
                <w:lang w:eastAsia="ro-RO"/>
              </w:rPr>
              <w:t>48</w:t>
            </w:r>
          </w:p>
        </w:tc>
        <w:tc>
          <w:tcPr>
            <w:tcW w:w="723" w:type="pct"/>
            <w:tcBorders>
              <w:top w:val="nil"/>
              <w:left w:val="nil"/>
              <w:bottom w:val="single" w:sz="4" w:space="0" w:color="auto"/>
              <w:right w:val="single" w:sz="4" w:space="0" w:color="auto"/>
            </w:tcBorders>
            <w:shd w:val="clear" w:color="auto" w:fill="auto"/>
            <w:vAlign w:val="center"/>
            <w:hideMark/>
          </w:tcPr>
          <w:p w14:paraId="7A1FA0E1" w14:textId="77777777" w:rsidR="00012CD6" w:rsidRPr="00125FAF" w:rsidRDefault="00012CD6" w:rsidP="00012CD6">
            <w:pPr>
              <w:spacing w:after="0" w:line="240" w:lineRule="auto"/>
              <w:jc w:val="center"/>
              <w:rPr>
                <w:rFonts w:ascii="Times New Roman" w:eastAsia="Times New Roman" w:hAnsi="Times New Roman" w:cs="Times New Roman"/>
                <w:color w:val="000000"/>
                <w:sz w:val="20"/>
                <w:szCs w:val="20"/>
                <w:lang w:eastAsia="ro-RO"/>
              </w:rPr>
            </w:pPr>
            <w:r w:rsidRPr="00125FAF">
              <w:rPr>
                <w:rFonts w:ascii="Times New Roman" w:eastAsia="Times New Roman" w:hAnsi="Times New Roman" w:cs="Times New Roman"/>
                <w:color w:val="000000"/>
                <w:sz w:val="20"/>
                <w:szCs w:val="20"/>
                <w:lang w:eastAsia="ro-RO"/>
              </w:rPr>
              <w:t>50</w:t>
            </w:r>
          </w:p>
        </w:tc>
        <w:tc>
          <w:tcPr>
            <w:tcW w:w="845" w:type="pct"/>
            <w:tcBorders>
              <w:top w:val="nil"/>
              <w:left w:val="nil"/>
              <w:bottom w:val="single" w:sz="4" w:space="0" w:color="auto"/>
              <w:right w:val="single" w:sz="4" w:space="0" w:color="auto"/>
            </w:tcBorders>
            <w:shd w:val="clear" w:color="auto" w:fill="auto"/>
            <w:vAlign w:val="center"/>
            <w:hideMark/>
          </w:tcPr>
          <w:p w14:paraId="2A6BDB04" w14:textId="77777777" w:rsidR="00012CD6" w:rsidRPr="00125FAF" w:rsidRDefault="00012CD6" w:rsidP="00012CD6">
            <w:pPr>
              <w:spacing w:after="0" w:line="240" w:lineRule="auto"/>
              <w:jc w:val="center"/>
              <w:rPr>
                <w:rFonts w:ascii="Times New Roman" w:eastAsia="Times New Roman" w:hAnsi="Times New Roman" w:cs="Times New Roman"/>
                <w:color w:val="000000"/>
                <w:sz w:val="20"/>
                <w:szCs w:val="20"/>
                <w:lang w:eastAsia="ro-RO"/>
              </w:rPr>
            </w:pPr>
            <w:r w:rsidRPr="00125FAF">
              <w:rPr>
                <w:rFonts w:ascii="Times New Roman" w:eastAsia="Times New Roman" w:hAnsi="Times New Roman" w:cs="Times New Roman"/>
                <w:color w:val="000000"/>
                <w:sz w:val="20"/>
                <w:szCs w:val="20"/>
                <w:lang w:eastAsia="ro-RO"/>
              </w:rPr>
              <w:t>44</w:t>
            </w:r>
          </w:p>
        </w:tc>
        <w:tc>
          <w:tcPr>
            <w:tcW w:w="723" w:type="pct"/>
            <w:tcBorders>
              <w:top w:val="nil"/>
              <w:left w:val="nil"/>
              <w:bottom w:val="single" w:sz="4" w:space="0" w:color="auto"/>
              <w:right w:val="single" w:sz="4" w:space="0" w:color="auto"/>
            </w:tcBorders>
            <w:shd w:val="clear" w:color="auto" w:fill="auto"/>
            <w:vAlign w:val="center"/>
            <w:hideMark/>
          </w:tcPr>
          <w:p w14:paraId="06BDE4ED" w14:textId="77777777" w:rsidR="00012CD6" w:rsidRPr="00125FAF" w:rsidRDefault="00012CD6" w:rsidP="00012CD6">
            <w:pPr>
              <w:spacing w:after="0" w:line="240" w:lineRule="auto"/>
              <w:jc w:val="center"/>
              <w:rPr>
                <w:rFonts w:ascii="Times New Roman" w:eastAsia="Times New Roman" w:hAnsi="Times New Roman" w:cs="Times New Roman"/>
                <w:color w:val="000000"/>
                <w:sz w:val="20"/>
                <w:szCs w:val="20"/>
                <w:lang w:eastAsia="ro-RO"/>
              </w:rPr>
            </w:pPr>
            <w:r w:rsidRPr="00125FAF">
              <w:rPr>
                <w:rFonts w:ascii="Times New Roman" w:eastAsia="Times New Roman" w:hAnsi="Times New Roman" w:cs="Times New Roman"/>
                <w:color w:val="000000"/>
                <w:sz w:val="20"/>
                <w:szCs w:val="20"/>
                <w:lang w:eastAsia="ro-RO"/>
              </w:rPr>
              <w:t>47</w:t>
            </w:r>
          </w:p>
        </w:tc>
      </w:tr>
      <w:tr w:rsidR="00012CD6" w:rsidRPr="00125FAF" w14:paraId="42BAB8B4" w14:textId="77777777" w:rsidTr="001F2F2D">
        <w:trPr>
          <w:trHeight w:val="510"/>
        </w:trPr>
        <w:tc>
          <w:tcPr>
            <w:tcW w:w="1863" w:type="pct"/>
            <w:tcBorders>
              <w:top w:val="nil"/>
              <w:left w:val="single" w:sz="4" w:space="0" w:color="auto"/>
              <w:bottom w:val="single" w:sz="4" w:space="0" w:color="auto"/>
              <w:right w:val="single" w:sz="4" w:space="0" w:color="auto"/>
            </w:tcBorders>
            <w:shd w:val="clear" w:color="auto" w:fill="auto"/>
            <w:vAlign w:val="center"/>
            <w:hideMark/>
          </w:tcPr>
          <w:p w14:paraId="39D8939F" w14:textId="024998FA" w:rsidR="00012CD6" w:rsidRPr="00125FAF" w:rsidRDefault="005E1830" w:rsidP="00012CD6">
            <w:pPr>
              <w:spacing w:after="0" w:line="240" w:lineRule="auto"/>
              <w:jc w:val="both"/>
              <w:rPr>
                <w:rFonts w:ascii="Times New Roman" w:eastAsia="Times New Roman" w:hAnsi="Times New Roman" w:cs="Times New Roman"/>
                <w:color w:val="000000"/>
                <w:sz w:val="20"/>
                <w:szCs w:val="20"/>
                <w:lang w:eastAsia="ro-RO"/>
              </w:rPr>
            </w:pPr>
            <w:r w:rsidRPr="00505AD8">
              <w:rPr>
                <w:rFonts w:ascii="Times New Roman" w:eastAsia="Times New Roman" w:hAnsi="Times New Roman" w:cs="Times New Roman"/>
                <w:i/>
                <w:color w:val="000000"/>
                <w:sz w:val="20"/>
                <w:szCs w:val="20"/>
              </w:rPr>
              <w:t>FTSCFTS</w:t>
            </w:r>
          </w:p>
        </w:tc>
        <w:tc>
          <w:tcPr>
            <w:tcW w:w="845" w:type="pct"/>
            <w:tcBorders>
              <w:top w:val="nil"/>
              <w:left w:val="nil"/>
              <w:bottom w:val="single" w:sz="4" w:space="0" w:color="auto"/>
              <w:right w:val="single" w:sz="4" w:space="0" w:color="auto"/>
            </w:tcBorders>
            <w:shd w:val="clear" w:color="auto" w:fill="auto"/>
            <w:vAlign w:val="center"/>
            <w:hideMark/>
          </w:tcPr>
          <w:p w14:paraId="44A40F95" w14:textId="77777777" w:rsidR="00012CD6" w:rsidRPr="00125FAF" w:rsidRDefault="00012CD6" w:rsidP="00012CD6">
            <w:pPr>
              <w:spacing w:after="0" w:line="240" w:lineRule="auto"/>
              <w:jc w:val="center"/>
              <w:rPr>
                <w:rFonts w:ascii="Times New Roman" w:eastAsia="Times New Roman" w:hAnsi="Times New Roman" w:cs="Times New Roman"/>
                <w:color w:val="000000"/>
                <w:sz w:val="20"/>
                <w:szCs w:val="20"/>
                <w:lang w:eastAsia="ro-RO"/>
              </w:rPr>
            </w:pPr>
            <w:r w:rsidRPr="00125FAF">
              <w:rPr>
                <w:rFonts w:ascii="Times New Roman" w:eastAsia="Times New Roman" w:hAnsi="Times New Roman" w:cs="Times New Roman"/>
                <w:color w:val="000000"/>
                <w:sz w:val="20"/>
                <w:szCs w:val="20"/>
                <w:lang w:eastAsia="ro-RO"/>
              </w:rPr>
              <w:t>-33</w:t>
            </w:r>
          </w:p>
        </w:tc>
        <w:tc>
          <w:tcPr>
            <w:tcW w:w="723" w:type="pct"/>
            <w:tcBorders>
              <w:top w:val="nil"/>
              <w:left w:val="nil"/>
              <w:bottom w:val="single" w:sz="4" w:space="0" w:color="auto"/>
              <w:right w:val="single" w:sz="4" w:space="0" w:color="auto"/>
            </w:tcBorders>
            <w:shd w:val="clear" w:color="auto" w:fill="auto"/>
            <w:vAlign w:val="center"/>
            <w:hideMark/>
          </w:tcPr>
          <w:p w14:paraId="64F69248" w14:textId="77777777" w:rsidR="00012CD6" w:rsidRPr="00125FAF" w:rsidRDefault="00012CD6" w:rsidP="00012CD6">
            <w:pPr>
              <w:spacing w:after="0" w:line="240" w:lineRule="auto"/>
              <w:jc w:val="center"/>
              <w:rPr>
                <w:rFonts w:ascii="Times New Roman" w:eastAsia="Times New Roman" w:hAnsi="Times New Roman" w:cs="Times New Roman"/>
                <w:color w:val="000000"/>
                <w:sz w:val="20"/>
                <w:szCs w:val="20"/>
                <w:lang w:eastAsia="ro-RO"/>
              </w:rPr>
            </w:pPr>
            <w:r w:rsidRPr="00125FAF">
              <w:rPr>
                <w:rFonts w:ascii="Times New Roman" w:eastAsia="Times New Roman" w:hAnsi="Times New Roman" w:cs="Times New Roman"/>
                <w:color w:val="000000"/>
                <w:sz w:val="20"/>
                <w:szCs w:val="20"/>
                <w:lang w:eastAsia="ro-RO"/>
              </w:rPr>
              <w:t>195</w:t>
            </w:r>
          </w:p>
        </w:tc>
        <w:tc>
          <w:tcPr>
            <w:tcW w:w="845" w:type="pct"/>
            <w:tcBorders>
              <w:top w:val="nil"/>
              <w:left w:val="nil"/>
              <w:bottom w:val="single" w:sz="4" w:space="0" w:color="auto"/>
              <w:right w:val="single" w:sz="4" w:space="0" w:color="auto"/>
            </w:tcBorders>
            <w:shd w:val="clear" w:color="auto" w:fill="auto"/>
            <w:vAlign w:val="center"/>
            <w:hideMark/>
          </w:tcPr>
          <w:p w14:paraId="6256B51D" w14:textId="77777777" w:rsidR="00012CD6" w:rsidRPr="00125FAF" w:rsidRDefault="00012CD6" w:rsidP="00012CD6">
            <w:pPr>
              <w:spacing w:after="0" w:line="240" w:lineRule="auto"/>
              <w:jc w:val="center"/>
              <w:rPr>
                <w:rFonts w:ascii="Times New Roman" w:eastAsia="Times New Roman" w:hAnsi="Times New Roman" w:cs="Times New Roman"/>
                <w:color w:val="000000"/>
                <w:sz w:val="20"/>
                <w:szCs w:val="20"/>
                <w:lang w:eastAsia="ro-RO"/>
              </w:rPr>
            </w:pPr>
            <w:r w:rsidRPr="00125FAF">
              <w:rPr>
                <w:rFonts w:ascii="Times New Roman" w:eastAsia="Times New Roman" w:hAnsi="Times New Roman" w:cs="Times New Roman"/>
                <w:color w:val="000000"/>
                <w:sz w:val="20"/>
                <w:szCs w:val="20"/>
                <w:lang w:eastAsia="ro-RO"/>
              </w:rPr>
              <w:t>10</w:t>
            </w:r>
          </w:p>
        </w:tc>
        <w:tc>
          <w:tcPr>
            <w:tcW w:w="723" w:type="pct"/>
            <w:tcBorders>
              <w:top w:val="nil"/>
              <w:left w:val="nil"/>
              <w:bottom w:val="single" w:sz="4" w:space="0" w:color="auto"/>
              <w:right w:val="single" w:sz="4" w:space="0" w:color="auto"/>
            </w:tcBorders>
            <w:shd w:val="clear" w:color="auto" w:fill="auto"/>
            <w:vAlign w:val="center"/>
            <w:hideMark/>
          </w:tcPr>
          <w:p w14:paraId="336EF506" w14:textId="77777777" w:rsidR="00012CD6" w:rsidRPr="00125FAF" w:rsidRDefault="00012CD6" w:rsidP="00012CD6">
            <w:pPr>
              <w:spacing w:after="0" w:line="240" w:lineRule="auto"/>
              <w:jc w:val="center"/>
              <w:rPr>
                <w:rFonts w:ascii="Times New Roman" w:eastAsia="Times New Roman" w:hAnsi="Times New Roman" w:cs="Times New Roman"/>
                <w:color w:val="000000"/>
                <w:sz w:val="20"/>
                <w:szCs w:val="20"/>
                <w:lang w:eastAsia="ro-RO"/>
              </w:rPr>
            </w:pPr>
            <w:r w:rsidRPr="00125FAF">
              <w:rPr>
                <w:rFonts w:ascii="Times New Roman" w:eastAsia="Times New Roman" w:hAnsi="Times New Roman" w:cs="Times New Roman"/>
                <w:color w:val="000000"/>
                <w:sz w:val="20"/>
                <w:szCs w:val="20"/>
                <w:lang w:eastAsia="ro-RO"/>
              </w:rPr>
              <w:t>391</w:t>
            </w:r>
          </w:p>
        </w:tc>
      </w:tr>
      <w:tr w:rsidR="00012CD6" w:rsidRPr="00125FAF" w14:paraId="527DA0AA" w14:textId="77777777" w:rsidTr="001F2F2D">
        <w:trPr>
          <w:trHeight w:val="300"/>
        </w:trPr>
        <w:tc>
          <w:tcPr>
            <w:tcW w:w="1863" w:type="pct"/>
            <w:tcBorders>
              <w:top w:val="nil"/>
              <w:left w:val="single" w:sz="4" w:space="0" w:color="auto"/>
              <w:bottom w:val="single" w:sz="4" w:space="0" w:color="auto"/>
              <w:right w:val="single" w:sz="4" w:space="0" w:color="auto"/>
            </w:tcBorders>
            <w:shd w:val="clear" w:color="auto" w:fill="auto"/>
            <w:vAlign w:val="center"/>
            <w:hideMark/>
          </w:tcPr>
          <w:p w14:paraId="104C9CD9" w14:textId="77777777" w:rsidR="00012CD6" w:rsidRPr="00125FAF" w:rsidRDefault="00012CD6" w:rsidP="00012CD6">
            <w:pPr>
              <w:spacing w:after="0" w:line="240" w:lineRule="auto"/>
              <w:jc w:val="both"/>
              <w:rPr>
                <w:rFonts w:ascii="Times New Roman" w:eastAsia="Times New Roman" w:hAnsi="Times New Roman" w:cs="Times New Roman"/>
                <w:color w:val="000000"/>
                <w:sz w:val="20"/>
                <w:szCs w:val="20"/>
                <w:lang w:eastAsia="ro-RO"/>
              </w:rPr>
            </w:pPr>
            <w:proofErr w:type="spellStart"/>
            <w:r w:rsidRPr="00125FAF">
              <w:rPr>
                <w:rFonts w:ascii="Times New Roman" w:eastAsia="Times New Roman" w:hAnsi="Times New Roman" w:cs="Times New Roman"/>
                <w:color w:val="000000"/>
                <w:sz w:val="20"/>
                <w:szCs w:val="20"/>
                <w:lang w:eastAsia="ro-RO"/>
              </w:rPr>
              <w:t>Deşeuri</w:t>
            </w:r>
            <w:proofErr w:type="spellEnd"/>
          </w:p>
        </w:tc>
        <w:tc>
          <w:tcPr>
            <w:tcW w:w="845" w:type="pct"/>
            <w:tcBorders>
              <w:top w:val="nil"/>
              <w:left w:val="nil"/>
              <w:bottom w:val="single" w:sz="4" w:space="0" w:color="auto"/>
              <w:right w:val="single" w:sz="4" w:space="0" w:color="auto"/>
            </w:tcBorders>
            <w:shd w:val="clear" w:color="auto" w:fill="auto"/>
            <w:vAlign w:val="center"/>
            <w:hideMark/>
          </w:tcPr>
          <w:p w14:paraId="6629E0EF" w14:textId="77777777" w:rsidR="00012CD6" w:rsidRPr="00125FAF" w:rsidRDefault="00012CD6" w:rsidP="00012CD6">
            <w:pPr>
              <w:spacing w:after="0" w:line="240" w:lineRule="auto"/>
              <w:jc w:val="center"/>
              <w:rPr>
                <w:rFonts w:ascii="Times New Roman" w:eastAsia="Times New Roman" w:hAnsi="Times New Roman" w:cs="Times New Roman"/>
                <w:color w:val="000000"/>
                <w:sz w:val="20"/>
                <w:szCs w:val="20"/>
                <w:lang w:eastAsia="ro-RO"/>
              </w:rPr>
            </w:pPr>
            <w:r w:rsidRPr="00125FAF">
              <w:rPr>
                <w:rFonts w:ascii="Times New Roman" w:eastAsia="Times New Roman" w:hAnsi="Times New Roman" w:cs="Times New Roman"/>
                <w:color w:val="000000"/>
                <w:sz w:val="20"/>
                <w:szCs w:val="20"/>
                <w:lang w:eastAsia="ro-RO"/>
              </w:rPr>
              <w:t>16</w:t>
            </w:r>
          </w:p>
        </w:tc>
        <w:tc>
          <w:tcPr>
            <w:tcW w:w="723" w:type="pct"/>
            <w:tcBorders>
              <w:top w:val="nil"/>
              <w:left w:val="nil"/>
              <w:bottom w:val="single" w:sz="4" w:space="0" w:color="auto"/>
              <w:right w:val="single" w:sz="4" w:space="0" w:color="auto"/>
            </w:tcBorders>
            <w:shd w:val="clear" w:color="auto" w:fill="auto"/>
            <w:vAlign w:val="center"/>
            <w:hideMark/>
          </w:tcPr>
          <w:p w14:paraId="6FA72230" w14:textId="77777777" w:rsidR="00012CD6" w:rsidRPr="00125FAF" w:rsidRDefault="00012CD6" w:rsidP="00012CD6">
            <w:pPr>
              <w:spacing w:after="0" w:line="240" w:lineRule="auto"/>
              <w:jc w:val="center"/>
              <w:rPr>
                <w:rFonts w:ascii="Times New Roman" w:eastAsia="Times New Roman" w:hAnsi="Times New Roman" w:cs="Times New Roman"/>
                <w:color w:val="000000"/>
                <w:sz w:val="20"/>
                <w:szCs w:val="20"/>
                <w:lang w:eastAsia="ro-RO"/>
              </w:rPr>
            </w:pPr>
            <w:r w:rsidRPr="00125FAF">
              <w:rPr>
                <w:rFonts w:ascii="Times New Roman" w:eastAsia="Times New Roman" w:hAnsi="Times New Roman" w:cs="Times New Roman"/>
                <w:color w:val="000000"/>
                <w:sz w:val="20"/>
                <w:szCs w:val="20"/>
                <w:lang w:eastAsia="ro-RO"/>
              </w:rPr>
              <w:t>19</w:t>
            </w:r>
          </w:p>
        </w:tc>
        <w:tc>
          <w:tcPr>
            <w:tcW w:w="845" w:type="pct"/>
            <w:tcBorders>
              <w:top w:val="nil"/>
              <w:left w:val="nil"/>
              <w:bottom w:val="single" w:sz="4" w:space="0" w:color="auto"/>
              <w:right w:val="single" w:sz="4" w:space="0" w:color="auto"/>
            </w:tcBorders>
            <w:shd w:val="clear" w:color="auto" w:fill="auto"/>
            <w:vAlign w:val="center"/>
            <w:hideMark/>
          </w:tcPr>
          <w:p w14:paraId="79D784D1" w14:textId="77777777" w:rsidR="00012CD6" w:rsidRPr="00125FAF" w:rsidRDefault="00012CD6" w:rsidP="00012CD6">
            <w:pPr>
              <w:spacing w:after="0" w:line="240" w:lineRule="auto"/>
              <w:jc w:val="center"/>
              <w:rPr>
                <w:rFonts w:ascii="Times New Roman" w:eastAsia="Times New Roman" w:hAnsi="Times New Roman" w:cs="Times New Roman"/>
                <w:color w:val="000000"/>
                <w:sz w:val="20"/>
                <w:szCs w:val="20"/>
                <w:lang w:eastAsia="ro-RO"/>
              </w:rPr>
            </w:pPr>
            <w:r w:rsidRPr="00125FAF">
              <w:rPr>
                <w:rFonts w:ascii="Times New Roman" w:eastAsia="Times New Roman" w:hAnsi="Times New Roman" w:cs="Times New Roman"/>
                <w:color w:val="000000"/>
                <w:sz w:val="20"/>
                <w:szCs w:val="20"/>
                <w:lang w:eastAsia="ro-RO"/>
              </w:rPr>
              <w:t>14</w:t>
            </w:r>
          </w:p>
        </w:tc>
        <w:tc>
          <w:tcPr>
            <w:tcW w:w="723" w:type="pct"/>
            <w:tcBorders>
              <w:top w:val="nil"/>
              <w:left w:val="nil"/>
              <w:bottom w:val="single" w:sz="4" w:space="0" w:color="auto"/>
              <w:right w:val="single" w:sz="4" w:space="0" w:color="auto"/>
            </w:tcBorders>
            <w:shd w:val="clear" w:color="auto" w:fill="auto"/>
            <w:vAlign w:val="center"/>
            <w:hideMark/>
          </w:tcPr>
          <w:p w14:paraId="5C0F5004" w14:textId="77777777" w:rsidR="00012CD6" w:rsidRPr="00125FAF" w:rsidRDefault="00012CD6" w:rsidP="00012CD6">
            <w:pPr>
              <w:spacing w:after="0" w:line="240" w:lineRule="auto"/>
              <w:jc w:val="center"/>
              <w:rPr>
                <w:rFonts w:ascii="Times New Roman" w:eastAsia="Times New Roman" w:hAnsi="Times New Roman" w:cs="Times New Roman"/>
                <w:color w:val="000000"/>
                <w:sz w:val="20"/>
                <w:szCs w:val="20"/>
                <w:lang w:eastAsia="ro-RO"/>
              </w:rPr>
            </w:pPr>
            <w:r w:rsidRPr="00125FAF">
              <w:rPr>
                <w:rFonts w:ascii="Times New Roman" w:eastAsia="Times New Roman" w:hAnsi="Times New Roman" w:cs="Times New Roman"/>
                <w:color w:val="000000"/>
                <w:sz w:val="20"/>
                <w:szCs w:val="20"/>
                <w:lang w:eastAsia="ro-RO"/>
              </w:rPr>
              <w:t>18</w:t>
            </w:r>
          </w:p>
        </w:tc>
      </w:tr>
      <w:tr w:rsidR="00012CD6" w:rsidRPr="00125FAF" w14:paraId="267F071E" w14:textId="77777777" w:rsidTr="001F2F2D">
        <w:trPr>
          <w:trHeight w:val="300"/>
        </w:trPr>
        <w:tc>
          <w:tcPr>
            <w:tcW w:w="1863" w:type="pct"/>
            <w:tcBorders>
              <w:top w:val="nil"/>
              <w:left w:val="single" w:sz="4" w:space="0" w:color="auto"/>
              <w:bottom w:val="single" w:sz="4" w:space="0" w:color="auto"/>
              <w:right w:val="single" w:sz="4" w:space="0" w:color="auto"/>
            </w:tcBorders>
            <w:shd w:val="clear" w:color="auto" w:fill="auto"/>
            <w:vAlign w:val="center"/>
            <w:hideMark/>
          </w:tcPr>
          <w:p w14:paraId="38897339" w14:textId="77777777" w:rsidR="00012CD6" w:rsidRPr="00125FAF" w:rsidRDefault="00012CD6" w:rsidP="00012CD6">
            <w:pPr>
              <w:spacing w:after="0" w:line="240" w:lineRule="auto"/>
              <w:jc w:val="both"/>
              <w:rPr>
                <w:rFonts w:ascii="Times New Roman" w:eastAsia="Times New Roman" w:hAnsi="Times New Roman" w:cs="Times New Roman"/>
                <w:color w:val="000000"/>
                <w:sz w:val="20"/>
                <w:szCs w:val="20"/>
                <w:lang w:eastAsia="ro-RO"/>
              </w:rPr>
            </w:pPr>
            <w:r w:rsidRPr="00125FAF">
              <w:rPr>
                <w:rFonts w:ascii="Times New Roman" w:eastAsia="Times New Roman" w:hAnsi="Times New Roman" w:cs="Times New Roman"/>
                <w:color w:val="000000"/>
                <w:sz w:val="20"/>
                <w:szCs w:val="20"/>
                <w:lang w:eastAsia="ro-RO"/>
              </w:rPr>
              <w:t>TOTAL</w:t>
            </w:r>
          </w:p>
        </w:tc>
        <w:tc>
          <w:tcPr>
            <w:tcW w:w="845" w:type="pct"/>
            <w:tcBorders>
              <w:top w:val="nil"/>
              <w:left w:val="nil"/>
              <w:bottom w:val="single" w:sz="4" w:space="0" w:color="auto"/>
              <w:right w:val="single" w:sz="4" w:space="0" w:color="auto"/>
            </w:tcBorders>
            <w:shd w:val="clear" w:color="auto" w:fill="auto"/>
            <w:vAlign w:val="center"/>
            <w:hideMark/>
          </w:tcPr>
          <w:p w14:paraId="0C1626E7" w14:textId="77777777" w:rsidR="00012CD6" w:rsidRPr="00125FAF" w:rsidRDefault="00012CD6" w:rsidP="00012CD6">
            <w:pPr>
              <w:spacing w:after="0" w:line="240" w:lineRule="auto"/>
              <w:jc w:val="center"/>
              <w:rPr>
                <w:rFonts w:ascii="Times New Roman" w:eastAsia="Times New Roman" w:hAnsi="Times New Roman" w:cs="Times New Roman"/>
                <w:color w:val="000000"/>
                <w:sz w:val="20"/>
                <w:szCs w:val="20"/>
                <w:lang w:eastAsia="ro-RO"/>
              </w:rPr>
            </w:pPr>
            <w:r w:rsidRPr="00125FAF">
              <w:rPr>
                <w:rFonts w:ascii="Times New Roman" w:eastAsia="Times New Roman" w:hAnsi="Times New Roman" w:cs="Times New Roman"/>
                <w:color w:val="000000"/>
                <w:sz w:val="20"/>
                <w:szCs w:val="20"/>
                <w:lang w:eastAsia="ro-RO"/>
              </w:rPr>
              <w:t>71</w:t>
            </w:r>
          </w:p>
        </w:tc>
        <w:tc>
          <w:tcPr>
            <w:tcW w:w="723" w:type="pct"/>
            <w:tcBorders>
              <w:top w:val="nil"/>
              <w:left w:val="nil"/>
              <w:bottom w:val="single" w:sz="4" w:space="0" w:color="auto"/>
              <w:right w:val="single" w:sz="4" w:space="0" w:color="auto"/>
            </w:tcBorders>
            <w:shd w:val="clear" w:color="auto" w:fill="auto"/>
            <w:vAlign w:val="center"/>
            <w:hideMark/>
          </w:tcPr>
          <w:p w14:paraId="48DF338D" w14:textId="77777777" w:rsidR="00012CD6" w:rsidRPr="00125FAF" w:rsidRDefault="00012CD6" w:rsidP="00012CD6">
            <w:pPr>
              <w:spacing w:after="0" w:line="240" w:lineRule="auto"/>
              <w:jc w:val="center"/>
              <w:rPr>
                <w:rFonts w:ascii="Times New Roman" w:eastAsia="Times New Roman" w:hAnsi="Times New Roman" w:cs="Times New Roman"/>
                <w:color w:val="000000"/>
                <w:sz w:val="20"/>
                <w:szCs w:val="20"/>
                <w:lang w:eastAsia="ro-RO"/>
              </w:rPr>
            </w:pPr>
            <w:r w:rsidRPr="00125FAF">
              <w:rPr>
                <w:rFonts w:ascii="Times New Roman" w:eastAsia="Times New Roman" w:hAnsi="Times New Roman" w:cs="Times New Roman"/>
                <w:color w:val="000000"/>
                <w:sz w:val="20"/>
                <w:szCs w:val="20"/>
                <w:lang w:eastAsia="ro-RO"/>
              </w:rPr>
              <w:t>83</w:t>
            </w:r>
          </w:p>
        </w:tc>
        <w:tc>
          <w:tcPr>
            <w:tcW w:w="845" w:type="pct"/>
            <w:tcBorders>
              <w:top w:val="nil"/>
              <w:left w:val="nil"/>
              <w:bottom w:val="single" w:sz="4" w:space="0" w:color="auto"/>
              <w:right w:val="single" w:sz="4" w:space="0" w:color="auto"/>
            </w:tcBorders>
            <w:shd w:val="clear" w:color="auto" w:fill="auto"/>
            <w:vAlign w:val="center"/>
            <w:hideMark/>
          </w:tcPr>
          <w:p w14:paraId="35C97493" w14:textId="77777777" w:rsidR="00012CD6" w:rsidRPr="00125FAF" w:rsidRDefault="00012CD6" w:rsidP="00012CD6">
            <w:pPr>
              <w:spacing w:after="0" w:line="240" w:lineRule="auto"/>
              <w:jc w:val="center"/>
              <w:rPr>
                <w:rFonts w:ascii="Times New Roman" w:eastAsia="Times New Roman" w:hAnsi="Times New Roman" w:cs="Times New Roman"/>
                <w:color w:val="000000"/>
                <w:sz w:val="20"/>
                <w:szCs w:val="20"/>
                <w:lang w:eastAsia="ro-RO"/>
              </w:rPr>
            </w:pPr>
            <w:r w:rsidRPr="00125FAF">
              <w:rPr>
                <w:rFonts w:ascii="Times New Roman" w:eastAsia="Times New Roman" w:hAnsi="Times New Roman" w:cs="Times New Roman"/>
                <w:color w:val="000000"/>
                <w:sz w:val="20"/>
                <w:szCs w:val="20"/>
                <w:lang w:eastAsia="ro-RO"/>
              </w:rPr>
              <w:t>70</w:t>
            </w:r>
          </w:p>
        </w:tc>
        <w:tc>
          <w:tcPr>
            <w:tcW w:w="723" w:type="pct"/>
            <w:tcBorders>
              <w:top w:val="nil"/>
              <w:left w:val="nil"/>
              <w:bottom w:val="single" w:sz="4" w:space="0" w:color="auto"/>
              <w:right w:val="single" w:sz="4" w:space="0" w:color="auto"/>
            </w:tcBorders>
            <w:shd w:val="clear" w:color="auto" w:fill="auto"/>
            <w:vAlign w:val="center"/>
            <w:hideMark/>
          </w:tcPr>
          <w:p w14:paraId="0C8A08C4" w14:textId="77777777" w:rsidR="00012CD6" w:rsidRPr="00125FAF" w:rsidRDefault="00012CD6" w:rsidP="00012CD6">
            <w:pPr>
              <w:spacing w:after="0" w:line="240" w:lineRule="auto"/>
              <w:jc w:val="center"/>
              <w:rPr>
                <w:rFonts w:ascii="Times New Roman" w:eastAsia="Times New Roman" w:hAnsi="Times New Roman" w:cs="Times New Roman"/>
                <w:color w:val="000000"/>
                <w:sz w:val="20"/>
                <w:szCs w:val="20"/>
                <w:lang w:eastAsia="ro-RO"/>
              </w:rPr>
            </w:pPr>
            <w:r w:rsidRPr="00125FAF">
              <w:rPr>
                <w:rFonts w:ascii="Times New Roman" w:eastAsia="Times New Roman" w:hAnsi="Times New Roman" w:cs="Times New Roman"/>
                <w:color w:val="000000"/>
                <w:sz w:val="20"/>
                <w:szCs w:val="20"/>
                <w:lang w:eastAsia="ro-RO"/>
              </w:rPr>
              <w:t>88</w:t>
            </w:r>
          </w:p>
        </w:tc>
      </w:tr>
    </w:tbl>
    <w:p w14:paraId="3E147F57" w14:textId="05D78CAA" w:rsidR="006364B2" w:rsidRPr="00125FAF" w:rsidRDefault="006364B2" w:rsidP="00DF42B1">
      <w:pPr>
        <w:spacing w:before="120" w:after="120" w:line="240" w:lineRule="auto"/>
        <w:ind w:firstLine="720"/>
        <w:jc w:val="both"/>
        <w:rPr>
          <w:rFonts w:ascii="Times New Roman" w:eastAsia="Times New Roman" w:hAnsi="Times New Roman" w:cs="Times New Roman"/>
          <w:sz w:val="24"/>
          <w:szCs w:val="24"/>
          <w:lang w:eastAsia="ru-RU"/>
        </w:rPr>
      </w:pPr>
      <w:r w:rsidRPr="00125FAF">
        <w:rPr>
          <w:rFonts w:ascii="Times New Roman" w:eastAsia="Times New Roman" w:hAnsi="Times New Roman" w:cs="Times New Roman"/>
          <w:color w:val="000000"/>
          <w:sz w:val="24"/>
          <w:szCs w:val="24"/>
          <w:shd w:val="clear" w:color="auto" w:fill="FFFFFF"/>
          <w:lang w:eastAsia="ru-RU"/>
        </w:rPr>
        <w:t>2</w:t>
      </w:r>
      <w:r w:rsidR="007909C8" w:rsidRPr="00125FAF">
        <w:rPr>
          <w:rFonts w:ascii="Times New Roman" w:eastAsia="Times New Roman" w:hAnsi="Times New Roman" w:cs="Times New Roman"/>
          <w:color w:val="000000"/>
          <w:sz w:val="24"/>
          <w:szCs w:val="24"/>
          <w:shd w:val="clear" w:color="auto" w:fill="FFFFFF"/>
          <w:lang w:eastAsia="ru-RU"/>
        </w:rPr>
        <w:t>4</w:t>
      </w:r>
      <w:r w:rsidRPr="00125FAF">
        <w:rPr>
          <w:rFonts w:ascii="Times New Roman" w:eastAsia="Times New Roman" w:hAnsi="Times New Roman" w:cs="Times New Roman"/>
          <w:color w:val="000000"/>
          <w:sz w:val="24"/>
          <w:szCs w:val="24"/>
          <w:shd w:val="clear" w:color="auto" w:fill="FFFFFF"/>
          <w:lang w:eastAsia="ru-RU"/>
        </w:rPr>
        <w:t xml:space="preserve">. Pentru a atinge </w:t>
      </w:r>
      <w:proofErr w:type="spellStart"/>
      <w:r w:rsidRPr="00125FAF">
        <w:rPr>
          <w:rFonts w:ascii="Times New Roman" w:eastAsia="Times New Roman" w:hAnsi="Times New Roman" w:cs="Times New Roman"/>
          <w:color w:val="000000"/>
          <w:sz w:val="24"/>
          <w:szCs w:val="24"/>
          <w:shd w:val="clear" w:color="auto" w:fill="FFFFFF"/>
          <w:lang w:eastAsia="ru-RU"/>
        </w:rPr>
        <w:t>ţintele</w:t>
      </w:r>
      <w:proofErr w:type="spellEnd"/>
      <w:r w:rsidRPr="00125FAF">
        <w:rPr>
          <w:rFonts w:ascii="Times New Roman" w:eastAsia="Times New Roman" w:hAnsi="Times New Roman" w:cs="Times New Roman"/>
          <w:color w:val="000000"/>
          <w:sz w:val="24"/>
          <w:szCs w:val="24"/>
          <w:shd w:val="clear" w:color="auto" w:fill="FFFFFF"/>
          <w:lang w:eastAsia="ru-RU"/>
        </w:rPr>
        <w:t xml:space="preserve"> </w:t>
      </w:r>
      <w:proofErr w:type="spellStart"/>
      <w:r w:rsidRPr="00125FAF">
        <w:rPr>
          <w:rFonts w:ascii="Times New Roman" w:eastAsia="Times New Roman" w:hAnsi="Times New Roman" w:cs="Times New Roman"/>
          <w:color w:val="000000"/>
          <w:sz w:val="24"/>
          <w:szCs w:val="24"/>
          <w:shd w:val="clear" w:color="auto" w:fill="FFFFFF"/>
          <w:lang w:eastAsia="ru-RU"/>
        </w:rPr>
        <w:t>pînă</w:t>
      </w:r>
      <w:proofErr w:type="spellEnd"/>
      <w:r w:rsidRPr="00125FAF">
        <w:rPr>
          <w:rFonts w:ascii="Times New Roman" w:eastAsia="Times New Roman" w:hAnsi="Times New Roman" w:cs="Times New Roman"/>
          <w:color w:val="000000"/>
          <w:sz w:val="24"/>
          <w:szCs w:val="24"/>
          <w:shd w:val="clear" w:color="auto" w:fill="FFFFFF"/>
          <w:lang w:eastAsia="ru-RU"/>
        </w:rPr>
        <w:t xml:space="preserve"> în anul 202</w:t>
      </w:r>
      <w:r w:rsidR="00012CD6" w:rsidRPr="00125FAF">
        <w:rPr>
          <w:rFonts w:ascii="Times New Roman" w:eastAsia="Times New Roman" w:hAnsi="Times New Roman" w:cs="Times New Roman"/>
          <w:color w:val="000000"/>
          <w:sz w:val="24"/>
          <w:szCs w:val="24"/>
          <w:shd w:val="clear" w:color="auto" w:fill="FFFFFF"/>
          <w:lang w:eastAsia="ru-RU"/>
        </w:rPr>
        <w:t>5</w:t>
      </w:r>
      <w:r w:rsidRPr="00125FAF">
        <w:rPr>
          <w:rFonts w:ascii="Times New Roman" w:eastAsia="Times New Roman" w:hAnsi="Times New Roman" w:cs="Times New Roman"/>
          <w:color w:val="000000"/>
          <w:sz w:val="24"/>
          <w:szCs w:val="24"/>
          <w:shd w:val="clear" w:color="auto" w:fill="FFFFFF"/>
          <w:lang w:eastAsia="ru-RU"/>
        </w:rPr>
        <w:t xml:space="preserve"> </w:t>
      </w:r>
      <w:proofErr w:type="spellStart"/>
      <w:r w:rsidRPr="00125FAF">
        <w:rPr>
          <w:rFonts w:ascii="Times New Roman" w:eastAsia="Times New Roman" w:hAnsi="Times New Roman" w:cs="Times New Roman"/>
          <w:color w:val="000000"/>
          <w:sz w:val="24"/>
          <w:szCs w:val="24"/>
          <w:shd w:val="clear" w:color="auto" w:fill="FFFFFF"/>
          <w:lang w:eastAsia="ru-RU"/>
        </w:rPr>
        <w:t>şi</w:t>
      </w:r>
      <w:proofErr w:type="spellEnd"/>
      <w:r w:rsidRPr="00125FAF">
        <w:rPr>
          <w:rFonts w:ascii="Times New Roman" w:eastAsia="Times New Roman" w:hAnsi="Times New Roman" w:cs="Times New Roman"/>
          <w:color w:val="000000"/>
          <w:sz w:val="24"/>
          <w:szCs w:val="24"/>
          <w:shd w:val="clear" w:color="auto" w:fill="FFFFFF"/>
          <w:lang w:eastAsia="ru-RU"/>
        </w:rPr>
        <w:t xml:space="preserve">, respectiv, 2030, au fost deja </w:t>
      </w:r>
      <w:proofErr w:type="spellStart"/>
      <w:r w:rsidRPr="00125FAF">
        <w:rPr>
          <w:rFonts w:ascii="Times New Roman" w:eastAsia="Times New Roman" w:hAnsi="Times New Roman" w:cs="Times New Roman"/>
          <w:color w:val="000000"/>
          <w:sz w:val="24"/>
          <w:szCs w:val="24"/>
          <w:shd w:val="clear" w:color="auto" w:fill="FFFFFF"/>
          <w:lang w:eastAsia="ru-RU"/>
        </w:rPr>
        <w:t>iniţiate</w:t>
      </w:r>
      <w:proofErr w:type="spellEnd"/>
      <w:r w:rsidRPr="00125FAF">
        <w:rPr>
          <w:rFonts w:ascii="Times New Roman" w:eastAsia="Times New Roman" w:hAnsi="Times New Roman" w:cs="Times New Roman"/>
          <w:color w:val="000000"/>
          <w:sz w:val="24"/>
          <w:szCs w:val="24"/>
          <w:shd w:val="clear" w:color="auto" w:fill="FFFFFF"/>
          <w:lang w:eastAsia="ru-RU"/>
        </w:rPr>
        <w:t xml:space="preserve"> </w:t>
      </w:r>
      <w:proofErr w:type="spellStart"/>
      <w:r w:rsidRPr="00125FAF">
        <w:rPr>
          <w:rFonts w:ascii="Times New Roman" w:eastAsia="Times New Roman" w:hAnsi="Times New Roman" w:cs="Times New Roman"/>
          <w:color w:val="000000"/>
          <w:sz w:val="24"/>
          <w:szCs w:val="24"/>
          <w:shd w:val="clear" w:color="auto" w:fill="FFFFFF"/>
          <w:lang w:eastAsia="ru-RU"/>
        </w:rPr>
        <w:t>şi</w:t>
      </w:r>
      <w:proofErr w:type="spellEnd"/>
      <w:r w:rsidRPr="00125FAF">
        <w:rPr>
          <w:rFonts w:ascii="Times New Roman" w:eastAsia="Times New Roman" w:hAnsi="Times New Roman" w:cs="Times New Roman"/>
          <w:color w:val="000000"/>
          <w:sz w:val="24"/>
          <w:szCs w:val="24"/>
          <w:shd w:val="clear" w:color="auto" w:fill="FFFFFF"/>
          <w:lang w:eastAsia="ru-RU"/>
        </w:rPr>
        <w:t xml:space="preserve"> se vor </w:t>
      </w:r>
      <w:proofErr w:type="spellStart"/>
      <w:r w:rsidRPr="00125FAF">
        <w:rPr>
          <w:rFonts w:ascii="Times New Roman" w:eastAsia="Times New Roman" w:hAnsi="Times New Roman" w:cs="Times New Roman"/>
          <w:color w:val="000000"/>
          <w:sz w:val="24"/>
          <w:szCs w:val="24"/>
          <w:shd w:val="clear" w:color="auto" w:fill="FFFFFF"/>
          <w:lang w:eastAsia="ru-RU"/>
        </w:rPr>
        <w:t>desfăşura</w:t>
      </w:r>
      <w:proofErr w:type="spellEnd"/>
      <w:r w:rsidRPr="00125FAF">
        <w:rPr>
          <w:rFonts w:ascii="Times New Roman" w:eastAsia="Times New Roman" w:hAnsi="Times New Roman" w:cs="Times New Roman"/>
          <w:color w:val="000000"/>
          <w:sz w:val="24"/>
          <w:szCs w:val="24"/>
          <w:shd w:val="clear" w:color="auto" w:fill="FFFFFF"/>
          <w:lang w:eastAsia="ru-RU"/>
        </w:rPr>
        <w:t xml:space="preserve"> în continuare </w:t>
      </w:r>
      <w:proofErr w:type="spellStart"/>
      <w:r w:rsidRPr="00125FAF">
        <w:rPr>
          <w:rFonts w:ascii="Times New Roman" w:eastAsia="Times New Roman" w:hAnsi="Times New Roman" w:cs="Times New Roman"/>
          <w:color w:val="000000"/>
          <w:sz w:val="24"/>
          <w:szCs w:val="24"/>
          <w:shd w:val="clear" w:color="auto" w:fill="FFFFFF"/>
          <w:lang w:eastAsia="ru-RU"/>
        </w:rPr>
        <w:t>activităţi</w:t>
      </w:r>
      <w:proofErr w:type="spellEnd"/>
      <w:r w:rsidRPr="00125FAF">
        <w:rPr>
          <w:rFonts w:ascii="Times New Roman" w:eastAsia="Times New Roman" w:hAnsi="Times New Roman" w:cs="Times New Roman"/>
          <w:color w:val="000000"/>
          <w:sz w:val="24"/>
          <w:szCs w:val="24"/>
          <w:shd w:val="clear" w:color="auto" w:fill="FFFFFF"/>
          <w:lang w:eastAsia="ru-RU"/>
        </w:rPr>
        <w:t xml:space="preserve"> axate pe:</w:t>
      </w:r>
    </w:p>
    <w:p w14:paraId="336612BC" w14:textId="7B40EE6E" w:rsidR="006364B2" w:rsidRPr="00125FAF" w:rsidRDefault="006364B2" w:rsidP="006364B2">
      <w:pPr>
        <w:spacing w:after="0" w:line="240" w:lineRule="auto"/>
        <w:ind w:firstLine="720"/>
        <w:jc w:val="both"/>
        <w:rPr>
          <w:rFonts w:ascii="Times New Roman" w:eastAsia="Times New Roman" w:hAnsi="Times New Roman" w:cs="Times New Roman"/>
          <w:sz w:val="24"/>
          <w:szCs w:val="24"/>
          <w:lang w:eastAsia="ru-RU"/>
        </w:rPr>
      </w:pPr>
      <w:r w:rsidRPr="00125FAF">
        <w:rPr>
          <w:rFonts w:ascii="Times New Roman" w:eastAsia="Times New Roman" w:hAnsi="Times New Roman" w:cs="Times New Roman"/>
          <w:color w:val="000000"/>
          <w:sz w:val="24"/>
          <w:szCs w:val="24"/>
          <w:shd w:val="clear" w:color="auto" w:fill="FFFFFF"/>
          <w:lang w:eastAsia="ru-RU"/>
        </w:rPr>
        <w:t xml:space="preserve">1) identificarea </w:t>
      </w:r>
      <w:proofErr w:type="spellStart"/>
      <w:r w:rsidRPr="00125FAF">
        <w:rPr>
          <w:rFonts w:ascii="Times New Roman" w:eastAsia="Times New Roman" w:hAnsi="Times New Roman" w:cs="Times New Roman"/>
          <w:color w:val="000000"/>
          <w:sz w:val="24"/>
          <w:szCs w:val="24"/>
          <w:shd w:val="clear" w:color="auto" w:fill="FFFFFF"/>
          <w:lang w:eastAsia="ru-RU"/>
        </w:rPr>
        <w:t>soluţiilor</w:t>
      </w:r>
      <w:proofErr w:type="spellEnd"/>
      <w:r w:rsidRPr="00125FAF">
        <w:rPr>
          <w:rFonts w:ascii="Times New Roman" w:eastAsia="Times New Roman" w:hAnsi="Times New Roman" w:cs="Times New Roman"/>
          <w:color w:val="000000"/>
          <w:sz w:val="24"/>
          <w:szCs w:val="24"/>
          <w:shd w:val="clear" w:color="auto" w:fill="FFFFFF"/>
          <w:lang w:eastAsia="ru-RU"/>
        </w:rPr>
        <w:t xml:space="preserve"> de atenuare a emisiilor de gaze cu efect de seră direct care să nu afecteze procesul de dezvoltare </w:t>
      </w:r>
      <w:proofErr w:type="spellStart"/>
      <w:r w:rsidRPr="00125FAF">
        <w:rPr>
          <w:rFonts w:ascii="Times New Roman" w:eastAsia="Times New Roman" w:hAnsi="Times New Roman" w:cs="Times New Roman"/>
          <w:color w:val="000000"/>
          <w:sz w:val="24"/>
          <w:szCs w:val="24"/>
          <w:shd w:val="clear" w:color="auto" w:fill="FFFFFF"/>
          <w:lang w:eastAsia="ru-RU"/>
        </w:rPr>
        <w:t>şi</w:t>
      </w:r>
      <w:proofErr w:type="spellEnd"/>
      <w:r w:rsidRPr="00125FAF">
        <w:rPr>
          <w:rFonts w:ascii="Times New Roman" w:eastAsia="Times New Roman" w:hAnsi="Times New Roman" w:cs="Times New Roman"/>
          <w:color w:val="000000"/>
          <w:sz w:val="24"/>
          <w:szCs w:val="24"/>
          <w:shd w:val="clear" w:color="auto" w:fill="FFFFFF"/>
          <w:lang w:eastAsia="ru-RU"/>
        </w:rPr>
        <w:t xml:space="preserve"> </w:t>
      </w:r>
      <w:proofErr w:type="spellStart"/>
      <w:r w:rsidRPr="00125FAF">
        <w:rPr>
          <w:rFonts w:ascii="Times New Roman" w:eastAsia="Times New Roman" w:hAnsi="Times New Roman" w:cs="Times New Roman"/>
          <w:color w:val="000000"/>
          <w:sz w:val="24"/>
          <w:szCs w:val="24"/>
          <w:shd w:val="clear" w:color="auto" w:fill="FFFFFF"/>
          <w:lang w:eastAsia="ru-RU"/>
        </w:rPr>
        <w:t>creştere</w:t>
      </w:r>
      <w:proofErr w:type="spellEnd"/>
      <w:r w:rsidRPr="00125FAF">
        <w:rPr>
          <w:rFonts w:ascii="Times New Roman" w:eastAsia="Times New Roman" w:hAnsi="Times New Roman" w:cs="Times New Roman"/>
          <w:color w:val="000000"/>
          <w:sz w:val="24"/>
          <w:szCs w:val="24"/>
          <w:shd w:val="clear" w:color="auto" w:fill="FFFFFF"/>
          <w:lang w:eastAsia="ru-RU"/>
        </w:rPr>
        <w:t xml:space="preserve"> economică;</w:t>
      </w:r>
    </w:p>
    <w:p w14:paraId="6DE97FE0" w14:textId="77777777" w:rsidR="006364B2" w:rsidRPr="00125FAF" w:rsidRDefault="006364B2" w:rsidP="006364B2">
      <w:pPr>
        <w:spacing w:after="0" w:line="240" w:lineRule="auto"/>
        <w:ind w:firstLine="720"/>
        <w:jc w:val="both"/>
        <w:rPr>
          <w:rFonts w:ascii="Times New Roman" w:eastAsia="Times New Roman" w:hAnsi="Times New Roman" w:cs="Times New Roman"/>
          <w:sz w:val="24"/>
          <w:szCs w:val="24"/>
          <w:lang w:eastAsia="ru-RU"/>
        </w:rPr>
      </w:pPr>
      <w:r w:rsidRPr="00125FAF">
        <w:rPr>
          <w:rFonts w:ascii="Times New Roman" w:eastAsia="Times New Roman" w:hAnsi="Times New Roman" w:cs="Times New Roman"/>
          <w:color w:val="000000"/>
          <w:sz w:val="24"/>
          <w:szCs w:val="24"/>
          <w:lang w:eastAsia="ru-RU"/>
        </w:rPr>
        <w:t xml:space="preserve">2) </w:t>
      </w:r>
      <w:proofErr w:type="spellStart"/>
      <w:r w:rsidRPr="00125FAF">
        <w:rPr>
          <w:rFonts w:ascii="Times New Roman" w:eastAsia="Times New Roman" w:hAnsi="Times New Roman" w:cs="Times New Roman"/>
          <w:color w:val="000000"/>
          <w:sz w:val="24"/>
          <w:szCs w:val="24"/>
          <w:shd w:val="clear" w:color="auto" w:fill="FFFFFF"/>
          <w:lang w:eastAsia="ru-RU"/>
        </w:rPr>
        <w:t>evidenţierea</w:t>
      </w:r>
      <w:proofErr w:type="spellEnd"/>
      <w:r w:rsidRPr="00125FAF">
        <w:rPr>
          <w:rFonts w:ascii="Times New Roman" w:eastAsia="Times New Roman" w:hAnsi="Times New Roman" w:cs="Times New Roman"/>
          <w:color w:val="000000"/>
          <w:sz w:val="24"/>
          <w:szCs w:val="24"/>
          <w:shd w:val="clear" w:color="auto" w:fill="FFFFFF"/>
          <w:lang w:eastAsia="ru-RU"/>
        </w:rPr>
        <w:t xml:space="preserve"> </w:t>
      </w:r>
      <w:proofErr w:type="spellStart"/>
      <w:r w:rsidRPr="00125FAF">
        <w:rPr>
          <w:rFonts w:ascii="Times New Roman" w:eastAsia="Times New Roman" w:hAnsi="Times New Roman" w:cs="Times New Roman"/>
          <w:color w:val="000000"/>
          <w:sz w:val="24"/>
          <w:szCs w:val="24"/>
          <w:shd w:val="clear" w:color="auto" w:fill="FFFFFF"/>
          <w:lang w:eastAsia="ru-RU"/>
        </w:rPr>
        <w:t>şi</w:t>
      </w:r>
      <w:proofErr w:type="spellEnd"/>
      <w:r w:rsidRPr="00125FAF">
        <w:rPr>
          <w:rFonts w:ascii="Times New Roman" w:eastAsia="Times New Roman" w:hAnsi="Times New Roman" w:cs="Times New Roman"/>
          <w:color w:val="000000"/>
          <w:sz w:val="24"/>
          <w:szCs w:val="24"/>
          <w:shd w:val="clear" w:color="auto" w:fill="FFFFFF"/>
          <w:lang w:eastAsia="ru-RU"/>
        </w:rPr>
        <w:t xml:space="preserve"> eliminarea barierelor în calea </w:t>
      </w:r>
      <w:proofErr w:type="spellStart"/>
      <w:r w:rsidRPr="00125FAF">
        <w:rPr>
          <w:rFonts w:ascii="Times New Roman" w:eastAsia="Times New Roman" w:hAnsi="Times New Roman" w:cs="Times New Roman"/>
          <w:color w:val="000000"/>
          <w:sz w:val="24"/>
          <w:szCs w:val="24"/>
          <w:shd w:val="clear" w:color="auto" w:fill="FFFFFF"/>
          <w:lang w:eastAsia="ru-RU"/>
        </w:rPr>
        <w:t>tranziţiei</w:t>
      </w:r>
      <w:proofErr w:type="spellEnd"/>
      <w:r w:rsidRPr="00125FAF">
        <w:rPr>
          <w:rFonts w:ascii="Times New Roman" w:eastAsia="Times New Roman" w:hAnsi="Times New Roman" w:cs="Times New Roman"/>
          <w:color w:val="000000"/>
          <w:sz w:val="24"/>
          <w:szCs w:val="24"/>
          <w:shd w:val="clear" w:color="auto" w:fill="FFFFFF"/>
          <w:lang w:eastAsia="ru-RU"/>
        </w:rPr>
        <w:t xml:space="preserve"> către dezvoltarea cu emisii reduse;</w:t>
      </w:r>
    </w:p>
    <w:p w14:paraId="31DB9C74" w14:textId="0507DF49" w:rsidR="006364B2" w:rsidRPr="00125FAF" w:rsidRDefault="006364B2" w:rsidP="006364B2">
      <w:pPr>
        <w:spacing w:after="0" w:line="240" w:lineRule="auto"/>
        <w:ind w:firstLine="720"/>
        <w:jc w:val="both"/>
        <w:rPr>
          <w:rFonts w:ascii="Times New Roman" w:eastAsia="Times New Roman" w:hAnsi="Times New Roman" w:cs="Times New Roman"/>
          <w:sz w:val="24"/>
          <w:szCs w:val="24"/>
          <w:lang w:eastAsia="ru-RU"/>
        </w:rPr>
      </w:pPr>
      <w:r w:rsidRPr="00125FAF">
        <w:rPr>
          <w:rFonts w:ascii="Times New Roman" w:eastAsia="Times New Roman" w:hAnsi="Times New Roman" w:cs="Times New Roman"/>
          <w:color w:val="000000"/>
          <w:sz w:val="24"/>
          <w:szCs w:val="24"/>
          <w:lang w:eastAsia="ru-RU"/>
        </w:rPr>
        <w:t xml:space="preserve">3) </w:t>
      </w:r>
      <w:r w:rsidRPr="00125FAF">
        <w:rPr>
          <w:rFonts w:ascii="Times New Roman" w:eastAsia="Times New Roman" w:hAnsi="Times New Roman" w:cs="Times New Roman"/>
          <w:color w:val="000000"/>
          <w:sz w:val="24"/>
          <w:szCs w:val="24"/>
          <w:shd w:val="clear" w:color="auto" w:fill="FFFFFF"/>
          <w:lang w:eastAsia="ru-RU"/>
        </w:rPr>
        <w:t xml:space="preserve">consolidarea </w:t>
      </w:r>
      <w:proofErr w:type="spellStart"/>
      <w:r w:rsidRPr="00125FAF">
        <w:rPr>
          <w:rFonts w:ascii="Times New Roman" w:eastAsia="Times New Roman" w:hAnsi="Times New Roman" w:cs="Times New Roman"/>
          <w:color w:val="000000"/>
          <w:sz w:val="24"/>
          <w:szCs w:val="24"/>
          <w:shd w:val="clear" w:color="auto" w:fill="FFFFFF"/>
          <w:lang w:eastAsia="ru-RU"/>
        </w:rPr>
        <w:t>şi</w:t>
      </w:r>
      <w:proofErr w:type="spellEnd"/>
      <w:r w:rsidRPr="00125FAF">
        <w:rPr>
          <w:rFonts w:ascii="Times New Roman" w:eastAsia="Times New Roman" w:hAnsi="Times New Roman" w:cs="Times New Roman"/>
          <w:color w:val="000000"/>
          <w:sz w:val="24"/>
          <w:szCs w:val="24"/>
          <w:shd w:val="clear" w:color="auto" w:fill="FFFFFF"/>
          <w:lang w:eastAsia="ru-RU"/>
        </w:rPr>
        <w:t xml:space="preserve"> continuarea promovării proiectelor </w:t>
      </w:r>
      <w:proofErr w:type="spellStart"/>
      <w:r w:rsidRPr="00125FAF">
        <w:rPr>
          <w:rFonts w:ascii="Times New Roman" w:eastAsia="Times New Roman" w:hAnsi="Times New Roman" w:cs="Times New Roman"/>
          <w:color w:val="000000"/>
          <w:sz w:val="24"/>
          <w:szCs w:val="24"/>
          <w:shd w:val="clear" w:color="auto" w:fill="FFFFFF"/>
          <w:lang w:eastAsia="ru-RU"/>
        </w:rPr>
        <w:t>şi</w:t>
      </w:r>
      <w:proofErr w:type="spellEnd"/>
      <w:r w:rsidRPr="00125FAF">
        <w:rPr>
          <w:rFonts w:ascii="Times New Roman" w:eastAsia="Times New Roman" w:hAnsi="Times New Roman" w:cs="Times New Roman"/>
          <w:color w:val="000000"/>
          <w:sz w:val="24"/>
          <w:szCs w:val="24"/>
          <w:shd w:val="clear" w:color="auto" w:fill="FFFFFF"/>
          <w:lang w:eastAsia="ru-RU"/>
        </w:rPr>
        <w:t xml:space="preserve">/sau </w:t>
      </w:r>
      <w:proofErr w:type="spellStart"/>
      <w:r w:rsidRPr="00125FAF">
        <w:rPr>
          <w:rFonts w:ascii="Times New Roman" w:eastAsia="Times New Roman" w:hAnsi="Times New Roman" w:cs="Times New Roman"/>
          <w:color w:val="000000"/>
          <w:sz w:val="24"/>
          <w:szCs w:val="24"/>
          <w:shd w:val="clear" w:color="auto" w:fill="FFFFFF"/>
          <w:lang w:eastAsia="ru-RU"/>
        </w:rPr>
        <w:t>investiţiilor</w:t>
      </w:r>
      <w:proofErr w:type="spellEnd"/>
      <w:r w:rsidRPr="00125FAF">
        <w:rPr>
          <w:rFonts w:ascii="Times New Roman" w:eastAsia="Times New Roman" w:hAnsi="Times New Roman" w:cs="Times New Roman"/>
          <w:color w:val="000000"/>
          <w:sz w:val="24"/>
          <w:szCs w:val="24"/>
          <w:shd w:val="clear" w:color="auto" w:fill="FFFFFF"/>
          <w:lang w:eastAsia="ru-RU"/>
        </w:rPr>
        <w:t xml:space="preserve"> axate pe dezvoltarea economică cu emisii reduse;</w:t>
      </w:r>
    </w:p>
    <w:p w14:paraId="510DCD28" w14:textId="77777777" w:rsidR="006364B2" w:rsidRPr="00125FAF" w:rsidRDefault="006364B2" w:rsidP="001F2F2D">
      <w:pPr>
        <w:spacing w:after="120" w:line="240" w:lineRule="auto"/>
        <w:ind w:firstLine="720"/>
        <w:jc w:val="both"/>
        <w:rPr>
          <w:rFonts w:ascii="Times New Roman" w:eastAsia="Times New Roman" w:hAnsi="Times New Roman" w:cs="Times New Roman"/>
          <w:sz w:val="24"/>
          <w:szCs w:val="24"/>
          <w:lang w:eastAsia="ru-RU"/>
        </w:rPr>
      </w:pPr>
      <w:r w:rsidRPr="00125FAF">
        <w:rPr>
          <w:rFonts w:ascii="Times New Roman" w:eastAsia="Times New Roman" w:hAnsi="Times New Roman" w:cs="Times New Roman"/>
          <w:color w:val="000000"/>
          <w:sz w:val="24"/>
          <w:szCs w:val="24"/>
          <w:lang w:eastAsia="ru-RU"/>
        </w:rPr>
        <w:t xml:space="preserve">4) </w:t>
      </w:r>
      <w:proofErr w:type="spellStart"/>
      <w:r w:rsidRPr="00125FAF">
        <w:rPr>
          <w:rFonts w:ascii="Times New Roman" w:eastAsia="Times New Roman" w:hAnsi="Times New Roman" w:cs="Times New Roman"/>
          <w:color w:val="000000"/>
          <w:sz w:val="24"/>
          <w:szCs w:val="24"/>
          <w:shd w:val="clear" w:color="auto" w:fill="FFFFFF"/>
          <w:lang w:eastAsia="ru-RU"/>
        </w:rPr>
        <w:t>prioritizarea</w:t>
      </w:r>
      <w:proofErr w:type="spellEnd"/>
      <w:r w:rsidRPr="00125FAF">
        <w:rPr>
          <w:rFonts w:ascii="Times New Roman" w:eastAsia="Times New Roman" w:hAnsi="Times New Roman" w:cs="Times New Roman"/>
          <w:color w:val="000000"/>
          <w:sz w:val="24"/>
          <w:szCs w:val="24"/>
          <w:shd w:val="clear" w:color="auto" w:fill="FFFFFF"/>
          <w:lang w:eastAsia="ru-RU"/>
        </w:rPr>
        <w:t xml:space="preserve"> </w:t>
      </w:r>
      <w:proofErr w:type="spellStart"/>
      <w:r w:rsidRPr="00125FAF">
        <w:rPr>
          <w:rFonts w:ascii="Times New Roman" w:eastAsia="Times New Roman" w:hAnsi="Times New Roman" w:cs="Times New Roman"/>
          <w:color w:val="000000"/>
          <w:sz w:val="24"/>
          <w:szCs w:val="24"/>
          <w:shd w:val="clear" w:color="auto" w:fill="FFFFFF"/>
          <w:lang w:eastAsia="ru-RU"/>
        </w:rPr>
        <w:t>acţiunilor</w:t>
      </w:r>
      <w:proofErr w:type="spellEnd"/>
      <w:r w:rsidRPr="00125FAF">
        <w:rPr>
          <w:rFonts w:ascii="Times New Roman" w:eastAsia="Times New Roman" w:hAnsi="Times New Roman" w:cs="Times New Roman"/>
          <w:color w:val="000000"/>
          <w:sz w:val="24"/>
          <w:szCs w:val="24"/>
          <w:shd w:val="clear" w:color="auto" w:fill="FFFFFF"/>
          <w:lang w:eastAsia="ru-RU"/>
        </w:rPr>
        <w:t xml:space="preserve"> de atenuare identificate;</w:t>
      </w:r>
    </w:p>
    <w:p w14:paraId="02D0EB18" w14:textId="1DE541C2" w:rsidR="002D7EC5" w:rsidRPr="00125FAF" w:rsidRDefault="00DB4D14" w:rsidP="00DF42B1">
      <w:pPr>
        <w:spacing w:after="120" w:line="240" w:lineRule="auto"/>
        <w:jc w:val="both"/>
        <w:rPr>
          <w:rFonts w:ascii="Times New Roman" w:eastAsia="Times New Roman" w:hAnsi="Times New Roman" w:cs="Times New Roman"/>
          <w:color w:val="000000"/>
          <w:sz w:val="24"/>
          <w:szCs w:val="24"/>
          <w:shd w:val="clear" w:color="auto" w:fill="FFFFFF"/>
          <w:lang w:eastAsia="ru-RU"/>
        </w:rPr>
      </w:pPr>
      <w:r w:rsidRPr="00125FAF">
        <w:rPr>
          <w:rFonts w:ascii="Times New Roman" w:eastAsia="Times New Roman" w:hAnsi="Times New Roman" w:cs="Times New Roman"/>
          <w:color w:val="000000"/>
          <w:sz w:val="24"/>
          <w:szCs w:val="24"/>
          <w:shd w:val="clear" w:color="auto" w:fill="FFFFFF"/>
          <w:lang w:eastAsia="ru-RU"/>
        </w:rPr>
        <w:t>În vederea atingerii obiectivelor specifice formulate mai sus</w:t>
      </w:r>
      <w:r w:rsidR="002D7EC5" w:rsidRPr="00125FAF">
        <w:rPr>
          <w:rFonts w:ascii="Times New Roman" w:eastAsia="Times New Roman" w:hAnsi="Times New Roman" w:cs="Times New Roman"/>
          <w:color w:val="000000"/>
          <w:sz w:val="24"/>
          <w:szCs w:val="24"/>
          <w:shd w:val="clear" w:color="auto" w:fill="FFFFFF"/>
          <w:lang w:eastAsia="ru-RU"/>
        </w:rPr>
        <w:t xml:space="preserve">, </w:t>
      </w:r>
      <w:r w:rsidR="006F7BA8" w:rsidRPr="00125FAF">
        <w:rPr>
          <w:rFonts w:ascii="Times New Roman" w:eastAsia="Times New Roman" w:hAnsi="Times New Roman" w:cs="Times New Roman"/>
          <w:color w:val="000000"/>
          <w:sz w:val="24"/>
          <w:szCs w:val="24"/>
          <w:shd w:val="clear" w:color="auto" w:fill="FFFFFF"/>
          <w:lang w:eastAsia="ru-RU"/>
        </w:rPr>
        <w:t>Programul</w:t>
      </w:r>
      <w:r w:rsidR="002D7EC5" w:rsidRPr="00125FAF">
        <w:rPr>
          <w:rFonts w:ascii="Times New Roman" w:eastAsia="Times New Roman" w:hAnsi="Times New Roman" w:cs="Times New Roman"/>
          <w:color w:val="000000"/>
          <w:sz w:val="24"/>
          <w:szCs w:val="24"/>
          <w:shd w:val="clear" w:color="auto" w:fill="FFFFFF"/>
          <w:lang w:eastAsia="ru-RU"/>
        </w:rPr>
        <w:t xml:space="preserve"> </w:t>
      </w:r>
      <w:proofErr w:type="spellStart"/>
      <w:r w:rsidR="008438AF" w:rsidRPr="00125FAF">
        <w:rPr>
          <w:rFonts w:ascii="Times New Roman" w:eastAsia="Times New Roman" w:hAnsi="Times New Roman" w:cs="Times New Roman"/>
          <w:color w:val="000000"/>
          <w:sz w:val="24"/>
          <w:szCs w:val="24"/>
          <w:shd w:val="clear" w:color="auto" w:fill="FFFFFF"/>
          <w:lang w:eastAsia="ru-RU"/>
        </w:rPr>
        <w:t>stabileşte</w:t>
      </w:r>
      <w:proofErr w:type="spellEnd"/>
      <w:r w:rsidR="002D7EC5" w:rsidRPr="00125FAF">
        <w:rPr>
          <w:rFonts w:ascii="Times New Roman" w:eastAsia="Times New Roman" w:hAnsi="Times New Roman" w:cs="Times New Roman"/>
          <w:color w:val="000000"/>
          <w:sz w:val="24"/>
          <w:szCs w:val="24"/>
          <w:shd w:val="clear" w:color="auto" w:fill="FFFFFF"/>
          <w:lang w:eastAsia="ru-RU"/>
        </w:rPr>
        <w:t xml:space="preserve"> </w:t>
      </w:r>
      <w:r w:rsidRPr="00125FAF">
        <w:rPr>
          <w:rFonts w:ascii="Times New Roman" w:eastAsia="Times New Roman" w:hAnsi="Times New Roman" w:cs="Times New Roman"/>
          <w:color w:val="000000"/>
          <w:sz w:val="24"/>
          <w:szCs w:val="24"/>
          <w:shd w:val="clear" w:color="auto" w:fill="FFFFFF"/>
          <w:lang w:eastAsia="ru-RU"/>
        </w:rPr>
        <w:t>următoarele</w:t>
      </w:r>
      <w:r w:rsidR="002D7EC5" w:rsidRPr="00125FAF">
        <w:rPr>
          <w:rFonts w:ascii="Times New Roman" w:eastAsia="Times New Roman" w:hAnsi="Times New Roman" w:cs="Times New Roman"/>
          <w:color w:val="000000"/>
          <w:sz w:val="24"/>
          <w:szCs w:val="24"/>
          <w:shd w:val="clear" w:color="auto" w:fill="FFFFFF"/>
          <w:lang w:eastAsia="ru-RU"/>
        </w:rPr>
        <w:t xml:space="preserve"> </w:t>
      </w:r>
      <w:proofErr w:type="spellStart"/>
      <w:r w:rsidR="002D7EC5" w:rsidRPr="00125FAF">
        <w:rPr>
          <w:rFonts w:ascii="Times New Roman" w:eastAsia="Times New Roman" w:hAnsi="Times New Roman" w:cs="Times New Roman"/>
          <w:color w:val="000000"/>
          <w:sz w:val="24"/>
          <w:szCs w:val="24"/>
          <w:shd w:val="clear" w:color="auto" w:fill="FFFFFF"/>
          <w:lang w:eastAsia="ru-RU"/>
        </w:rPr>
        <w:t>acţiuni</w:t>
      </w:r>
      <w:proofErr w:type="spellEnd"/>
      <w:r w:rsidR="002D7EC5" w:rsidRPr="00125FAF">
        <w:rPr>
          <w:rFonts w:ascii="Times New Roman" w:eastAsia="Times New Roman" w:hAnsi="Times New Roman" w:cs="Times New Roman"/>
          <w:color w:val="000000"/>
          <w:sz w:val="24"/>
          <w:szCs w:val="24"/>
          <w:shd w:val="clear" w:color="auto" w:fill="FFFFFF"/>
          <w:lang w:eastAsia="ru-RU"/>
        </w:rPr>
        <w:t xml:space="preserve"> prioritare</w:t>
      </w:r>
      <w:r w:rsidR="008438AF" w:rsidRPr="00125FAF">
        <w:rPr>
          <w:rFonts w:ascii="Times New Roman" w:eastAsia="Times New Roman" w:hAnsi="Times New Roman" w:cs="Times New Roman"/>
          <w:color w:val="000000"/>
          <w:sz w:val="24"/>
          <w:szCs w:val="24"/>
          <w:shd w:val="clear" w:color="auto" w:fill="FFFFFF"/>
          <w:lang w:eastAsia="ru-RU"/>
        </w:rPr>
        <w:t xml:space="preserve"> spre reducerea gazelor cu efect de seră</w:t>
      </w:r>
      <w:r w:rsidR="002D7EC5" w:rsidRPr="00125FAF">
        <w:rPr>
          <w:rFonts w:ascii="Times New Roman" w:eastAsia="Times New Roman" w:hAnsi="Times New Roman" w:cs="Times New Roman"/>
          <w:color w:val="000000"/>
          <w:sz w:val="24"/>
          <w:szCs w:val="24"/>
          <w:shd w:val="clear" w:color="auto" w:fill="FFFFFF"/>
          <w:lang w:eastAsia="ru-RU"/>
        </w:rPr>
        <w:t>:</w:t>
      </w:r>
    </w:p>
    <w:p w14:paraId="23D7B2EA" w14:textId="77777777" w:rsidR="00A81DF2" w:rsidRPr="00125FAF" w:rsidRDefault="00A81DF2" w:rsidP="003E24C5">
      <w:pPr>
        <w:pStyle w:val="Listparagraf"/>
        <w:numPr>
          <w:ilvl w:val="0"/>
          <w:numId w:val="6"/>
        </w:num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125FAF">
        <w:rPr>
          <w:rFonts w:ascii="Times New Roman" w:eastAsia="Times New Roman" w:hAnsi="Times New Roman" w:cs="Times New Roman"/>
          <w:color w:val="000000"/>
          <w:sz w:val="24"/>
          <w:szCs w:val="24"/>
          <w:shd w:val="clear" w:color="auto" w:fill="FFFFFF"/>
          <w:lang w:eastAsia="ru-RU"/>
        </w:rPr>
        <w:t>Promovarea surselor regenerabile de energie, având obiectivul de reducere maximă a importului de combustibili fosili;</w:t>
      </w:r>
    </w:p>
    <w:p w14:paraId="24F78185" w14:textId="44FB3756" w:rsidR="00A81DF2" w:rsidRPr="00125FAF" w:rsidRDefault="00A81DF2" w:rsidP="003E24C5">
      <w:pPr>
        <w:pStyle w:val="Listparagraf"/>
        <w:numPr>
          <w:ilvl w:val="0"/>
          <w:numId w:val="6"/>
        </w:num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125FAF">
        <w:rPr>
          <w:rFonts w:ascii="Times New Roman" w:eastAsia="Times New Roman" w:hAnsi="Times New Roman" w:cs="Times New Roman"/>
          <w:color w:val="000000"/>
          <w:sz w:val="24"/>
          <w:szCs w:val="24"/>
          <w:shd w:val="clear" w:color="auto" w:fill="FFFFFF"/>
          <w:lang w:eastAsia="ru-RU"/>
        </w:rPr>
        <w:t xml:space="preserve">Promovarea </w:t>
      </w:r>
      <w:proofErr w:type="spellStart"/>
      <w:r w:rsidRPr="00125FAF">
        <w:rPr>
          <w:rFonts w:ascii="Times New Roman" w:eastAsia="Times New Roman" w:hAnsi="Times New Roman" w:cs="Times New Roman"/>
          <w:color w:val="000000"/>
          <w:sz w:val="24"/>
          <w:szCs w:val="24"/>
          <w:shd w:val="clear" w:color="auto" w:fill="FFFFFF"/>
          <w:lang w:eastAsia="ru-RU"/>
        </w:rPr>
        <w:t>eficienţii</w:t>
      </w:r>
      <w:proofErr w:type="spellEnd"/>
      <w:r w:rsidRPr="00125FAF">
        <w:rPr>
          <w:rFonts w:ascii="Times New Roman" w:eastAsia="Times New Roman" w:hAnsi="Times New Roman" w:cs="Times New Roman"/>
          <w:color w:val="000000"/>
          <w:sz w:val="24"/>
          <w:szCs w:val="24"/>
          <w:shd w:val="clear" w:color="auto" w:fill="FFFFFF"/>
          <w:lang w:eastAsia="ru-RU"/>
        </w:rPr>
        <w:t xml:space="preserve"> energetice în vederea diminuării însemnate a</w:t>
      </w:r>
      <w:r w:rsidR="00E70219" w:rsidRPr="00125FAF">
        <w:rPr>
          <w:rFonts w:ascii="Times New Roman" w:eastAsia="Times New Roman" w:hAnsi="Times New Roman" w:cs="Times New Roman"/>
          <w:color w:val="000000"/>
          <w:sz w:val="24"/>
          <w:szCs w:val="24"/>
          <w:shd w:val="clear" w:color="auto" w:fill="FFFFFF"/>
          <w:lang w:eastAsia="ru-RU"/>
        </w:rPr>
        <w:t xml:space="preserve"> </w:t>
      </w:r>
      <w:proofErr w:type="spellStart"/>
      <w:r w:rsidRPr="00125FAF">
        <w:rPr>
          <w:rFonts w:ascii="Times New Roman" w:eastAsia="Times New Roman" w:hAnsi="Times New Roman" w:cs="Times New Roman"/>
          <w:color w:val="000000"/>
          <w:sz w:val="24"/>
          <w:szCs w:val="24"/>
          <w:shd w:val="clear" w:color="auto" w:fill="FFFFFF"/>
          <w:lang w:eastAsia="ru-RU"/>
        </w:rPr>
        <w:t>intensităţii</w:t>
      </w:r>
      <w:proofErr w:type="spellEnd"/>
      <w:r w:rsidRPr="00125FAF">
        <w:rPr>
          <w:rFonts w:ascii="Times New Roman" w:eastAsia="Times New Roman" w:hAnsi="Times New Roman" w:cs="Times New Roman"/>
          <w:color w:val="000000"/>
          <w:sz w:val="24"/>
          <w:szCs w:val="24"/>
          <w:shd w:val="clear" w:color="auto" w:fill="FFFFFF"/>
          <w:lang w:eastAsia="ru-RU"/>
        </w:rPr>
        <w:t xml:space="preserve"> energetice;</w:t>
      </w:r>
    </w:p>
    <w:p w14:paraId="463092DF" w14:textId="2CD3DB6A" w:rsidR="008438AF" w:rsidRPr="00125FAF" w:rsidRDefault="008438AF" w:rsidP="003E24C5">
      <w:pPr>
        <w:pStyle w:val="Listparagraf"/>
        <w:numPr>
          <w:ilvl w:val="0"/>
          <w:numId w:val="6"/>
        </w:numPr>
        <w:rPr>
          <w:rFonts w:ascii="Times New Roman" w:eastAsia="Times New Roman" w:hAnsi="Times New Roman" w:cs="Times New Roman"/>
          <w:color w:val="000000"/>
          <w:sz w:val="24"/>
          <w:szCs w:val="24"/>
          <w:shd w:val="clear" w:color="auto" w:fill="FFFFFF"/>
          <w:lang w:eastAsia="ru-RU"/>
        </w:rPr>
      </w:pPr>
      <w:r w:rsidRPr="00125FAF">
        <w:rPr>
          <w:rFonts w:ascii="Times New Roman" w:eastAsia="Times New Roman" w:hAnsi="Times New Roman" w:cs="Times New Roman"/>
          <w:color w:val="000000"/>
          <w:sz w:val="24"/>
          <w:szCs w:val="24"/>
          <w:shd w:val="clear" w:color="auto" w:fill="FFFFFF"/>
          <w:lang w:eastAsia="ru-RU"/>
        </w:rPr>
        <w:t>promovarea modernizării parcului auto din Republica Moldova, inclusiv prin introducerea taxei de mediu diferențiate pentru vehicule, în funcție de nivelul de poluare, percepută la testarea tehnică a vehiculelor, efectuată anual</w:t>
      </w:r>
      <w:r w:rsidR="00A47B91" w:rsidRPr="00125FAF">
        <w:rPr>
          <w:rFonts w:ascii="Times New Roman" w:eastAsia="Times New Roman" w:hAnsi="Times New Roman" w:cs="Times New Roman"/>
          <w:color w:val="000000"/>
          <w:sz w:val="24"/>
          <w:szCs w:val="24"/>
          <w:shd w:val="clear" w:color="auto" w:fill="FFFFFF"/>
          <w:lang w:eastAsia="ru-RU"/>
        </w:rPr>
        <w:t>;</w:t>
      </w:r>
    </w:p>
    <w:p w14:paraId="507F60C2" w14:textId="35783834" w:rsidR="008438AF" w:rsidRPr="00125FAF" w:rsidRDefault="008438AF" w:rsidP="003E24C5">
      <w:pPr>
        <w:pStyle w:val="Listparagraf"/>
        <w:numPr>
          <w:ilvl w:val="0"/>
          <w:numId w:val="6"/>
        </w:numPr>
        <w:rPr>
          <w:rFonts w:ascii="Times New Roman" w:eastAsia="Times New Roman" w:hAnsi="Times New Roman" w:cs="Times New Roman"/>
          <w:color w:val="000000"/>
          <w:sz w:val="24"/>
          <w:szCs w:val="24"/>
          <w:shd w:val="clear" w:color="auto" w:fill="FFFFFF"/>
          <w:lang w:eastAsia="ru-RU"/>
        </w:rPr>
      </w:pPr>
      <w:r w:rsidRPr="00125FAF">
        <w:rPr>
          <w:rFonts w:ascii="Times New Roman" w:eastAsia="Times New Roman" w:hAnsi="Times New Roman" w:cs="Times New Roman"/>
          <w:color w:val="000000"/>
          <w:sz w:val="24"/>
          <w:szCs w:val="24"/>
          <w:shd w:val="clear" w:color="auto" w:fill="FFFFFF"/>
          <w:lang w:eastAsia="ru-RU"/>
        </w:rPr>
        <w:t xml:space="preserve">Aplicarea agriculturii conservative spre reducerea degradării solurilor </w:t>
      </w:r>
      <w:proofErr w:type="spellStart"/>
      <w:r w:rsidRPr="00125FAF">
        <w:rPr>
          <w:rFonts w:ascii="Times New Roman" w:eastAsia="Times New Roman" w:hAnsi="Times New Roman" w:cs="Times New Roman"/>
          <w:color w:val="000000"/>
          <w:sz w:val="24"/>
          <w:szCs w:val="24"/>
          <w:shd w:val="clear" w:color="auto" w:fill="FFFFFF"/>
          <w:lang w:eastAsia="ru-RU"/>
        </w:rPr>
        <w:t>şi</w:t>
      </w:r>
      <w:proofErr w:type="spellEnd"/>
      <w:r w:rsidRPr="00125FAF">
        <w:rPr>
          <w:rFonts w:ascii="Times New Roman" w:eastAsia="Times New Roman" w:hAnsi="Times New Roman" w:cs="Times New Roman"/>
          <w:color w:val="000000"/>
          <w:sz w:val="24"/>
          <w:szCs w:val="24"/>
          <w:shd w:val="clear" w:color="auto" w:fill="FFFFFF"/>
          <w:lang w:eastAsia="ru-RU"/>
        </w:rPr>
        <w:t xml:space="preserve"> </w:t>
      </w:r>
      <w:proofErr w:type="spellStart"/>
      <w:r w:rsidRPr="00125FAF">
        <w:rPr>
          <w:rFonts w:ascii="Times New Roman" w:eastAsia="Times New Roman" w:hAnsi="Times New Roman" w:cs="Times New Roman"/>
          <w:color w:val="000000"/>
          <w:sz w:val="24"/>
          <w:szCs w:val="24"/>
          <w:shd w:val="clear" w:color="auto" w:fill="FFFFFF"/>
          <w:lang w:eastAsia="ru-RU"/>
        </w:rPr>
        <w:t>creşterea</w:t>
      </w:r>
      <w:proofErr w:type="spellEnd"/>
      <w:r w:rsidRPr="00125FAF">
        <w:rPr>
          <w:rFonts w:ascii="Times New Roman" w:eastAsia="Times New Roman" w:hAnsi="Times New Roman" w:cs="Times New Roman"/>
          <w:color w:val="000000"/>
          <w:sz w:val="24"/>
          <w:szCs w:val="24"/>
          <w:shd w:val="clear" w:color="auto" w:fill="FFFFFF"/>
          <w:lang w:eastAsia="ru-RU"/>
        </w:rPr>
        <w:t xml:space="preserve"> </w:t>
      </w:r>
      <w:proofErr w:type="spellStart"/>
      <w:r w:rsidRPr="00125FAF">
        <w:rPr>
          <w:rFonts w:ascii="Times New Roman" w:eastAsia="Times New Roman" w:hAnsi="Times New Roman" w:cs="Times New Roman"/>
          <w:color w:val="000000"/>
          <w:sz w:val="24"/>
          <w:szCs w:val="24"/>
          <w:shd w:val="clear" w:color="auto" w:fill="FFFFFF"/>
          <w:lang w:eastAsia="ru-RU"/>
        </w:rPr>
        <w:t>eficienţii</w:t>
      </w:r>
      <w:proofErr w:type="spellEnd"/>
      <w:r w:rsidRPr="00125FAF">
        <w:rPr>
          <w:rFonts w:ascii="Times New Roman" w:eastAsia="Times New Roman" w:hAnsi="Times New Roman" w:cs="Times New Roman"/>
          <w:color w:val="000000"/>
          <w:sz w:val="24"/>
          <w:szCs w:val="24"/>
          <w:shd w:val="clear" w:color="auto" w:fill="FFFFFF"/>
          <w:lang w:eastAsia="ru-RU"/>
        </w:rPr>
        <w:t xml:space="preserve"> prelucrării acestora;</w:t>
      </w:r>
    </w:p>
    <w:p w14:paraId="41AFD3F5" w14:textId="6010F8D5" w:rsidR="00A81DF2" w:rsidRPr="00125FAF" w:rsidRDefault="008438AF" w:rsidP="003E24C5">
      <w:pPr>
        <w:pStyle w:val="Listparagraf"/>
        <w:numPr>
          <w:ilvl w:val="0"/>
          <w:numId w:val="6"/>
        </w:num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125FAF">
        <w:rPr>
          <w:rFonts w:ascii="Times New Roman" w:eastAsia="Times New Roman" w:hAnsi="Times New Roman" w:cs="Times New Roman"/>
          <w:color w:val="000000"/>
          <w:sz w:val="24"/>
          <w:szCs w:val="24"/>
          <w:shd w:val="clear" w:color="auto" w:fill="FFFFFF"/>
          <w:lang w:eastAsia="ru-RU"/>
        </w:rPr>
        <w:t xml:space="preserve">Extinderea suprafețelor de terenuri împădurite </w:t>
      </w:r>
      <w:proofErr w:type="spellStart"/>
      <w:r w:rsidRPr="00125FAF">
        <w:rPr>
          <w:rFonts w:ascii="Times New Roman" w:eastAsia="Times New Roman" w:hAnsi="Times New Roman" w:cs="Times New Roman"/>
          <w:color w:val="000000"/>
          <w:sz w:val="24"/>
          <w:szCs w:val="24"/>
          <w:shd w:val="clear" w:color="auto" w:fill="FFFFFF"/>
          <w:lang w:eastAsia="ru-RU"/>
        </w:rPr>
        <w:t>şi</w:t>
      </w:r>
      <w:proofErr w:type="spellEnd"/>
      <w:r w:rsidRPr="00125FAF">
        <w:rPr>
          <w:rFonts w:ascii="Times New Roman" w:eastAsia="Times New Roman" w:hAnsi="Times New Roman" w:cs="Times New Roman"/>
          <w:color w:val="000000"/>
          <w:sz w:val="24"/>
          <w:szCs w:val="24"/>
          <w:shd w:val="clear" w:color="auto" w:fill="FFFFFF"/>
          <w:lang w:eastAsia="ru-RU"/>
        </w:rPr>
        <w:t xml:space="preserve"> a ariilor naturale protejate de stat, precum </w:t>
      </w:r>
      <w:proofErr w:type="spellStart"/>
      <w:r w:rsidRPr="00125FAF">
        <w:rPr>
          <w:rFonts w:ascii="Times New Roman" w:eastAsia="Times New Roman" w:hAnsi="Times New Roman" w:cs="Times New Roman"/>
          <w:color w:val="000000"/>
          <w:sz w:val="24"/>
          <w:szCs w:val="24"/>
          <w:shd w:val="clear" w:color="auto" w:fill="FFFFFF"/>
          <w:lang w:eastAsia="ru-RU"/>
        </w:rPr>
        <w:t>şi</w:t>
      </w:r>
      <w:proofErr w:type="spellEnd"/>
      <w:r w:rsidRPr="00125FAF">
        <w:rPr>
          <w:rFonts w:ascii="Times New Roman" w:eastAsia="Times New Roman" w:hAnsi="Times New Roman" w:cs="Times New Roman"/>
          <w:color w:val="000000"/>
          <w:sz w:val="24"/>
          <w:szCs w:val="24"/>
          <w:shd w:val="clear" w:color="auto" w:fill="FFFFFF"/>
          <w:lang w:eastAsia="ru-RU"/>
        </w:rPr>
        <w:t xml:space="preserve"> asigurarea managementului eficient </w:t>
      </w:r>
      <w:proofErr w:type="spellStart"/>
      <w:r w:rsidRPr="00125FAF">
        <w:rPr>
          <w:rFonts w:ascii="Times New Roman" w:eastAsia="Times New Roman" w:hAnsi="Times New Roman" w:cs="Times New Roman"/>
          <w:color w:val="000000"/>
          <w:sz w:val="24"/>
          <w:szCs w:val="24"/>
          <w:shd w:val="clear" w:color="auto" w:fill="FFFFFF"/>
          <w:lang w:eastAsia="ru-RU"/>
        </w:rPr>
        <w:t>şi</w:t>
      </w:r>
      <w:proofErr w:type="spellEnd"/>
      <w:r w:rsidRPr="00125FAF">
        <w:rPr>
          <w:rFonts w:ascii="Times New Roman" w:eastAsia="Times New Roman" w:hAnsi="Times New Roman" w:cs="Times New Roman"/>
          <w:color w:val="000000"/>
          <w:sz w:val="24"/>
          <w:szCs w:val="24"/>
          <w:shd w:val="clear" w:color="auto" w:fill="FFFFFF"/>
          <w:lang w:eastAsia="ru-RU"/>
        </w:rPr>
        <w:t xml:space="preserve"> durabil al ecosistemelor naturale; extinderea suprafețelor împădurite pe terenuri degradate, care constituie peste 100 000 ha și care în prezent fac parte din fondul terenurilor cu destinație agricolă și alte categorii de terenuri; schimbarea destinației acestor categorii de terenuri în terenuri ale fondului forestier;</w:t>
      </w:r>
    </w:p>
    <w:p w14:paraId="116343E9" w14:textId="77777777" w:rsidR="008438AF" w:rsidRPr="00125FAF" w:rsidRDefault="008438AF" w:rsidP="003E24C5">
      <w:pPr>
        <w:pStyle w:val="Listparagraf"/>
        <w:numPr>
          <w:ilvl w:val="0"/>
          <w:numId w:val="6"/>
        </w:numPr>
        <w:rPr>
          <w:rFonts w:ascii="Times New Roman" w:eastAsia="Times New Roman" w:hAnsi="Times New Roman" w:cs="Times New Roman"/>
          <w:color w:val="000000"/>
          <w:sz w:val="24"/>
          <w:szCs w:val="24"/>
          <w:shd w:val="clear" w:color="auto" w:fill="FFFFFF"/>
          <w:lang w:eastAsia="ru-RU"/>
        </w:rPr>
      </w:pPr>
      <w:r w:rsidRPr="00125FAF">
        <w:rPr>
          <w:rFonts w:ascii="Times New Roman" w:eastAsia="Times New Roman" w:hAnsi="Times New Roman" w:cs="Times New Roman"/>
          <w:color w:val="000000"/>
          <w:sz w:val="24"/>
          <w:szCs w:val="24"/>
          <w:shd w:val="clear" w:color="auto" w:fill="FFFFFF"/>
          <w:lang w:eastAsia="ru-RU"/>
        </w:rPr>
        <w:t xml:space="preserve">Crearea sistemelor integrate de gestionare a deșeurilor </w:t>
      </w:r>
      <w:proofErr w:type="spellStart"/>
      <w:r w:rsidRPr="00125FAF">
        <w:rPr>
          <w:rFonts w:ascii="Times New Roman" w:eastAsia="Times New Roman" w:hAnsi="Times New Roman" w:cs="Times New Roman"/>
          <w:color w:val="000000"/>
          <w:sz w:val="24"/>
          <w:szCs w:val="24"/>
          <w:shd w:val="clear" w:color="auto" w:fill="FFFFFF"/>
          <w:lang w:eastAsia="ru-RU"/>
        </w:rPr>
        <w:t>şi</w:t>
      </w:r>
      <w:proofErr w:type="spellEnd"/>
      <w:r w:rsidRPr="00125FAF">
        <w:rPr>
          <w:rFonts w:ascii="Times New Roman" w:eastAsia="Times New Roman" w:hAnsi="Times New Roman" w:cs="Times New Roman"/>
          <w:color w:val="000000"/>
          <w:sz w:val="24"/>
          <w:szCs w:val="24"/>
          <w:shd w:val="clear" w:color="auto" w:fill="FFFFFF"/>
          <w:lang w:eastAsia="ru-RU"/>
        </w:rPr>
        <w:t xml:space="preserve"> substanțelor chimice, care să contribuie la reducerea cantităților de deșeuri depozitate </w:t>
      </w:r>
      <w:proofErr w:type="spellStart"/>
      <w:r w:rsidRPr="00125FAF">
        <w:rPr>
          <w:rFonts w:ascii="Times New Roman" w:eastAsia="Times New Roman" w:hAnsi="Times New Roman" w:cs="Times New Roman"/>
          <w:color w:val="000000"/>
          <w:sz w:val="24"/>
          <w:szCs w:val="24"/>
          <w:shd w:val="clear" w:color="auto" w:fill="FFFFFF"/>
          <w:lang w:eastAsia="ru-RU"/>
        </w:rPr>
        <w:t>şi</w:t>
      </w:r>
      <w:proofErr w:type="spellEnd"/>
      <w:r w:rsidRPr="00125FAF">
        <w:rPr>
          <w:rFonts w:ascii="Times New Roman" w:eastAsia="Times New Roman" w:hAnsi="Times New Roman" w:cs="Times New Roman"/>
          <w:color w:val="000000"/>
          <w:sz w:val="24"/>
          <w:szCs w:val="24"/>
          <w:shd w:val="clear" w:color="auto" w:fill="FFFFFF"/>
          <w:lang w:eastAsia="ru-RU"/>
        </w:rPr>
        <w:t xml:space="preserve"> creșterea ratei de reciclare, integrarea principiilor în domeniul managementului durabil al substanțelor chimice prin dezvoltarea sistemelor de clasificare, etichetare, autorizare și restricționare a acestora;</w:t>
      </w:r>
    </w:p>
    <w:p w14:paraId="2830F652" w14:textId="5695432E" w:rsidR="002D7EC5" w:rsidRPr="00125FAF" w:rsidRDefault="002D7EC5" w:rsidP="003E24C5">
      <w:pPr>
        <w:pStyle w:val="Listparagraf"/>
        <w:numPr>
          <w:ilvl w:val="0"/>
          <w:numId w:val="6"/>
        </w:num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125FAF">
        <w:rPr>
          <w:rFonts w:ascii="Times New Roman" w:eastAsia="Times New Roman" w:hAnsi="Times New Roman" w:cs="Times New Roman"/>
          <w:color w:val="000000"/>
          <w:sz w:val="24"/>
          <w:szCs w:val="24"/>
          <w:shd w:val="clear" w:color="auto" w:fill="FFFFFF"/>
          <w:lang w:eastAsia="ru-RU"/>
        </w:rPr>
        <w:t>Crearea unui sistem de monitori</w:t>
      </w:r>
      <w:r w:rsidR="00A47B91" w:rsidRPr="00125FAF">
        <w:rPr>
          <w:rFonts w:ascii="Times New Roman" w:eastAsia="Times New Roman" w:hAnsi="Times New Roman" w:cs="Times New Roman"/>
          <w:color w:val="000000"/>
          <w:sz w:val="24"/>
          <w:szCs w:val="24"/>
          <w:shd w:val="clear" w:color="auto" w:fill="FFFFFF"/>
          <w:lang w:eastAsia="ru-RU"/>
        </w:rPr>
        <w:t>zare</w:t>
      </w:r>
      <w:r w:rsidRPr="00125FAF">
        <w:rPr>
          <w:rFonts w:ascii="Times New Roman" w:eastAsia="Times New Roman" w:hAnsi="Times New Roman" w:cs="Times New Roman"/>
          <w:color w:val="000000"/>
          <w:sz w:val="24"/>
          <w:szCs w:val="24"/>
          <w:shd w:val="clear" w:color="auto" w:fill="FFFFFF"/>
          <w:lang w:eastAsia="ru-RU"/>
        </w:rPr>
        <w:t xml:space="preserve"> și evaluare a calității factorilor de mediu în conformitate cu cerințele internaționale;</w:t>
      </w:r>
    </w:p>
    <w:p w14:paraId="796675DC" w14:textId="3106452D" w:rsidR="002D7EC5" w:rsidRPr="00125FAF" w:rsidRDefault="002D7EC5" w:rsidP="003E24C5">
      <w:pPr>
        <w:pStyle w:val="Listparagraf"/>
        <w:numPr>
          <w:ilvl w:val="0"/>
          <w:numId w:val="6"/>
        </w:numPr>
        <w:spacing w:after="120" w:line="240" w:lineRule="auto"/>
        <w:contextualSpacing w:val="0"/>
        <w:jc w:val="both"/>
        <w:rPr>
          <w:rFonts w:ascii="Times New Roman" w:eastAsia="Times New Roman" w:hAnsi="Times New Roman" w:cs="Times New Roman"/>
          <w:color w:val="000000"/>
          <w:sz w:val="24"/>
          <w:szCs w:val="24"/>
          <w:shd w:val="clear" w:color="auto" w:fill="FFFFFF"/>
          <w:lang w:eastAsia="ru-RU"/>
        </w:rPr>
      </w:pPr>
      <w:r w:rsidRPr="00125FAF">
        <w:rPr>
          <w:rFonts w:ascii="Times New Roman" w:eastAsia="Times New Roman" w:hAnsi="Times New Roman" w:cs="Times New Roman"/>
          <w:color w:val="000000"/>
          <w:sz w:val="24"/>
          <w:szCs w:val="24"/>
          <w:shd w:val="clear" w:color="auto" w:fill="FFFFFF"/>
          <w:lang w:eastAsia="ru-RU"/>
        </w:rPr>
        <w:t xml:space="preserve">Integrarea principiilor de protecție a mediului, </w:t>
      </w:r>
      <w:r w:rsidR="00EB249B" w:rsidRPr="00125FAF">
        <w:rPr>
          <w:rFonts w:ascii="Times New Roman" w:eastAsia="Times New Roman" w:hAnsi="Times New Roman" w:cs="Times New Roman"/>
          <w:color w:val="000000"/>
          <w:sz w:val="24"/>
          <w:szCs w:val="24"/>
          <w:shd w:val="clear" w:color="auto" w:fill="FFFFFF"/>
          <w:lang w:eastAsia="ru-RU"/>
        </w:rPr>
        <w:t xml:space="preserve">de </w:t>
      </w:r>
      <w:r w:rsidR="00BF70E2" w:rsidRPr="00125FAF">
        <w:rPr>
          <w:rFonts w:ascii="Times New Roman" w:eastAsia="Times New Roman" w:hAnsi="Times New Roman" w:cs="Times New Roman"/>
          <w:color w:val="000000"/>
          <w:sz w:val="24"/>
          <w:szCs w:val="24"/>
          <w:shd w:val="clear" w:color="auto" w:fill="FFFFFF"/>
          <w:lang w:eastAsia="ru-RU"/>
        </w:rPr>
        <w:t>asigurare</w:t>
      </w:r>
      <w:r w:rsidR="00EB249B" w:rsidRPr="00125FAF">
        <w:rPr>
          <w:rFonts w:ascii="Times New Roman" w:eastAsia="Times New Roman" w:hAnsi="Times New Roman" w:cs="Times New Roman"/>
          <w:color w:val="000000"/>
          <w:sz w:val="24"/>
          <w:szCs w:val="24"/>
          <w:shd w:val="clear" w:color="auto" w:fill="FFFFFF"/>
          <w:lang w:eastAsia="ru-RU"/>
        </w:rPr>
        <w:t xml:space="preserve"> a egalității de gen și a incluziunii, </w:t>
      </w:r>
      <w:r w:rsidRPr="00125FAF">
        <w:rPr>
          <w:rFonts w:ascii="Times New Roman" w:eastAsia="Times New Roman" w:hAnsi="Times New Roman" w:cs="Times New Roman"/>
          <w:color w:val="000000"/>
          <w:sz w:val="24"/>
          <w:szCs w:val="24"/>
          <w:shd w:val="clear" w:color="auto" w:fill="FFFFFF"/>
          <w:lang w:eastAsia="ru-RU"/>
        </w:rPr>
        <w:t xml:space="preserve">de dezvoltare durabilă </w:t>
      </w:r>
      <w:proofErr w:type="spellStart"/>
      <w:r w:rsidRPr="00125FAF">
        <w:rPr>
          <w:rFonts w:ascii="Times New Roman" w:eastAsia="Times New Roman" w:hAnsi="Times New Roman" w:cs="Times New Roman"/>
          <w:color w:val="000000"/>
          <w:sz w:val="24"/>
          <w:szCs w:val="24"/>
          <w:shd w:val="clear" w:color="auto" w:fill="FFFFFF"/>
          <w:lang w:eastAsia="ru-RU"/>
        </w:rPr>
        <w:t>şi</w:t>
      </w:r>
      <w:proofErr w:type="spellEnd"/>
      <w:r w:rsidRPr="00125FAF">
        <w:rPr>
          <w:rFonts w:ascii="Times New Roman" w:eastAsia="Times New Roman" w:hAnsi="Times New Roman" w:cs="Times New Roman"/>
          <w:color w:val="000000"/>
          <w:sz w:val="24"/>
          <w:szCs w:val="24"/>
          <w:shd w:val="clear" w:color="auto" w:fill="FFFFFF"/>
          <w:lang w:eastAsia="ru-RU"/>
        </w:rPr>
        <w:t xml:space="preserve"> dezvoltare economică verde</w:t>
      </w:r>
      <w:r w:rsidR="00A47B91" w:rsidRPr="00125FAF">
        <w:rPr>
          <w:rFonts w:ascii="Times New Roman" w:eastAsia="Times New Roman" w:hAnsi="Times New Roman" w:cs="Times New Roman"/>
          <w:color w:val="000000"/>
          <w:sz w:val="24"/>
          <w:szCs w:val="24"/>
          <w:shd w:val="clear" w:color="auto" w:fill="FFFFFF"/>
          <w:lang w:eastAsia="ru-RU"/>
        </w:rPr>
        <w:t>.</w:t>
      </w:r>
    </w:p>
    <w:p w14:paraId="285C3BDC" w14:textId="17A86BBD" w:rsidR="00D50583" w:rsidRPr="00125FAF" w:rsidRDefault="00D50583" w:rsidP="001F2F2D">
      <w:pPr>
        <w:spacing w:after="120" w:line="240" w:lineRule="auto"/>
        <w:ind w:firstLine="720"/>
        <w:jc w:val="both"/>
        <w:rPr>
          <w:rFonts w:ascii="Times New Roman" w:eastAsia="Times New Roman" w:hAnsi="Times New Roman" w:cs="Times New Roman"/>
          <w:sz w:val="24"/>
          <w:szCs w:val="24"/>
          <w:lang w:eastAsia="ru-RU"/>
        </w:rPr>
      </w:pPr>
      <w:r w:rsidRPr="00125FAF">
        <w:rPr>
          <w:rFonts w:ascii="Times New Roman" w:eastAsia="Times New Roman" w:hAnsi="Times New Roman" w:cs="Times New Roman"/>
          <w:color w:val="000000"/>
          <w:sz w:val="24"/>
          <w:szCs w:val="24"/>
          <w:shd w:val="clear" w:color="auto" w:fill="FFFFFF"/>
          <w:lang w:eastAsia="ru-RU"/>
        </w:rPr>
        <w:t xml:space="preserve">În vederea atragerii </w:t>
      </w:r>
      <w:proofErr w:type="spellStart"/>
      <w:r w:rsidRPr="00125FAF">
        <w:rPr>
          <w:rFonts w:ascii="Times New Roman" w:eastAsia="Times New Roman" w:hAnsi="Times New Roman" w:cs="Times New Roman"/>
          <w:color w:val="000000"/>
          <w:sz w:val="24"/>
          <w:szCs w:val="24"/>
          <w:shd w:val="clear" w:color="auto" w:fill="FFFFFF"/>
          <w:lang w:eastAsia="ru-RU"/>
        </w:rPr>
        <w:t>investiţiilor</w:t>
      </w:r>
      <w:proofErr w:type="spellEnd"/>
      <w:r w:rsidRPr="00125FAF">
        <w:rPr>
          <w:rFonts w:ascii="Times New Roman" w:eastAsia="Times New Roman" w:hAnsi="Times New Roman" w:cs="Times New Roman"/>
          <w:color w:val="000000"/>
          <w:sz w:val="24"/>
          <w:szCs w:val="24"/>
          <w:shd w:val="clear" w:color="auto" w:fill="FFFFFF"/>
          <w:lang w:eastAsia="ru-RU"/>
        </w:rPr>
        <w:t xml:space="preserve"> spre promovarea proiectelor de atenuare a emisiilor de GES </w:t>
      </w:r>
      <w:proofErr w:type="spellStart"/>
      <w:r w:rsidRPr="00125FAF">
        <w:rPr>
          <w:rFonts w:ascii="Times New Roman" w:eastAsia="Times New Roman" w:hAnsi="Times New Roman" w:cs="Times New Roman"/>
          <w:color w:val="000000"/>
          <w:sz w:val="24"/>
          <w:szCs w:val="24"/>
          <w:shd w:val="clear" w:color="auto" w:fill="FFFFFF"/>
          <w:lang w:eastAsia="ru-RU"/>
        </w:rPr>
        <w:t>şi</w:t>
      </w:r>
      <w:proofErr w:type="spellEnd"/>
      <w:r w:rsidRPr="00125FAF">
        <w:rPr>
          <w:rFonts w:ascii="Times New Roman" w:eastAsia="Times New Roman" w:hAnsi="Times New Roman" w:cs="Times New Roman"/>
          <w:color w:val="000000"/>
          <w:sz w:val="24"/>
          <w:szCs w:val="24"/>
          <w:shd w:val="clear" w:color="auto" w:fill="FFFFFF"/>
          <w:lang w:eastAsia="ru-RU"/>
        </w:rPr>
        <w:t xml:space="preserve"> de adaptare la schimbările climatice a fost deja dezvoltat Programul de Țară al Republicii Moldova pentru angajare cu Fondul Verde pentru Climă pe anii 2019-2024, luând în </w:t>
      </w:r>
      <w:r w:rsidRPr="00125FAF">
        <w:rPr>
          <w:rFonts w:ascii="Times New Roman" w:eastAsia="Times New Roman" w:hAnsi="Times New Roman" w:cs="Times New Roman"/>
          <w:color w:val="000000"/>
          <w:sz w:val="24"/>
          <w:szCs w:val="24"/>
          <w:shd w:val="clear" w:color="auto" w:fill="FFFFFF"/>
          <w:lang w:eastAsia="ru-RU"/>
        </w:rPr>
        <w:lastRenderedPageBreak/>
        <w:t>considerație prioritățile naționale de dezvoltare</w:t>
      </w:r>
      <w:r w:rsidR="007038CB" w:rsidRPr="00125FAF">
        <w:rPr>
          <w:rFonts w:ascii="Times New Roman" w:eastAsia="Times New Roman" w:hAnsi="Times New Roman" w:cs="Times New Roman"/>
          <w:color w:val="000000"/>
          <w:sz w:val="24"/>
          <w:szCs w:val="24"/>
          <w:shd w:val="clear" w:color="auto" w:fill="FFFFFF"/>
          <w:lang w:eastAsia="ru-RU"/>
        </w:rPr>
        <w:t>,</w:t>
      </w:r>
      <w:r w:rsidRPr="00125FAF">
        <w:rPr>
          <w:rFonts w:ascii="Times New Roman" w:eastAsia="Times New Roman" w:hAnsi="Times New Roman" w:cs="Times New Roman"/>
          <w:color w:val="000000"/>
          <w:sz w:val="24"/>
          <w:szCs w:val="24"/>
          <w:shd w:val="clear" w:color="auto" w:fill="FFFFFF"/>
          <w:lang w:eastAsia="ru-RU"/>
        </w:rPr>
        <w:t xml:space="preserve"> obiectivele și țintele legate de climă ale țării ce provin din documentele strategice.</w:t>
      </w:r>
    </w:p>
    <w:p w14:paraId="51466BD5" w14:textId="5204A2AC" w:rsidR="006364B2" w:rsidRPr="00125FAF" w:rsidRDefault="006364B2" w:rsidP="001F2F2D">
      <w:pPr>
        <w:spacing w:after="120" w:line="240" w:lineRule="auto"/>
        <w:jc w:val="center"/>
        <w:outlineLvl w:val="1"/>
        <w:rPr>
          <w:rFonts w:ascii="Times New Roman" w:eastAsia="Times New Roman" w:hAnsi="Times New Roman" w:cs="Times New Roman"/>
          <w:b/>
          <w:bCs/>
          <w:color w:val="000000"/>
          <w:sz w:val="24"/>
          <w:szCs w:val="24"/>
          <w:lang w:eastAsia="ru-RU"/>
        </w:rPr>
      </w:pPr>
      <w:r w:rsidRPr="00125FAF">
        <w:rPr>
          <w:rFonts w:ascii="Times New Roman" w:eastAsia="Times New Roman" w:hAnsi="Times New Roman" w:cs="Times New Roman"/>
          <w:b/>
          <w:bCs/>
          <w:color w:val="000000"/>
          <w:sz w:val="24"/>
          <w:szCs w:val="24"/>
          <w:lang w:eastAsia="ru-RU"/>
        </w:rPr>
        <w:t>V. DIRECŢIILE DE ACŢIUNI</w:t>
      </w:r>
    </w:p>
    <w:p w14:paraId="15A3A160" w14:textId="373F151A" w:rsidR="006364B2" w:rsidRPr="00125FAF" w:rsidRDefault="006364B2" w:rsidP="001F2F2D">
      <w:pPr>
        <w:spacing w:after="120" w:line="240" w:lineRule="auto"/>
        <w:ind w:firstLine="720"/>
        <w:jc w:val="both"/>
        <w:rPr>
          <w:rFonts w:ascii="Times New Roman" w:eastAsia="Times New Roman" w:hAnsi="Times New Roman" w:cs="Times New Roman"/>
          <w:sz w:val="24"/>
          <w:szCs w:val="24"/>
          <w:lang w:eastAsia="ru-RU"/>
        </w:rPr>
      </w:pPr>
      <w:r w:rsidRPr="00125FAF">
        <w:rPr>
          <w:rFonts w:ascii="Times New Roman" w:eastAsia="Times New Roman" w:hAnsi="Times New Roman" w:cs="Times New Roman"/>
          <w:color w:val="000000"/>
          <w:sz w:val="24"/>
          <w:szCs w:val="24"/>
          <w:shd w:val="clear" w:color="auto" w:fill="FFFFFF"/>
          <w:lang w:eastAsia="ru-RU"/>
        </w:rPr>
        <w:t>2</w:t>
      </w:r>
      <w:r w:rsidR="007909C8" w:rsidRPr="00125FAF">
        <w:rPr>
          <w:rFonts w:ascii="Times New Roman" w:eastAsia="Times New Roman" w:hAnsi="Times New Roman" w:cs="Times New Roman"/>
          <w:color w:val="000000"/>
          <w:sz w:val="24"/>
          <w:szCs w:val="24"/>
          <w:shd w:val="clear" w:color="auto" w:fill="FFFFFF"/>
          <w:lang w:eastAsia="ru-RU"/>
        </w:rPr>
        <w:t>5</w:t>
      </w:r>
      <w:r w:rsidRPr="00125FAF">
        <w:rPr>
          <w:rFonts w:ascii="Times New Roman" w:eastAsia="Times New Roman" w:hAnsi="Times New Roman" w:cs="Times New Roman"/>
          <w:color w:val="000000"/>
          <w:sz w:val="24"/>
          <w:szCs w:val="24"/>
          <w:shd w:val="clear" w:color="auto" w:fill="FFFFFF"/>
          <w:lang w:eastAsia="ru-RU"/>
        </w:rPr>
        <w:t xml:space="preserve">. </w:t>
      </w:r>
      <w:proofErr w:type="spellStart"/>
      <w:r w:rsidRPr="00125FAF">
        <w:rPr>
          <w:rFonts w:ascii="Times New Roman" w:eastAsia="Times New Roman" w:hAnsi="Times New Roman" w:cs="Times New Roman"/>
          <w:color w:val="000000"/>
          <w:sz w:val="24"/>
          <w:szCs w:val="24"/>
          <w:shd w:val="clear" w:color="auto" w:fill="FFFFFF"/>
          <w:lang w:eastAsia="ru-RU"/>
        </w:rPr>
        <w:t>Direcţiile</w:t>
      </w:r>
      <w:proofErr w:type="spellEnd"/>
      <w:r w:rsidRPr="00125FAF">
        <w:rPr>
          <w:rFonts w:ascii="Times New Roman" w:eastAsia="Times New Roman" w:hAnsi="Times New Roman" w:cs="Times New Roman"/>
          <w:color w:val="000000"/>
          <w:sz w:val="24"/>
          <w:szCs w:val="24"/>
          <w:shd w:val="clear" w:color="auto" w:fill="FFFFFF"/>
          <w:lang w:eastAsia="ru-RU"/>
        </w:rPr>
        <w:t xml:space="preserve"> de </w:t>
      </w:r>
      <w:proofErr w:type="spellStart"/>
      <w:r w:rsidRPr="00125FAF">
        <w:rPr>
          <w:rFonts w:ascii="Times New Roman" w:eastAsia="Times New Roman" w:hAnsi="Times New Roman" w:cs="Times New Roman"/>
          <w:color w:val="000000"/>
          <w:sz w:val="24"/>
          <w:szCs w:val="24"/>
          <w:shd w:val="clear" w:color="auto" w:fill="FFFFFF"/>
          <w:lang w:eastAsia="ru-RU"/>
        </w:rPr>
        <w:t>acţiuni</w:t>
      </w:r>
      <w:proofErr w:type="spellEnd"/>
      <w:r w:rsidRPr="00125FAF">
        <w:rPr>
          <w:rFonts w:ascii="Times New Roman" w:eastAsia="Times New Roman" w:hAnsi="Times New Roman" w:cs="Times New Roman"/>
          <w:color w:val="000000"/>
          <w:sz w:val="24"/>
          <w:szCs w:val="24"/>
          <w:shd w:val="clear" w:color="auto" w:fill="FFFFFF"/>
          <w:lang w:eastAsia="ru-RU"/>
        </w:rPr>
        <w:t xml:space="preserve"> pentru atingerea scopului </w:t>
      </w:r>
      <w:proofErr w:type="spellStart"/>
      <w:r w:rsidRPr="00125FAF">
        <w:rPr>
          <w:rFonts w:ascii="Times New Roman" w:eastAsia="Times New Roman" w:hAnsi="Times New Roman" w:cs="Times New Roman"/>
          <w:color w:val="000000"/>
          <w:sz w:val="24"/>
          <w:szCs w:val="24"/>
          <w:shd w:val="clear" w:color="auto" w:fill="FFFFFF"/>
          <w:lang w:eastAsia="ru-RU"/>
        </w:rPr>
        <w:t>şi</w:t>
      </w:r>
      <w:proofErr w:type="spellEnd"/>
      <w:r w:rsidRPr="00125FAF">
        <w:rPr>
          <w:rFonts w:ascii="Times New Roman" w:eastAsia="Times New Roman" w:hAnsi="Times New Roman" w:cs="Times New Roman"/>
          <w:color w:val="000000"/>
          <w:sz w:val="24"/>
          <w:szCs w:val="24"/>
          <w:shd w:val="clear" w:color="auto" w:fill="FFFFFF"/>
          <w:lang w:eastAsia="ru-RU"/>
        </w:rPr>
        <w:t xml:space="preserve"> obiectivelor prezent</w:t>
      </w:r>
      <w:r w:rsidR="007C1E4E" w:rsidRPr="00125FAF">
        <w:rPr>
          <w:rFonts w:ascii="Times New Roman" w:eastAsia="Times New Roman" w:hAnsi="Times New Roman" w:cs="Times New Roman"/>
          <w:color w:val="000000"/>
          <w:sz w:val="24"/>
          <w:szCs w:val="24"/>
          <w:shd w:val="clear" w:color="auto" w:fill="FFFFFF"/>
          <w:lang w:eastAsia="ru-RU"/>
        </w:rPr>
        <w:t>ului Program</w:t>
      </w:r>
      <w:r w:rsidRPr="00125FAF">
        <w:rPr>
          <w:rFonts w:ascii="Times New Roman" w:eastAsia="Times New Roman" w:hAnsi="Times New Roman" w:cs="Times New Roman"/>
          <w:color w:val="000000"/>
          <w:sz w:val="24"/>
          <w:szCs w:val="24"/>
          <w:shd w:val="clear" w:color="auto" w:fill="FFFFFF"/>
          <w:lang w:eastAsia="ru-RU"/>
        </w:rPr>
        <w:t xml:space="preserve"> </w:t>
      </w:r>
      <w:r w:rsidR="00F4365E" w:rsidRPr="00125FAF">
        <w:rPr>
          <w:rFonts w:ascii="Times New Roman" w:eastAsia="Times New Roman" w:hAnsi="Times New Roman" w:cs="Times New Roman"/>
          <w:color w:val="000000"/>
          <w:sz w:val="24"/>
          <w:szCs w:val="24"/>
          <w:shd w:val="clear" w:color="auto" w:fill="FFFFFF"/>
          <w:lang w:eastAsia="ru-RU"/>
        </w:rPr>
        <w:t xml:space="preserve">sunt în corespundere cu </w:t>
      </w:r>
      <w:r w:rsidR="006148A5" w:rsidRPr="00125FAF">
        <w:rPr>
          <w:rFonts w:ascii="Times New Roman" w:eastAsia="Times New Roman" w:hAnsi="Times New Roman" w:cs="Times New Roman"/>
          <w:color w:val="000000"/>
          <w:sz w:val="24"/>
          <w:szCs w:val="24"/>
          <w:shd w:val="clear" w:color="auto" w:fill="FFFFFF"/>
          <w:lang w:eastAsia="ru-RU"/>
        </w:rPr>
        <w:t>Obiectivel</w:t>
      </w:r>
      <w:r w:rsidR="00F4365E" w:rsidRPr="00125FAF">
        <w:rPr>
          <w:rFonts w:ascii="Times New Roman" w:eastAsia="Times New Roman" w:hAnsi="Times New Roman" w:cs="Times New Roman"/>
          <w:color w:val="000000"/>
          <w:sz w:val="24"/>
          <w:szCs w:val="24"/>
          <w:shd w:val="clear" w:color="auto" w:fill="FFFFFF"/>
          <w:lang w:eastAsia="ru-RU"/>
        </w:rPr>
        <w:t>e</w:t>
      </w:r>
      <w:r w:rsidR="006148A5" w:rsidRPr="00125FAF">
        <w:rPr>
          <w:rFonts w:ascii="Times New Roman" w:eastAsia="Times New Roman" w:hAnsi="Times New Roman" w:cs="Times New Roman"/>
          <w:color w:val="000000"/>
          <w:sz w:val="24"/>
          <w:szCs w:val="24"/>
          <w:shd w:val="clear" w:color="auto" w:fill="FFFFFF"/>
          <w:lang w:eastAsia="ru-RU"/>
        </w:rPr>
        <w:t xml:space="preserve"> de dezvoltare durabilă (ODD) stabilite de Agenda </w:t>
      </w:r>
      <w:r w:rsidR="00F53210" w:rsidRPr="00125FAF">
        <w:rPr>
          <w:rFonts w:ascii="Times New Roman" w:eastAsia="Times New Roman" w:hAnsi="Times New Roman" w:cs="Times New Roman"/>
          <w:color w:val="000000"/>
          <w:sz w:val="24"/>
          <w:szCs w:val="24"/>
          <w:shd w:val="clear" w:color="auto" w:fill="FFFFFF"/>
          <w:lang w:eastAsia="ru-RU"/>
        </w:rPr>
        <w:t xml:space="preserve">de Dezvoltare Durabilă </w:t>
      </w:r>
      <w:r w:rsidR="006148A5" w:rsidRPr="00125FAF">
        <w:rPr>
          <w:rFonts w:ascii="Times New Roman" w:eastAsia="Times New Roman" w:hAnsi="Times New Roman" w:cs="Times New Roman"/>
          <w:color w:val="000000"/>
          <w:sz w:val="24"/>
          <w:szCs w:val="24"/>
          <w:shd w:val="clear" w:color="auto" w:fill="FFFFFF"/>
          <w:lang w:eastAsia="ru-RU"/>
        </w:rPr>
        <w:t xml:space="preserve">2030, în particular </w:t>
      </w:r>
      <w:r w:rsidR="00F53210" w:rsidRPr="00125FAF">
        <w:rPr>
          <w:rFonts w:ascii="Times New Roman" w:eastAsia="Times New Roman" w:hAnsi="Times New Roman" w:cs="Times New Roman"/>
          <w:color w:val="000000"/>
          <w:sz w:val="24"/>
          <w:szCs w:val="24"/>
          <w:shd w:val="clear" w:color="auto" w:fill="FFFFFF"/>
          <w:lang w:eastAsia="ru-RU"/>
        </w:rPr>
        <w:t xml:space="preserve">ODD1 „Fără sărăcie”, ODD3 „Sănătate </w:t>
      </w:r>
      <w:proofErr w:type="spellStart"/>
      <w:r w:rsidR="00F53210" w:rsidRPr="00125FAF">
        <w:rPr>
          <w:rFonts w:ascii="Times New Roman" w:eastAsia="Times New Roman" w:hAnsi="Times New Roman" w:cs="Times New Roman"/>
          <w:color w:val="000000"/>
          <w:sz w:val="24"/>
          <w:szCs w:val="24"/>
          <w:shd w:val="clear" w:color="auto" w:fill="FFFFFF"/>
          <w:lang w:eastAsia="ru-RU"/>
        </w:rPr>
        <w:t>şi</w:t>
      </w:r>
      <w:proofErr w:type="spellEnd"/>
      <w:r w:rsidR="00F53210" w:rsidRPr="00125FAF">
        <w:rPr>
          <w:rFonts w:ascii="Times New Roman" w:eastAsia="Times New Roman" w:hAnsi="Times New Roman" w:cs="Times New Roman"/>
          <w:color w:val="000000"/>
          <w:sz w:val="24"/>
          <w:szCs w:val="24"/>
          <w:shd w:val="clear" w:color="auto" w:fill="FFFFFF"/>
          <w:lang w:eastAsia="ru-RU"/>
        </w:rPr>
        <w:t xml:space="preserve"> stare de bine”, ODD5 „</w:t>
      </w:r>
      <w:r w:rsidR="00EB249B" w:rsidRPr="00125FAF">
        <w:rPr>
          <w:rFonts w:ascii="Times New Roman" w:eastAsia="Times New Roman" w:hAnsi="Times New Roman" w:cs="Times New Roman"/>
          <w:color w:val="000000"/>
          <w:sz w:val="24"/>
          <w:szCs w:val="24"/>
          <w:shd w:val="clear" w:color="auto" w:fill="FFFFFF"/>
          <w:lang w:eastAsia="ru-RU"/>
        </w:rPr>
        <w:t>Realizarea egalității de gen și împuternicirea tuturor femeilor și fetelor</w:t>
      </w:r>
      <w:r w:rsidR="00F53210" w:rsidRPr="00125FAF">
        <w:rPr>
          <w:rFonts w:ascii="Times New Roman" w:eastAsia="Times New Roman" w:hAnsi="Times New Roman" w:cs="Times New Roman"/>
          <w:color w:val="000000"/>
          <w:sz w:val="24"/>
          <w:szCs w:val="24"/>
          <w:shd w:val="clear" w:color="auto" w:fill="FFFFFF"/>
          <w:lang w:eastAsia="ru-RU"/>
        </w:rPr>
        <w:t xml:space="preserve">”, ODD7 „Energie accesibilă </w:t>
      </w:r>
      <w:proofErr w:type="spellStart"/>
      <w:r w:rsidR="00F53210" w:rsidRPr="00125FAF">
        <w:rPr>
          <w:rFonts w:ascii="Times New Roman" w:eastAsia="Times New Roman" w:hAnsi="Times New Roman" w:cs="Times New Roman"/>
          <w:color w:val="000000"/>
          <w:sz w:val="24"/>
          <w:szCs w:val="24"/>
          <w:shd w:val="clear" w:color="auto" w:fill="FFFFFF"/>
          <w:lang w:eastAsia="ru-RU"/>
        </w:rPr>
        <w:t>şi</w:t>
      </w:r>
      <w:proofErr w:type="spellEnd"/>
      <w:r w:rsidR="00F53210" w:rsidRPr="00125FAF">
        <w:rPr>
          <w:rFonts w:ascii="Times New Roman" w:eastAsia="Times New Roman" w:hAnsi="Times New Roman" w:cs="Times New Roman"/>
          <w:color w:val="000000"/>
          <w:sz w:val="24"/>
          <w:szCs w:val="24"/>
          <w:shd w:val="clear" w:color="auto" w:fill="FFFFFF"/>
          <w:lang w:eastAsia="ru-RU"/>
        </w:rPr>
        <w:t xml:space="preserve"> curată”, ODD8 „Muncă decentă </w:t>
      </w:r>
      <w:proofErr w:type="spellStart"/>
      <w:r w:rsidR="00F53210" w:rsidRPr="00125FAF">
        <w:rPr>
          <w:rFonts w:ascii="Times New Roman" w:eastAsia="Times New Roman" w:hAnsi="Times New Roman" w:cs="Times New Roman"/>
          <w:color w:val="000000"/>
          <w:sz w:val="24"/>
          <w:szCs w:val="24"/>
          <w:shd w:val="clear" w:color="auto" w:fill="FFFFFF"/>
          <w:lang w:eastAsia="ru-RU"/>
        </w:rPr>
        <w:t>şi</w:t>
      </w:r>
      <w:proofErr w:type="spellEnd"/>
      <w:r w:rsidR="00F53210" w:rsidRPr="00125FAF">
        <w:rPr>
          <w:rFonts w:ascii="Times New Roman" w:eastAsia="Times New Roman" w:hAnsi="Times New Roman" w:cs="Times New Roman"/>
          <w:color w:val="000000"/>
          <w:sz w:val="24"/>
          <w:szCs w:val="24"/>
          <w:shd w:val="clear" w:color="auto" w:fill="FFFFFF"/>
          <w:lang w:eastAsia="ru-RU"/>
        </w:rPr>
        <w:t xml:space="preserve"> </w:t>
      </w:r>
      <w:proofErr w:type="spellStart"/>
      <w:r w:rsidR="00F53210" w:rsidRPr="00125FAF">
        <w:rPr>
          <w:rFonts w:ascii="Times New Roman" w:eastAsia="Times New Roman" w:hAnsi="Times New Roman" w:cs="Times New Roman"/>
          <w:color w:val="000000"/>
          <w:sz w:val="24"/>
          <w:szCs w:val="24"/>
          <w:shd w:val="clear" w:color="auto" w:fill="FFFFFF"/>
          <w:lang w:eastAsia="ru-RU"/>
        </w:rPr>
        <w:t>creştere</w:t>
      </w:r>
      <w:proofErr w:type="spellEnd"/>
      <w:r w:rsidR="00F53210" w:rsidRPr="00125FAF">
        <w:rPr>
          <w:rFonts w:ascii="Times New Roman" w:eastAsia="Times New Roman" w:hAnsi="Times New Roman" w:cs="Times New Roman"/>
          <w:color w:val="000000"/>
          <w:sz w:val="24"/>
          <w:szCs w:val="24"/>
          <w:shd w:val="clear" w:color="auto" w:fill="FFFFFF"/>
          <w:lang w:eastAsia="ru-RU"/>
        </w:rPr>
        <w:t xml:space="preserve"> economică”, ODD9 „</w:t>
      </w:r>
      <w:r w:rsidR="00AB3F92" w:rsidRPr="00125FAF">
        <w:rPr>
          <w:rFonts w:ascii="Times New Roman" w:eastAsia="Times New Roman" w:hAnsi="Times New Roman" w:cs="Times New Roman"/>
          <w:color w:val="000000"/>
          <w:sz w:val="24"/>
          <w:szCs w:val="24"/>
          <w:shd w:val="clear" w:color="auto" w:fill="FFFFFF"/>
          <w:lang w:eastAsia="ru-RU"/>
        </w:rPr>
        <w:t>I</w:t>
      </w:r>
      <w:r w:rsidR="00F53210" w:rsidRPr="00125FAF">
        <w:rPr>
          <w:rFonts w:ascii="Times New Roman" w:eastAsia="Times New Roman" w:hAnsi="Times New Roman" w:cs="Times New Roman"/>
          <w:color w:val="000000"/>
          <w:sz w:val="24"/>
          <w:szCs w:val="24"/>
          <w:shd w:val="clear" w:color="auto" w:fill="FFFFFF"/>
          <w:lang w:eastAsia="ru-RU"/>
        </w:rPr>
        <w:t xml:space="preserve">ndustrie, </w:t>
      </w:r>
      <w:proofErr w:type="spellStart"/>
      <w:r w:rsidR="00F53210" w:rsidRPr="00125FAF">
        <w:rPr>
          <w:rFonts w:ascii="Times New Roman" w:eastAsia="Times New Roman" w:hAnsi="Times New Roman" w:cs="Times New Roman"/>
          <w:color w:val="000000"/>
          <w:sz w:val="24"/>
          <w:szCs w:val="24"/>
          <w:shd w:val="clear" w:color="auto" w:fill="FFFFFF"/>
          <w:lang w:eastAsia="ru-RU"/>
        </w:rPr>
        <w:t>inovaţie</w:t>
      </w:r>
      <w:proofErr w:type="spellEnd"/>
      <w:r w:rsidR="00F53210" w:rsidRPr="00125FAF">
        <w:rPr>
          <w:rFonts w:ascii="Times New Roman" w:eastAsia="Times New Roman" w:hAnsi="Times New Roman" w:cs="Times New Roman"/>
          <w:color w:val="000000"/>
          <w:sz w:val="24"/>
          <w:szCs w:val="24"/>
          <w:shd w:val="clear" w:color="auto" w:fill="FFFFFF"/>
          <w:lang w:eastAsia="ru-RU"/>
        </w:rPr>
        <w:t xml:space="preserve"> </w:t>
      </w:r>
      <w:proofErr w:type="spellStart"/>
      <w:r w:rsidR="00F53210" w:rsidRPr="00125FAF">
        <w:rPr>
          <w:rFonts w:ascii="Times New Roman" w:eastAsia="Times New Roman" w:hAnsi="Times New Roman" w:cs="Times New Roman"/>
          <w:color w:val="000000"/>
          <w:sz w:val="24"/>
          <w:szCs w:val="24"/>
          <w:shd w:val="clear" w:color="auto" w:fill="FFFFFF"/>
          <w:lang w:eastAsia="ru-RU"/>
        </w:rPr>
        <w:t>şi</w:t>
      </w:r>
      <w:proofErr w:type="spellEnd"/>
      <w:r w:rsidR="00F53210" w:rsidRPr="00125FAF">
        <w:rPr>
          <w:rFonts w:ascii="Times New Roman" w:eastAsia="Times New Roman" w:hAnsi="Times New Roman" w:cs="Times New Roman"/>
          <w:color w:val="000000"/>
          <w:sz w:val="24"/>
          <w:szCs w:val="24"/>
          <w:shd w:val="clear" w:color="auto" w:fill="FFFFFF"/>
          <w:lang w:eastAsia="ru-RU"/>
        </w:rPr>
        <w:t xml:space="preserve"> infrastructură”, ODD11 „</w:t>
      </w:r>
      <w:proofErr w:type="spellStart"/>
      <w:r w:rsidR="00F53210" w:rsidRPr="00125FAF">
        <w:rPr>
          <w:rFonts w:ascii="Times New Roman" w:eastAsia="Times New Roman" w:hAnsi="Times New Roman" w:cs="Times New Roman"/>
          <w:color w:val="000000"/>
          <w:sz w:val="24"/>
          <w:szCs w:val="24"/>
          <w:shd w:val="clear" w:color="auto" w:fill="FFFFFF"/>
          <w:lang w:eastAsia="ru-RU"/>
        </w:rPr>
        <w:t>Oraşe</w:t>
      </w:r>
      <w:proofErr w:type="spellEnd"/>
      <w:r w:rsidR="00F53210" w:rsidRPr="00125FAF">
        <w:rPr>
          <w:rFonts w:ascii="Times New Roman" w:eastAsia="Times New Roman" w:hAnsi="Times New Roman" w:cs="Times New Roman"/>
          <w:color w:val="000000"/>
          <w:sz w:val="24"/>
          <w:szCs w:val="24"/>
          <w:shd w:val="clear" w:color="auto" w:fill="FFFFFF"/>
          <w:lang w:eastAsia="ru-RU"/>
        </w:rPr>
        <w:t xml:space="preserve"> </w:t>
      </w:r>
      <w:proofErr w:type="spellStart"/>
      <w:r w:rsidR="00F53210" w:rsidRPr="00125FAF">
        <w:rPr>
          <w:rFonts w:ascii="Times New Roman" w:eastAsia="Times New Roman" w:hAnsi="Times New Roman" w:cs="Times New Roman"/>
          <w:color w:val="000000"/>
          <w:sz w:val="24"/>
          <w:szCs w:val="24"/>
          <w:shd w:val="clear" w:color="auto" w:fill="FFFFFF"/>
          <w:lang w:eastAsia="ru-RU"/>
        </w:rPr>
        <w:t>şi</w:t>
      </w:r>
      <w:proofErr w:type="spellEnd"/>
      <w:r w:rsidR="00F53210" w:rsidRPr="00125FAF">
        <w:rPr>
          <w:rFonts w:ascii="Times New Roman" w:eastAsia="Times New Roman" w:hAnsi="Times New Roman" w:cs="Times New Roman"/>
          <w:color w:val="000000"/>
          <w:sz w:val="24"/>
          <w:szCs w:val="24"/>
          <w:shd w:val="clear" w:color="auto" w:fill="FFFFFF"/>
          <w:lang w:eastAsia="ru-RU"/>
        </w:rPr>
        <w:t xml:space="preserve"> </w:t>
      </w:r>
      <w:proofErr w:type="spellStart"/>
      <w:r w:rsidR="00F53210" w:rsidRPr="00125FAF">
        <w:rPr>
          <w:rFonts w:ascii="Times New Roman" w:eastAsia="Times New Roman" w:hAnsi="Times New Roman" w:cs="Times New Roman"/>
          <w:color w:val="000000"/>
          <w:sz w:val="24"/>
          <w:szCs w:val="24"/>
          <w:shd w:val="clear" w:color="auto" w:fill="FFFFFF"/>
          <w:lang w:eastAsia="ru-RU"/>
        </w:rPr>
        <w:t>comunităţi</w:t>
      </w:r>
      <w:proofErr w:type="spellEnd"/>
      <w:r w:rsidR="00F53210" w:rsidRPr="00125FAF">
        <w:rPr>
          <w:rFonts w:ascii="Times New Roman" w:eastAsia="Times New Roman" w:hAnsi="Times New Roman" w:cs="Times New Roman"/>
          <w:color w:val="000000"/>
          <w:sz w:val="24"/>
          <w:szCs w:val="24"/>
          <w:shd w:val="clear" w:color="auto" w:fill="FFFFFF"/>
          <w:lang w:eastAsia="ru-RU"/>
        </w:rPr>
        <w:t xml:space="preserve"> durabile”, ODD12 „Consum </w:t>
      </w:r>
      <w:proofErr w:type="spellStart"/>
      <w:r w:rsidR="00F53210" w:rsidRPr="00125FAF">
        <w:rPr>
          <w:rFonts w:ascii="Times New Roman" w:eastAsia="Times New Roman" w:hAnsi="Times New Roman" w:cs="Times New Roman"/>
          <w:color w:val="000000"/>
          <w:sz w:val="24"/>
          <w:szCs w:val="24"/>
          <w:shd w:val="clear" w:color="auto" w:fill="FFFFFF"/>
          <w:lang w:eastAsia="ru-RU"/>
        </w:rPr>
        <w:t>şi</w:t>
      </w:r>
      <w:proofErr w:type="spellEnd"/>
      <w:r w:rsidR="00F53210" w:rsidRPr="00125FAF">
        <w:rPr>
          <w:rFonts w:ascii="Times New Roman" w:eastAsia="Times New Roman" w:hAnsi="Times New Roman" w:cs="Times New Roman"/>
          <w:color w:val="000000"/>
          <w:sz w:val="24"/>
          <w:szCs w:val="24"/>
          <w:shd w:val="clear" w:color="auto" w:fill="FFFFFF"/>
          <w:lang w:eastAsia="ru-RU"/>
        </w:rPr>
        <w:t xml:space="preserve"> </w:t>
      </w:r>
      <w:proofErr w:type="spellStart"/>
      <w:r w:rsidR="00F53210" w:rsidRPr="00125FAF">
        <w:rPr>
          <w:rFonts w:ascii="Times New Roman" w:eastAsia="Times New Roman" w:hAnsi="Times New Roman" w:cs="Times New Roman"/>
          <w:color w:val="000000"/>
          <w:sz w:val="24"/>
          <w:szCs w:val="24"/>
          <w:shd w:val="clear" w:color="auto" w:fill="FFFFFF"/>
          <w:lang w:eastAsia="ru-RU"/>
        </w:rPr>
        <w:t>producţie</w:t>
      </w:r>
      <w:proofErr w:type="spellEnd"/>
      <w:r w:rsidR="00F53210" w:rsidRPr="00125FAF">
        <w:rPr>
          <w:rFonts w:ascii="Times New Roman" w:eastAsia="Times New Roman" w:hAnsi="Times New Roman" w:cs="Times New Roman"/>
          <w:color w:val="000000"/>
          <w:sz w:val="24"/>
          <w:szCs w:val="24"/>
          <w:shd w:val="clear" w:color="auto" w:fill="FFFFFF"/>
          <w:lang w:eastAsia="ru-RU"/>
        </w:rPr>
        <w:t xml:space="preserve"> responsabile”, ODD13 „</w:t>
      </w:r>
      <w:proofErr w:type="spellStart"/>
      <w:r w:rsidR="00F53210" w:rsidRPr="00125FAF">
        <w:rPr>
          <w:rFonts w:ascii="Times New Roman" w:eastAsia="Times New Roman" w:hAnsi="Times New Roman" w:cs="Times New Roman"/>
          <w:color w:val="000000"/>
          <w:sz w:val="24"/>
          <w:szCs w:val="24"/>
          <w:shd w:val="clear" w:color="auto" w:fill="FFFFFF"/>
          <w:lang w:eastAsia="ru-RU"/>
        </w:rPr>
        <w:t>Acţiune</w:t>
      </w:r>
      <w:proofErr w:type="spellEnd"/>
      <w:r w:rsidR="00F53210" w:rsidRPr="00125FAF">
        <w:rPr>
          <w:rFonts w:ascii="Times New Roman" w:eastAsia="Times New Roman" w:hAnsi="Times New Roman" w:cs="Times New Roman"/>
          <w:color w:val="000000"/>
          <w:sz w:val="24"/>
          <w:szCs w:val="24"/>
          <w:shd w:val="clear" w:color="auto" w:fill="FFFFFF"/>
          <w:lang w:eastAsia="ru-RU"/>
        </w:rPr>
        <w:t xml:space="preserve"> asupra climei”</w:t>
      </w:r>
      <w:r w:rsidR="00AB3F92" w:rsidRPr="00125FAF">
        <w:rPr>
          <w:rFonts w:ascii="Times New Roman" w:eastAsia="Times New Roman" w:hAnsi="Times New Roman" w:cs="Times New Roman"/>
          <w:color w:val="000000"/>
          <w:sz w:val="24"/>
          <w:szCs w:val="24"/>
          <w:shd w:val="clear" w:color="auto" w:fill="FFFFFF"/>
          <w:lang w:eastAsia="ru-RU"/>
        </w:rPr>
        <w:t xml:space="preserve">. Efectiv, realizarea acestor obiective </w:t>
      </w:r>
      <w:r w:rsidR="00DB4D14" w:rsidRPr="00125FAF">
        <w:rPr>
          <w:rFonts w:ascii="Times New Roman" w:eastAsia="Times New Roman" w:hAnsi="Times New Roman" w:cs="Times New Roman"/>
          <w:color w:val="000000"/>
          <w:sz w:val="24"/>
          <w:szCs w:val="24"/>
          <w:shd w:val="clear" w:color="auto" w:fill="FFFFFF"/>
          <w:lang w:eastAsia="ru-RU"/>
        </w:rPr>
        <w:t xml:space="preserve">ale </w:t>
      </w:r>
      <w:r w:rsidR="007C1E4E" w:rsidRPr="00125FAF">
        <w:rPr>
          <w:rFonts w:ascii="Times New Roman" w:eastAsia="Times New Roman" w:hAnsi="Times New Roman" w:cs="Times New Roman"/>
          <w:color w:val="000000"/>
          <w:sz w:val="24"/>
          <w:szCs w:val="24"/>
          <w:shd w:val="clear" w:color="auto" w:fill="FFFFFF"/>
          <w:lang w:eastAsia="ru-RU"/>
        </w:rPr>
        <w:t xml:space="preserve">Programului </w:t>
      </w:r>
      <w:r w:rsidR="00DB4D14" w:rsidRPr="00125FAF">
        <w:rPr>
          <w:rFonts w:ascii="Times New Roman" w:eastAsia="Times New Roman" w:hAnsi="Times New Roman" w:cs="Times New Roman"/>
          <w:color w:val="000000"/>
          <w:sz w:val="24"/>
          <w:szCs w:val="24"/>
          <w:shd w:val="clear" w:color="auto" w:fill="FFFFFF"/>
          <w:lang w:eastAsia="ru-RU"/>
        </w:rPr>
        <w:t xml:space="preserve">se </w:t>
      </w:r>
      <w:r w:rsidR="00AB3F92" w:rsidRPr="00125FAF">
        <w:rPr>
          <w:rFonts w:ascii="Times New Roman" w:eastAsia="Times New Roman" w:hAnsi="Times New Roman" w:cs="Times New Roman"/>
          <w:color w:val="000000"/>
          <w:sz w:val="24"/>
          <w:szCs w:val="24"/>
          <w:shd w:val="clear" w:color="auto" w:fill="FFFFFF"/>
          <w:lang w:eastAsia="ru-RU"/>
        </w:rPr>
        <w:t xml:space="preserve">vede prin </w:t>
      </w:r>
      <w:r w:rsidR="007C1E4E" w:rsidRPr="00125FAF">
        <w:rPr>
          <w:rFonts w:ascii="Times New Roman" w:eastAsia="Times New Roman" w:hAnsi="Times New Roman" w:cs="Times New Roman"/>
          <w:color w:val="000000"/>
          <w:sz w:val="24"/>
          <w:szCs w:val="24"/>
          <w:shd w:val="clear" w:color="auto" w:fill="FFFFFF"/>
          <w:lang w:eastAsia="ru-RU"/>
        </w:rPr>
        <w:t xml:space="preserve">intermediul Planului național de dezvoltare cu emisii reduse elaborat </w:t>
      </w:r>
      <w:proofErr w:type="spellStart"/>
      <w:r w:rsidR="007C1E4E" w:rsidRPr="00125FAF">
        <w:rPr>
          <w:rFonts w:ascii="Times New Roman" w:eastAsia="Times New Roman" w:hAnsi="Times New Roman" w:cs="Times New Roman"/>
          <w:color w:val="000000"/>
          <w:sz w:val="24"/>
          <w:szCs w:val="24"/>
          <w:shd w:val="clear" w:color="auto" w:fill="FFFFFF"/>
          <w:lang w:eastAsia="ru-RU"/>
        </w:rPr>
        <w:t>şi</w:t>
      </w:r>
      <w:proofErr w:type="spellEnd"/>
      <w:r w:rsidR="007C1E4E" w:rsidRPr="00125FAF">
        <w:rPr>
          <w:rFonts w:ascii="Times New Roman" w:eastAsia="Times New Roman" w:hAnsi="Times New Roman" w:cs="Times New Roman"/>
          <w:color w:val="000000"/>
          <w:sz w:val="24"/>
          <w:szCs w:val="24"/>
          <w:shd w:val="clear" w:color="auto" w:fill="FFFFFF"/>
          <w:lang w:eastAsia="ru-RU"/>
        </w:rPr>
        <w:t xml:space="preserve"> aprobat pentru fiecare 3 ani, actualizat anual, care conform HG nr. 386/2020, include direcțiile prioritare, obiectivele și măsurile pentru implementarea Programului de activitate al Guvernului și ale angajamentelor internaționale.</w:t>
      </w:r>
    </w:p>
    <w:p w14:paraId="6654954B" w14:textId="452CF8D0" w:rsidR="006364B2" w:rsidRPr="00125FAF" w:rsidRDefault="006364B2" w:rsidP="001F2F2D">
      <w:pPr>
        <w:spacing w:after="120" w:line="240" w:lineRule="auto"/>
        <w:ind w:firstLine="720"/>
        <w:jc w:val="both"/>
        <w:rPr>
          <w:rFonts w:ascii="Times New Roman" w:eastAsia="Times New Roman" w:hAnsi="Times New Roman" w:cs="Times New Roman"/>
          <w:sz w:val="24"/>
          <w:szCs w:val="24"/>
          <w:lang w:eastAsia="ru-RU"/>
        </w:rPr>
      </w:pPr>
      <w:r w:rsidRPr="00125FAF">
        <w:rPr>
          <w:rFonts w:ascii="Times New Roman" w:eastAsia="Times New Roman" w:hAnsi="Times New Roman" w:cs="Times New Roman"/>
          <w:color w:val="000000"/>
          <w:sz w:val="24"/>
          <w:szCs w:val="24"/>
          <w:shd w:val="clear" w:color="auto" w:fill="FFFFFF"/>
          <w:lang w:eastAsia="ru-RU"/>
        </w:rPr>
        <w:t>2</w:t>
      </w:r>
      <w:r w:rsidR="007909C8" w:rsidRPr="00125FAF">
        <w:rPr>
          <w:rFonts w:ascii="Times New Roman" w:eastAsia="Times New Roman" w:hAnsi="Times New Roman" w:cs="Times New Roman"/>
          <w:color w:val="000000"/>
          <w:sz w:val="24"/>
          <w:szCs w:val="24"/>
          <w:shd w:val="clear" w:color="auto" w:fill="FFFFFF"/>
          <w:lang w:eastAsia="ru-RU"/>
        </w:rPr>
        <w:t>6</w:t>
      </w:r>
      <w:r w:rsidRPr="00125FAF">
        <w:rPr>
          <w:rFonts w:ascii="Times New Roman" w:eastAsia="Times New Roman" w:hAnsi="Times New Roman" w:cs="Times New Roman"/>
          <w:color w:val="000000"/>
          <w:sz w:val="24"/>
          <w:szCs w:val="24"/>
          <w:shd w:val="clear" w:color="auto" w:fill="FFFFFF"/>
          <w:lang w:eastAsia="ru-RU"/>
        </w:rPr>
        <w:t xml:space="preserve">. </w:t>
      </w:r>
      <w:r w:rsidR="004C6B78" w:rsidRPr="00125FAF">
        <w:rPr>
          <w:rFonts w:ascii="Times New Roman" w:eastAsia="Times New Roman" w:hAnsi="Times New Roman" w:cs="Times New Roman"/>
          <w:color w:val="000000"/>
          <w:sz w:val="24"/>
          <w:szCs w:val="24"/>
          <w:shd w:val="clear" w:color="auto" w:fill="FFFFFF"/>
          <w:lang w:eastAsia="ru-RU"/>
        </w:rPr>
        <w:t xml:space="preserve">În conformitate cu Acordul de la Copenhaga (2010), </w:t>
      </w:r>
      <w:proofErr w:type="spellStart"/>
      <w:r w:rsidR="004C6B78" w:rsidRPr="00125FAF">
        <w:rPr>
          <w:rFonts w:ascii="Times New Roman" w:eastAsia="Times New Roman" w:hAnsi="Times New Roman" w:cs="Times New Roman"/>
          <w:color w:val="000000"/>
          <w:sz w:val="24"/>
          <w:szCs w:val="24"/>
          <w:shd w:val="clear" w:color="auto" w:fill="FFFFFF"/>
          <w:lang w:eastAsia="ru-RU"/>
        </w:rPr>
        <w:t>părţile</w:t>
      </w:r>
      <w:proofErr w:type="spellEnd"/>
      <w:r w:rsidR="004C6B78" w:rsidRPr="00125FAF">
        <w:rPr>
          <w:rFonts w:ascii="Times New Roman" w:eastAsia="Times New Roman" w:hAnsi="Times New Roman" w:cs="Times New Roman"/>
          <w:color w:val="000000"/>
          <w:sz w:val="24"/>
          <w:szCs w:val="24"/>
          <w:shd w:val="clear" w:color="auto" w:fill="FFFFFF"/>
          <w:lang w:eastAsia="ru-RU"/>
        </w:rPr>
        <w:t xml:space="preserve"> semnatare neincluse în anexa nr. I la </w:t>
      </w:r>
      <w:proofErr w:type="spellStart"/>
      <w:r w:rsidR="004C6B78" w:rsidRPr="00125FAF">
        <w:rPr>
          <w:rFonts w:ascii="Times New Roman" w:eastAsia="Times New Roman" w:hAnsi="Times New Roman" w:cs="Times New Roman"/>
          <w:color w:val="000000"/>
          <w:sz w:val="24"/>
          <w:szCs w:val="24"/>
          <w:shd w:val="clear" w:color="auto" w:fill="FFFFFF"/>
          <w:lang w:eastAsia="ru-RU"/>
        </w:rPr>
        <w:t>Convenţia</w:t>
      </w:r>
      <w:proofErr w:type="spellEnd"/>
      <w:r w:rsidR="004C6B78" w:rsidRPr="00125FAF">
        <w:rPr>
          <w:rFonts w:ascii="Times New Roman" w:eastAsia="Times New Roman" w:hAnsi="Times New Roman" w:cs="Times New Roman"/>
          <w:color w:val="000000"/>
          <w:sz w:val="24"/>
          <w:szCs w:val="24"/>
          <w:shd w:val="clear" w:color="auto" w:fill="FFFFFF"/>
          <w:lang w:eastAsia="ru-RU"/>
        </w:rPr>
        <w:t xml:space="preserve">-cadru vor contribui la procesul de atenuare a fenomenului schimbărilor climatice prin intermediul </w:t>
      </w:r>
      <w:proofErr w:type="spellStart"/>
      <w:r w:rsidR="004C6B78" w:rsidRPr="00125FAF">
        <w:rPr>
          <w:rFonts w:ascii="Times New Roman" w:eastAsia="Times New Roman" w:hAnsi="Times New Roman" w:cs="Times New Roman"/>
          <w:color w:val="000000"/>
          <w:sz w:val="24"/>
          <w:szCs w:val="24"/>
          <w:shd w:val="clear" w:color="auto" w:fill="FFFFFF"/>
          <w:lang w:eastAsia="ru-RU"/>
        </w:rPr>
        <w:t>acţiunilor</w:t>
      </w:r>
      <w:proofErr w:type="spellEnd"/>
      <w:r w:rsidR="004C6B78" w:rsidRPr="00125FAF">
        <w:rPr>
          <w:rFonts w:ascii="Times New Roman" w:eastAsia="Times New Roman" w:hAnsi="Times New Roman" w:cs="Times New Roman"/>
          <w:color w:val="000000"/>
          <w:sz w:val="24"/>
          <w:szCs w:val="24"/>
          <w:shd w:val="clear" w:color="auto" w:fill="FFFFFF"/>
          <w:lang w:eastAsia="ru-RU"/>
        </w:rPr>
        <w:t xml:space="preserve"> adecvate de atenuare la nivel </w:t>
      </w:r>
      <w:proofErr w:type="spellStart"/>
      <w:r w:rsidR="004C6B78" w:rsidRPr="00125FAF">
        <w:rPr>
          <w:rFonts w:ascii="Times New Roman" w:eastAsia="Times New Roman" w:hAnsi="Times New Roman" w:cs="Times New Roman"/>
          <w:color w:val="000000"/>
          <w:sz w:val="24"/>
          <w:szCs w:val="24"/>
          <w:shd w:val="clear" w:color="auto" w:fill="FFFFFF"/>
          <w:lang w:eastAsia="ru-RU"/>
        </w:rPr>
        <w:t>naţional</w:t>
      </w:r>
      <w:proofErr w:type="spellEnd"/>
      <w:r w:rsidR="004C6B78" w:rsidRPr="00125FAF">
        <w:rPr>
          <w:rFonts w:ascii="Times New Roman" w:eastAsia="Times New Roman" w:hAnsi="Times New Roman" w:cs="Times New Roman"/>
          <w:color w:val="000000"/>
          <w:sz w:val="24"/>
          <w:szCs w:val="24"/>
          <w:shd w:val="clear" w:color="auto" w:fill="FFFFFF"/>
          <w:lang w:eastAsia="ru-RU"/>
        </w:rPr>
        <w:t xml:space="preserve"> (en. NAMA).</w:t>
      </w:r>
      <w:r w:rsidR="00A938AC" w:rsidRPr="00125FAF">
        <w:rPr>
          <w:rFonts w:ascii="Times New Roman" w:eastAsia="Times New Roman" w:hAnsi="Times New Roman" w:cs="Times New Roman"/>
          <w:color w:val="000000"/>
          <w:sz w:val="24"/>
          <w:szCs w:val="24"/>
          <w:shd w:val="clear" w:color="auto" w:fill="FFFFFF"/>
          <w:lang w:eastAsia="ru-RU"/>
        </w:rPr>
        <w:t xml:space="preserve"> Strategia de </w:t>
      </w:r>
      <w:proofErr w:type="spellStart"/>
      <w:r w:rsidR="00A938AC" w:rsidRPr="00125FAF">
        <w:rPr>
          <w:rFonts w:ascii="Times New Roman" w:eastAsia="Times New Roman" w:hAnsi="Times New Roman" w:cs="Times New Roman"/>
          <w:color w:val="000000"/>
          <w:sz w:val="24"/>
          <w:szCs w:val="24"/>
          <w:shd w:val="clear" w:color="auto" w:fill="FFFFFF"/>
          <w:lang w:eastAsia="ru-RU"/>
        </w:rPr>
        <w:t>faţă</w:t>
      </w:r>
      <w:proofErr w:type="spellEnd"/>
      <w:r w:rsidR="00A938AC" w:rsidRPr="00125FAF">
        <w:rPr>
          <w:rFonts w:ascii="Times New Roman" w:eastAsia="Times New Roman" w:hAnsi="Times New Roman" w:cs="Times New Roman"/>
          <w:color w:val="000000"/>
          <w:sz w:val="24"/>
          <w:szCs w:val="24"/>
          <w:shd w:val="clear" w:color="auto" w:fill="FFFFFF"/>
          <w:lang w:eastAsia="ru-RU"/>
        </w:rPr>
        <w:t xml:space="preserve"> aplică această formă de exprimare a măsurilor de reducere a GES. </w:t>
      </w:r>
      <w:r w:rsidR="00DF22F1" w:rsidRPr="00125FAF">
        <w:rPr>
          <w:rFonts w:ascii="Times New Roman" w:eastAsia="Times New Roman" w:hAnsi="Times New Roman" w:cs="Times New Roman"/>
          <w:color w:val="000000"/>
          <w:sz w:val="24"/>
          <w:szCs w:val="24"/>
          <w:shd w:val="clear" w:color="auto" w:fill="FFFFFF"/>
          <w:lang w:eastAsia="ru-RU"/>
        </w:rPr>
        <w:t xml:space="preserve">În </w:t>
      </w:r>
      <w:proofErr w:type="spellStart"/>
      <w:r w:rsidR="00DF22F1" w:rsidRPr="00125FAF">
        <w:rPr>
          <w:rFonts w:ascii="Times New Roman" w:eastAsia="Times New Roman" w:hAnsi="Times New Roman" w:cs="Times New Roman"/>
          <w:color w:val="000000"/>
          <w:sz w:val="24"/>
          <w:szCs w:val="24"/>
          <w:shd w:val="clear" w:color="auto" w:fill="FFFFFF"/>
          <w:lang w:eastAsia="ru-RU"/>
        </w:rPr>
        <w:t>funcţie</w:t>
      </w:r>
      <w:proofErr w:type="spellEnd"/>
      <w:r w:rsidR="00DF22F1" w:rsidRPr="00125FAF">
        <w:rPr>
          <w:rFonts w:ascii="Times New Roman" w:eastAsia="Times New Roman" w:hAnsi="Times New Roman" w:cs="Times New Roman"/>
          <w:color w:val="000000"/>
          <w:sz w:val="24"/>
          <w:szCs w:val="24"/>
          <w:shd w:val="clear" w:color="auto" w:fill="FFFFFF"/>
          <w:lang w:eastAsia="ru-RU"/>
        </w:rPr>
        <w:t xml:space="preserve"> de obiectivul specific, </w:t>
      </w:r>
      <w:r w:rsidR="004C6B78" w:rsidRPr="00125FAF">
        <w:rPr>
          <w:rFonts w:ascii="Times New Roman" w:eastAsia="Times New Roman" w:hAnsi="Times New Roman" w:cs="Times New Roman"/>
          <w:color w:val="000000"/>
          <w:sz w:val="24"/>
          <w:szCs w:val="24"/>
          <w:shd w:val="clear" w:color="auto" w:fill="FFFFFF"/>
          <w:lang w:eastAsia="ru-RU"/>
        </w:rPr>
        <w:t>NAMA</w:t>
      </w:r>
      <w:r w:rsidR="00DF22F1" w:rsidRPr="00125FAF">
        <w:rPr>
          <w:rFonts w:ascii="Times New Roman" w:eastAsia="Times New Roman" w:hAnsi="Times New Roman" w:cs="Times New Roman"/>
          <w:color w:val="000000"/>
          <w:sz w:val="24"/>
          <w:szCs w:val="24"/>
          <w:shd w:val="clear" w:color="auto" w:fill="FFFFFF"/>
          <w:lang w:eastAsia="ru-RU"/>
        </w:rPr>
        <w:t xml:space="preserve"> sunt </w:t>
      </w:r>
      <w:r w:rsidRPr="00125FAF">
        <w:rPr>
          <w:rFonts w:ascii="Times New Roman" w:eastAsia="Times New Roman" w:hAnsi="Times New Roman" w:cs="Times New Roman"/>
          <w:color w:val="000000"/>
          <w:sz w:val="24"/>
          <w:szCs w:val="24"/>
          <w:shd w:val="clear" w:color="auto" w:fill="FFFFFF"/>
          <w:lang w:eastAsia="ru-RU"/>
        </w:rPr>
        <w:t xml:space="preserve">grupate în </w:t>
      </w:r>
      <w:r w:rsidR="004C6B78" w:rsidRPr="00125FAF">
        <w:rPr>
          <w:rFonts w:ascii="Times New Roman" w:eastAsia="Times New Roman" w:hAnsi="Times New Roman" w:cs="Times New Roman"/>
          <w:iCs/>
          <w:color w:val="000000"/>
          <w:sz w:val="24"/>
          <w:szCs w:val="24"/>
          <w:shd w:val="clear" w:color="auto" w:fill="FFFFFF"/>
          <w:lang w:eastAsia="ru-RU"/>
        </w:rPr>
        <w:t>două</w:t>
      </w:r>
      <w:r w:rsidR="00A938AC" w:rsidRPr="00125FAF">
        <w:rPr>
          <w:rFonts w:ascii="Times New Roman" w:eastAsia="Times New Roman" w:hAnsi="Times New Roman" w:cs="Times New Roman"/>
          <w:iCs/>
          <w:color w:val="000000"/>
          <w:sz w:val="24"/>
          <w:szCs w:val="24"/>
          <w:shd w:val="clear" w:color="auto" w:fill="FFFFFF"/>
          <w:lang w:eastAsia="ru-RU"/>
        </w:rPr>
        <w:t xml:space="preserve"> categorii</w:t>
      </w:r>
      <w:r w:rsidRPr="00125FAF">
        <w:rPr>
          <w:rFonts w:ascii="Times New Roman" w:eastAsia="Times New Roman" w:hAnsi="Times New Roman" w:cs="Times New Roman"/>
          <w:iCs/>
          <w:color w:val="000000"/>
          <w:sz w:val="24"/>
          <w:szCs w:val="24"/>
          <w:shd w:val="clear" w:color="auto" w:fill="FFFFFF"/>
          <w:lang w:eastAsia="ru-RU"/>
        </w:rPr>
        <w:t xml:space="preserve"> </w:t>
      </w:r>
      <w:r w:rsidR="00A938AC" w:rsidRPr="00125FAF">
        <w:rPr>
          <w:rFonts w:ascii="Times New Roman" w:eastAsia="Times New Roman" w:hAnsi="Times New Roman" w:cs="Times New Roman"/>
          <w:iCs/>
          <w:color w:val="000000"/>
          <w:sz w:val="24"/>
          <w:szCs w:val="24"/>
          <w:shd w:val="clear" w:color="auto" w:fill="FFFFFF"/>
          <w:lang w:eastAsia="ru-RU"/>
        </w:rPr>
        <w:t xml:space="preserve">de </w:t>
      </w:r>
      <w:proofErr w:type="spellStart"/>
      <w:r w:rsidRPr="00125FAF">
        <w:rPr>
          <w:rFonts w:ascii="Times New Roman" w:eastAsia="Times New Roman" w:hAnsi="Times New Roman" w:cs="Times New Roman"/>
          <w:iCs/>
          <w:color w:val="000000"/>
          <w:sz w:val="24"/>
          <w:szCs w:val="24"/>
          <w:shd w:val="clear" w:color="auto" w:fill="FFFFFF"/>
          <w:lang w:eastAsia="ru-RU"/>
        </w:rPr>
        <w:t>acţiuni</w:t>
      </w:r>
      <w:proofErr w:type="spellEnd"/>
      <w:r w:rsidRPr="00125FAF">
        <w:rPr>
          <w:rFonts w:ascii="Times New Roman" w:eastAsia="Times New Roman" w:hAnsi="Times New Roman" w:cs="Times New Roman"/>
          <w:iCs/>
          <w:color w:val="000000"/>
          <w:sz w:val="24"/>
          <w:szCs w:val="24"/>
          <w:shd w:val="clear" w:color="auto" w:fill="FFFFFF"/>
          <w:lang w:eastAsia="ru-RU"/>
        </w:rPr>
        <w:t xml:space="preserve"> de atenuare adecvate la nivel </w:t>
      </w:r>
      <w:proofErr w:type="spellStart"/>
      <w:r w:rsidRPr="00125FAF">
        <w:rPr>
          <w:rFonts w:ascii="Times New Roman" w:eastAsia="Times New Roman" w:hAnsi="Times New Roman" w:cs="Times New Roman"/>
          <w:iCs/>
          <w:color w:val="000000"/>
          <w:sz w:val="24"/>
          <w:szCs w:val="24"/>
          <w:shd w:val="clear" w:color="auto" w:fill="FFFFFF"/>
          <w:lang w:eastAsia="ru-RU"/>
        </w:rPr>
        <w:t>naţional</w:t>
      </w:r>
      <w:proofErr w:type="spellEnd"/>
      <w:r w:rsidR="00DF22F1" w:rsidRPr="00125FAF">
        <w:rPr>
          <w:rFonts w:ascii="Times New Roman" w:eastAsia="Times New Roman" w:hAnsi="Times New Roman" w:cs="Times New Roman"/>
          <w:iCs/>
          <w:color w:val="000000"/>
          <w:sz w:val="24"/>
          <w:szCs w:val="24"/>
          <w:shd w:val="clear" w:color="auto" w:fill="FFFFFF"/>
          <w:lang w:eastAsia="ru-RU"/>
        </w:rPr>
        <w:t xml:space="preserve">, care </w:t>
      </w:r>
      <w:r w:rsidRPr="00125FAF">
        <w:rPr>
          <w:rFonts w:ascii="Times New Roman" w:eastAsia="Times New Roman" w:hAnsi="Times New Roman" w:cs="Times New Roman"/>
          <w:color w:val="000000"/>
          <w:sz w:val="24"/>
          <w:szCs w:val="24"/>
          <w:shd w:val="clear" w:color="auto" w:fill="FFFFFF"/>
          <w:lang w:eastAsia="ru-RU"/>
        </w:rPr>
        <w:t>includ o gamă largă de abordări</w:t>
      </w:r>
      <w:r w:rsidR="00A938AC" w:rsidRPr="00125FAF">
        <w:rPr>
          <w:rFonts w:ascii="Times New Roman" w:eastAsia="Times New Roman" w:hAnsi="Times New Roman" w:cs="Times New Roman"/>
          <w:color w:val="000000"/>
          <w:sz w:val="24"/>
          <w:szCs w:val="24"/>
          <w:shd w:val="clear" w:color="auto" w:fill="FFFFFF"/>
          <w:lang w:eastAsia="ru-RU"/>
        </w:rPr>
        <w:t>:</w:t>
      </w:r>
    </w:p>
    <w:p w14:paraId="55F0456C" w14:textId="09970064" w:rsidR="006364B2" w:rsidRPr="00125FAF" w:rsidRDefault="006364B2" w:rsidP="006364B2">
      <w:pPr>
        <w:spacing w:after="0" w:line="240" w:lineRule="auto"/>
        <w:ind w:firstLine="720"/>
        <w:jc w:val="both"/>
        <w:rPr>
          <w:rFonts w:ascii="Times New Roman" w:eastAsia="Times New Roman" w:hAnsi="Times New Roman" w:cs="Times New Roman"/>
          <w:sz w:val="24"/>
          <w:szCs w:val="24"/>
          <w:lang w:eastAsia="ru-RU"/>
        </w:rPr>
      </w:pPr>
      <w:r w:rsidRPr="00125FAF">
        <w:rPr>
          <w:rFonts w:ascii="Times New Roman" w:eastAsia="Times New Roman" w:hAnsi="Times New Roman" w:cs="Times New Roman"/>
          <w:color w:val="000000"/>
          <w:sz w:val="24"/>
          <w:szCs w:val="24"/>
          <w:shd w:val="clear" w:color="auto" w:fill="FFFFFF"/>
          <w:lang w:eastAsia="ru-RU"/>
        </w:rPr>
        <w:t xml:space="preserve">1) </w:t>
      </w:r>
      <w:proofErr w:type="spellStart"/>
      <w:r w:rsidRPr="00125FAF">
        <w:rPr>
          <w:rFonts w:ascii="Times New Roman" w:eastAsia="Times New Roman" w:hAnsi="Times New Roman" w:cs="Times New Roman"/>
          <w:i/>
          <w:iCs/>
          <w:color w:val="000000"/>
          <w:sz w:val="24"/>
          <w:szCs w:val="24"/>
          <w:shd w:val="clear" w:color="auto" w:fill="FFFFFF"/>
          <w:lang w:eastAsia="ru-RU"/>
        </w:rPr>
        <w:t>acţiuni</w:t>
      </w:r>
      <w:proofErr w:type="spellEnd"/>
      <w:r w:rsidRPr="00125FAF">
        <w:rPr>
          <w:rFonts w:ascii="Times New Roman" w:eastAsia="Times New Roman" w:hAnsi="Times New Roman" w:cs="Times New Roman"/>
          <w:i/>
          <w:iCs/>
          <w:color w:val="000000"/>
          <w:sz w:val="24"/>
          <w:szCs w:val="24"/>
          <w:shd w:val="clear" w:color="auto" w:fill="FFFFFF"/>
          <w:lang w:eastAsia="ru-RU"/>
        </w:rPr>
        <w:t xml:space="preserve"> </w:t>
      </w:r>
      <w:proofErr w:type="spellStart"/>
      <w:r w:rsidR="00DF22F1" w:rsidRPr="00125FAF">
        <w:rPr>
          <w:rFonts w:ascii="Times New Roman" w:eastAsia="Times New Roman" w:hAnsi="Times New Roman" w:cs="Times New Roman"/>
          <w:i/>
          <w:iCs/>
          <w:color w:val="000000"/>
          <w:sz w:val="24"/>
          <w:szCs w:val="24"/>
          <w:shd w:val="clear" w:color="auto" w:fill="FFFFFF"/>
          <w:lang w:eastAsia="ru-RU"/>
        </w:rPr>
        <w:t>necondiţionate</w:t>
      </w:r>
      <w:proofErr w:type="spellEnd"/>
      <w:r w:rsidR="00DF22F1" w:rsidRPr="00125FAF">
        <w:rPr>
          <w:rFonts w:ascii="Times New Roman" w:eastAsia="Times New Roman" w:hAnsi="Times New Roman" w:cs="Times New Roman"/>
          <w:i/>
          <w:iCs/>
          <w:color w:val="000000"/>
          <w:sz w:val="24"/>
          <w:szCs w:val="24"/>
          <w:shd w:val="clear" w:color="auto" w:fill="FFFFFF"/>
          <w:lang w:eastAsia="ru-RU"/>
        </w:rPr>
        <w:t xml:space="preserve"> (</w:t>
      </w:r>
      <w:r w:rsidRPr="00125FAF">
        <w:rPr>
          <w:rFonts w:ascii="Times New Roman" w:eastAsia="Times New Roman" w:hAnsi="Times New Roman" w:cs="Times New Roman"/>
          <w:i/>
          <w:iCs/>
          <w:color w:val="000000"/>
          <w:sz w:val="24"/>
          <w:szCs w:val="24"/>
          <w:shd w:val="clear" w:color="auto" w:fill="FFFFFF"/>
          <w:lang w:eastAsia="ru-RU"/>
        </w:rPr>
        <w:t>unilaterale</w:t>
      </w:r>
      <w:r w:rsidR="00DF22F1" w:rsidRPr="00125FAF">
        <w:rPr>
          <w:rFonts w:ascii="Times New Roman" w:eastAsia="Times New Roman" w:hAnsi="Times New Roman" w:cs="Times New Roman"/>
          <w:i/>
          <w:iCs/>
          <w:color w:val="000000"/>
          <w:sz w:val="24"/>
          <w:szCs w:val="24"/>
          <w:shd w:val="clear" w:color="auto" w:fill="FFFFFF"/>
          <w:lang w:eastAsia="ru-RU"/>
        </w:rPr>
        <w:t>)</w:t>
      </w:r>
      <w:r w:rsidRPr="00125FAF">
        <w:rPr>
          <w:rFonts w:ascii="Times New Roman" w:eastAsia="Times New Roman" w:hAnsi="Times New Roman" w:cs="Times New Roman"/>
          <w:i/>
          <w:iCs/>
          <w:color w:val="000000"/>
          <w:sz w:val="24"/>
          <w:szCs w:val="24"/>
          <w:shd w:val="clear" w:color="auto" w:fill="FFFFFF"/>
          <w:lang w:eastAsia="ru-RU"/>
        </w:rPr>
        <w:t xml:space="preserve"> –</w:t>
      </w:r>
      <w:r w:rsidRPr="00125FAF">
        <w:rPr>
          <w:rFonts w:ascii="Times New Roman" w:eastAsia="Times New Roman" w:hAnsi="Times New Roman" w:cs="Times New Roman"/>
          <w:color w:val="000000"/>
          <w:sz w:val="24"/>
          <w:szCs w:val="24"/>
          <w:shd w:val="clear" w:color="auto" w:fill="FFFFFF"/>
          <w:lang w:eastAsia="ru-RU"/>
        </w:rPr>
        <w:t xml:space="preserve"> măsuri de atenuare</w:t>
      </w:r>
      <w:r w:rsidR="00EC49F3" w:rsidRPr="00125FAF">
        <w:rPr>
          <w:rFonts w:ascii="Times New Roman" w:eastAsia="Times New Roman" w:hAnsi="Times New Roman" w:cs="Times New Roman"/>
          <w:color w:val="000000"/>
          <w:sz w:val="24"/>
          <w:szCs w:val="24"/>
          <w:shd w:val="clear" w:color="auto" w:fill="FFFFFF"/>
          <w:lang w:eastAsia="ru-RU"/>
        </w:rPr>
        <w:t xml:space="preserve"> pe cont propriu,</w:t>
      </w:r>
      <w:r w:rsidRPr="00125FAF">
        <w:rPr>
          <w:rFonts w:ascii="Times New Roman" w:eastAsia="Times New Roman" w:hAnsi="Times New Roman" w:cs="Times New Roman"/>
          <w:color w:val="000000"/>
          <w:sz w:val="24"/>
          <w:szCs w:val="24"/>
          <w:shd w:val="clear" w:color="auto" w:fill="FFFFFF"/>
          <w:lang w:eastAsia="ru-RU"/>
        </w:rPr>
        <w:t xml:space="preserve"> întreprinse de către </w:t>
      </w:r>
      <w:proofErr w:type="spellStart"/>
      <w:r w:rsidRPr="00125FAF">
        <w:rPr>
          <w:rFonts w:ascii="Times New Roman" w:eastAsia="Times New Roman" w:hAnsi="Times New Roman" w:cs="Times New Roman"/>
          <w:color w:val="000000"/>
          <w:sz w:val="24"/>
          <w:szCs w:val="24"/>
          <w:shd w:val="clear" w:color="auto" w:fill="FFFFFF"/>
          <w:lang w:eastAsia="ru-RU"/>
        </w:rPr>
        <w:t>ţările</w:t>
      </w:r>
      <w:proofErr w:type="spellEnd"/>
      <w:r w:rsidRPr="00125FAF">
        <w:rPr>
          <w:rFonts w:ascii="Times New Roman" w:eastAsia="Times New Roman" w:hAnsi="Times New Roman" w:cs="Times New Roman"/>
          <w:color w:val="000000"/>
          <w:sz w:val="24"/>
          <w:szCs w:val="24"/>
          <w:shd w:val="clear" w:color="auto" w:fill="FFFFFF"/>
          <w:lang w:eastAsia="ru-RU"/>
        </w:rPr>
        <w:t xml:space="preserve"> în curs de dezvoltare;</w:t>
      </w:r>
    </w:p>
    <w:p w14:paraId="7DA41EA4" w14:textId="0A1954AD" w:rsidR="006364B2" w:rsidRPr="00125FAF" w:rsidRDefault="006364B2" w:rsidP="001F2F2D">
      <w:pPr>
        <w:spacing w:after="120" w:line="240" w:lineRule="auto"/>
        <w:ind w:firstLine="720"/>
        <w:jc w:val="both"/>
        <w:rPr>
          <w:rFonts w:ascii="Times New Roman" w:eastAsia="Times New Roman" w:hAnsi="Times New Roman" w:cs="Times New Roman"/>
          <w:sz w:val="24"/>
          <w:szCs w:val="24"/>
          <w:lang w:eastAsia="ru-RU"/>
        </w:rPr>
      </w:pPr>
      <w:r w:rsidRPr="00125FAF">
        <w:rPr>
          <w:rFonts w:ascii="Times New Roman" w:eastAsia="Times New Roman" w:hAnsi="Times New Roman" w:cs="Times New Roman"/>
          <w:color w:val="000000"/>
          <w:sz w:val="24"/>
          <w:szCs w:val="24"/>
          <w:shd w:val="clear" w:color="auto" w:fill="FFFFFF"/>
          <w:lang w:eastAsia="ru-RU"/>
        </w:rPr>
        <w:t xml:space="preserve">2) </w:t>
      </w:r>
      <w:proofErr w:type="spellStart"/>
      <w:r w:rsidRPr="00125FAF">
        <w:rPr>
          <w:rFonts w:ascii="Times New Roman" w:eastAsia="Times New Roman" w:hAnsi="Times New Roman" w:cs="Times New Roman"/>
          <w:i/>
          <w:iCs/>
          <w:color w:val="000000"/>
          <w:sz w:val="24"/>
          <w:szCs w:val="24"/>
          <w:shd w:val="clear" w:color="auto" w:fill="FFFFFF"/>
          <w:lang w:eastAsia="ru-RU"/>
        </w:rPr>
        <w:t>acţiuni</w:t>
      </w:r>
      <w:proofErr w:type="spellEnd"/>
      <w:r w:rsidRPr="00125FAF">
        <w:rPr>
          <w:rFonts w:ascii="Times New Roman" w:eastAsia="Times New Roman" w:hAnsi="Times New Roman" w:cs="Times New Roman"/>
          <w:i/>
          <w:iCs/>
          <w:color w:val="000000"/>
          <w:sz w:val="24"/>
          <w:szCs w:val="24"/>
          <w:shd w:val="clear" w:color="auto" w:fill="FFFFFF"/>
          <w:lang w:eastAsia="ru-RU"/>
        </w:rPr>
        <w:t xml:space="preserve"> </w:t>
      </w:r>
      <w:proofErr w:type="spellStart"/>
      <w:r w:rsidR="00EC49F3" w:rsidRPr="00125FAF">
        <w:rPr>
          <w:rFonts w:ascii="Times New Roman" w:eastAsia="Times New Roman" w:hAnsi="Times New Roman" w:cs="Times New Roman"/>
          <w:i/>
          <w:iCs/>
          <w:color w:val="000000"/>
          <w:sz w:val="24"/>
          <w:szCs w:val="24"/>
          <w:shd w:val="clear" w:color="auto" w:fill="FFFFFF"/>
          <w:lang w:eastAsia="ru-RU"/>
        </w:rPr>
        <w:t>condiţionate</w:t>
      </w:r>
      <w:proofErr w:type="spellEnd"/>
      <w:r w:rsidR="00EC49F3" w:rsidRPr="00125FAF">
        <w:rPr>
          <w:rFonts w:ascii="Times New Roman" w:eastAsia="Times New Roman" w:hAnsi="Times New Roman" w:cs="Times New Roman"/>
          <w:i/>
          <w:iCs/>
          <w:color w:val="000000"/>
          <w:sz w:val="24"/>
          <w:szCs w:val="24"/>
          <w:shd w:val="clear" w:color="auto" w:fill="FFFFFF"/>
          <w:lang w:eastAsia="ru-RU"/>
        </w:rPr>
        <w:t xml:space="preserve"> (</w:t>
      </w:r>
      <w:r w:rsidRPr="00125FAF">
        <w:rPr>
          <w:rFonts w:ascii="Times New Roman" w:eastAsia="Times New Roman" w:hAnsi="Times New Roman" w:cs="Times New Roman"/>
          <w:i/>
          <w:iCs/>
          <w:color w:val="000000"/>
          <w:sz w:val="24"/>
          <w:szCs w:val="24"/>
          <w:shd w:val="clear" w:color="auto" w:fill="FFFFFF"/>
          <w:lang w:eastAsia="ru-RU"/>
        </w:rPr>
        <w:t>sprijinite</w:t>
      </w:r>
      <w:r w:rsidR="00EC49F3" w:rsidRPr="00125FAF">
        <w:rPr>
          <w:rFonts w:ascii="Times New Roman" w:eastAsia="Times New Roman" w:hAnsi="Times New Roman" w:cs="Times New Roman"/>
          <w:i/>
          <w:iCs/>
          <w:color w:val="000000"/>
          <w:sz w:val="24"/>
          <w:szCs w:val="24"/>
          <w:shd w:val="clear" w:color="auto" w:fill="FFFFFF"/>
          <w:lang w:eastAsia="ru-RU"/>
        </w:rPr>
        <w:t>)</w:t>
      </w:r>
      <w:r w:rsidRPr="00125FAF">
        <w:rPr>
          <w:rFonts w:ascii="Times New Roman" w:eastAsia="Times New Roman" w:hAnsi="Times New Roman" w:cs="Times New Roman"/>
          <w:i/>
          <w:iCs/>
          <w:color w:val="000000"/>
          <w:sz w:val="24"/>
          <w:szCs w:val="24"/>
          <w:shd w:val="clear" w:color="auto" w:fill="FFFFFF"/>
          <w:lang w:eastAsia="ru-RU"/>
        </w:rPr>
        <w:t xml:space="preserve"> –</w:t>
      </w:r>
      <w:r w:rsidRPr="00125FAF">
        <w:rPr>
          <w:rFonts w:ascii="Times New Roman" w:eastAsia="Times New Roman" w:hAnsi="Times New Roman" w:cs="Times New Roman"/>
          <w:color w:val="000000"/>
          <w:sz w:val="24"/>
          <w:szCs w:val="24"/>
          <w:shd w:val="clear" w:color="auto" w:fill="FFFFFF"/>
          <w:lang w:eastAsia="ru-RU"/>
        </w:rPr>
        <w:t xml:space="preserve"> măsuri de atenuare </w:t>
      </w:r>
      <w:r w:rsidR="00EC49F3" w:rsidRPr="00125FAF">
        <w:rPr>
          <w:rFonts w:ascii="Times New Roman" w:eastAsia="Times New Roman" w:hAnsi="Times New Roman" w:cs="Times New Roman"/>
          <w:color w:val="000000"/>
          <w:sz w:val="24"/>
          <w:szCs w:val="24"/>
          <w:shd w:val="clear" w:color="auto" w:fill="FFFFFF"/>
          <w:lang w:eastAsia="ru-RU"/>
        </w:rPr>
        <w:t xml:space="preserve">promovate de </w:t>
      </w:r>
      <w:proofErr w:type="spellStart"/>
      <w:r w:rsidRPr="00125FAF">
        <w:rPr>
          <w:rFonts w:ascii="Times New Roman" w:eastAsia="Times New Roman" w:hAnsi="Times New Roman" w:cs="Times New Roman"/>
          <w:color w:val="000000"/>
          <w:sz w:val="24"/>
          <w:szCs w:val="24"/>
          <w:shd w:val="clear" w:color="auto" w:fill="FFFFFF"/>
          <w:lang w:eastAsia="ru-RU"/>
        </w:rPr>
        <w:t>ţările</w:t>
      </w:r>
      <w:proofErr w:type="spellEnd"/>
      <w:r w:rsidRPr="00125FAF">
        <w:rPr>
          <w:rFonts w:ascii="Times New Roman" w:eastAsia="Times New Roman" w:hAnsi="Times New Roman" w:cs="Times New Roman"/>
          <w:color w:val="000000"/>
          <w:sz w:val="24"/>
          <w:szCs w:val="24"/>
          <w:shd w:val="clear" w:color="auto" w:fill="FFFFFF"/>
          <w:lang w:eastAsia="ru-RU"/>
        </w:rPr>
        <w:t xml:space="preserve"> în curs de dezvoltare, implementate cu suportul </w:t>
      </w:r>
      <w:proofErr w:type="spellStart"/>
      <w:r w:rsidRPr="00125FAF">
        <w:rPr>
          <w:rFonts w:ascii="Times New Roman" w:eastAsia="Times New Roman" w:hAnsi="Times New Roman" w:cs="Times New Roman"/>
          <w:color w:val="000000"/>
          <w:sz w:val="24"/>
          <w:szCs w:val="24"/>
          <w:shd w:val="clear" w:color="auto" w:fill="FFFFFF"/>
          <w:lang w:eastAsia="ru-RU"/>
        </w:rPr>
        <w:t>ţărilor</w:t>
      </w:r>
      <w:proofErr w:type="spellEnd"/>
      <w:r w:rsidRPr="00125FAF">
        <w:rPr>
          <w:rFonts w:ascii="Times New Roman" w:eastAsia="Times New Roman" w:hAnsi="Times New Roman" w:cs="Times New Roman"/>
          <w:color w:val="000000"/>
          <w:sz w:val="24"/>
          <w:szCs w:val="24"/>
          <w:shd w:val="clear" w:color="auto" w:fill="FFFFFF"/>
          <w:lang w:eastAsia="ru-RU"/>
        </w:rPr>
        <w:t xml:space="preserve"> dezvoltate, inclus</w:t>
      </w:r>
      <w:r w:rsidR="00BF70E2" w:rsidRPr="00125FAF">
        <w:rPr>
          <w:rFonts w:ascii="Times New Roman" w:eastAsia="Times New Roman" w:hAnsi="Times New Roman" w:cs="Times New Roman"/>
          <w:color w:val="000000"/>
          <w:sz w:val="24"/>
          <w:szCs w:val="24"/>
          <w:shd w:val="clear" w:color="auto" w:fill="FFFFFF"/>
          <w:lang w:eastAsia="ru-RU"/>
        </w:rPr>
        <w:t>iv</w:t>
      </w:r>
      <w:r w:rsidRPr="00125FAF">
        <w:rPr>
          <w:rFonts w:ascii="Times New Roman" w:eastAsia="Times New Roman" w:hAnsi="Times New Roman" w:cs="Times New Roman"/>
          <w:color w:val="000000"/>
          <w:sz w:val="24"/>
          <w:szCs w:val="24"/>
          <w:shd w:val="clear" w:color="auto" w:fill="FFFFFF"/>
          <w:lang w:eastAsia="ru-RU"/>
        </w:rPr>
        <w:t xml:space="preserve"> </w:t>
      </w:r>
      <w:r w:rsidR="007038CB" w:rsidRPr="00125FAF">
        <w:rPr>
          <w:rFonts w:ascii="Times New Roman" w:eastAsia="Times New Roman" w:hAnsi="Times New Roman" w:cs="Times New Roman"/>
          <w:color w:val="000000"/>
          <w:sz w:val="24"/>
          <w:szCs w:val="24"/>
          <w:shd w:val="clear" w:color="auto" w:fill="FFFFFF"/>
          <w:lang w:eastAsia="ru-RU"/>
        </w:rPr>
        <w:t xml:space="preserve">celor incluse </w:t>
      </w:r>
      <w:r w:rsidRPr="00125FAF">
        <w:rPr>
          <w:rFonts w:ascii="Times New Roman" w:eastAsia="Times New Roman" w:hAnsi="Times New Roman" w:cs="Times New Roman"/>
          <w:color w:val="000000"/>
          <w:sz w:val="24"/>
          <w:szCs w:val="24"/>
          <w:shd w:val="clear" w:color="auto" w:fill="FFFFFF"/>
          <w:lang w:eastAsia="ru-RU"/>
        </w:rPr>
        <w:t xml:space="preserve">în anexa nr. I la </w:t>
      </w:r>
      <w:proofErr w:type="spellStart"/>
      <w:r w:rsidRPr="00125FAF">
        <w:rPr>
          <w:rFonts w:ascii="Times New Roman" w:eastAsia="Times New Roman" w:hAnsi="Times New Roman" w:cs="Times New Roman"/>
          <w:color w:val="000000"/>
          <w:sz w:val="24"/>
          <w:szCs w:val="24"/>
          <w:shd w:val="clear" w:color="auto" w:fill="FFFFFF"/>
          <w:lang w:eastAsia="ru-RU"/>
        </w:rPr>
        <w:t>Convenţia</w:t>
      </w:r>
      <w:proofErr w:type="spellEnd"/>
      <w:r w:rsidRPr="00125FAF">
        <w:rPr>
          <w:rFonts w:ascii="Times New Roman" w:eastAsia="Times New Roman" w:hAnsi="Times New Roman" w:cs="Times New Roman"/>
          <w:color w:val="000000"/>
          <w:sz w:val="24"/>
          <w:szCs w:val="24"/>
          <w:shd w:val="clear" w:color="auto" w:fill="FFFFFF"/>
          <w:lang w:eastAsia="ru-RU"/>
        </w:rPr>
        <w:t>-cadru, care oferă suport financiar</w:t>
      </w:r>
      <w:r w:rsidR="00EC49F3" w:rsidRPr="00125FAF">
        <w:rPr>
          <w:rFonts w:ascii="Times New Roman" w:eastAsia="Times New Roman" w:hAnsi="Times New Roman" w:cs="Times New Roman"/>
          <w:color w:val="000000"/>
          <w:sz w:val="24"/>
          <w:szCs w:val="24"/>
          <w:shd w:val="clear" w:color="auto" w:fill="FFFFFF"/>
          <w:lang w:eastAsia="ru-RU"/>
        </w:rPr>
        <w:t xml:space="preserve"> </w:t>
      </w:r>
      <w:proofErr w:type="spellStart"/>
      <w:r w:rsidR="00EC49F3" w:rsidRPr="00125FAF">
        <w:rPr>
          <w:rFonts w:ascii="Times New Roman" w:eastAsia="Times New Roman" w:hAnsi="Times New Roman" w:cs="Times New Roman"/>
          <w:color w:val="000000"/>
          <w:sz w:val="24"/>
          <w:szCs w:val="24"/>
          <w:shd w:val="clear" w:color="auto" w:fill="FFFFFF"/>
          <w:lang w:eastAsia="ru-RU"/>
        </w:rPr>
        <w:t>şi</w:t>
      </w:r>
      <w:proofErr w:type="spellEnd"/>
      <w:r w:rsidR="00EC49F3" w:rsidRPr="00125FAF">
        <w:rPr>
          <w:rFonts w:ascii="Times New Roman" w:eastAsia="Times New Roman" w:hAnsi="Times New Roman" w:cs="Times New Roman"/>
          <w:color w:val="000000"/>
          <w:sz w:val="24"/>
          <w:szCs w:val="24"/>
          <w:shd w:val="clear" w:color="auto" w:fill="FFFFFF"/>
          <w:lang w:eastAsia="ru-RU"/>
        </w:rPr>
        <w:t xml:space="preserve"> tehnic</w:t>
      </w:r>
      <w:r w:rsidRPr="00125FAF">
        <w:rPr>
          <w:rFonts w:ascii="Times New Roman" w:eastAsia="Times New Roman" w:hAnsi="Times New Roman" w:cs="Times New Roman"/>
          <w:color w:val="000000"/>
          <w:sz w:val="24"/>
          <w:szCs w:val="24"/>
          <w:shd w:val="clear" w:color="auto" w:fill="FFFFFF"/>
          <w:lang w:eastAsia="ru-RU"/>
        </w:rPr>
        <w:t xml:space="preserve"> pentru transfer tehnologic </w:t>
      </w:r>
      <w:proofErr w:type="spellStart"/>
      <w:r w:rsidRPr="00125FAF">
        <w:rPr>
          <w:rFonts w:ascii="Times New Roman" w:eastAsia="Times New Roman" w:hAnsi="Times New Roman" w:cs="Times New Roman"/>
          <w:color w:val="000000"/>
          <w:sz w:val="24"/>
          <w:szCs w:val="24"/>
          <w:shd w:val="clear" w:color="auto" w:fill="FFFFFF"/>
          <w:lang w:eastAsia="ru-RU"/>
        </w:rPr>
        <w:t>şi</w:t>
      </w:r>
      <w:proofErr w:type="spellEnd"/>
      <w:r w:rsidRPr="00125FAF">
        <w:rPr>
          <w:rFonts w:ascii="Times New Roman" w:eastAsia="Times New Roman" w:hAnsi="Times New Roman" w:cs="Times New Roman"/>
          <w:color w:val="000000"/>
          <w:sz w:val="24"/>
          <w:szCs w:val="24"/>
          <w:shd w:val="clear" w:color="auto" w:fill="FFFFFF"/>
          <w:lang w:eastAsia="ru-RU"/>
        </w:rPr>
        <w:t xml:space="preserve"> consolidarea </w:t>
      </w:r>
      <w:proofErr w:type="spellStart"/>
      <w:r w:rsidRPr="00125FAF">
        <w:rPr>
          <w:rFonts w:ascii="Times New Roman" w:eastAsia="Times New Roman" w:hAnsi="Times New Roman" w:cs="Times New Roman"/>
          <w:color w:val="000000"/>
          <w:sz w:val="24"/>
          <w:szCs w:val="24"/>
          <w:shd w:val="clear" w:color="auto" w:fill="FFFFFF"/>
          <w:lang w:eastAsia="ru-RU"/>
        </w:rPr>
        <w:t>capacităţilor</w:t>
      </w:r>
      <w:proofErr w:type="spellEnd"/>
      <w:r w:rsidR="007038CB" w:rsidRPr="00125FAF">
        <w:rPr>
          <w:rFonts w:ascii="Times New Roman" w:eastAsia="Times New Roman" w:hAnsi="Times New Roman" w:cs="Times New Roman"/>
          <w:color w:val="000000"/>
          <w:sz w:val="24"/>
          <w:szCs w:val="24"/>
          <w:shd w:val="clear" w:color="auto" w:fill="FFFFFF"/>
          <w:lang w:eastAsia="ru-RU"/>
        </w:rPr>
        <w:t>.</w:t>
      </w:r>
    </w:p>
    <w:p w14:paraId="1C3874B0" w14:textId="0AE40C53" w:rsidR="006364B2" w:rsidRPr="00125FAF" w:rsidRDefault="00A938AC" w:rsidP="001F2F2D">
      <w:pPr>
        <w:spacing w:after="120" w:line="240" w:lineRule="auto"/>
        <w:ind w:firstLine="720"/>
        <w:jc w:val="both"/>
        <w:rPr>
          <w:rFonts w:ascii="Times New Roman" w:eastAsia="Times New Roman" w:hAnsi="Times New Roman" w:cs="Times New Roman"/>
          <w:sz w:val="24"/>
          <w:szCs w:val="24"/>
          <w:lang w:eastAsia="ru-RU"/>
        </w:rPr>
      </w:pPr>
      <w:r w:rsidRPr="00125FAF">
        <w:rPr>
          <w:rFonts w:ascii="Times New Roman" w:eastAsia="Times New Roman" w:hAnsi="Times New Roman" w:cs="Times New Roman"/>
          <w:color w:val="000000"/>
          <w:sz w:val="24"/>
          <w:szCs w:val="24"/>
          <w:shd w:val="clear" w:color="auto" w:fill="FFFFFF"/>
          <w:lang w:eastAsia="ru-RU"/>
        </w:rPr>
        <w:t xml:space="preserve">În afară de aceste categorii de reducere a emisiilor de gaze cu efect de seră, în cadrul </w:t>
      </w:r>
      <w:proofErr w:type="spellStart"/>
      <w:r w:rsidRPr="00125FAF">
        <w:rPr>
          <w:rFonts w:ascii="Times New Roman" w:eastAsia="Times New Roman" w:hAnsi="Times New Roman" w:cs="Times New Roman"/>
          <w:color w:val="000000"/>
          <w:sz w:val="24"/>
          <w:szCs w:val="24"/>
          <w:shd w:val="clear" w:color="auto" w:fill="FFFFFF"/>
          <w:lang w:eastAsia="ru-RU"/>
        </w:rPr>
        <w:t>Convenţiei</w:t>
      </w:r>
      <w:proofErr w:type="spellEnd"/>
      <w:r w:rsidRPr="00125FAF">
        <w:rPr>
          <w:rFonts w:ascii="Times New Roman" w:eastAsia="Times New Roman" w:hAnsi="Times New Roman" w:cs="Times New Roman"/>
          <w:color w:val="000000"/>
          <w:sz w:val="24"/>
          <w:szCs w:val="24"/>
          <w:shd w:val="clear" w:color="auto" w:fill="FFFFFF"/>
          <w:lang w:eastAsia="ru-RU"/>
        </w:rPr>
        <w:t xml:space="preserve">-cadru sunt tratate </w:t>
      </w:r>
      <w:proofErr w:type="spellStart"/>
      <w:r w:rsidRPr="00125FAF">
        <w:rPr>
          <w:rFonts w:ascii="Times New Roman" w:eastAsia="Times New Roman" w:hAnsi="Times New Roman" w:cs="Times New Roman"/>
          <w:color w:val="000000"/>
          <w:sz w:val="24"/>
          <w:szCs w:val="24"/>
          <w:shd w:val="clear" w:color="auto" w:fill="FFFFFF"/>
          <w:lang w:eastAsia="ru-RU"/>
        </w:rPr>
        <w:t>şi</w:t>
      </w:r>
      <w:proofErr w:type="spellEnd"/>
      <w:r w:rsidRPr="00125FAF">
        <w:rPr>
          <w:rFonts w:ascii="Times New Roman" w:eastAsia="Times New Roman" w:hAnsi="Times New Roman" w:cs="Times New Roman"/>
          <w:color w:val="000000"/>
          <w:sz w:val="24"/>
          <w:szCs w:val="24"/>
          <w:shd w:val="clear" w:color="auto" w:fill="FFFFFF"/>
          <w:lang w:eastAsia="ru-RU"/>
        </w:rPr>
        <w:t xml:space="preserve"> </w:t>
      </w:r>
      <w:proofErr w:type="spellStart"/>
      <w:r w:rsidRPr="00125FAF">
        <w:rPr>
          <w:rFonts w:ascii="Times New Roman" w:eastAsia="Times New Roman" w:hAnsi="Times New Roman" w:cs="Times New Roman"/>
          <w:color w:val="000000"/>
          <w:sz w:val="24"/>
          <w:szCs w:val="24"/>
          <w:shd w:val="clear" w:color="auto" w:fill="FFFFFF"/>
          <w:lang w:eastAsia="ru-RU"/>
        </w:rPr>
        <w:t>aşa</w:t>
      </w:r>
      <w:proofErr w:type="spellEnd"/>
      <w:r w:rsidRPr="00125FAF">
        <w:rPr>
          <w:rFonts w:ascii="Times New Roman" w:eastAsia="Times New Roman" w:hAnsi="Times New Roman" w:cs="Times New Roman"/>
          <w:color w:val="000000"/>
          <w:sz w:val="24"/>
          <w:szCs w:val="24"/>
          <w:shd w:val="clear" w:color="auto" w:fill="FFFFFF"/>
          <w:lang w:eastAsia="ru-RU"/>
        </w:rPr>
        <w:t xml:space="preserve"> numitele </w:t>
      </w:r>
      <w:proofErr w:type="spellStart"/>
      <w:r w:rsidR="006364B2" w:rsidRPr="00125FAF">
        <w:rPr>
          <w:rFonts w:ascii="Times New Roman" w:eastAsia="Times New Roman" w:hAnsi="Times New Roman" w:cs="Times New Roman"/>
          <w:i/>
          <w:iCs/>
          <w:color w:val="000000"/>
          <w:sz w:val="24"/>
          <w:szCs w:val="24"/>
          <w:shd w:val="clear" w:color="auto" w:fill="FFFFFF"/>
          <w:lang w:eastAsia="ru-RU"/>
        </w:rPr>
        <w:t>acţiuni</w:t>
      </w:r>
      <w:proofErr w:type="spellEnd"/>
      <w:r w:rsidR="006364B2" w:rsidRPr="00125FAF">
        <w:rPr>
          <w:rFonts w:ascii="Times New Roman" w:eastAsia="Times New Roman" w:hAnsi="Times New Roman" w:cs="Times New Roman"/>
          <w:i/>
          <w:iCs/>
          <w:color w:val="000000"/>
          <w:sz w:val="24"/>
          <w:szCs w:val="24"/>
          <w:shd w:val="clear" w:color="auto" w:fill="FFFFFF"/>
          <w:lang w:eastAsia="ru-RU"/>
        </w:rPr>
        <w:t xml:space="preserve"> creditabile – </w:t>
      </w:r>
      <w:r w:rsidR="006364B2" w:rsidRPr="00125FAF">
        <w:rPr>
          <w:rFonts w:ascii="Times New Roman" w:eastAsia="Times New Roman" w:hAnsi="Times New Roman" w:cs="Times New Roman"/>
          <w:color w:val="000000"/>
          <w:sz w:val="24"/>
          <w:szCs w:val="24"/>
          <w:shd w:val="clear" w:color="auto" w:fill="FFFFFF"/>
          <w:lang w:eastAsia="ru-RU"/>
        </w:rPr>
        <w:t xml:space="preserve">măsuri de atenuare </w:t>
      </w:r>
      <w:r w:rsidR="00EC49F3" w:rsidRPr="00125FAF">
        <w:rPr>
          <w:rFonts w:ascii="Times New Roman" w:eastAsia="Times New Roman" w:hAnsi="Times New Roman" w:cs="Times New Roman"/>
          <w:color w:val="000000"/>
          <w:sz w:val="24"/>
          <w:szCs w:val="24"/>
          <w:shd w:val="clear" w:color="auto" w:fill="FFFFFF"/>
          <w:lang w:eastAsia="ru-RU"/>
        </w:rPr>
        <w:t>promovate de</w:t>
      </w:r>
      <w:r w:rsidR="006364B2" w:rsidRPr="00125FAF">
        <w:rPr>
          <w:rFonts w:ascii="Times New Roman" w:eastAsia="Times New Roman" w:hAnsi="Times New Roman" w:cs="Times New Roman"/>
          <w:color w:val="000000"/>
          <w:sz w:val="24"/>
          <w:szCs w:val="24"/>
          <w:shd w:val="clear" w:color="auto" w:fill="FFFFFF"/>
          <w:lang w:eastAsia="ru-RU"/>
        </w:rPr>
        <w:t xml:space="preserve"> </w:t>
      </w:r>
      <w:proofErr w:type="spellStart"/>
      <w:r w:rsidR="006364B2" w:rsidRPr="00125FAF">
        <w:rPr>
          <w:rFonts w:ascii="Times New Roman" w:eastAsia="Times New Roman" w:hAnsi="Times New Roman" w:cs="Times New Roman"/>
          <w:color w:val="000000"/>
          <w:sz w:val="24"/>
          <w:szCs w:val="24"/>
          <w:shd w:val="clear" w:color="auto" w:fill="FFFFFF"/>
          <w:lang w:eastAsia="ru-RU"/>
        </w:rPr>
        <w:t>ţările</w:t>
      </w:r>
      <w:proofErr w:type="spellEnd"/>
      <w:r w:rsidR="006364B2" w:rsidRPr="00125FAF">
        <w:rPr>
          <w:rFonts w:ascii="Times New Roman" w:eastAsia="Times New Roman" w:hAnsi="Times New Roman" w:cs="Times New Roman"/>
          <w:color w:val="000000"/>
          <w:sz w:val="24"/>
          <w:szCs w:val="24"/>
          <w:shd w:val="clear" w:color="auto" w:fill="FFFFFF"/>
          <w:lang w:eastAsia="ru-RU"/>
        </w:rPr>
        <w:t xml:space="preserve"> în curs de dezvoltare, generatoare de credite de emisii certificate pentru </w:t>
      </w:r>
      <w:proofErr w:type="spellStart"/>
      <w:r w:rsidR="006364B2" w:rsidRPr="00125FAF">
        <w:rPr>
          <w:rFonts w:ascii="Times New Roman" w:eastAsia="Times New Roman" w:hAnsi="Times New Roman" w:cs="Times New Roman"/>
          <w:color w:val="000000"/>
          <w:sz w:val="24"/>
          <w:szCs w:val="24"/>
          <w:shd w:val="clear" w:color="auto" w:fill="FFFFFF"/>
          <w:lang w:eastAsia="ru-RU"/>
        </w:rPr>
        <w:t>piaţa</w:t>
      </w:r>
      <w:proofErr w:type="spellEnd"/>
      <w:r w:rsidR="006364B2" w:rsidRPr="00125FAF">
        <w:rPr>
          <w:rFonts w:ascii="Times New Roman" w:eastAsia="Times New Roman" w:hAnsi="Times New Roman" w:cs="Times New Roman"/>
          <w:color w:val="000000"/>
          <w:sz w:val="24"/>
          <w:szCs w:val="24"/>
          <w:shd w:val="clear" w:color="auto" w:fill="FFFFFF"/>
          <w:lang w:eastAsia="ru-RU"/>
        </w:rPr>
        <w:t xml:space="preserve"> de carbon.</w:t>
      </w:r>
      <w:r w:rsidRPr="00125FAF">
        <w:rPr>
          <w:rFonts w:ascii="Times New Roman" w:eastAsia="Times New Roman" w:hAnsi="Times New Roman" w:cs="Times New Roman"/>
          <w:color w:val="000000"/>
          <w:sz w:val="24"/>
          <w:szCs w:val="24"/>
          <w:shd w:val="clear" w:color="auto" w:fill="FFFFFF"/>
          <w:lang w:eastAsia="ru-RU"/>
        </w:rPr>
        <w:t xml:space="preserve"> Strategia de </w:t>
      </w:r>
      <w:proofErr w:type="spellStart"/>
      <w:r w:rsidRPr="00125FAF">
        <w:rPr>
          <w:rFonts w:ascii="Times New Roman" w:eastAsia="Times New Roman" w:hAnsi="Times New Roman" w:cs="Times New Roman"/>
          <w:color w:val="000000"/>
          <w:sz w:val="24"/>
          <w:szCs w:val="24"/>
          <w:shd w:val="clear" w:color="auto" w:fill="FFFFFF"/>
          <w:lang w:eastAsia="ru-RU"/>
        </w:rPr>
        <w:t>faţă</w:t>
      </w:r>
      <w:proofErr w:type="spellEnd"/>
      <w:r w:rsidRPr="00125FAF">
        <w:rPr>
          <w:rFonts w:ascii="Times New Roman" w:eastAsia="Times New Roman" w:hAnsi="Times New Roman" w:cs="Times New Roman"/>
          <w:color w:val="000000"/>
          <w:sz w:val="24"/>
          <w:szCs w:val="24"/>
          <w:shd w:val="clear" w:color="auto" w:fill="FFFFFF"/>
          <w:lang w:eastAsia="ru-RU"/>
        </w:rPr>
        <w:t xml:space="preserve"> nu examinează aceste </w:t>
      </w:r>
      <w:proofErr w:type="spellStart"/>
      <w:r w:rsidRPr="00125FAF">
        <w:rPr>
          <w:rFonts w:ascii="Times New Roman" w:eastAsia="Times New Roman" w:hAnsi="Times New Roman" w:cs="Times New Roman"/>
          <w:color w:val="000000"/>
          <w:sz w:val="24"/>
          <w:szCs w:val="24"/>
          <w:shd w:val="clear" w:color="auto" w:fill="FFFFFF"/>
          <w:lang w:eastAsia="ru-RU"/>
        </w:rPr>
        <w:t>acţiuni</w:t>
      </w:r>
      <w:proofErr w:type="spellEnd"/>
      <w:r w:rsidRPr="00125FAF">
        <w:rPr>
          <w:rFonts w:ascii="Times New Roman" w:eastAsia="Times New Roman" w:hAnsi="Times New Roman" w:cs="Times New Roman"/>
          <w:color w:val="000000"/>
          <w:sz w:val="24"/>
          <w:szCs w:val="24"/>
          <w:shd w:val="clear" w:color="auto" w:fill="FFFFFF"/>
          <w:lang w:eastAsia="ru-RU"/>
        </w:rPr>
        <w:t>.</w:t>
      </w:r>
    </w:p>
    <w:p w14:paraId="5044F89C" w14:textId="26071779" w:rsidR="00A71065" w:rsidRPr="00125FAF" w:rsidRDefault="006364B2" w:rsidP="00E70219">
      <w:pPr>
        <w:spacing w:after="120" w:line="240" w:lineRule="auto"/>
        <w:ind w:firstLine="810"/>
        <w:jc w:val="both"/>
        <w:rPr>
          <w:rFonts w:ascii="Times New Roman" w:eastAsia="Times New Roman" w:hAnsi="Times New Roman" w:cs="Times New Roman"/>
          <w:color w:val="000000"/>
          <w:sz w:val="24"/>
          <w:szCs w:val="24"/>
          <w:shd w:val="clear" w:color="auto" w:fill="FFFFFF"/>
          <w:lang w:eastAsia="ru-RU"/>
        </w:rPr>
      </w:pPr>
      <w:r w:rsidRPr="00125FAF">
        <w:rPr>
          <w:rFonts w:ascii="Times New Roman" w:eastAsia="Times New Roman" w:hAnsi="Times New Roman" w:cs="Times New Roman"/>
          <w:color w:val="000000"/>
          <w:sz w:val="24"/>
          <w:szCs w:val="24"/>
          <w:shd w:val="clear" w:color="auto" w:fill="FFFFFF"/>
          <w:lang w:eastAsia="ru-RU"/>
        </w:rPr>
        <w:t>2</w:t>
      </w:r>
      <w:r w:rsidR="007909C8" w:rsidRPr="00125FAF">
        <w:rPr>
          <w:rFonts w:ascii="Times New Roman" w:eastAsia="Times New Roman" w:hAnsi="Times New Roman" w:cs="Times New Roman"/>
          <w:color w:val="000000"/>
          <w:sz w:val="24"/>
          <w:szCs w:val="24"/>
          <w:shd w:val="clear" w:color="auto" w:fill="FFFFFF"/>
          <w:lang w:eastAsia="ru-RU"/>
        </w:rPr>
        <w:t>7</w:t>
      </w:r>
      <w:r w:rsidRPr="00125FAF">
        <w:rPr>
          <w:rFonts w:ascii="Times New Roman" w:eastAsia="Times New Roman" w:hAnsi="Times New Roman" w:cs="Times New Roman"/>
          <w:color w:val="000000"/>
          <w:sz w:val="24"/>
          <w:szCs w:val="24"/>
          <w:shd w:val="clear" w:color="auto" w:fill="FFFFFF"/>
          <w:lang w:eastAsia="ru-RU"/>
        </w:rPr>
        <w:t xml:space="preserve">. </w:t>
      </w:r>
      <w:r w:rsidR="00CF36D3" w:rsidRPr="00125FAF">
        <w:rPr>
          <w:rFonts w:ascii="Times New Roman" w:eastAsia="Times New Roman" w:hAnsi="Times New Roman" w:cs="Times New Roman"/>
          <w:color w:val="000000"/>
          <w:sz w:val="24"/>
          <w:szCs w:val="24"/>
          <w:shd w:val="clear" w:color="auto" w:fill="FFFFFF"/>
          <w:lang w:eastAsia="ru-RU"/>
        </w:rPr>
        <w:t xml:space="preserve">Conform Platformei consolidate de </w:t>
      </w:r>
      <w:proofErr w:type="spellStart"/>
      <w:r w:rsidR="00CF36D3" w:rsidRPr="00125FAF">
        <w:rPr>
          <w:rFonts w:ascii="Times New Roman" w:eastAsia="Times New Roman" w:hAnsi="Times New Roman" w:cs="Times New Roman"/>
          <w:color w:val="000000"/>
          <w:sz w:val="24"/>
          <w:szCs w:val="24"/>
          <w:shd w:val="clear" w:color="auto" w:fill="FFFFFF"/>
          <w:lang w:eastAsia="ru-RU"/>
        </w:rPr>
        <w:t>acţiuni</w:t>
      </w:r>
      <w:proofErr w:type="spellEnd"/>
      <w:r w:rsidR="00CF36D3" w:rsidRPr="00125FAF">
        <w:rPr>
          <w:rFonts w:ascii="Times New Roman" w:eastAsia="Times New Roman" w:hAnsi="Times New Roman" w:cs="Times New Roman"/>
          <w:color w:val="000000"/>
          <w:sz w:val="24"/>
          <w:szCs w:val="24"/>
          <w:shd w:val="clear" w:color="auto" w:fill="FFFFFF"/>
          <w:lang w:eastAsia="ru-RU"/>
        </w:rPr>
        <w:t xml:space="preserve"> de la </w:t>
      </w:r>
      <w:proofErr w:type="spellStart"/>
      <w:r w:rsidR="00CF36D3" w:rsidRPr="00125FAF">
        <w:rPr>
          <w:rFonts w:ascii="Times New Roman" w:eastAsia="Times New Roman" w:hAnsi="Times New Roman" w:cs="Times New Roman"/>
          <w:color w:val="000000"/>
          <w:sz w:val="24"/>
          <w:szCs w:val="24"/>
          <w:shd w:val="clear" w:color="auto" w:fill="FFFFFF"/>
          <w:lang w:eastAsia="ru-RU"/>
        </w:rPr>
        <w:t>Durban</w:t>
      </w:r>
      <w:proofErr w:type="spellEnd"/>
      <w:r w:rsidR="00CF36D3" w:rsidRPr="00125FAF">
        <w:rPr>
          <w:rFonts w:ascii="Times New Roman" w:eastAsia="Times New Roman" w:hAnsi="Times New Roman" w:cs="Times New Roman"/>
          <w:color w:val="000000"/>
          <w:sz w:val="24"/>
          <w:szCs w:val="24"/>
          <w:shd w:val="clear" w:color="auto" w:fill="FFFFFF"/>
          <w:lang w:eastAsia="ru-RU"/>
        </w:rPr>
        <w:t xml:space="preserve">, adoptată în anul 2011 la </w:t>
      </w:r>
      <w:proofErr w:type="spellStart"/>
      <w:r w:rsidR="00CF36D3" w:rsidRPr="00125FAF">
        <w:rPr>
          <w:rFonts w:ascii="Times New Roman" w:eastAsia="Times New Roman" w:hAnsi="Times New Roman" w:cs="Times New Roman"/>
          <w:color w:val="000000"/>
          <w:sz w:val="24"/>
          <w:szCs w:val="24"/>
          <w:shd w:val="clear" w:color="auto" w:fill="FFFFFF"/>
          <w:lang w:eastAsia="ru-RU"/>
        </w:rPr>
        <w:t>Conferinţa</w:t>
      </w:r>
      <w:proofErr w:type="spellEnd"/>
      <w:r w:rsidR="00CF36D3" w:rsidRPr="00125FAF">
        <w:rPr>
          <w:rFonts w:ascii="Times New Roman" w:eastAsia="Times New Roman" w:hAnsi="Times New Roman" w:cs="Times New Roman"/>
          <w:color w:val="000000"/>
          <w:sz w:val="24"/>
          <w:szCs w:val="24"/>
          <w:shd w:val="clear" w:color="auto" w:fill="FFFFFF"/>
          <w:lang w:eastAsia="ru-RU"/>
        </w:rPr>
        <w:t xml:space="preserve"> a XVII-a a </w:t>
      </w:r>
      <w:proofErr w:type="spellStart"/>
      <w:r w:rsidR="00CF36D3" w:rsidRPr="00125FAF">
        <w:rPr>
          <w:rFonts w:ascii="Times New Roman" w:eastAsia="Times New Roman" w:hAnsi="Times New Roman" w:cs="Times New Roman"/>
          <w:color w:val="000000"/>
          <w:sz w:val="24"/>
          <w:szCs w:val="24"/>
          <w:shd w:val="clear" w:color="auto" w:fill="FFFFFF"/>
          <w:lang w:eastAsia="ru-RU"/>
        </w:rPr>
        <w:t>Părţilor</w:t>
      </w:r>
      <w:proofErr w:type="spellEnd"/>
      <w:r w:rsidR="00CF36D3" w:rsidRPr="00125FAF">
        <w:rPr>
          <w:rFonts w:ascii="Times New Roman" w:eastAsia="Times New Roman" w:hAnsi="Times New Roman" w:cs="Times New Roman"/>
          <w:color w:val="000000"/>
          <w:sz w:val="24"/>
          <w:szCs w:val="24"/>
          <w:shd w:val="clear" w:color="auto" w:fill="FFFFFF"/>
          <w:lang w:eastAsia="ru-RU"/>
        </w:rPr>
        <w:t xml:space="preserve">, </w:t>
      </w:r>
      <w:proofErr w:type="spellStart"/>
      <w:r w:rsidR="00CF36D3" w:rsidRPr="00125FAF">
        <w:rPr>
          <w:rFonts w:ascii="Times New Roman" w:eastAsia="Times New Roman" w:hAnsi="Times New Roman" w:cs="Times New Roman"/>
          <w:color w:val="000000"/>
          <w:sz w:val="24"/>
          <w:szCs w:val="24"/>
          <w:shd w:val="clear" w:color="auto" w:fill="FFFFFF"/>
          <w:lang w:eastAsia="ru-RU"/>
        </w:rPr>
        <w:t>ţările</w:t>
      </w:r>
      <w:proofErr w:type="spellEnd"/>
      <w:r w:rsidR="00CF36D3" w:rsidRPr="00125FAF">
        <w:rPr>
          <w:rFonts w:ascii="Times New Roman" w:eastAsia="Times New Roman" w:hAnsi="Times New Roman" w:cs="Times New Roman"/>
          <w:color w:val="000000"/>
          <w:sz w:val="24"/>
          <w:szCs w:val="24"/>
          <w:shd w:val="clear" w:color="auto" w:fill="FFFFFF"/>
          <w:lang w:eastAsia="ru-RU"/>
        </w:rPr>
        <w:t xml:space="preserve"> în curs de dezvoltare au fost invitate să comunice Secretariatului </w:t>
      </w:r>
      <w:proofErr w:type="spellStart"/>
      <w:r w:rsidR="00CF36D3" w:rsidRPr="00125FAF">
        <w:rPr>
          <w:rFonts w:ascii="Times New Roman" w:eastAsia="Times New Roman" w:hAnsi="Times New Roman" w:cs="Times New Roman"/>
          <w:color w:val="000000"/>
          <w:sz w:val="24"/>
          <w:szCs w:val="24"/>
          <w:shd w:val="clear" w:color="auto" w:fill="FFFFFF"/>
          <w:lang w:eastAsia="ru-RU"/>
        </w:rPr>
        <w:t>Convenţiei</w:t>
      </w:r>
      <w:proofErr w:type="spellEnd"/>
      <w:r w:rsidR="00CF36D3" w:rsidRPr="00125FAF">
        <w:rPr>
          <w:rFonts w:ascii="Times New Roman" w:eastAsia="Times New Roman" w:hAnsi="Times New Roman" w:cs="Times New Roman"/>
          <w:color w:val="000000"/>
          <w:sz w:val="24"/>
          <w:szCs w:val="24"/>
          <w:shd w:val="clear" w:color="auto" w:fill="FFFFFF"/>
          <w:lang w:eastAsia="ru-RU"/>
        </w:rPr>
        <w:t xml:space="preserve">-cadru, </w:t>
      </w:r>
      <w:proofErr w:type="spellStart"/>
      <w:r w:rsidR="00CF36D3" w:rsidRPr="00125FAF">
        <w:rPr>
          <w:rFonts w:ascii="Times New Roman" w:eastAsia="Times New Roman" w:hAnsi="Times New Roman" w:cs="Times New Roman"/>
          <w:color w:val="000000"/>
          <w:sz w:val="24"/>
          <w:szCs w:val="24"/>
          <w:shd w:val="clear" w:color="auto" w:fill="FFFFFF"/>
          <w:lang w:eastAsia="ru-RU"/>
        </w:rPr>
        <w:t>începînd</w:t>
      </w:r>
      <w:proofErr w:type="spellEnd"/>
      <w:r w:rsidR="00CF36D3" w:rsidRPr="00125FAF">
        <w:rPr>
          <w:rFonts w:ascii="Times New Roman" w:eastAsia="Times New Roman" w:hAnsi="Times New Roman" w:cs="Times New Roman"/>
          <w:color w:val="000000"/>
          <w:sz w:val="24"/>
          <w:szCs w:val="24"/>
          <w:shd w:val="clear" w:color="auto" w:fill="FFFFFF"/>
          <w:lang w:eastAsia="ru-RU"/>
        </w:rPr>
        <w:t xml:space="preserve"> cu anul 2012, </w:t>
      </w:r>
      <w:proofErr w:type="spellStart"/>
      <w:r w:rsidR="00CF36D3" w:rsidRPr="00125FAF">
        <w:rPr>
          <w:rFonts w:ascii="Times New Roman" w:eastAsia="Times New Roman" w:hAnsi="Times New Roman" w:cs="Times New Roman"/>
          <w:color w:val="000000"/>
          <w:sz w:val="24"/>
          <w:szCs w:val="24"/>
          <w:shd w:val="clear" w:color="auto" w:fill="FFFFFF"/>
          <w:lang w:eastAsia="ru-RU"/>
        </w:rPr>
        <w:t>acţiunile</w:t>
      </w:r>
      <w:proofErr w:type="spellEnd"/>
      <w:r w:rsidR="00CF36D3" w:rsidRPr="00125FAF">
        <w:rPr>
          <w:rFonts w:ascii="Times New Roman" w:eastAsia="Times New Roman" w:hAnsi="Times New Roman" w:cs="Times New Roman"/>
          <w:color w:val="000000"/>
          <w:sz w:val="24"/>
          <w:szCs w:val="24"/>
          <w:shd w:val="clear" w:color="auto" w:fill="FFFFFF"/>
          <w:lang w:eastAsia="ru-RU"/>
        </w:rPr>
        <w:t xml:space="preserve"> prioritare de atenuare, pentru includerea acestora în Registrul </w:t>
      </w:r>
      <w:proofErr w:type="spellStart"/>
      <w:r w:rsidR="00CF36D3" w:rsidRPr="00125FAF">
        <w:rPr>
          <w:rFonts w:ascii="Times New Roman" w:eastAsia="Times New Roman" w:hAnsi="Times New Roman" w:cs="Times New Roman"/>
          <w:color w:val="000000"/>
          <w:sz w:val="24"/>
          <w:szCs w:val="24"/>
          <w:shd w:val="clear" w:color="auto" w:fill="FFFFFF"/>
          <w:lang w:eastAsia="ru-RU"/>
        </w:rPr>
        <w:t>acţiunilor</w:t>
      </w:r>
      <w:proofErr w:type="spellEnd"/>
      <w:r w:rsidR="00CF36D3" w:rsidRPr="00125FAF">
        <w:rPr>
          <w:rFonts w:ascii="Times New Roman" w:eastAsia="Times New Roman" w:hAnsi="Times New Roman" w:cs="Times New Roman"/>
          <w:color w:val="000000"/>
          <w:sz w:val="24"/>
          <w:szCs w:val="24"/>
          <w:shd w:val="clear" w:color="auto" w:fill="FFFFFF"/>
          <w:lang w:eastAsia="ru-RU"/>
        </w:rPr>
        <w:t xml:space="preserve"> de atenuare adecvate la nivel </w:t>
      </w:r>
      <w:proofErr w:type="spellStart"/>
      <w:r w:rsidR="00CF36D3" w:rsidRPr="00125FAF">
        <w:rPr>
          <w:rFonts w:ascii="Times New Roman" w:eastAsia="Times New Roman" w:hAnsi="Times New Roman" w:cs="Times New Roman"/>
          <w:color w:val="000000"/>
          <w:sz w:val="24"/>
          <w:szCs w:val="24"/>
          <w:shd w:val="clear" w:color="auto" w:fill="FFFFFF"/>
          <w:lang w:eastAsia="ru-RU"/>
        </w:rPr>
        <w:t>naţional</w:t>
      </w:r>
      <w:proofErr w:type="spellEnd"/>
      <w:r w:rsidR="00CF36D3" w:rsidRPr="00125FAF">
        <w:rPr>
          <w:rFonts w:ascii="Times New Roman" w:eastAsia="Times New Roman" w:hAnsi="Times New Roman" w:cs="Times New Roman"/>
          <w:color w:val="000000"/>
          <w:sz w:val="24"/>
          <w:szCs w:val="24"/>
          <w:shd w:val="clear" w:color="auto" w:fill="FFFFFF"/>
          <w:lang w:eastAsia="ru-RU"/>
        </w:rPr>
        <w:t>.</w:t>
      </w:r>
      <w:r w:rsidR="00E70219" w:rsidRPr="00125FAF">
        <w:rPr>
          <w:rFonts w:ascii="Times New Roman" w:eastAsia="Times New Roman" w:hAnsi="Times New Roman" w:cs="Times New Roman"/>
          <w:color w:val="000000"/>
          <w:sz w:val="24"/>
          <w:szCs w:val="24"/>
          <w:shd w:val="clear" w:color="auto" w:fill="FFFFFF"/>
          <w:lang w:eastAsia="ru-RU"/>
        </w:rPr>
        <w:t xml:space="preserve"> </w:t>
      </w:r>
      <w:r w:rsidR="00FF72FC" w:rsidRPr="00125FAF">
        <w:rPr>
          <w:rFonts w:ascii="Times New Roman" w:eastAsia="Times New Roman" w:hAnsi="Times New Roman" w:cs="Times New Roman"/>
          <w:color w:val="000000"/>
          <w:sz w:val="24"/>
          <w:szCs w:val="24"/>
          <w:shd w:val="clear" w:color="auto" w:fill="FFFFFF"/>
          <w:lang w:eastAsia="ru-RU"/>
        </w:rPr>
        <w:t>Drept răspuns la această chemare, î</w:t>
      </w:r>
      <w:r w:rsidR="009937A6" w:rsidRPr="00125FAF">
        <w:rPr>
          <w:rFonts w:ascii="Times New Roman" w:eastAsia="Times New Roman" w:hAnsi="Times New Roman" w:cs="Times New Roman"/>
          <w:color w:val="000000"/>
          <w:sz w:val="24"/>
          <w:szCs w:val="24"/>
          <w:shd w:val="clear" w:color="auto" w:fill="FFFFFF"/>
          <w:lang w:eastAsia="ru-RU"/>
        </w:rPr>
        <w:t xml:space="preserve">n scopul </w:t>
      </w:r>
      <w:proofErr w:type="spellStart"/>
      <w:r w:rsidR="009937A6" w:rsidRPr="00125FAF">
        <w:rPr>
          <w:rFonts w:ascii="Times New Roman" w:eastAsia="Times New Roman" w:hAnsi="Times New Roman" w:cs="Times New Roman"/>
          <w:color w:val="000000"/>
          <w:sz w:val="24"/>
          <w:szCs w:val="24"/>
          <w:shd w:val="clear" w:color="auto" w:fill="FFFFFF"/>
          <w:lang w:eastAsia="ru-RU"/>
        </w:rPr>
        <w:t>obţinerii</w:t>
      </w:r>
      <w:proofErr w:type="spellEnd"/>
      <w:r w:rsidR="009937A6" w:rsidRPr="00125FAF">
        <w:rPr>
          <w:rFonts w:ascii="Times New Roman" w:eastAsia="Times New Roman" w:hAnsi="Times New Roman" w:cs="Times New Roman"/>
          <w:color w:val="000000"/>
          <w:sz w:val="24"/>
          <w:szCs w:val="24"/>
          <w:shd w:val="clear" w:color="auto" w:fill="FFFFFF"/>
          <w:lang w:eastAsia="ru-RU"/>
        </w:rPr>
        <w:t xml:space="preserve"> </w:t>
      </w:r>
      <w:proofErr w:type="spellStart"/>
      <w:r w:rsidR="009937A6" w:rsidRPr="00125FAF">
        <w:rPr>
          <w:rFonts w:ascii="Times New Roman" w:eastAsia="Times New Roman" w:hAnsi="Times New Roman" w:cs="Times New Roman"/>
          <w:color w:val="000000"/>
          <w:sz w:val="24"/>
          <w:szCs w:val="24"/>
          <w:shd w:val="clear" w:color="auto" w:fill="FFFFFF"/>
          <w:lang w:eastAsia="ru-RU"/>
        </w:rPr>
        <w:t>finanţării</w:t>
      </w:r>
      <w:proofErr w:type="spellEnd"/>
      <w:r w:rsidR="009937A6" w:rsidRPr="00125FAF">
        <w:rPr>
          <w:rFonts w:ascii="Times New Roman" w:eastAsia="Times New Roman" w:hAnsi="Times New Roman" w:cs="Times New Roman"/>
          <w:color w:val="000000"/>
          <w:sz w:val="24"/>
          <w:szCs w:val="24"/>
          <w:shd w:val="clear" w:color="auto" w:fill="FFFFFF"/>
          <w:lang w:eastAsia="ru-RU"/>
        </w:rPr>
        <w:t xml:space="preserve"> NAMA </w:t>
      </w:r>
      <w:proofErr w:type="spellStart"/>
      <w:r w:rsidR="009937A6" w:rsidRPr="00125FAF">
        <w:rPr>
          <w:rFonts w:ascii="Times New Roman" w:eastAsia="Times New Roman" w:hAnsi="Times New Roman" w:cs="Times New Roman"/>
          <w:color w:val="000000"/>
          <w:sz w:val="24"/>
          <w:szCs w:val="24"/>
          <w:shd w:val="clear" w:color="auto" w:fill="FFFFFF"/>
          <w:lang w:eastAsia="ru-RU"/>
        </w:rPr>
        <w:t>condiţionate</w:t>
      </w:r>
      <w:proofErr w:type="spellEnd"/>
      <w:r w:rsidR="009937A6" w:rsidRPr="00125FAF">
        <w:rPr>
          <w:rFonts w:ascii="Times New Roman" w:eastAsia="Times New Roman" w:hAnsi="Times New Roman" w:cs="Times New Roman"/>
          <w:color w:val="000000"/>
          <w:sz w:val="24"/>
          <w:szCs w:val="24"/>
          <w:shd w:val="clear" w:color="auto" w:fill="FFFFFF"/>
          <w:lang w:eastAsia="ru-RU"/>
        </w:rPr>
        <w:t>, R. Moldova a elaborat până în prezent 12 proiecte de acest gen, ele fiind înregistrate în 2018 pe platforma CONUSC în</w:t>
      </w:r>
      <w:r w:rsidR="00E70219" w:rsidRPr="00125FAF">
        <w:rPr>
          <w:rFonts w:ascii="Times New Roman" w:eastAsia="Times New Roman" w:hAnsi="Times New Roman" w:cs="Times New Roman"/>
          <w:color w:val="000000"/>
          <w:sz w:val="24"/>
          <w:szCs w:val="24"/>
          <w:shd w:val="clear" w:color="auto" w:fill="FFFFFF"/>
          <w:lang w:eastAsia="ru-RU"/>
        </w:rPr>
        <w:t xml:space="preserve"> </w:t>
      </w:r>
      <w:r w:rsidR="009937A6" w:rsidRPr="00125FAF">
        <w:rPr>
          <w:rFonts w:ascii="Times New Roman" w:eastAsia="Times New Roman" w:hAnsi="Times New Roman" w:cs="Times New Roman"/>
          <w:color w:val="000000"/>
          <w:sz w:val="24"/>
          <w:szCs w:val="24"/>
          <w:shd w:val="clear" w:color="auto" w:fill="FFFFFF"/>
          <w:lang w:eastAsia="ru-RU"/>
        </w:rPr>
        <w:t xml:space="preserve">Registrul NAMA. </w:t>
      </w:r>
      <w:r w:rsidR="007C1E4E" w:rsidRPr="00125FAF">
        <w:rPr>
          <w:rFonts w:ascii="Times New Roman" w:eastAsia="Times New Roman" w:hAnsi="Times New Roman" w:cs="Times New Roman"/>
          <w:color w:val="000000"/>
          <w:sz w:val="24"/>
          <w:szCs w:val="24"/>
          <w:shd w:val="clear" w:color="auto" w:fill="FFFFFF"/>
          <w:lang w:eastAsia="ru-RU"/>
        </w:rPr>
        <w:t xml:space="preserve">Pentru a fi mai credibile </w:t>
      </w:r>
      <w:proofErr w:type="spellStart"/>
      <w:r w:rsidR="007C1E4E" w:rsidRPr="00125FAF">
        <w:rPr>
          <w:rFonts w:ascii="Times New Roman" w:eastAsia="Times New Roman" w:hAnsi="Times New Roman" w:cs="Times New Roman"/>
          <w:color w:val="000000"/>
          <w:sz w:val="24"/>
          <w:szCs w:val="24"/>
          <w:shd w:val="clear" w:color="auto" w:fill="FFFFFF"/>
          <w:lang w:eastAsia="ru-RU"/>
        </w:rPr>
        <w:t>şi</w:t>
      </w:r>
      <w:proofErr w:type="spellEnd"/>
      <w:r w:rsidR="007C1E4E" w:rsidRPr="00125FAF">
        <w:rPr>
          <w:rFonts w:ascii="Times New Roman" w:eastAsia="Times New Roman" w:hAnsi="Times New Roman" w:cs="Times New Roman"/>
          <w:color w:val="000000"/>
          <w:sz w:val="24"/>
          <w:szCs w:val="24"/>
          <w:shd w:val="clear" w:color="auto" w:fill="FFFFFF"/>
          <w:lang w:eastAsia="ru-RU"/>
        </w:rPr>
        <w:t xml:space="preserve"> a motiva </w:t>
      </w:r>
      <w:r w:rsidR="00C40116" w:rsidRPr="00125FAF">
        <w:rPr>
          <w:rFonts w:ascii="Times New Roman" w:eastAsia="Times New Roman" w:hAnsi="Times New Roman" w:cs="Times New Roman"/>
          <w:color w:val="000000"/>
          <w:sz w:val="24"/>
          <w:szCs w:val="24"/>
          <w:shd w:val="clear" w:color="auto" w:fill="FFFFFF"/>
          <w:lang w:eastAsia="ru-RU"/>
        </w:rPr>
        <w:t>investitorii</w:t>
      </w:r>
      <w:r w:rsidR="009937A6" w:rsidRPr="00125FAF">
        <w:rPr>
          <w:rFonts w:ascii="Times New Roman" w:eastAsia="Times New Roman" w:hAnsi="Times New Roman" w:cs="Times New Roman"/>
          <w:color w:val="000000"/>
          <w:sz w:val="24"/>
          <w:szCs w:val="24"/>
          <w:shd w:val="clear" w:color="auto" w:fill="FFFFFF"/>
          <w:lang w:eastAsia="ru-RU"/>
        </w:rPr>
        <w:t xml:space="preserve">, cinci din aceste NAMA au fost dezvoltate într-un format de studiu de prefezabilitate. Până în prezent, însă, </w:t>
      </w:r>
      <w:r w:rsidR="00262895" w:rsidRPr="00125FAF">
        <w:rPr>
          <w:rFonts w:ascii="Times New Roman" w:eastAsia="Times New Roman" w:hAnsi="Times New Roman" w:cs="Times New Roman"/>
          <w:color w:val="000000"/>
          <w:sz w:val="24"/>
          <w:szCs w:val="24"/>
          <w:shd w:val="clear" w:color="auto" w:fill="FFFFFF"/>
          <w:lang w:eastAsia="ru-RU"/>
        </w:rPr>
        <w:t xml:space="preserve">interesul </w:t>
      </w:r>
      <w:proofErr w:type="spellStart"/>
      <w:r w:rsidR="00262895" w:rsidRPr="00125FAF">
        <w:rPr>
          <w:rFonts w:ascii="Times New Roman" w:eastAsia="Times New Roman" w:hAnsi="Times New Roman" w:cs="Times New Roman"/>
          <w:color w:val="000000"/>
          <w:sz w:val="24"/>
          <w:szCs w:val="24"/>
          <w:shd w:val="clear" w:color="auto" w:fill="FFFFFF"/>
          <w:lang w:eastAsia="ru-RU"/>
        </w:rPr>
        <w:t>investiţional</w:t>
      </w:r>
      <w:proofErr w:type="spellEnd"/>
      <w:r w:rsidR="00262895" w:rsidRPr="00125FAF">
        <w:rPr>
          <w:rFonts w:ascii="Times New Roman" w:eastAsia="Times New Roman" w:hAnsi="Times New Roman" w:cs="Times New Roman"/>
          <w:color w:val="000000"/>
          <w:sz w:val="24"/>
          <w:szCs w:val="24"/>
          <w:shd w:val="clear" w:color="auto" w:fill="FFFFFF"/>
          <w:lang w:eastAsia="ru-RU"/>
        </w:rPr>
        <w:t xml:space="preserve"> pentru NAMA din Registrul CONUSC nu a fost manifestat. </w:t>
      </w:r>
      <w:r w:rsidR="001A531B" w:rsidRPr="00125FAF">
        <w:rPr>
          <w:rFonts w:ascii="Times New Roman" w:eastAsia="Times New Roman" w:hAnsi="Times New Roman" w:cs="Times New Roman"/>
          <w:color w:val="000000"/>
          <w:sz w:val="24"/>
          <w:szCs w:val="24"/>
          <w:shd w:val="clear" w:color="auto" w:fill="FFFFFF"/>
          <w:lang w:eastAsia="ru-RU"/>
        </w:rPr>
        <w:t xml:space="preserve">S-a dovedit, că </w:t>
      </w:r>
      <w:proofErr w:type="spellStart"/>
      <w:r w:rsidR="001A531B" w:rsidRPr="00125FAF">
        <w:rPr>
          <w:rFonts w:ascii="Times New Roman" w:eastAsia="Times New Roman" w:hAnsi="Times New Roman" w:cs="Times New Roman"/>
          <w:color w:val="000000"/>
          <w:sz w:val="24"/>
          <w:szCs w:val="24"/>
          <w:shd w:val="clear" w:color="auto" w:fill="FFFFFF"/>
          <w:lang w:eastAsia="ru-RU"/>
        </w:rPr>
        <w:t>e</w:t>
      </w:r>
      <w:r w:rsidR="00262895" w:rsidRPr="00125FAF">
        <w:rPr>
          <w:rFonts w:ascii="Times New Roman" w:eastAsia="Times New Roman" w:hAnsi="Times New Roman" w:cs="Times New Roman"/>
          <w:color w:val="000000"/>
          <w:sz w:val="24"/>
          <w:szCs w:val="24"/>
          <w:shd w:val="clear" w:color="auto" w:fill="FFFFFF"/>
          <w:lang w:eastAsia="ru-RU"/>
        </w:rPr>
        <w:t>xperienţa</w:t>
      </w:r>
      <w:proofErr w:type="spellEnd"/>
      <w:r w:rsidR="00262895" w:rsidRPr="00125FAF">
        <w:rPr>
          <w:rFonts w:ascii="Times New Roman" w:eastAsia="Times New Roman" w:hAnsi="Times New Roman" w:cs="Times New Roman"/>
          <w:color w:val="000000"/>
          <w:sz w:val="24"/>
          <w:szCs w:val="24"/>
          <w:shd w:val="clear" w:color="auto" w:fill="FFFFFF"/>
          <w:lang w:eastAsia="ru-RU"/>
        </w:rPr>
        <w:t xml:space="preserve"> negativă acumulată de investitori în partea ce </w:t>
      </w:r>
      <w:proofErr w:type="spellStart"/>
      <w:r w:rsidR="00262895" w:rsidRPr="00125FAF">
        <w:rPr>
          <w:rFonts w:ascii="Times New Roman" w:eastAsia="Times New Roman" w:hAnsi="Times New Roman" w:cs="Times New Roman"/>
          <w:color w:val="000000"/>
          <w:sz w:val="24"/>
          <w:szCs w:val="24"/>
          <w:shd w:val="clear" w:color="auto" w:fill="FFFFFF"/>
          <w:lang w:eastAsia="ru-RU"/>
        </w:rPr>
        <w:t>priveşte</w:t>
      </w:r>
      <w:proofErr w:type="spellEnd"/>
      <w:r w:rsidR="00262895" w:rsidRPr="00125FAF">
        <w:rPr>
          <w:rFonts w:ascii="Times New Roman" w:eastAsia="Times New Roman" w:hAnsi="Times New Roman" w:cs="Times New Roman"/>
          <w:color w:val="000000"/>
          <w:sz w:val="24"/>
          <w:szCs w:val="24"/>
          <w:shd w:val="clear" w:color="auto" w:fill="FFFFFF"/>
          <w:lang w:eastAsia="ru-RU"/>
        </w:rPr>
        <w:t xml:space="preserve"> valorificarea </w:t>
      </w:r>
      <w:proofErr w:type="spellStart"/>
      <w:r w:rsidR="00262895" w:rsidRPr="00125FAF">
        <w:rPr>
          <w:rFonts w:ascii="Times New Roman" w:eastAsia="Times New Roman" w:hAnsi="Times New Roman" w:cs="Times New Roman"/>
          <w:color w:val="000000"/>
          <w:sz w:val="24"/>
          <w:szCs w:val="24"/>
          <w:shd w:val="clear" w:color="auto" w:fill="FFFFFF"/>
          <w:lang w:eastAsia="ru-RU"/>
        </w:rPr>
        <w:t>finanţării</w:t>
      </w:r>
      <w:proofErr w:type="spellEnd"/>
      <w:r w:rsidR="00262895" w:rsidRPr="00125FAF">
        <w:rPr>
          <w:rFonts w:ascii="Times New Roman" w:eastAsia="Times New Roman" w:hAnsi="Times New Roman" w:cs="Times New Roman"/>
          <w:color w:val="000000"/>
          <w:sz w:val="24"/>
          <w:szCs w:val="24"/>
          <w:shd w:val="clear" w:color="auto" w:fill="FFFFFF"/>
          <w:lang w:eastAsia="ru-RU"/>
        </w:rPr>
        <w:t xml:space="preserve"> eliberate pentru proiectele de atenuare a emisiilor de GES ia obligat pe </w:t>
      </w:r>
      <w:proofErr w:type="spellStart"/>
      <w:r w:rsidR="00262895" w:rsidRPr="00125FAF">
        <w:rPr>
          <w:rFonts w:ascii="Times New Roman" w:eastAsia="Times New Roman" w:hAnsi="Times New Roman" w:cs="Times New Roman"/>
          <w:color w:val="000000"/>
          <w:sz w:val="24"/>
          <w:szCs w:val="24"/>
          <w:shd w:val="clear" w:color="auto" w:fill="FFFFFF"/>
          <w:lang w:eastAsia="ru-RU"/>
        </w:rPr>
        <w:t>aceştia</w:t>
      </w:r>
      <w:proofErr w:type="spellEnd"/>
      <w:r w:rsidR="00262895" w:rsidRPr="00125FAF">
        <w:rPr>
          <w:rFonts w:ascii="Times New Roman" w:eastAsia="Times New Roman" w:hAnsi="Times New Roman" w:cs="Times New Roman"/>
          <w:color w:val="000000"/>
          <w:sz w:val="24"/>
          <w:szCs w:val="24"/>
          <w:shd w:val="clear" w:color="auto" w:fill="FFFFFF"/>
          <w:lang w:eastAsia="ru-RU"/>
        </w:rPr>
        <w:t xml:space="preserve"> să regândească </w:t>
      </w:r>
      <w:r w:rsidR="001A531B" w:rsidRPr="00125FAF">
        <w:rPr>
          <w:rFonts w:ascii="Times New Roman" w:eastAsia="Times New Roman" w:hAnsi="Times New Roman" w:cs="Times New Roman"/>
          <w:color w:val="000000"/>
          <w:sz w:val="24"/>
          <w:szCs w:val="24"/>
          <w:shd w:val="clear" w:color="auto" w:fill="FFFFFF"/>
          <w:lang w:eastAsia="ru-RU"/>
        </w:rPr>
        <w:t xml:space="preserve">procedura de </w:t>
      </w:r>
      <w:proofErr w:type="spellStart"/>
      <w:r w:rsidR="001A531B" w:rsidRPr="00125FAF">
        <w:rPr>
          <w:rFonts w:ascii="Times New Roman" w:eastAsia="Times New Roman" w:hAnsi="Times New Roman" w:cs="Times New Roman"/>
          <w:color w:val="000000"/>
          <w:sz w:val="24"/>
          <w:szCs w:val="24"/>
          <w:shd w:val="clear" w:color="auto" w:fill="FFFFFF"/>
          <w:lang w:eastAsia="ru-RU"/>
        </w:rPr>
        <w:t>finanţare</w:t>
      </w:r>
      <w:proofErr w:type="spellEnd"/>
      <w:r w:rsidR="001A531B" w:rsidRPr="00125FAF">
        <w:rPr>
          <w:rFonts w:ascii="Times New Roman" w:eastAsia="Times New Roman" w:hAnsi="Times New Roman" w:cs="Times New Roman"/>
          <w:color w:val="000000"/>
          <w:sz w:val="24"/>
          <w:szCs w:val="24"/>
          <w:shd w:val="clear" w:color="auto" w:fill="FFFFFF"/>
          <w:lang w:eastAsia="ru-RU"/>
        </w:rPr>
        <w:t xml:space="preserve"> a proiectelor respective. </w:t>
      </w:r>
      <w:r w:rsidR="00CF36D3" w:rsidRPr="00125FAF">
        <w:rPr>
          <w:rFonts w:ascii="Times New Roman" w:eastAsia="Times New Roman" w:hAnsi="Times New Roman" w:cs="Times New Roman"/>
          <w:color w:val="000000"/>
          <w:sz w:val="24"/>
          <w:szCs w:val="24"/>
          <w:shd w:val="clear" w:color="auto" w:fill="FFFFFF"/>
          <w:lang w:eastAsia="ru-RU"/>
        </w:rPr>
        <w:t>La moment</w:t>
      </w:r>
      <w:r w:rsidR="001A531B" w:rsidRPr="00125FAF">
        <w:rPr>
          <w:rFonts w:ascii="Times New Roman" w:eastAsia="Times New Roman" w:hAnsi="Times New Roman" w:cs="Times New Roman"/>
          <w:color w:val="000000"/>
          <w:sz w:val="24"/>
          <w:szCs w:val="24"/>
          <w:shd w:val="clear" w:color="auto" w:fill="FFFFFF"/>
          <w:lang w:eastAsia="ru-RU"/>
        </w:rPr>
        <w:t xml:space="preserve">, </w:t>
      </w:r>
      <w:r w:rsidR="00CF36D3" w:rsidRPr="00125FAF">
        <w:rPr>
          <w:rFonts w:ascii="Times New Roman" w:eastAsia="Times New Roman" w:hAnsi="Times New Roman" w:cs="Times New Roman"/>
          <w:color w:val="000000"/>
          <w:sz w:val="24"/>
          <w:szCs w:val="24"/>
          <w:shd w:val="clear" w:color="auto" w:fill="FFFFFF"/>
          <w:lang w:eastAsia="ru-RU"/>
        </w:rPr>
        <w:t xml:space="preserve">de regulă, </w:t>
      </w:r>
      <w:r w:rsidR="001A531B" w:rsidRPr="00125FAF">
        <w:rPr>
          <w:rFonts w:ascii="Times New Roman" w:eastAsia="Times New Roman" w:hAnsi="Times New Roman" w:cs="Times New Roman"/>
          <w:color w:val="000000"/>
          <w:sz w:val="24"/>
          <w:szCs w:val="24"/>
          <w:shd w:val="clear" w:color="auto" w:fill="FFFFFF"/>
          <w:lang w:eastAsia="ru-RU"/>
        </w:rPr>
        <w:t xml:space="preserve">pentru a o </w:t>
      </w:r>
      <w:proofErr w:type="spellStart"/>
      <w:r w:rsidR="001A531B" w:rsidRPr="00125FAF">
        <w:rPr>
          <w:rFonts w:ascii="Times New Roman" w:eastAsia="Times New Roman" w:hAnsi="Times New Roman" w:cs="Times New Roman"/>
          <w:color w:val="000000"/>
          <w:sz w:val="24"/>
          <w:szCs w:val="24"/>
          <w:shd w:val="clear" w:color="auto" w:fill="FFFFFF"/>
          <w:lang w:eastAsia="ru-RU"/>
        </w:rPr>
        <w:t>obţine</w:t>
      </w:r>
      <w:proofErr w:type="spellEnd"/>
      <w:r w:rsidR="001A531B" w:rsidRPr="00125FAF">
        <w:rPr>
          <w:rFonts w:ascii="Times New Roman" w:eastAsia="Times New Roman" w:hAnsi="Times New Roman" w:cs="Times New Roman"/>
          <w:color w:val="000000"/>
          <w:sz w:val="24"/>
          <w:szCs w:val="24"/>
          <w:shd w:val="clear" w:color="auto" w:fill="FFFFFF"/>
          <w:lang w:eastAsia="ru-RU"/>
        </w:rPr>
        <w:t xml:space="preserve">, partea interesată trebuie să aplice cu o ofertă la </w:t>
      </w:r>
      <w:proofErr w:type="spellStart"/>
      <w:r w:rsidR="001A531B" w:rsidRPr="00125FAF">
        <w:rPr>
          <w:rFonts w:ascii="Times New Roman" w:eastAsia="Times New Roman" w:hAnsi="Times New Roman" w:cs="Times New Roman"/>
          <w:color w:val="000000"/>
          <w:sz w:val="24"/>
          <w:szCs w:val="24"/>
          <w:shd w:val="clear" w:color="auto" w:fill="FFFFFF"/>
          <w:lang w:eastAsia="ru-RU"/>
        </w:rPr>
        <w:t>licitaţia</w:t>
      </w:r>
      <w:proofErr w:type="spellEnd"/>
      <w:r w:rsidR="001A531B" w:rsidRPr="00125FAF">
        <w:rPr>
          <w:rFonts w:ascii="Times New Roman" w:eastAsia="Times New Roman" w:hAnsi="Times New Roman" w:cs="Times New Roman"/>
          <w:color w:val="000000"/>
          <w:sz w:val="24"/>
          <w:szCs w:val="24"/>
          <w:shd w:val="clear" w:color="auto" w:fill="FFFFFF"/>
          <w:lang w:eastAsia="ru-RU"/>
        </w:rPr>
        <w:t xml:space="preserve"> lansată de fondul de </w:t>
      </w:r>
      <w:proofErr w:type="spellStart"/>
      <w:r w:rsidR="001A531B" w:rsidRPr="00125FAF">
        <w:rPr>
          <w:rFonts w:ascii="Times New Roman" w:eastAsia="Times New Roman" w:hAnsi="Times New Roman" w:cs="Times New Roman"/>
          <w:color w:val="000000"/>
          <w:sz w:val="24"/>
          <w:szCs w:val="24"/>
          <w:shd w:val="clear" w:color="auto" w:fill="FFFFFF"/>
          <w:lang w:eastAsia="ru-RU"/>
        </w:rPr>
        <w:t>investiţii</w:t>
      </w:r>
      <w:proofErr w:type="spellEnd"/>
      <w:r w:rsidR="001A531B" w:rsidRPr="00125FAF">
        <w:rPr>
          <w:rFonts w:ascii="Times New Roman" w:eastAsia="Times New Roman" w:hAnsi="Times New Roman" w:cs="Times New Roman"/>
          <w:color w:val="000000"/>
          <w:sz w:val="24"/>
          <w:szCs w:val="24"/>
          <w:shd w:val="clear" w:color="auto" w:fill="FFFFFF"/>
          <w:lang w:eastAsia="ru-RU"/>
        </w:rPr>
        <w:t xml:space="preserve"> respectiv, iar după </w:t>
      </w:r>
      <w:proofErr w:type="spellStart"/>
      <w:r w:rsidR="001A531B" w:rsidRPr="00125FAF">
        <w:rPr>
          <w:rFonts w:ascii="Times New Roman" w:eastAsia="Times New Roman" w:hAnsi="Times New Roman" w:cs="Times New Roman"/>
          <w:color w:val="000000"/>
          <w:sz w:val="24"/>
          <w:szCs w:val="24"/>
          <w:shd w:val="clear" w:color="auto" w:fill="FFFFFF"/>
          <w:lang w:eastAsia="ru-RU"/>
        </w:rPr>
        <w:t>câştigarea</w:t>
      </w:r>
      <w:proofErr w:type="spellEnd"/>
      <w:r w:rsidR="001A531B" w:rsidRPr="00125FAF">
        <w:rPr>
          <w:rFonts w:ascii="Times New Roman" w:eastAsia="Times New Roman" w:hAnsi="Times New Roman" w:cs="Times New Roman"/>
          <w:color w:val="000000"/>
          <w:sz w:val="24"/>
          <w:szCs w:val="24"/>
          <w:shd w:val="clear" w:color="auto" w:fill="FFFFFF"/>
          <w:lang w:eastAsia="ru-RU"/>
        </w:rPr>
        <w:t xml:space="preserve"> acesteia, - să parcurgă toate procedurile de elaborare a proiectului, implementare a acestuia </w:t>
      </w:r>
      <w:proofErr w:type="spellStart"/>
      <w:r w:rsidR="001A531B" w:rsidRPr="00125FAF">
        <w:rPr>
          <w:rFonts w:ascii="Times New Roman" w:eastAsia="Times New Roman" w:hAnsi="Times New Roman" w:cs="Times New Roman"/>
          <w:color w:val="000000"/>
          <w:sz w:val="24"/>
          <w:szCs w:val="24"/>
          <w:shd w:val="clear" w:color="auto" w:fill="FFFFFF"/>
          <w:lang w:eastAsia="ru-RU"/>
        </w:rPr>
        <w:t>şi</w:t>
      </w:r>
      <w:proofErr w:type="spellEnd"/>
      <w:r w:rsidR="001A531B" w:rsidRPr="00125FAF">
        <w:rPr>
          <w:rFonts w:ascii="Times New Roman" w:eastAsia="Times New Roman" w:hAnsi="Times New Roman" w:cs="Times New Roman"/>
          <w:color w:val="000000"/>
          <w:sz w:val="24"/>
          <w:szCs w:val="24"/>
          <w:shd w:val="clear" w:color="auto" w:fill="FFFFFF"/>
          <w:lang w:eastAsia="ru-RU"/>
        </w:rPr>
        <w:t xml:space="preserve">, desigur, </w:t>
      </w:r>
      <w:r w:rsidR="007C1E4E" w:rsidRPr="00125FAF">
        <w:rPr>
          <w:rFonts w:ascii="Times New Roman" w:eastAsia="Times New Roman" w:hAnsi="Times New Roman" w:cs="Times New Roman"/>
          <w:color w:val="000000"/>
          <w:sz w:val="24"/>
          <w:szCs w:val="24"/>
          <w:shd w:val="clear" w:color="auto" w:fill="FFFFFF"/>
          <w:lang w:eastAsia="ru-RU"/>
        </w:rPr>
        <w:t xml:space="preserve">aplicarea </w:t>
      </w:r>
      <w:r w:rsidR="001A531B" w:rsidRPr="00125FAF">
        <w:rPr>
          <w:rFonts w:ascii="Times New Roman" w:eastAsia="Times New Roman" w:hAnsi="Times New Roman" w:cs="Times New Roman"/>
          <w:color w:val="000000"/>
          <w:sz w:val="24"/>
          <w:szCs w:val="24"/>
          <w:shd w:val="clear" w:color="auto" w:fill="FFFFFF"/>
          <w:lang w:eastAsia="ru-RU"/>
        </w:rPr>
        <w:t>MRV</w:t>
      </w:r>
      <w:r w:rsidR="007C1E4E" w:rsidRPr="00125FAF">
        <w:rPr>
          <w:rFonts w:ascii="Times New Roman" w:eastAsia="Times New Roman" w:hAnsi="Times New Roman" w:cs="Times New Roman"/>
          <w:color w:val="000000"/>
          <w:sz w:val="24"/>
          <w:szCs w:val="24"/>
          <w:shd w:val="clear" w:color="auto" w:fill="FFFFFF"/>
          <w:lang w:eastAsia="ru-RU"/>
        </w:rPr>
        <w:t xml:space="preserve"> respective</w:t>
      </w:r>
      <w:r w:rsidR="00CF36D3" w:rsidRPr="00125FAF">
        <w:rPr>
          <w:rFonts w:ascii="Times New Roman" w:eastAsia="Times New Roman" w:hAnsi="Times New Roman" w:cs="Times New Roman"/>
          <w:color w:val="000000"/>
          <w:sz w:val="24"/>
          <w:szCs w:val="24"/>
          <w:shd w:val="clear" w:color="auto" w:fill="FFFFFF"/>
          <w:lang w:eastAsia="ru-RU"/>
        </w:rPr>
        <w:t xml:space="preserve">, </w:t>
      </w:r>
      <w:r w:rsidR="00322C3F" w:rsidRPr="00125FAF">
        <w:rPr>
          <w:rFonts w:ascii="Times New Roman" w:eastAsia="Times New Roman" w:hAnsi="Times New Roman" w:cs="Times New Roman"/>
          <w:color w:val="000000"/>
          <w:sz w:val="24"/>
          <w:szCs w:val="24"/>
          <w:shd w:val="clear" w:color="auto" w:fill="FFFFFF"/>
          <w:lang w:eastAsia="ru-RU"/>
        </w:rPr>
        <w:t xml:space="preserve">- </w:t>
      </w:r>
      <w:r w:rsidR="00CF36D3" w:rsidRPr="00125FAF">
        <w:rPr>
          <w:rFonts w:ascii="Times New Roman" w:eastAsia="Times New Roman" w:hAnsi="Times New Roman" w:cs="Times New Roman"/>
          <w:color w:val="000000"/>
          <w:sz w:val="24"/>
          <w:szCs w:val="24"/>
          <w:shd w:val="clear" w:color="auto" w:fill="FFFFFF"/>
          <w:lang w:eastAsia="ru-RU"/>
        </w:rPr>
        <w:t xml:space="preserve">proceduri specifice, stabilite de fiecare fond </w:t>
      </w:r>
      <w:proofErr w:type="spellStart"/>
      <w:r w:rsidR="00CF36D3" w:rsidRPr="00125FAF">
        <w:rPr>
          <w:rFonts w:ascii="Times New Roman" w:eastAsia="Times New Roman" w:hAnsi="Times New Roman" w:cs="Times New Roman"/>
          <w:color w:val="000000"/>
          <w:sz w:val="24"/>
          <w:szCs w:val="24"/>
          <w:shd w:val="clear" w:color="auto" w:fill="FFFFFF"/>
          <w:lang w:eastAsia="ru-RU"/>
        </w:rPr>
        <w:t>investiţional</w:t>
      </w:r>
      <w:proofErr w:type="spellEnd"/>
      <w:r w:rsidR="00CF36D3" w:rsidRPr="00125FAF">
        <w:rPr>
          <w:rFonts w:ascii="Times New Roman" w:eastAsia="Times New Roman" w:hAnsi="Times New Roman" w:cs="Times New Roman"/>
          <w:color w:val="000000"/>
          <w:sz w:val="24"/>
          <w:szCs w:val="24"/>
          <w:shd w:val="clear" w:color="auto" w:fill="FFFFFF"/>
          <w:lang w:eastAsia="ru-RU"/>
        </w:rPr>
        <w:t xml:space="preserve"> în parte</w:t>
      </w:r>
      <w:r w:rsidR="001A531B" w:rsidRPr="00125FAF">
        <w:rPr>
          <w:rFonts w:ascii="Times New Roman" w:eastAsia="Times New Roman" w:hAnsi="Times New Roman" w:cs="Times New Roman"/>
          <w:color w:val="000000"/>
          <w:sz w:val="24"/>
          <w:szCs w:val="24"/>
          <w:shd w:val="clear" w:color="auto" w:fill="FFFFFF"/>
          <w:lang w:eastAsia="ru-RU"/>
        </w:rPr>
        <w:t xml:space="preserve">. În acest mod a procedat </w:t>
      </w:r>
      <w:proofErr w:type="spellStart"/>
      <w:r w:rsidR="001A531B" w:rsidRPr="00125FAF">
        <w:rPr>
          <w:rFonts w:ascii="Times New Roman" w:eastAsia="Times New Roman" w:hAnsi="Times New Roman" w:cs="Times New Roman"/>
          <w:color w:val="000000"/>
          <w:sz w:val="24"/>
          <w:szCs w:val="24"/>
          <w:shd w:val="clear" w:color="auto" w:fill="FFFFFF"/>
          <w:lang w:eastAsia="ru-RU"/>
        </w:rPr>
        <w:t>şi</w:t>
      </w:r>
      <w:proofErr w:type="spellEnd"/>
      <w:r w:rsidR="001A531B" w:rsidRPr="00125FAF">
        <w:rPr>
          <w:rFonts w:ascii="Times New Roman" w:eastAsia="Times New Roman" w:hAnsi="Times New Roman" w:cs="Times New Roman"/>
          <w:color w:val="000000"/>
          <w:sz w:val="24"/>
          <w:szCs w:val="24"/>
          <w:shd w:val="clear" w:color="auto" w:fill="FFFFFF"/>
          <w:lang w:eastAsia="ru-RU"/>
        </w:rPr>
        <w:t xml:space="preserve"> Fondul Verde pentru Climă</w:t>
      </w:r>
      <w:r w:rsidR="00322C3F" w:rsidRPr="00125FAF">
        <w:rPr>
          <w:rFonts w:ascii="Times New Roman" w:eastAsia="Times New Roman" w:hAnsi="Times New Roman" w:cs="Times New Roman"/>
          <w:color w:val="000000"/>
          <w:sz w:val="24"/>
          <w:szCs w:val="24"/>
          <w:shd w:val="clear" w:color="auto" w:fill="FFFFFF"/>
          <w:lang w:eastAsia="ru-RU"/>
        </w:rPr>
        <w:t xml:space="preserve"> (FVC)</w:t>
      </w:r>
      <w:r w:rsidR="00C60A01" w:rsidRPr="00125FAF">
        <w:rPr>
          <w:rFonts w:ascii="Times New Roman" w:eastAsia="Times New Roman" w:hAnsi="Times New Roman" w:cs="Times New Roman"/>
          <w:color w:val="000000"/>
          <w:sz w:val="24"/>
          <w:szCs w:val="24"/>
          <w:shd w:val="clear" w:color="auto" w:fill="FFFFFF"/>
          <w:lang w:eastAsia="ru-RU"/>
        </w:rPr>
        <w:t xml:space="preserve">, </w:t>
      </w:r>
      <w:proofErr w:type="spellStart"/>
      <w:r w:rsidR="00C60A01" w:rsidRPr="00125FAF">
        <w:rPr>
          <w:rFonts w:ascii="Times New Roman" w:eastAsia="Times New Roman" w:hAnsi="Times New Roman" w:cs="Times New Roman"/>
          <w:color w:val="000000"/>
          <w:sz w:val="24"/>
          <w:szCs w:val="24"/>
          <w:shd w:val="clear" w:color="auto" w:fill="FFFFFF"/>
          <w:lang w:eastAsia="ru-RU"/>
        </w:rPr>
        <w:t>înfiinţat</w:t>
      </w:r>
      <w:proofErr w:type="spellEnd"/>
      <w:r w:rsidR="00C60A01" w:rsidRPr="00125FAF">
        <w:rPr>
          <w:rFonts w:ascii="Times New Roman" w:eastAsia="Times New Roman" w:hAnsi="Times New Roman" w:cs="Times New Roman"/>
          <w:color w:val="000000"/>
          <w:sz w:val="24"/>
          <w:szCs w:val="24"/>
          <w:shd w:val="clear" w:color="auto" w:fill="FFFFFF"/>
          <w:lang w:eastAsia="ru-RU"/>
        </w:rPr>
        <w:t xml:space="preserve"> prin decizia </w:t>
      </w:r>
      <w:proofErr w:type="spellStart"/>
      <w:r w:rsidR="00C60A01" w:rsidRPr="00125FAF">
        <w:rPr>
          <w:rFonts w:ascii="Times New Roman" w:eastAsia="Times New Roman" w:hAnsi="Times New Roman" w:cs="Times New Roman"/>
          <w:color w:val="000000"/>
          <w:sz w:val="24"/>
          <w:szCs w:val="24"/>
          <w:shd w:val="clear" w:color="auto" w:fill="FFFFFF"/>
          <w:lang w:eastAsia="ru-RU"/>
        </w:rPr>
        <w:t>Conferinţei</w:t>
      </w:r>
      <w:proofErr w:type="spellEnd"/>
      <w:r w:rsidR="00C60A01" w:rsidRPr="00125FAF">
        <w:rPr>
          <w:rFonts w:ascii="Times New Roman" w:eastAsia="Times New Roman" w:hAnsi="Times New Roman" w:cs="Times New Roman"/>
          <w:color w:val="000000"/>
          <w:sz w:val="24"/>
          <w:szCs w:val="24"/>
          <w:shd w:val="clear" w:color="auto" w:fill="FFFFFF"/>
          <w:lang w:eastAsia="ru-RU"/>
        </w:rPr>
        <w:t xml:space="preserve"> a XVI-a a </w:t>
      </w:r>
      <w:proofErr w:type="spellStart"/>
      <w:r w:rsidR="00C60A01" w:rsidRPr="00125FAF">
        <w:rPr>
          <w:rFonts w:ascii="Times New Roman" w:eastAsia="Times New Roman" w:hAnsi="Times New Roman" w:cs="Times New Roman"/>
          <w:color w:val="000000"/>
          <w:sz w:val="24"/>
          <w:szCs w:val="24"/>
          <w:shd w:val="clear" w:color="auto" w:fill="FFFFFF"/>
          <w:lang w:eastAsia="ru-RU"/>
        </w:rPr>
        <w:t>Părţilor</w:t>
      </w:r>
      <w:proofErr w:type="spellEnd"/>
      <w:r w:rsidR="00C60A01" w:rsidRPr="00125FAF">
        <w:rPr>
          <w:rFonts w:ascii="Times New Roman" w:eastAsia="Times New Roman" w:hAnsi="Times New Roman" w:cs="Times New Roman"/>
          <w:color w:val="000000"/>
          <w:sz w:val="24"/>
          <w:szCs w:val="24"/>
          <w:shd w:val="clear" w:color="auto" w:fill="FFFFFF"/>
          <w:lang w:eastAsia="ru-RU"/>
        </w:rPr>
        <w:t xml:space="preserve"> (Cancun, Mexic) din decembrie 2010</w:t>
      </w:r>
      <w:r w:rsidR="00322C3F" w:rsidRPr="00125FAF">
        <w:rPr>
          <w:rFonts w:ascii="Times New Roman" w:eastAsia="Times New Roman" w:hAnsi="Times New Roman" w:cs="Times New Roman"/>
          <w:color w:val="000000"/>
          <w:sz w:val="24"/>
          <w:szCs w:val="24"/>
          <w:shd w:val="clear" w:color="auto" w:fill="FFFFFF"/>
          <w:lang w:eastAsia="ru-RU"/>
        </w:rPr>
        <w:t>.</w:t>
      </w:r>
      <w:r w:rsidR="00E70219" w:rsidRPr="00125FAF">
        <w:rPr>
          <w:rFonts w:ascii="Times New Roman" w:eastAsia="Times New Roman" w:hAnsi="Times New Roman" w:cs="Times New Roman"/>
          <w:color w:val="000000"/>
          <w:sz w:val="24"/>
          <w:szCs w:val="24"/>
          <w:shd w:val="clear" w:color="auto" w:fill="FFFFFF"/>
          <w:lang w:eastAsia="ru-RU"/>
        </w:rPr>
        <w:t xml:space="preserve"> </w:t>
      </w:r>
      <w:r w:rsidR="00322C3F" w:rsidRPr="00125FAF">
        <w:rPr>
          <w:rFonts w:ascii="Times New Roman" w:eastAsia="Times New Roman" w:hAnsi="Times New Roman" w:cs="Times New Roman"/>
          <w:color w:val="000000"/>
          <w:sz w:val="24"/>
          <w:szCs w:val="24"/>
          <w:shd w:val="clear" w:color="auto" w:fill="FFFFFF"/>
          <w:lang w:eastAsia="ru-RU"/>
        </w:rPr>
        <w:t xml:space="preserve">FVC este o platformă globală unică pentru a răspunde schimbărilor climatice prin investiții în dezvoltare cu emisii reduse și </w:t>
      </w:r>
      <w:proofErr w:type="spellStart"/>
      <w:r w:rsidR="00322C3F" w:rsidRPr="00125FAF">
        <w:rPr>
          <w:rFonts w:ascii="Times New Roman" w:eastAsia="Times New Roman" w:hAnsi="Times New Roman" w:cs="Times New Roman"/>
          <w:color w:val="000000"/>
          <w:sz w:val="24"/>
          <w:szCs w:val="24"/>
          <w:shd w:val="clear" w:color="auto" w:fill="FFFFFF"/>
          <w:lang w:eastAsia="ru-RU"/>
        </w:rPr>
        <w:t>rezilienţă</w:t>
      </w:r>
      <w:proofErr w:type="spellEnd"/>
      <w:r w:rsidR="00322C3F" w:rsidRPr="00125FAF">
        <w:rPr>
          <w:rFonts w:ascii="Times New Roman" w:eastAsia="Times New Roman" w:hAnsi="Times New Roman" w:cs="Times New Roman"/>
          <w:color w:val="000000"/>
          <w:sz w:val="24"/>
          <w:szCs w:val="24"/>
          <w:shd w:val="clear" w:color="auto" w:fill="FFFFFF"/>
          <w:lang w:eastAsia="ru-RU"/>
        </w:rPr>
        <w:t xml:space="preserve"> la schimbările climatice. FVC a fost înființat de 194 de guverne pentru a limita sau reduce emisiile de GES din țările în curs de dezvoltare și pentru a ajuta societățile </w:t>
      </w:r>
      <w:r w:rsidR="00322C3F" w:rsidRPr="00125FAF">
        <w:rPr>
          <w:rFonts w:ascii="Times New Roman" w:eastAsia="Times New Roman" w:hAnsi="Times New Roman" w:cs="Times New Roman"/>
          <w:color w:val="000000"/>
          <w:sz w:val="24"/>
          <w:szCs w:val="24"/>
          <w:shd w:val="clear" w:color="auto" w:fill="FFFFFF"/>
          <w:lang w:eastAsia="ru-RU"/>
        </w:rPr>
        <w:lastRenderedPageBreak/>
        <w:t>vulnerabile să se adapteze la impactul inevitabil al schimbărilor climatice.</w:t>
      </w:r>
      <w:r w:rsidR="00262895" w:rsidRPr="00125FAF">
        <w:rPr>
          <w:rFonts w:ascii="Times New Roman" w:eastAsia="Times New Roman" w:hAnsi="Times New Roman" w:cs="Times New Roman"/>
          <w:color w:val="000000"/>
          <w:sz w:val="24"/>
          <w:szCs w:val="24"/>
          <w:shd w:val="clear" w:color="auto" w:fill="FFFFFF"/>
          <w:lang w:eastAsia="ru-RU"/>
        </w:rPr>
        <w:t xml:space="preserve"> </w:t>
      </w:r>
      <w:proofErr w:type="spellStart"/>
      <w:r w:rsidR="00322C3F" w:rsidRPr="00125FAF">
        <w:rPr>
          <w:rFonts w:ascii="Times New Roman" w:eastAsia="Times New Roman" w:hAnsi="Times New Roman" w:cs="Times New Roman"/>
          <w:color w:val="000000"/>
          <w:sz w:val="24"/>
          <w:szCs w:val="24"/>
          <w:shd w:val="clear" w:color="auto" w:fill="FFFFFF"/>
          <w:lang w:eastAsia="ru-RU"/>
        </w:rPr>
        <w:t>Ţările</w:t>
      </w:r>
      <w:proofErr w:type="spellEnd"/>
      <w:r w:rsidR="00322C3F" w:rsidRPr="00125FAF">
        <w:rPr>
          <w:rFonts w:ascii="Times New Roman" w:eastAsia="Times New Roman" w:hAnsi="Times New Roman" w:cs="Times New Roman"/>
          <w:color w:val="000000"/>
          <w:sz w:val="24"/>
          <w:szCs w:val="24"/>
          <w:shd w:val="clear" w:color="auto" w:fill="FFFFFF"/>
          <w:lang w:eastAsia="ru-RU"/>
        </w:rPr>
        <w:t xml:space="preserve"> dezvoltate s-au angajat să completeze anual acest fond</w:t>
      </w:r>
      <w:r w:rsidR="00CF36D3" w:rsidRPr="00125FAF">
        <w:rPr>
          <w:rFonts w:ascii="Times New Roman" w:eastAsia="Times New Roman" w:hAnsi="Times New Roman" w:cs="Times New Roman"/>
          <w:color w:val="000000"/>
          <w:sz w:val="24"/>
          <w:szCs w:val="24"/>
          <w:shd w:val="clear" w:color="auto" w:fill="FFFFFF"/>
          <w:lang w:eastAsia="ru-RU"/>
        </w:rPr>
        <w:t xml:space="preserve"> </w:t>
      </w:r>
      <w:r w:rsidR="00322C3F" w:rsidRPr="00125FAF">
        <w:rPr>
          <w:rFonts w:ascii="Times New Roman" w:eastAsia="Times New Roman" w:hAnsi="Times New Roman" w:cs="Times New Roman"/>
          <w:color w:val="000000"/>
          <w:sz w:val="24"/>
          <w:szCs w:val="24"/>
          <w:shd w:val="clear" w:color="auto" w:fill="FFFFFF"/>
          <w:lang w:eastAsia="ru-RU"/>
        </w:rPr>
        <w:t>cu</w:t>
      </w:r>
      <w:r w:rsidR="00CF36D3" w:rsidRPr="00125FAF">
        <w:rPr>
          <w:rFonts w:ascii="Times New Roman" w:eastAsia="Times New Roman" w:hAnsi="Times New Roman" w:cs="Times New Roman"/>
          <w:color w:val="000000"/>
          <w:sz w:val="24"/>
          <w:szCs w:val="24"/>
          <w:shd w:val="clear" w:color="auto" w:fill="FFFFFF"/>
          <w:lang w:eastAsia="ru-RU"/>
        </w:rPr>
        <w:t xml:space="preserve"> cca 100 miliarde dolari SUA</w:t>
      </w:r>
      <w:r w:rsidR="00322C3F" w:rsidRPr="00125FAF">
        <w:rPr>
          <w:rFonts w:ascii="Times New Roman" w:eastAsia="Times New Roman" w:hAnsi="Times New Roman" w:cs="Times New Roman"/>
          <w:color w:val="000000"/>
          <w:sz w:val="24"/>
          <w:szCs w:val="24"/>
          <w:shd w:val="clear" w:color="auto" w:fill="FFFFFF"/>
          <w:lang w:eastAsia="ru-RU"/>
        </w:rPr>
        <w:t>.</w:t>
      </w:r>
    </w:p>
    <w:p w14:paraId="01024E18" w14:textId="52EB297D" w:rsidR="00DE2087" w:rsidRPr="00125FAF" w:rsidRDefault="00791B4D" w:rsidP="001F2F2D">
      <w:pPr>
        <w:spacing w:after="120"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125FAF">
        <w:rPr>
          <w:rFonts w:ascii="Times New Roman" w:eastAsia="Times New Roman" w:hAnsi="Times New Roman" w:cs="Times New Roman"/>
          <w:color w:val="000000"/>
          <w:sz w:val="24"/>
          <w:szCs w:val="24"/>
          <w:shd w:val="clear" w:color="auto" w:fill="FFFFFF"/>
          <w:lang w:eastAsia="ru-RU"/>
        </w:rPr>
        <w:t>2</w:t>
      </w:r>
      <w:r w:rsidR="007909C8" w:rsidRPr="00125FAF">
        <w:rPr>
          <w:rFonts w:ascii="Times New Roman" w:eastAsia="Times New Roman" w:hAnsi="Times New Roman" w:cs="Times New Roman"/>
          <w:color w:val="000000"/>
          <w:sz w:val="24"/>
          <w:szCs w:val="24"/>
          <w:shd w:val="clear" w:color="auto" w:fill="FFFFFF"/>
          <w:lang w:eastAsia="ru-RU"/>
        </w:rPr>
        <w:t>8</w:t>
      </w:r>
      <w:r w:rsidRPr="00125FAF">
        <w:rPr>
          <w:rFonts w:ascii="Times New Roman" w:eastAsia="Times New Roman" w:hAnsi="Times New Roman" w:cs="Times New Roman"/>
          <w:color w:val="000000"/>
          <w:sz w:val="24"/>
          <w:szCs w:val="24"/>
          <w:shd w:val="clear" w:color="auto" w:fill="FFFFFF"/>
          <w:lang w:eastAsia="ru-RU"/>
        </w:rPr>
        <w:t xml:space="preserve">. În vederea accesării fondului </w:t>
      </w:r>
      <w:proofErr w:type="spellStart"/>
      <w:r w:rsidRPr="00125FAF">
        <w:rPr>
          <w:rFonts w:ascii="Times New Roman" w:eastAsia="Times New Roman" w:hAnsi="Times New Roman" w:cs="Times New Roman"/>
          <w:color w:val="000000"/>
          <w:sz w:val="24"/>
          <w:szCs w:val="24"/>
          <w:shd w:val="clear" w:color="auto" w:fill="FFFFFF"/>
          <w:lang w:eastAsia="ru-RU"/>
        </w:rPr>
        <w:t>investiţional</w:t>
      </w:r>
      <w:proofErr w:type="spellEnd"/>
      <w:r w:rsidRPr="00125FAF">
        <w:rPr>
          <w:rFonts w:ascii="Times New Roman" w:eastAsia="Times New Roman" w:hAnsi="Times New Roman" w:cs="Times New Roman"/>
          <w:color w:val="000000"/>
          <w:sz w:val="24"/>
          <w:szCs w:val="24"/>
          <w:shd w:val="clear" w:color="auto" w:fill="FFFFFF"/>
          <w:lang w:eastAsia="ru-RU"/>
        </w:rPr>
        <w:t xml:space="preserve"> al FVC, </w:t>
      </w:r>
      <w:proofErr w:type="spellStart"/>
      <w:r w:rsidRPr="00125FAF">
        <w:rPr>
          <w:rFonts w:ascii="Times New Roman" w:eastAsia="Times New Roman" w:hAnsi="Times New Roman" w:cs="Times New Roman"/>
          <w:color w:val="000000"/>
          <w:sz w:val="24"/>
          <w:szCs w:val="24"/>
          <w:shd w:val="clear" w:color="auto" w:fill="FFFFFF"/>
          <w:lang w:eastAsia="ru-RU"/>
        </w:rPr>
        <w:t>ţara</w:t>
      </w:r>
      <w:proofErr w:type="spellEnd"/>
      <w:r w:rsidRPr="00125FAF">
        <w:rPr>
          <w:rFonts w:ascii="Times New Roman" w:eastAsia="Times New Roman" w:hAnsi="Times New Roman" w:cs="Times New Roman"/>
          <w:color w:val="000000"/>
          <w:sz w:val="24"/>
          <w:szCs w:val="24"/>
          <w:shd w:val="clear" w:color="auto" w:fill="FFFFFF"/>
          <w:lang w:eastAsia="ru-RU"/>
        </w:rPr>
        <w:t xml:space="preserve"> trebuie să demonstreze că ea se aliniază la obiectivele globale de reducere a emisiilor de GES. Una dintre </w:t>
      </w:r>
      <w:proofErr w:type="spellStart"/>
      <w:r w:rsidRPr="00125FAF">
        <w:rPr>
          <w:rFonts w:ascii="Times New Roman" w:eastAsia="Times New Roman" w:hAnsi="Times New Roman" w:cs="Times New Roman"/>
          <w:color w:val="000000"/>
          <w:sz w:val="24"/>
          <w:szCs w:val="24"/>
          <w:shd w:val="clear" w:color="auto" w:fill="FFFFFF"/>
          <w:lang w:eastAsia="ru-RU"/>
        </w:rPr>
        <w:t>acţiuni</w:t>
      </w:r>
      <w:proofErr w:type="spellEnd"/>
      <w:r w:rsidRPr="00125FAF">
        <w:rPr>
          <w:rFonts w:ascii="Times New Roman" w:eastAsia="Times New Roman" w:hAnsi="Times New Roman" w:cs="Times New Roman"/>
          <w:color w:val="000000"/>
          <w:sz w:val="24"/>
          <w:szCs w:val="24"/>
          <w:shd w:val="clear" w:color="auto" w:fill="FFFFFF"/>
          <w:lang w:eastAsia="ru-RU"/>
        </w:rPr>
        <w:t xml:space="preserve"> care demonstrează efectiv </w:t>
      </w:r>
      <w:proofErr w:type="spellStart"/>
      <w:r w:rsidRPr="00125FAF">
        <w:rPr>
          <w:rFonts w:ascii="Times New Roman" w:eastAsia="Times New Roman" w:hAnsi="Times New Roman" w:cs="Times New Roman"/>
          <w:color w:val="000000"/>
          <w:sz w:val="24"/>
          <w:szCs w:val="24"/>
          <w:shd w:val="clear" w:color="auto" w:fill="FFFFFF"/>
          <w:lang w:eastAsia="ru-RU"/>
        </w:rPr>
        <w:t>voinţa</w:t>
      </w:r>
      <w:proofErr w:type="spellEnd"/>
      <w:r w:rsidRPr="00125FAF">
        <w:rPr>
          <w:rFonts w:ascii="Times New Roman" w:eastAsia="Times New Roman" w:hAnsi="Times New Roman" w:cs="Times New Roman"/>
          <w:color w:val="000000"/>
          <w:sz w:val="24"/>
          <w:szCs w:val="24"/>
          <w:shd w:val="clear" w:color="auto" w:fill="FFFFFF"/>
          <w:lang w:eastAsia="ru-RU"/>
        </w:rPr>
        <w:t xml:space="preserve"> </w:t>
      </w:r>
      <w:proofErr w:type="spellStart"/>
      <w:r w:rsidRPr="00125FAF">
        <w:rPr>
          <w:rFonts w:ascii="Times New Roman" w:eastAsia="Times New Roman" w:hAnsi="Times New Roman" w:cs="Times New Roman"/>
          <w:color w:val="000000"/>
          <w:sz w:val="24"/>
          <w:szCs w:val="24"/>
          <w:shd w:val="clear" w:color="auto" w:fill="FFFFFF"/>
          <w:lang w:eastAsia="ru-RU"/>
        </w:rPr>
        <w:t>ţării</w:t>
      </w:r>
      <w:proofErr w:type="spellEnd"/>
      <w:r w:rsidRPr="00125FAF">
        <w:rPr>
          <w:rFonts w:ascii="Times New Roman" w:eastAsia="Times New Roman" w:hAnsi="Times New Roman" w:cs="Times New Roman"/>
          <w:color w:val="000000"/>
          <w:sz w:val="24"/>
          <w:szCs w:val="24"/>
          <w:shd w:val="clear" w:color="auto" w:fill="FFFFFF"/>
          <w:lang w:eastAsia="ru-RU"/>
        </w:rPr>
        <w:t xml:space="preserve"> în acest sens o constituie </w:t>
      </w:r>
      <w:proofErr w:type="spellStart"/>
      <w:r w:rsidRPr="00125FAF">
        <w:rPr>
          <w:rFonts w:ascii="Times New Roman" w:eastAsia="Times New Roman" w:hAnsi="Times New Roman" w:cs="Times New Roman"/>
          <w:color w:val="000000"/>
          <w:sz w:val="24"/>
          <w:szCs w:val="24"/>
          <w:shd w:val="clear" w:color="auto" w:fill="FFFFFF"/>
          <w:lang w:eastAsia="ru-RU"/>
        </w:rPr>
        <w:t>prezenţa</w:t>
      </w:r>
      <w:proofErr w:type="spellEnd"/>
      <w:r w:rsidRPr="00125FAF">
        <w:rPr>
          <w:rFonts w:ascii="Times New Roman" w:eastAsia="Times New Roman" w:hAnsi="Times New Roman" w:cs="Times New Roman"/>
          <w:color w:val="000000"/>
          <w:sz w:val="24"/>
          <w:szCs w:val="24"/>
          <w:shd w:val="clear" w:color="auto" w:fill="FFFFFF"/>
          <w:lang w:eastAsia="ru-RU"/>
        </w:rPr>
        <w:t xml:space="preserve"> </w:t>
      </w:r>
      <w:r w:rsidR="007C1E4E" w:rsidRPr="00125FAF">
        <w:rPr>
          <w:rFonts w:ascii="Times New Roman" w:eastAsia="Times New Roman" w:hAnsi="Times New Roman" w:cs="Times New Roman"/>
          <w:color w:val="000000"/>
          <w:sz w:val="24"/>
          <w:szCs w:val="24"/>
          <w:shd w:val="clear" w:color="auto" w:fill="FFFFFF"/>
          <w:lang w:eastAsia="ru-RU"/>
        </w:rPr>
        <w:t xml:space="preserve">documentului </w:t>
      </w:r>
      <w:r w:rsidRPr="00125FAF">
        <w:rPr>
          <w:rFonts w:ascii="Times New Roman" w:eastAsia="Times New Roman" w:hAnsi="Times New Roman" w:cs="Times New Roman"/>
          <w:color w:val="000000"/>
          <w:sz w:val="24"/>
          <w:szCs w:val="24"/>
          <w:shd w:val="clear" w:color="auto" w:fill="FFFFFF"/>
          <w:lang w:eastAsia="ru-RU"/>
        </w:rPr>
        <w:t xml:space="preserve">de dezvoltare cu emisii reduse care reflectă obiectivele </w:t>
      </w:r>
      <w:proofErr w:type="spellStart"/>
      <w:r w:rsidRPr="00125FAF">
        <w:rPr>
          <w:rFonts w:ascii="Times New Roman" w:eastAsia="Times New Roman" w:hAnsi="Times New Roman" w:cs="Times New Roman"/>
          <w:color w:val="000000"/>
          <w:sz w:val="24"/>
          <w:szCs w:val="24"/>
          <w:shd w:val="clear" w:color="auto" w:fill="FFFFFF"/>
          <w:lang w:eastAsia="ru-RU"/>
        </w:rPr>
        <w:t>Contribuţiei</w:t>
      </w:r>
      <w:proofErr w:type="spellEnd"/>
      <w:r w:rsidRPr="00125FAF">
        <w:rPr>
          <w:rFonts w:ascii="Times New Roman" w:eastAsia="Times New Roman" w:hAnsi="Times New Roman" w:cs="Times New Roman"/>
          <w:color w:val="000000"/>
          <w:sz w:val="24"/>
          <w:szCs w:val="24"/>
          <w:shd w:val="clear" w:color="auto" w:fill="FFFFFF"/>
          <w:lang w:eastAsia="ru-RU"/>
        </w:rPr>
        <w:t xml:space="preserve"> </w:t>
      </w:r>
      <w:proofErr w:type="spellStart"/>
      <w:r w:rsidRPr="00125FAF">
        <w:rPr>
          <w:rFonts w:ascii="Times New Roman" w:eastAsia="Times New Roman" w:hAnsi="Times New Roman" w:cs="Times New Roman"/>
          <w:color w:val="000000"/>
          <w:sz w:val="24"/>
          <w:szCs w:val="24"/>
          <w:shd w:val="clear" w:color="auto" w:fill="FFFFFF"/>
          <w:lang w:eastAsia="ru-RU"/>
        </w:rPr>
        <w:t>Naţionale</w:t>
      </w:r>
      <w:proofErr w:type="spellEnd"/>
      <w:r w:rsidRPr="00125FAF">
        <w:rPr>
          <w:rFonts w:ascii="Times New Roman" w:eastAsia="Times New Roman" w:hAnsi="Times New Roman" w:cs="Times New Roman"/>
          <w:color w:val="000000"/>
          <w:sz w:val="24"/>
          <w:szCs w:val="24"/>
          <w:shd w:val="clear" w:color="auto" w:fill="FFFFFF"/>
          <w:lang w:eastAsia="ru-RU"/>
        </w:rPr>
        <w:t xml:space="preserve"> Determinate actualizate. </w:t>
      </w:r>
      <w:r w:rsidR="00DE2087" w:rsidRPr="00125FAF">
        <w:rPr>
          <w:rFonts w:ascii="Times New Roman" w:eastAsia="Times New Roman" w:hAnsi="Times New Roman" w:cs="Times New Roman"/>
          <w:color w:val="000000"/>
          <w:sz w:val="24"/>
          <w:szCs w:val="24"/>
          <w:shd w:val="clear" w:color="auto" w:fill="FFFFFF"/>
          <w:lang w:eastAsia="ru-RU"/>
        </w:rPr>
        <w:t xml:space="preserve">R. Moldova a făcut </w:t>
      </w:r>
      <w:proofErr w:type="spellStart"/>
      <w:r w:rsidR="00DE2087" w:rsidRPr="00125FAF">
        <w:rPr>
          <w:rFonts w:ascii="Times New Roman" w:eastAsia="Times New Roman" w:hAnsi="Times New Roman" w:cs="Times New Roman"/>
          <w:color w:val="000000"/>
          <w:sz w:val="24"/>
          <w:szCs w:val="24"/>
          <w:shd w:val="clear" w:color="auto" w:fill="FFFFFF"/>
          <w:lang w:eastAsia="ru-RU"/>
        </w:rPr>
        <w:t>paşi</w:t>
      </w:r>
      <w:proofErr w:type="spellEnd"/>
      <w:r w:rsidR="00DE2087" w:rsidRPr="00125FAF">
        <w:rPr>
          <w:rFonts w:ascii="Times New Roman" w:eastAsia="Times New Roman" w:hAnsi="Times New Roman" w:cs="Times New Roman"/>
          <w:color w:val="000000"/>
          <w:sz w:val="24"/>
          <w:szCs w:val="24"/>
          <w:shd w:val="clear" w:color="auto" w:fill="FFFFFF"/>
          <w:lang w:eastAsia="ru-RU"/>
        </w:rPr>
        <w:t xml:space="preserve"> </w:t>
      </w:r>
      <w:proofErr w:type="spellStart"/>
      <w:r w:rsidR="00DE2087" w:rsidRPr="00125FAF">
        <w:rPr>
          <w:rFonts w:ascii="Times New Roman" w:eastAsia="Times New Roman" w:hAnsi="Times New Roman" w:cs="Times New Roman"/>
          <w:color w:val="000000"/>
          <w:sz w:val="24"/>
          <w:szCs w:val="24"/>
          <w:shd w:val="clear" w:color="auto" w:fill="FFFFFF"/>
          <w:lang w:eastAsia="ru-RU"/>
        </w:rPr>
        <w:t>concreţi</w:t>
      </w:r>
      <w:proofErr w:type="spellEnd"/>
      <w:r w:rsidR="00DE2087" w:rsidRPr="00125FAF">
        <w:rPr>
          <w:rFonts w:ascii="Times New Roman" w:eastAsia="Times New Roman" w:hAnsi="Times New Roman" w:cs="Times New Roman"/>
          <w:color w:val="000000"/>
          <w:sz w:val="24"/>
          <w:szCs w:val="24"/>
          <w:shd w:val="clear" w:color="auto" w:fill="FFFFFF"/>
          <w:lang w:eastAsia="ru-RU"/>
        </w:rPr>
        <w:t xml:space="preserve"> spre accesarea fondurilor FVC. Pe lângă aprobarea SDER, aceasta a dezvoltat </w:t>
      </w:r>
      <w:proofErr w:type="spellStart"/>
      <w:r w:rsidR="00DE2087" w:rsidRPr="00125FAF">
        <w:rPr>
          <w:rFonts w:ascii="Times New Roman" w:eastAsia="Times New Roman" w:hAnsi="Times New Roman" w:cs="Times New Roman"/>
          <w:color w:val="000000"/>
          <w:sz w:val="24"/>
          <w:szCs w:val="24"/>
          <w:shd w:val="clear" w:color="auto" w:fill="FFFFFF"/>
          <w:lang w:eastAsia="ru-RU"/>
        </w:rPr>
        <w:t>şi</w:t>
      </w:r>
      <w:proofErr w:type="spellEnd"/>
      <w:r w:rsidR="00DE2087" w:rsidRPr="00125FAF">
        <w:rPr>
          <w:rFonts w:ascii="Times New Roman" w:eastAsia="Times New Roman" w:hAnsi="Times New Roman" w:cs="Times New Roman"/>
          <w:color w:val="000000"/>
          <w:sz w:val="24"/>
          <w:szCs w:val="24"/>
          <w:shd w:val="clear" w:color="auto" w:fill="FFFFFF"/>
          <w:lang w:eastAsia="ru-RU"/>
        </w:rPr>
        <w:t xml:space="preserve"> </w:t>
      </w:r>
      <w:r w:rsidR="00CB1EA3" w:rsidRPr="00125FAF">
        <w:rPr>
          <w:rFonts w:ascii="Times New Roman" w:eastAsia="Times New Roman" w:hAnsi="Times New Roman" w:cs="Times New Roman"/>
          <w:color w:val="000000"/>
          <w:sz w:val="24"/>
          <w:szCs w:val="24"/>
          <w:shd w:val="clear" w:color="auto" w:fill="FFFFFF"/>
          <w:lang w:eastAsia="ru-RU"/>
        </w:rPr>
        <w:t>Programul de Țară al Republicii Moldova</w:t>
      </w:r>
      <w:r w:rsidR="0067099E" w:rsidRPr="00125FAF">
        <w:rPr>
          <w:rFonts w:ascii="Times New Roman" w:eastAsia="Times New Roman" w:hAnsi="Times New Roman" w:cs="Times New Roman"/>
          <w:color w:val="000000"/>
          <w:sz w:val="24"/>
          <w:szCs w:val="24"/>
          <w:shd w:val="clear" w:color="auto" w:fill="FFFFFF"/>
          <w:lang w:eastAsia="ru-RU"/>
        </w:rPr>
        <w:t xml:space="preserve"> (PŢ)</w:t>
      </w:r>
      <w:r w:rsidR="00CB1EA3" w:rsidRPr="00125FAF">
        <w:rPr>
          <w:rFonts w:ascii="Times New Roman" w:eastAsia="Times New Roman" w:hAnsi="Times New Roman" w:cs="Times New Roman"/>
          <w:color w:val="000000"/>
          <w:sz w:val="24"/>
          <w:szCs w:val="24"/>
          <w:shd w:val="clear" w:color="auto" w:fill="FFFFFF"/>
          <w:lang w:eastAsia="ru-RU"/>
        </w:rPr>
        <w:t xml:space="preserve"> pentru angajare cu Fondul Verde pentru Climă pe anii 2019-2024</w:t>
      </w:r>
      <w:r w:rsidR="0067099E" w:rsidRPr="00125FAF">
        <w:rPr>
          <w:rFonts w:ascii="Times New Roman" w:eastAsia="Times New Roman" w:hAnsi="Times New Roman" w:cs="Times New Roman"/>
          <w:color w:val="000000"/>
          <w:sz w:val="24"/>
          <w:szCs w:val="24"/>
          <w:shd w:val="clear" w:color="auto" w:fill="FFFFFF"/>
          <w:lang w:eastAsia="ru-RU"/>
        </w:rPr>
        <w:t xml:space="preserve">. </w:t>
      </w:r>
      <w:proofErr w:type="spellStart"/>
      <w:r w:rsidR="0067099E" w:rsidRPr="00125FAF">
        <w:rPr>
          <w:rFonts w:ascii="Times New Roman" w:eastAsia="Times New Roman" w:hAnsi="Times New Roman" w:cs="Times New Roman"/>
          <w:color w:val="000000"/>
          <w:sz w:val="24"/>
          <w:szCs w:val="24"/>
          <w:shd w:val="clear" w:color="auto" w:fill="FFFFFF"/>
          <w:lang w:eastAsia="ru-RU"/>
        </w:rPr>
        <w:t>Prezenţa</w:t>
      </w:r>
      <w:proofErr w:type="spellEnd"/>
      <w:r w:rsidR="0067099E" w:rsidRPr="00125FAF">
        <w:rPr>
          <w:rFonts w:ascii="Times New Roman" w:eastAsia="Times New Roman" w:hAnsi="Times New Roman" w:cs="Times New Roman"/>
          <w:color w:val="000000"/>
          <w:sz w:val="24"/>
          <w:szCs w:val="24"/>
          <w:shd w:val="clear" w:color="auto" w:fill="FFFFFF"/>
          <w:lang w:eastAsia="ru-RU"/>
        </w:rPr>
        <w:t xml:space="preserve"> </w:t>
      </w:r>
      <w:proofErr w:type="spellStart"/>
      <w:r w:rsidR="0067099E" w:rsidRPr="00125FAF">
        <w:rPr>
          <w:rFonts w:ascii="Times New Roman" w:eastAsia="Times New Roman" w:hAnsi="Times New Roman" w:cs="Times New Roman"/>
          <w:color w:val="000000"/>
          <w:sz w:val="24"/>
          <w:szCs w:val="24"/>
          <w:shd w:val="clear" w:color="auto" w:fill="FFFFFF"/>
          <w:lang w:eastAsia="ru-RU"/>
        </w:rPr>
        <w:t>acţiunii</w:t>
      </w:r>
      <w:proofErr w:type="spellEnd"/>
      <w:r w:rsidR="0067099E" w:rsidRPr="00125FAF">
        <w:rPr>
          <w:rFonts w:ascii="Times New Roman" w:eastAsia="Times New Roman" w:hAnsi="Times New Roman" w:cs="Times New Roman"/>
          <w:color w:val="000000"/>
          <w:sz w:val="24"/>
          <w:szCs w:val="24"/>
          <w:shd w:val="clear" w:color="auto" w:fill="FFFFFF"/>
          <w:lang w:eastAsia="ru-RU"/>
        </w:rPr>
        <w:t xml:space="preserve"> de reducere a GES în PŢ este obligatorie pentru oricare beneficiar atunci când acesta este </w:t>
      </w:r>
      <w:proofErr w:type="spellStart"/>
      <w:r w:rsidR="0067099E" w:rsidRPr="00125FAF">
        <w:rPr>
          <w:rFonts w:ascii="Times New Roman" w:eastAsia="Times New Roman" w:hAnsi="Times New Roman" w:cs="Times New Roman"/>
          <w:color w:val="000000"/>
          <w:sz w:val="24"/>
          <w:szCs w:val="24"/>
          <w:shd w:val="clear" w:color="auto" w:fill="FFFFFF"/>
          <w:lang w:eastAsia="ru-RU"/>
        </w:rPr>
        <w:t>intenţionat</w:t>
      </w:r>
      <w:proofErr w:type="spellEnd"/>
      <w:r w:rsidR="0067099E" w:rsidRPr="00125FAF">
        <w:rPr>
          <w:rFonts w:ascii="Times New Roman" w:eastAsia="Times New Roman" w:hAnsi="Times New Roman" w:cs="Times New Roman"/>
          <w:color w:val="000000"/>
          <w:sz w:val="24"/>
          <w:szCs w:val="24"/>
          <w:shd w:val="clear" w:color="auto" w:fill="FFFFFF"/>
          <w:lang w:eastAsia="ru-RU"/>
        </w:rPr>
        <w:t xml:space="preserve"> să </w:t>
      </w:r>
      <w:proofErr w:type="spellStart"/>
      <w:r w:rsidR="0067099E" w:rsidRPr="00125FAF">
        <w:rPr>
          <w:rFonts w:ascii="Times New Roman" w:eastAsia="Times New Roman" w:hAnsi="Times New Roman" w:cs="Times New Roman"/>
          <w:color w:val="000000"/>
          <w:sz w:val="24"/>
          <w:szCs w:val="24"/>
          <w:shd w:val="clear" w:color="auto" w:fill="FFFFFF"/>
          <w:lang w:eastAsia="ru-RU"/>
        </w:rPr>
        <w:t>obţină</w:t>
      </w:r>
      <w:proofErr w:type="spellEnd"/>
      <w:r w:rsidR="0067099E" w:rsidRPr="00125FAF">
        <w:rPr>
          <w:rFonts w:ascii="Times New Roman" w:eastAsia="Times New Roman" w:hAnsi="Times New Roman" w:cs="Times New Roman"/>
          <w:color w:val="000000"/>
          <w:sz w:val="24"/>
          <w:szCs w:val="24"/>
          <w:shd w:val="clear" w:color="auto" w:fill="FFFFFF"/>
          <w:lang w:eastAsia="ru-RU"/>
        </w:rPr>
        <w:t xml:space="preserve"> </w:t>
      </w:r>
      <w:proofErr w:type="spellStart"/>
      <w:r w:rsidR="0067099E" w:rsidRPr="00125FAF">
        <w:rPr>
          <w:rFonts w:ascii="Times New Roman" w:eastAsia="Times New Roman" w:hAnsi="Times New Roman" w:cs="Times New Roman"/>
          <w:color w:val="000000"/>
          <w:sz w:val="24"/>
          <w:szCs w:val="24"/>
          <w:shd w:val="clear" w:color="auto" w:fill="FFFFFF"/>
          <w:lang w:eastAsia="ru-RU"/>
        </w:rPr>
        <w:t>finanţare</w:t>
      </w:r>
      <w:proofErr w:type="spellEnd"/>
      <w:r w:rsidR="0067099E" w:rsidRPr="00125FAF">
        <w:rPr>
          <w:rFonts w:ascii="Times New Roman" w:eastAsia="Times New Roman" w:hAnsi="Times New Roman" w:cs="Times New Roman"/>
          <w:color w:val="000000"/>
          <w:sz w:val="24"/>
          <w:szCs w:val="24"/>
          <w:shd w:val="clear" w:color="auto" w:fill="FFFFFF"/>
          <w:lang w:eastAsia="ru-RU"/>
        </w:rPr>
        <w:t xml:space="preserve"> de la acest fond în vederea realizării </w:t>
      </w:r>
      <w:r w:rsidR="00B94958" w:rsidRPr="00125FAF">
        <w:rPr>
          <w:rFonts w:ascii="Times New Roman" w:eastAsia="Times New Roman" w:hAnsi="Times New Roman" w:cs="Times New Roman"/>
          <w:color w:val="000000"/>
          <w:sz w:val="24"/>
          <w:szCs w:val="24"/>
          <w:shd w:val="clear" w:color="auto" w:fill="FFFFFF"/>
          <w:lang w:eastAsia="ru-RU"/>
        </w:rPr>
        <w:t>măsurii</w:t>
      </w:r>
      <w:r w:rsidR="0067099E" w:rsidRPr="00125FAF">
        <w:rPr>
          <w:rFonts w:ascii="Times New Roman" w:eastAsia="Times New Roman" w:hAnsi="Times New Roman" w:cs="Times New Roman"/>
          <w:color w:val="000000"/>
          <w:sz w:val="24"/>
          <w:szCs w:val="24"/>
          <w:shd w:val="clear" w:color="auto" w:fill="FFFFFF"/>
          <w:lang w:eastAsia="ru-RU"/>
        </w:rPr>
        <w:t xml:space="preserve"> în cauză. PŢ </w:t>
      </w:r>
      <w:proofErr w:type="spellStart"/>
      <w:r w:rsidR="0067099E" w:rsidRPr="00125FAF">
        <w:rPr>
          <w:rFonts w:ascii="Times New Roman" w:eastAsia="Times New Roman" w:hAnsi="Times New Roman" w:cs="Times New Roman"/>
          <w:color w:val="000000"/>
          <w:sz w:val="24"/>
          <w:szCs w:val="24"/>
          <w:shd w:val="clear" w:color="auto" w:fill="FFFFFF"/>
          <w:lang w:eastAsia="ru-RU"/>
        </w:rPr>
        <w:t>conţine</w:t>
      </w:r>
      <w:proofErr w:type="spellEnd"/>
      <w:r w:rsidR="0067099E" w:rsidRPr="00125FAF">
        <w:rPr>
          <w:rFonts w:ascii="Times New Roman" w:eastAsia="Times New Roman" w:hAnsi="Times New Roman" w:cs="Times New Roman"/>
          <w:color w:val="000000"/>
          <w:sz w:val="24"/>
          <w:szCs w:val="24"/>
          <w:shd w:val="clear" w:color="auto" w:fill="FFFFFF"/>
          <w:lang w:eastAsia="ru-RU"/>
        </w:rPr>
        <w:t xml:space="preserve"> un set larg de </w:t>
      </w:r>
      <w:r w:rsidR="001C278D" w:rsidRPr="00125FAF">
        <w:rPr>
          <w:rFonts w:ascii="Times New Roman" w:eastAsia="Times New Roman" w:hAnsi="Times New Roman" w:cs="Times New Roman"/>
          <w:color w:val="000000"/>
          <w:sz w:val="24"/>
          <w:szCs w:val="24"/>
          <w:shd w:val="clear" w:color="auto" w:fill="FFFFFF"/>
          <w:lang w:eastAsia="ru-RU"/>
        </w:rPr>
        <w:t>măsuri</w:t>
      </w:r>
      <w:r w:rsidR="00CB1EA3" w:rsidRPr="00125FAF">
        <w:rPr>
          <w:rFonts w:ascii="Times New Roman" w:eastAsia="Times New Roman" w:hAnsi="Times New Roman" w:cs="Times New Roman"/>
          <w:color w:val="000000"/>
          <w:sz w:val="24"/>
          <w:szCs w:val="24"/>
          <w:shd w:val="clear" w:color="auto" w:fill="FFFFFF"/>
          <w:lang w:eastAsia="ru-RU"/>
        </w:rPr>
        <w:t xml:space="preserve">, care </w:t>
      </w:r>
      <w:r w:rsidR="0067099E" w:rsidRPr="00125FAF">
        <w:rPr>
          <w:rFonts w:ascii="Times New Roman" w:eastAsia="Times New Roman" w:hAnsi="Times New Roman" w:cs="Times New Roman"/>
          <w:color w:val="000000"/>
          <w:sz w:val="24"/>
          <w:szCs w:val="24"/>
          <w:shd w:val="clear" w:color="auto" w:fill="FFFFFF"/>
          <w:lang w:eastAsia="ru-RU"/>
        </w:rPr>
        <w:t xml:space="preserve">poate fi completat la solicitare fiecare an. Acest document </w:t>
      </w:r>
      <w:r w:rsidR="00CB1EA3" w:rsidRPr="00125FAF">
        <w:rPr>
          <w:rFonts w:ascii="Times New Roman" w:eastAsia="Times New Roman" w:hAnsi="Times New Roman" w:cs="Times New Roman"/>
          <w:color w:val="000000"/>
          <w:sz w:val="24"/>
          <w:szCs w:val="24"/>
          <w:shd w:val="clear" w:color="auto" w:fill="FFFFFF"/>
          <w:lang w:eastAsia="ru-RU"/>
        </w:rPr>
        <w:t xml:space="preserve">cuprinde inclusiv </w:t>
      </w:r>
      <w:proofErr w:type="spellStart"/>
      <w:r w:rsidR="00CB1EA3" w:rsidRPr="00125FAF">
        <w:rPr>
          <w:rFonts w:ascii="Times New Roman" w:eastAsia="Times New Roman" w:hAnsi="Times New Roman" w:cs="Times New Roman"/>
          <w:color w:val="000000"/>
          <w:sz w:val="24"/>
          <w:szCs w:val="24"/>
          <w:shd w:val="clear" w:color="auto" w:fill="FFFFFF"/>
          <w:lang w:eastAsia="ru-RU"/>
        </w:rPr>
        <w:t>şi</w:t>
      </w:r>
      <w:proofErr w:type="spellEnd"/>
      <w:r w:rsidR="00CB1EA3" w:rsidRPr="00125FAF">
        <w:rPr>
          <w:rFonts w:ascii="Times New Roman" w:eastAsia="Times New Roman" w:hAnsi="Times New Roman" w:cs="Times New Roman"/>
          <w:color w:val="000000"/>
          <w:sz w:val="24"/>
          <w:szCs w:val="24"/>
          <w:shd w:val="clear" w:color="auto" w:fill="FFFFFF"/>
          <w:lang w:eastAsia="ru-RU"/>
        </w:rPr>
        <w:t xml:space="preserve"> o bună parte din cele 12 NAMA </w:t>
      </w:r>
      <w:proofErr w:type="spellStart"/>
      <w:r w:rsidR="00CB1EA3" w:rsidRPr="00125FAF">
        <w:rPr>
          <w:rFonts w:ascii="Times New Roman" w:eastAsia="Times New Roman" w:hAnsi="Times New Roman" w:cs="Times New Roman"/>
          <w:color w:val="000000"/>
          <w:sz w:val="24"/>
          <w:szCs w:val="24"/>
          <w:shd w:val="clear" w:color="auto" w:fill="FFFFFF"/>
          <w:lang w:eastAsia="ru-RU"/>
        </w:rPr>
        <w:t>menţionate</w:t>
      </w:r>
      <w:proofErr w:type="spellEnd"/>
      <w:r w:rsidR="00CB1EA3" w:rsidRPr="00125FAF">
        <w:rPr>
          <w:rFonts w:ascii="Times New Roman" w:eastAsia="Times New Roman" w:hAnsi="Times New Roman" w:cs="Times New Roman"/>
          <w:color w:val="000000"/>
          <w:sz w:val="24"/>
          <w:szCs w:val="24"/>
          <w:shd w:val="clear" w:color="auto" w:fill="FFFFFF"/>
          <w:lang w:eastAsia="ru-RU"/>
        </w:rPr>
        <w:t xml:space="preserve"> mai sus</w:t>
      </w:r>
      <w:r w:rsidR="0067099E" w:rsidRPr="00125FAF">
        <w:rPr>
          <w:rFonts w:ascii="Times New Roman" w:eastAsia="Times New Roman" w:hAnsi="Times New Roman" w:cs="Times New Roman"/>
          <w:color w:val="000000"/>
          <w:sz w:val="24"/>
          <w:szCs w:val="24"/>
          <w:shd w:val="clear" w:color="auto" w:fill="FFFFFF"/>
          <w:lang w:eastAsia="ru-RU"/>
        </w:rPr>
        <w:t>, alături cu alte idei dezvoltate pe parcurs</w:t>
      </w:r>
      <w:r w:rsidR="00CB1EA3" w:rsidRPr="00125FAF">
        <w:rPr>
          <w:rFonts w:ascii="Times New Roman" w:eastAsia="Times New Roman" w:hAnsi="Times New Roman" w:cs="Times New Roman"/>
          <w:color w:val="000000"/>
          <w:sz w:val="24"/>
          <w:szCs w:val="24"/>
          <w:shd w:val="clear" w:color="auto" w:fill="FFFFFF"/>
          <w:lang w:eastAsia="ru-RU"/>
        </w:rPr>
        <w:t>.</w:t>
      </w:r>
    </w:p>
    <w:p w14:paraId="507AA4E4" w14:textId="73AFC544" w:rsidR="00DE2087" w:rsidRPr="00125FAF" w:rsidRDefault="0067099E" w:rsidP="006364B2">
      <w:pPr>
        <w:spacing w:after="0"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125FAF">
        <w:rPr>
          <w:rFonts w:ascii="Times New Roman" w:eastAsia="Times New Roman" w:hAnsi="Times New Roman" w:cs="Times New Roman"/>
          <w:color w:val="000000"/>
          <w:sz w:val="24"/>
          <w:szCs w:val="24"/>
          <w:shd w:val="clear" w:color="auto" w:fill="FFFFFF"/>
          <w:lang w:eastAsia="ru-RU"/>
        </w:rPr>
        <w:t>2</w:t>
      </w:r>
      <w:r w:rsidR="007909C8" w:rsidRPr="00125FAF">
        <w:rPr>
          <w:rFonts w:ascii="Times New Roman" w:eastAsia="Times New Roman" w:hAnsi="Times New Roman" w:cs="Times New Roman"/>
          <w:color w:val="000000"/>
          <w:sz w:val="24"/>
          <w:szCs w:val="24"/>
          <w:shd w:val="clear" w:color="auto" w:fill="FFFFFF"/>
          <w:lang w:eastAsia="ru-RU"/>
        </w:rPr>
        <w:t>9</w:t>
      </w:r>
      <w:r w:rsidRPr="00125FAF">
        <w:rPr>
          <w:rFonts w:ascii="Times New Roman" w:eastAsia="Times New Roman" w:hAnsi="Times New Roman" w:cs="Times New Roman"/>
          <w:color w:val="000000"/>
          <w:sz w:val="24"/>
          <w:szCs w:val="24"/>
          <w:shd w:val="clear" w:color="auto" w:fill="FFFFFF"/>
          <w:lang w:eastAsia="ru-RU"/>
        </w:rPr>
        <w:t>. P</w:t>
      </w:r>
      <w:r w:rsidR="00DE2087" w:rsidRPr="00125FAF">
        <w:rPr>
          <w:rFonts w:ascii="Times New Roman" w:eastAsia="Times New Roman" w:hAnsi="Times New Roman" w:cs="Times New Roman"/>
          <w:color w:val="000000"/>
          <w:sz w:val="24"/>
          <w:szCs w:val="24"/>
          <w:shd w:val="clear" w:color="auto" w:fill="FFFFFF"/>
          <w:lang w:eastAsia="ru-RU"/>
        </w:rPr>
        <w:t xml:space="preserve">rin </w:t>
      </w:r>
      <w:r w:rsidRPr="00125FAF">
        <w:rPr>
          <w:rFonts w:ascii="Times New Roman" w:eastAsia="Times New Roman" w:hAnsi="Times New Roman" w:cs="Times New Roman"/>
          <w:color w:val="000000"/>
          <w:sz w:val="24"/>
          <w:szCs w:val="24"/>
          <w:shd w:val="clear" w:color="auto" w:fill="FFFFFF"/>
          <w:lang w:eastAsia="ru-RU"/>
        </w:rPr>
        <w:t>aprobarea</w:t>
      </w:r>
      <w:r w:rsidR="001C278D" w:rsidRPr="00125FAF">
        <w:rPr>
          <w:rFonts w:ascii="Times New Roman" w:eastAsia="Times New Roman" w:hAnsi="Times New Roman" w:cs="Times New Roman"/>
          <w:color w:val="000000"/>
          <w:sz w:val="24"/>
          <w:szCs w:val="24"/>
          <w:shd w:val="clear" w:color="auto" w:fill="FFFFFF"/>
          <w:lang w:eastAsia="ru-RU"/>
        </w:rPr>
        <w:t xml:space="preserve"> Programului de Țară,</w:t>
      </w:r>
      <w:r w:rsidR="00DE2087" w:rsidRPr="00125FAF">
        <w:rPr>
          <w:rFonts w:ascii="Times New Roman" w:eastAsia="Times New Roman" w:hAnsi="Times New Roman" w:cs="Times New Roman"/>
          <w:color w:val="000000"/>
          <w:sz w:val="24"/>
          <w:szCs w:val="24"/>
          <w:shd w:val="clear" w:color="auto" w:fill="FFFFFF"/>
          <w:lang w:eastAsia="ru-RU"/>
        </w:rPr>
        <w:t xml:space="preserve"> Moldova face un efort de a trece de la orientarea punctuală și fragmentată prin proiecte unice spre o abordare programatică și coerentă, aliniată la obiectivele dezvoltării durabile și la reziliența față de schimbările climatice.</w:t>
      </w:r>
    </w:p>
    <w:p w14:paraId="0C14A52F" w14:textId="4CBADA5F" w:rsidR="00CB1EA3" w:rsidRPr="00125FAF" w:rsidRDefault="00CB1EA3" w:rsidP="001F2F2D">
      <w:pPr>
        <w:spacing w:after="120"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125FAF">
        <w:rPr>
          <w:rFonts w:ascii="Times New Roman" w:eastAsia="Times New Roman" w:hAnsi="Times New Roman" w:cs="Times New Roman"/>
          <w:color w:val="000000"/>
          <w:sz w:val="24"/>
          <w:szCs w:val="24"/>
          <w:shd w:val="clear" w:color="auto" w:fill="FFFFFF"/>
          <w:lang w:eastAsia="ru-RU"/>
        </w:rPr>
        <w:t>Se anticipează că investițiile FVC prin proiecte implementate vor promova o schimbare de paradigmă către calea de dezvoltare cu emisii reduse și reziliență față de climă</w:t>
      </w:r>
      <w:r w:rsidR="00AE6C0C" w:rsidRPr="00125FAF">
        <w:rPr>
          <w:rFonts w:ascii="Times New Roman" w:eastAsia="Times New Roman" w:hAnsi="Times New Roman" w:cs="Times New Roman"/>
          <w:color w:val="000000"/>
          <w:sz w:val="24"/>
          <w:szCs w:val="24"/>
          <w:shd w:val="clear" w:color="auto" w:fill="FFFFFF"/>
          <w:lang w:eastAsia="ru-RU"/>
        </w:rPr>
        <w:t>. F</w:t>
      </w:r>
      <w:r w:rsidRPr="00125FAF">
        <w:rPr>
          <w:rFonts w:ascii="Times New Roman" w:eastAsia="Times New Roman" w:hAnsi="Times New Roman" w:cs="Times New Roman"/>
          <w:color w:val="000000"/>
          <w:sz w:val="24"/>
          <w:szCs w:val="24"/>
          <w:shd w:val="clear" w:color="auto" w:fill="FFFFFF"/>
          <w:lang w:eastAsia="ru-RU"/>
        </w:rPr>
        <w:t>inanțarea FVC ar trebui să fie suplimentară asistenței oficiale de dezvoltare (AOD) existente în Republica Moldova.</w:t>
      </w:r>
    </w:p>
    <w:p w14:paraId="234BA93D" w14:textId="4A3B7B55" w:rsidR="006364B2" w:rsidRPr="00125FAF" w:rsidRDefault="007909C8" w:rsidP="001F2F2D">
      <w:pPr>
        <w:spacing w:after="120"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125FAF">
        <w:rPr>
          <w:rFonts w:ascii="Times New Roman" w:eastAsia="Times New Roman" w:hAnsi="Times New Roman" w:cs="Times New Roman"/>
          <w:color w:val="000000"/>
          <w:sz w:val="24"/>
          <w:szCs w:val="24"/>
          <w:lang w:eastAsia="ru-RU"/>
        </w:rPr>
        <w:t>30</w:t>
      </w:r>
      <w:r w:rsidR="006364B2" w:rsidRPr="00125FAF">
        <w:rPr>
          <w:rFonts w:ascii="Times New Roman" w:eastAsia="Times New Roman" w:hAnsi="Times New Roman" w:cs="Times New Roman"/>
          <w:color w:val="000000"/>
          <w:sz w:val="24"/>
          <w:szCs w:val="24"/>
          <w:lang w:eastAsia="ru-RU"/>
        </w:rPr>
        <w:t xml:space="preserve">. Suportul în vederea implementării </w:t>
      </w:r>
      <w:r w:rsidR="00DF42B1" w:rsidRPr="00125FAF">
        <w:rPr>
          <w:rFonts w:ascii="Times New Roman" w:eastAsia="Times New Roman" w:hAnsi="Times New Roman" w:cs="Times New Roman"/>
          <w:color w:val="000000"/>
          <w:sz w:val="24"/>
          <w:szCs w:val="24"/>
          <w:lang w:eastAsia="ru-RU"/>
        </w:rPr>
        <w:t>Programului</w:t>
      </w:r>
      <w:r w:rsidR="006364B2" w:rsidRPr="00125FAF">
        <w:rPr>
          <w:rFonts w:ascii="Times New Roman" w:eastAsia="Times New Roman" w:hAnsi="Times New Roman" w:cs="Times New Roman"/>
          <w:color w:val="000000"/>
          <w:sz w:val="24"/>
          <w:szCs w:val="24"/>
          <w:lang w:eastAsia="ru-RU"/>
        </w:rPr>
        <w:t xml:space="preserve"> de dezvoltare cu emisii reduse </w:t>
      </w:r>
      <w:proofErr w:type="spellStart"/>
      <w:r w:rsidR="006364B2" w:rsidRPr="00125FAF">
        <w:rPr>
          <w:rFonts w:ascii="Times New Roman" w:eastAsia="Times New Roman" w:hAnsi="Times New Roman" w:cs="Times New Roman"/>
          <w:color w:val="000000"/>
          <w:sz w:val="24"/>
          <w:szCs w:val="24"/>
          <w:lang w:eastAsia="ru-RU"/>
        </w:rPr>
        <w:t>şi</w:t>
      </w:r>
      <w:proofErr w:type="spellEnd"/>
      <w:r w:rsidR="006364B2" w:rsidRPr="00125FAF">
        <w:rPr>
          <w:rFonts w:ascii="Times New Roman" w:eastAsia="Times New Roman" w:hAnsi="Times New Roman" w:cs="Times New Roman"/>
          <w:color w:val="000000"/>
          <w:sz w:val="24"/>
          <w:szCs w:val="24"/>
          <w:lang w:eastAsia="ru-RU"/>
        </w:rPr>
        <w:t xml:space="preserve"> </w:t>
      </w:r>
      <w:proofErr w:type="spellStart"/>
      <w:r w:rsidR="006364B2" w:rsidRPr="00125FAF">
        <w:rPr>
          <w:rFonts w:ascii="Times New Roman" w:eastAsia="Times New Roman" w:hAnsi="Times New Roman" w:cs="Times New Roman"/>
          <w:color w:val="000000"/>
          <w:sz w:val="24"/>
          <w:szCs w:val="24"/>
          <w:lang w:eastAsia="ru-RU"/>
        </w:rPr>
        <w:t>a</w:t>
      </w:r>
      <w:r w:rsidR="006364B2" w:rsidRPr="00125FAF">
        <w:rPr>
          <w:rFonts w:ascii="Times New Roman" w:eastAsia="Times New Roman" w:hAnsi="Times New Roman" w:cs="Times New Roman"/>
          <w:color w:val="000000"/>
          <w:sz w:val="24"/>
          <w:szCs w:val="24"/>
          <w:shd w:val="clear" w:color="auto" w:fill="FFFFFF"/>
          <w:lang w:eastAsia="ru-RU"/>
        </w:rPr>
        <w:t>cţiunilor</w:t>
      </w:r>
      <w:proofErr w:type="spellEnd"/>
      <w:r w:rsidR="006364B2" w:rsidRPr="00125FAF">
        <w:rPr>
          <w:rFonts w:ascii="Times New Roman" w:eastAsia="Times New Roman" w:hAnsi="Times New Roman" w:cs="Times New Roman"/>
          <w:color w:val="000000"/>
          <w:sz w:val="24"/>
          <w:szCs w:val="24"/>
          <w:shd w:val="clear" w:color="auto" w:fill="FFFFFF"/>
          <w:lang w:eastAsia="ru-RU"/>
        </w:rPr>
        <w:t xml:space="preserve"> de atenuare adecvate la nivel </w:t>
      </w:r>
      <w:proofErr w:type="spellStart"/>
      <w:r w:rsidR="006364B2" w:rsidRPr="00125FAF">
        <w:rPr>
          <w:rFonts w:ascii="Times New Roman" w:eastAsia="Times New Roman" w:hAnsi="Times New Roman" w:cs="Times New Roman"/>
          <w:color w:val="000000"/>
          <w:sz w:val="24"/>
          <w:szCs w:val="24"/>
          <w:shd w:val="clear" w:color="auto" w:fill="FFFFFF"/>
          <w:lang w:eastAsia="ru-RU"/>
        </w:rPr>
        <w:t>naţional</w:t>
      </w:r>
      <w:proofErr w:type="spellEnd"/>
      <w:r w:rsidR="006364B2" w:rsidRPr="00125FAF">
        <w:rPr>
          <w:rFonts w:ascii="Times New Roman" w:eastAsia="Times New Roman" w:hAnsi="Times New Roman" w:cs="Times New Roman"/>
          <w:color w:val="000000"/>
          <w:sz w:val="24"/>
          <w:szCs w:val="24"/>
          <w:lang w:eastAsia="ru-RU"/>
        </w:rPr>
        <w:t xml:space="preserve"> prioritare identificate poate lua, de asemenea, forma unui acord bilateral între donator </w:t>
      </w:r>
      <w:proofErr w:type="spellStart"/>
      <w:r w:rsidR="006364B2" w:rsidRPr="00125FAF">
        <w:rPr>
          <w:rFonts w:ascii="Times New Roman" w:eastAsia="Times New Roman" w:hAnsi="Times New Roman" w:cs="Times New Roman"/>
          <w:color w:val="000000"/>
          <w:sz w:val="24"/>
          <w:szCs w:val="24"/>
          <w:lang w:eastAsia="ru-RU"/>
        </w:rPr>
        <w:t>şi</w:t>
      </w:r>
      <w:proofErr w:type="spellEnd"/>
      <w:r w:rsidR="006364B2" w:rsidRPr="00125FAF">
        <w:rPr>
          <w:rFonts w:ascii="Times New Roman" w:eastAsia="Times New Roman" w:hAnsi="Times New Roman" w:cs="Times New Roman"/>
          <w:color w:val="000000"/>
          <w:sz w:val="24"/>
          <w:szCs w:val="24"/>
          <w:lang w:eastAsia="ru-RU"/>
        </w:rPr>
        <w:t xml:space="preserve"> </w:t>
      </w:r>
      <w:proofErr w:type="spellStart"/>
      <w:r w:rsidR="006364B2" w:rsidRPr="00125FAF">
        <w:rPr>
          <w:rFonts w:ascii="Times New Roman" w:eastAsia="Times New Roman" w:hAnsi="Times New Roman" w:cs="Times New Roman"/>
          <w:color w:val="000000"/>
          <w:sz w:val="24"/>
          <w:szCs w:val="24"/>
          <w:lang w:eastAsia="ru-RU"/>
        </w:rPr>
        <w:t>ţara</w:t>
      </w:r>
      <w:proofErr w:type="spellEnd"/>
      <w:r w:rsidR="006364B2" w:rsidRPr="00125FAF">
        <w:rPr>
          <w:rFonts w:ascii="Times New Roman" w:eastAsia="Times New Roman" w:hAnsi="Times New Roman" w:cs="Times New Roman"/>
          <w:color w:val="000000"/>
          <w:sz w:val="24"/>
          <w:szCs w:val="24"/>
          <w:lang w:eastAsia="ru-RU"/>
        </w:rPr>
        <w:t>-gazdă.</w:t>
      </w:r>
      <w:r w:rsidR="006364B2" w:rsidRPr="00125FAF">
        <w:rPr>
          <w:rFonts w:ascii="Times New Roman" w:eastAsia="Times New Roman" w:hAnsi="Times New Roman" w:cs="Times New Roman"/>
          <w:color w:val="6F6F6F"/>
          <w:sz w:val="24"/>
          <w:szCs w:val="24"/>
          <w:shd w:val="clear" w:color="auto" w:fill="FFFFFF"/>
          <w:lang w:eastAsia="ru-RU"/>
        </w:rPr>
        <w:t xml:space="preserve"> </w:t>
      </w:r>
      <w:r w:rsidR="006364B2" w:rsidRPr="00125FAF">
        <w:rPr>
          <w:rFonts w:ascii="Times New Roman" w:eastAsia="Times New Roman" w:hAnsi="Times New Roman" w:cs="Times New Roman"/>
          <w:color w:val="000000"/>
          <w:sz w:val="24"/>
          <w:szCs w:val="24"/>
          <w:shd w:val="clear" w:color="auto" w:fill="FFFFFF"/>
          <w:lang w:eastAsia="ru-RU"/>
        </w:rPr>
        <w:t>Aceasta cale</w:t>
      </w:r>
      <w:r w:rsidR="0052158F" w:rsidRPr="00125FAF">
        <w:rPr>
          <w:rFonts w:ascii="Times New Roman" w:eastAsia="Times New Roman" w:hAnsi="Times New Roman" w:cs="Times New Roman"/>
          <w:color w:val="000000"/>
          <w:sz w:val="24"/>
          <w:szCs w:val="24"/>
          <w:shd w:val="clear" w:color="auto" w:fill="FFFFFF"/>
          <w:lang w:eastAsia="ru-RU"/>
        </w:rPr>
        <w:t xml:space="preserve"> este una</w:t>
      </w:r>
      <w:r w:rsidR="006364B2" w:rsidRPr="00125FAF">
        <w:rPr>
          <w:rFonts w:ascii="Times New Roman" w:eastAsia="Times New Roman" w:hAnsi="Times New Roman" w:cs="Times New Roman"/>
          <w:color w:val="000000"/>
          <w:sz w:val="24"/>
          <w:szCs w:val="24"/>
          <w:shd w:val="clear" w:color="auto" w:fill="FFFFFF"/>
          <w:lang w:eastAsia="ru-RU"/>
        </w:rPr>
        <w:t xml:space="preserve"> probabilă, av</w:t>
      </w:r>
      <w:r w:rsidR="0052158F" w:rsidRPr="00125FAF">
        <w:rPr>
          <w:rFonts w:ascii="Times New Roman" w:eastAsia="Times New Roman" w:hAnsi="Times New Roman" w:cs="Times New Roman"/>
          <w:color w:val="000000"/>
          <w:sz w:val="24"/>
          <w:szCs w:val="24"/>
          <w:shd w:val="clear" w:color="auto" w:fill="FFFFFF"/>
          <w:lang w:eastAsia="ru-RU"/>
        </w:rPr>
        <w:t>â</w:t>
      </w:r>
      <w:r w:rsidR="006364B2" w:rsidRPr="00125FAF">
        <w:rPr>
          <w:rFonts w:ascii="Times New Roman" w:eastAsia="Times New Roman" w:hAnsi="Times New Roman" w:cs="Times New Roman"/>
          <w:color w:val="000000"/>
          <w:sz w:val="24"/>
          <w:szCs w:val="24"/>
          <w:shd w:val="clear" w:color="auto" w:fill="FFFFFF"/>
          <w:lang w:eastAsia="ru-RU"/>
        </w:rPr>
        <w:t xml:space="preserve">nd în vedere interesul donatorilor de a asocia </w:t>
      </w:r>
      <w:proofErr w:type="spellStart"/>
      <w:r w:rsidR="006364B2" w:rsidRPr="00125FAF">
        <w:rPr>
          <w:rFonts w:ascii="Times New Roman" w:eastAsia="Times New Roman" w:hAnsi="Times New Roman" w:cs="Times New Roman"/>
          <w:color w:val="000000"/>
          <w:sz w:val="24"/>
          <w:szCs w:val="24"/>
          <w:shd w:val="clear" w:color="auto" w:fill="FFFFFF"/>
          <w:lang w:eastAsia="ru-RU"/>
        </w:rPr>
        <w:t>finanţarea</w:t>
      </w:r>
      <w:proofErr w:type="spellEnd"/>
      <w:r w:rsidR="006364B2" w:rsidRPr="00125FAF">
        <w:rPr>
          <w:rFonts w:ascii="Times New Roman" w:eastAsia="Times New Roman" w:hAnsi="Times New Roman" w:cs="Times New Roman"/>
          <w:color w:val="000000"/>
          <w:sz w:val="24"/>
          <w:szCs w:val="24"/>
          <w:shd w:val="clear" w:color="auto" w:fill="FFFFFF"/>
          <w:lang w:eastAsia="ru-RU"/>
        </w:rPr>
        <w:t xml:space="preserve"> rapidă cu anumite </w:t>
      </w:r>
      <w:proofErr w:type="spellStart"/>
      <w:r w:rsidR="006364B2" w:rsidRPr="00125FAF">
        <w:rPr>
          <w:rFonts w:ascii="Times New Roman" w:eastAsia="Times New Roman" w:hAnsi="Times New Roman" w:cs="Times New Roman"/>
          <w:color w:val="000000"/>
          <w:sz w:val="24"/>
          <w:szCs w:val="24"/>
          <w:shd w:val="clear" w:color="auto" w:fill="FFFFFF"/>
          <w:lang w:eastAsia="ru-RU"/>
        </w:rPr>
        <w:t>ţări</w:t>
      </w:r>
      <w:proofErr w:type="spellEnd"/>
      <w:r w:rsidR="006364B2" w:rsidRPr="00125FAF">
        <w:rPr>
          <w:rFonts w:ascii="Times New Roman" w:eastAsia="Times New Roman" w:hAnsi="Times New Roman" w:cs="Times New Roman"/>
          <w:color w:val="000000"/>
          <w:sz w:val="24"/>
          <w:szCs w:val="24"/>
          <w:shd w:val="clear" w:color="auto" w:fill="FFFFFF"/>
          <w:lang w:eastAsia="ru-RU"/>
        </w:rPr>
        <w:t xml:space="preserve"> </w:t>
      </w:r>
      <w:proofErr w:type="spellStart"/>
      <w:r w:rsidR="006364B2" w:rsidRPr="00125FAF">
        <w:rPr>
          <w:rFonts w:ascii="Times New Roman" w:eastAsia="Times New Roman" w:hAnsi="Times New Roman" w:cs="Times New Roman"/>
          <w:color w:val="000000"/>
          <w:sz w:val="24"/>
          <w:szCs w:val="24"/>
          <w:shd w:val="clear" w:color="auto" w:fill="FFFFFF"/>
          <w:lang w:eastAsia="ru-RU"/>
        </w:rPr>
        <w:t>şi</w:t>
      </w:r>
      <w:proofErr w:type="spellEnd"/>
      <w:r w:rsidR="006364B2" w:rsidRPr="00125FAF">
        <w:rPr>
          <w:rFonts w:ascii="Times New Roman" w:eastAsia="Times New Roman" w:hAnsi="Times New Roman" w:cs="Times New Roman"/>
          <w:color w:val="000000"/>
          <w:sz w:val="24"/>
          <w:szCs w:val="24"/>
          <w:shd w:val="clear" w:color="auto" w:fill="FFFFFF"/>
          <w:lang w:eastAsia="ru-RU"/>
        </w:rPr>
        <w:t xml:space="preserve"> lipsa în cadrul </w:t>
      </w:r>
      <w:proofErr w:type="spellStart"/>
      <w:r w:rsidR="006364B2" w:rsidRPr="00125FAF">
        <w:rPr>
          <w:rFonts w:ascii="Times New Roman" w:eastAsia="Times New Roman" w:hAnsi="Times New Roman" w:cs="Times New Roman"/>
          <w:color w:val="000000"/>
          <w:sz w:val="24"/>
          <w:szCs w:val="24"/>
          <w:shd w:val="clear" w:color="auto" w:fill="FFFFFF"/>
          <w:lang w:eastAsia="ru-RU"/>
        </w:rPr>
        <w:t>Convenţiei</w:t>
      </w:r>
      <w:proofErr w:type="spellEnd"/>
      <w:r w:rsidR="006364B2" w:rsidRPr="00125FAF">
        <w:rPr>
          <w:rFonts w:ascii="Times New Roman" w:eastAsia="Times New Roman" w:hAnsi="Times New Roman" w:cs="Times New Roman"/>
          <w:color w:val="000000"/>
          <w:sz w:val="24"/>
          <w:szCs w:val="24"/>
          <w:shd w:val="clear" w:color="auto" w:fill="FFFFFF"/>
          <w:lang w:eastAsia="ru-RU"/>
        </w:rPr>
        <w:t>-cadru a prevederilor convenite privind</w:t>
      </w:r>
      <w:r w:rsidR="00E70219" w:rsidRPr="00125FAF">
        <w:rPr>
          <w:rFonts w:ascii="Times New Roman" w:eastAsia="Times New Roman" w:hAnsi="Times New Roman" w:cs="Times New Roman"/>
          <w:color w:val="000000"/>
          <w:sz w:val="24"/>
          <w:szCs w:val="24"/>
          <w:shd w:val="clear" w:color="auto" w:fill="FFFFFF"/>
          <w:lang w:eastAsia="ru-RU"/>
        </w:rPr>
        <w:t xml:space="preserve"> </w:t>
      </w:r>
      <w:proofErr w:type="spellStart"/>
      <w:r w:rsidR="006364B2" w:rsidRPr="00125FAF">
        <w:rPr>
          <w:rFonts w:ascii="Times New Roman" w:eastAsia="Times New Roman" w:hAnsi="Times New Roman" w:cs="Times New Roman"/>
          <w:color w:val="000000"/>
          <w:sz w:val="24"/>
          <w:szCs w:val="24"/>
          <w:shd w:val="clear" w:color="auto" w:fill="FFFFFF"/>
          <w:lang w:eastAsia="ru-RU"/>
        </w:rPr>
        <w:t>finanţarea</w:t>
      </w:r>
      <w:proofErr w:type="spellEnd"/>
      <w:r w:rsidR="006364B2" w:rsidRPr="00125FAF">
        <w:rPr>
          <w:rFonts w:ascii="Times New Roman" w:eastAsia="Times New Roman" w:hAnsi="Times New Roman" w:cs="Times New Roman"/>
          <w:color w:val="000000"/>
          <w:sz w:val="24"/>
          <w:szCs w:val="24"/>
          <w:shd w:val="clear" w:color="auto" w:fill="FFFFFF"/>
          <w:lang w:eastAsia="ru-RU"/>
        </w:rPr>
        <w:t xml:space="preserve"> multilaterală a </w:t>
      </w:r>
      <w:proofErr w:type="spellStart"/>
      <w:r w:rsidR="006364B2" w:rsidRPr="00125FAF">
        <w:rPr>
          <w:rFonts w:ascii="Times New Roman" w:eastAsia="Times New Roman" w:hAnsi="Times New Roman" w:cs="Times New Roman"/>
          <w:color w:val="000000"/>
          <w:sz w:val="24"/>
          <w:szCs w:val="24"/>
          <w:shd w:val="clear" w:color="auto" w:fill="FFFFFF"/>
          <w:lang w:eastAsia="ru-RU"/>
        </w:rPr>
        <w:t>acţiunilor</w:t>
      </w:r>
      <w:proofErr w:type="spellEnd"/>
      <w:r w:rsidR="006364B2" w:rsidRPr="00125FAF">
        <w:rPr>
          <w:rFonts w:ascii="Times New Roman" w:eastAsia="Times New Roman" w:hAnsi="Times New Roman" w:cs="Times New Roman"/>
          <w:color w:val="000000"/>
          <w:sz w:val="24"/>
          <w:szCs w:val="24"/>
          <w:shd w:val="clear" w:color="auto" w:fill="FFFFFF"/>
          <w:lang w:eastAsia="ru-RU"/>
        </w:rPr>
        <w:t xml:space="preserve"> de atenuare adecvate la nivel </w:t>
      </w:r>
      <w:proofErr w:type="spellStart"/>
      <w:r w:rsidR="006364B2" w:rsidRPr="00125FAF">
        <w:rPr>
          <w:rFonts w:ascii="Times New Roman" w:eastAsia="Times New Roman" w:hAnsi="Times New Roman" w:cs="Times New Roman"/>
          <w:color w:val="000000"/>
          <w:sz w:val="24"/>
          <w:szCs w:val="24"/>
          <w:shd w:val="clear" w:color="auto" w:fill="FFFFFF"/>
          <w:lang w:eastAsia="ru-RU"/>
        </w:rPr>
        <w:t>naţional</w:t>
      </w:r>
      <w:proofErr w:type="spellEnd"/>
      <w:r w:rsidR="006364B2" w:rsidRPr="00125FAF">
        <w:rPr>
          <w:rFonts w:ascii="Times New Roman" w:eastAsia="Times New Roman" w:hAnsi="Times New Roman" w:cs="Times New Roman"/>
          <w:color w:val="000000"/>
          <w:sz w:val="24"/>
          <w:szCs w:val="24"/>
          <w:shd w:val="clear" w:color="auto" w:fill="FFFFFF"/>
          <w:lang w:eastAsia="ru-RU"/>
        </w:rPr>
        <w:t>.</w:t>
      </w:r>
    </w:p>
    <w:p w14:paraId="28A844E1" w14:textId="15CDC22E" w:rsidR="00BA7CE5" w:rsidRPr="00125FAF" w:rsidRDefault="007909C8">
      <w:pPr>
        <w:spacing w:after="0"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125FAF">
        <w:rPr>
          <w:rFonts w:ascii="Times New Roman" w:eastAsia="Times New Roman" w:hAnsi="Times New Roman" w:cs="Times New Roman"/>
          <w:color w:val="000000"/>
          <w:sz w:val="24"/>
          <w:szCs w:val="24"/>
          <w:shd w:val="clear" w:color="auto" w:fill="FFFFFF"/>
          <w:lang w:eastAsia="ru-RU"/>
        </w:rPr>
        <w:t>31</w:t>
      </w:r>
      <w:r w:rsidR="00C61A4F" w:rsidRPr="00125FAF">
        <w:rPr>
          <w:rFonts w:ascii="Times New Roman" w:eastAsia="Times New Roman" w:hAnsi="Times New Roman" w:cs="Times New Roman"/>
          <w:color w:val="000000"/>
          <w:sz w:val="24"/>
          <w:szCs w:val="24"/>
          <w:shd w:val="clear" w:color="auto" w:fill="FFFFFF"/>
          <w:lang w:eastAsia="ru-RU"/>
        </w:rPr>
        <w:t xml:space="preserve">. O altă sursă importantă de </w:t>
      </w:r>
      <w:proofErr w:type="spellStart"/>
      <w:r w:rsidR="00C61A4F" w:rsidRPr="00125FAF">
        <w:rPr>
          <w:rFonts w:ascii="Times New Roman" w:eastAsia="Times New Roman" w:hAnsi="Times New Roman" w:cs="Times New Roman"/>
          <w:color w:val="000000"/>
          <w:sz w:val="24"/>
          <w:szCs w:val="24"/>
          <w:shd w:val="clear" w:color="auto" w:fill="FFFFFF"/>
          <w:lang w:eastAsia="ru-RU"/>
        </w:rPr>
        <w:t>finanţare</w:t>
      </w:r>
      <w:proofErr w:type="spellEnd"/>
      <w:r w:rsidR="00C61A4F" w:rsidRPr="00125FAF">
        <w:rPr>
          <w:rFonts w:ascii="Times New Roman" w:eastAsia="Times New Roman" w:hAnsi="Times New Roman" w:cs="Times New Roman"/>
          <w:color w:val="000000"/>
          <w:sz w:val="24"/>
          <w:szCs w:val="24"/>
          <w:shd w:val="clear" w:color="auto" w:fill="FFFFFF"/>
          <w:lang w:eastAsia="ru-RU"/>
        </w:rPr>
        <w:t xml:space="preserve"> a </w:t>
      </w:r>
      <w:proofErr w:type="spellStart"/>
      <w:r w:rsidR="00C61A4F" w:rsidRPr="00125FAF">
        <w:rPr>
          <w:rFonts w:ascii="Times New Roman" w:eastAsia="Times New Roman" w:hAnsi="Times New Roman" w:cs="Times New Roman"/>
          <w:color w:val="000000"/>
          <w:sz w:val="24"/>
          <w:szCs w:val="24"/>
          <w:shd w:val="clear" w:color="auto" w:fill="FFFFFF"/>
          <w:lang w:eastAsia="ru-RU"/>
        </w:rPr>
        <w:t>acţiunil</w:t>
      </w:r>
      <w:r w:rsidR="00145722" w:rsidRPr="00125FAF">
        <w:rPr>
          <w:rFonts w:ascii="Times New Roman" w:eastAsia="Times New Roman" w:hAnsi="Times New Roman" w:cs="Times New Roman"/>
          <w:color w:val="000000"/>
          <w:sz w:val="24"/>
          <w:szCs w:val="24"/>
          <w:shd w:val="clear" w:color="auto" w:fill="FFFFFF"/>
          <w:lang w:eastAsia="ru-RU"/>
        </w:rPr>
        <w:t>or</w:t>
      </w:r>
      <w:proofErr w:type="spellEnd"/>
      <w:r w:rsidR="00C61A4F" w:rsidRPr="00125FAF">
        <w:rPr>
          <w:rFonts w:ascii="Times New Roman" w:eastAsia="Times New Roman" w:hAnsi="Times New Roman" w:cs="Times New Roman"/>
          <w:color w:val="000000"/>
          <w:sz w:val="24"/>
          <w:szCs w:val="24"/>
          <w:shd w:val="clear" w:color="auto" w:fill="FFFFFF"/>
          <w:lang w:eastAsia="ru-RU"/>
        </w:rPr>
        <w:t xml:space="preserve"> de reducere a emisiilor de GES o constituie Uniunea Europeană </w:t>
      </w:r>
      <w:proofErr w:type="spellStart"/>
      <w:r w:rsidR="00C61A4F" w:rsidRPr="00125FAF">
        <w:rPr>
          <w:rFonts w:ascii="Times New Roman" w:eastAsia="Times New Roman" w:hAnsi="Times New Roman" w:cs="Times New Roman"/>
          <w:color w:val="000000"/>
          <w:sz w:val="24"/>
          <w:szCs w:val="24"/>
          <w:shd w:val="clear" w:color="auto" w:fill="FFFFFF"/>
          <w:lang w:eastAsia="ru-RU"/>
        </w:rPr>
        <w:t>şi</w:t>
      </w:r>
      <w:proofErr w:type="spellEnd"/>
      <w:r w:rsidR="00C61A4F" w:rsidRPr="00125FAF">
        <w:rPr>
          <w:rFonts w:ascii="Times New Roman" w:eastAsia="Times New Roman" w:hAnsi="Times New Roman" w:cs="Times New Roman"/>
          <w:color w:val="000000"/>
          <w:sz w:val="24"/>
          <w:szCs w:val="24"/>
          <w:shd w:val="clear" w:color="auto" w:fill="FFFFFF"/>
          <w:lang w:eastAsia="ru-RU"/>
        </w:rPr>
        <w:t xml:space="preserve"> Banca Europeană de </w:t>
      </w:r>
      <w:proofErr w:type="spellStart"/>
      <w:r w:rsidR="00C61A4F" w:rsidRPr="00125FAF">
        <w:rPr>
          <w:rFonts w:ascii="Times New Roman" w:eastAsia="Times New Roman" w:hAnsi="Times New Roman" w:cs="Times New Roman"/>
          <w:color w:val="000000"/>
          <w:sz w:val="24"/>
          <w:szCs w:val="24"/>
          <w:shd w:val="clear" w:color="auto" w:fill="FFFFFF"/>
          <w:lang w:eastAsia="ru-RU"/>
        </w:rPr>
        <w:t>Investiţii</w:t>
      </w:r>
      <w:proofErr w:type="spellEnd"/>
      <w:r w:rsidR="00C61A4F" w:rsidRPr="00125FAF">
        <w:rPr>
          <w:rFonts w:ascii="Times New Roman" w:eastAsia="Times New Roman" w:hAnsi="Times New Roman" w:cs="Times New Roman"/>
          <w:color w:val="000000"/>
          <w:sz w:val="24"/>
          <w:szCs w:val="24"/>
          <w:shd w:val="clear" w:color="auto" w:fill="FFFFFF"/>
          <w:lang w:eastAsia="ru-RU"/>
        </w:rPr>
        <w:t>. Împreună, BEI și UE</w:t>
      </w:r>
      <w:r w:rsidR="00B94958" w:rsidRPr="00125FAF">
        <w:rPr>
          <w:rFonts w:ascii="Times New Roman" w:eastAsia="Times New Roman" w:hAnsi="Times New Roman" w:cs="Times New Roman"/>
          <w:color w:val="000000"/>
          <w:sz w:val="24"/>
          <w:szCs w:val="24"/>
          <w:shd w:val="clear" w:color="auto" w:fill="FFFFFF"/>
          <w:lang w:eastAsia="ru-RU"/>
        </w:rPr>
        <w:t>, precum</w:t>
      </w:r>
      <w:r w:rsidR="00C61A4F" w:rsidRPr="00125FAF">
        <w:rPr>
          <w:rFonts w:ascii="Times New Roman" w:eastAsia="Times New Roman" w:hAnsi="Times New Roman" w:cs="Times New Roman"/>
          <w:color w:val="000000"/>
          <w:sz w:val="24"/>
          <w:szCs w:val="24"/>
          <w:shd w:val="clear" w:color="auto" w:fill="FFFFFF"/>
          <w:lang w:eastAsia="ru-RU"/>
        </w:rPr>
        <w:t xml:space="preserve"> și statele sale membre</w:t>
      </w:r>
      <w:r w:rsidR="00B94958" w:rsidRPr="00125FAF">
        <w:rPr>
          <w:rFonts w:ascii="Times New Roman" w:eastAsia="Times New Roman" w:hAnsi="Times New Roman" w:cs="Times New Roman"/>
          <w:color w:val="000000"/>
          <w:sz w:val="24"/>
          <w:szCs w:val="24"/>
          <w:shd w:val="clear" w:color="auto" w:fill="FFFFFF"/>
          <w:lang w:eastAsia="ru-RU"/>
        </w:rPr>
        <w:t>,</w:t>
      </w:r>
      <w:r w:rsidR="00C61A4F" w:rsidRPr="00125FAF">
        <w:rPr>
          <w:rFonts w:ascii="Times New Roman" w:eastAsia="Times New Roman" w:hAnsi="Times New Roman" w:cs="Times New Roman"/>
          <w:color w:val="000000"/>
          <w:sz w:val="24"/>
          <w:szCs w:val="24"/>
          <w:shd w:val="clear" w:color="auto" w:fill="FFFFFF"/>
          <w:lang w:eastAsia="ru-RU"/>
        </w:rPr>
        <w:t xml:space="preserve"> sunt cei mai mari furnizori de finanțare publică în domeniul schimbărilor climatice</w:t>
      </w:r>
      <w:r w:rsidR="007C732A" w:rsidRPr="00125FAF">
        <w:rPr>
          <w:rFonts w:ascii="Times New Roman" w:eastAsia="Times New Roman" w:hAnsi="Times New Roman" w:cs="Times New Roman"/>
          <w:color w:val="000000"/>
          <w:sz w:val="24"/>
          <w:szCs w:val="24"/>
          <w:shd w:val="clear" w:color="auto" w:fill="FFFFFF"/>
          <w:lang w:eastAsia="ru-RU"/>
        </w:rPr>
        <w:t xml:space="preserve"> pentru </w:t>
      </w:r>
      <w:proofErr w:type="spellStart"/>
      <w:r w:rsidR="007C732A" w:rsidRPr="00125FAF">
        <w:rPr>
          <w:rFonts w:ascii="Times New Roman" w:eastAsia="Times New Roman" w:hAnsi="Times New Roman" w:cs="Times New Roman"/>
          <w:color w:val="000000"/>
          <w:sz w:val="24"/>
          <w:szCs w:val="24"/>
          <w:shd w:val="clear" w:color="auto" w:fill="FFFFFF"/>
          <w:lang w:eastAsia="ru-RU"/>
        </w:rPr>
        <w:t>ţările</w:t>
      </w:r>
      <w:proofErr w:type="spellEnd"/>
      <w:r w:rsidR="007C732A" w:rsidRPr="00125FAF">
        <w:rPr>
          <w:rFonts w:ascii="Times New Roman" w:eastAsia="Times New Roman" w:hAnsi="Times New Roman" w:cs="Times New Roman"/>
          <w:color w:val="000000"/>
          <w:sz w:val="24"/>
          <w:szCs w:val="24"/>
          <w:shd w:val="clear" w:color="auto" w:fill="FFFFFF"/>
          <w:lang w:eastAsia="ru-RU"/>
        </w:rPr>
        <w:t xml:space="preserve"> în curs de dezvoltare</w:t>
      </w:r>
      <w:r w:rsidR="00C61A4F" w:rsidRPr="00125FAF">
        <w:rPr>
          <w:rFonts w:ascii="Times New Roman" w:eastAsia="Times New Roman" w:hAnsi="Times New Roman" w:cs="Times New Roman"/>
          <w:color w:val="000000"/>
          <w:sz w:val="24"/>
          <w:szCs w:val="24"/>
          <w:shd w:val="clear" w:color="auto" w:fill="FFFFFF"/>
          <w:lang w:eastAsia="ru-RU"/>
        </w:rPr>
        <w:t xml:space="preserve">, aportul </w:t>
      </w:r>
      <w:r w:rsidR="00145722" w:rsidRPr="00125FAF">
        <w:rPr>
          <w:rFonts w:ascii="Times New Roman" w:eastAsia="Times New Roman" w:hAnsi="Times New Roman" w:cs="Times New Roman"/>
          <w:color w:val="000000"/>
          <w:sz w:val="24"/>
          <w:szCs w:val="24"/>
          <w:shd w:val="clear" w:color="auto" w:fill="FFFFFF"/>
          <w:lang w:eastAsia="ru-RU"/>
        </w:rPr>
        <w:t xml:space="preserve">lor majorându-se </w:t>
      </w:r>
      <w:r w:rsidR="00C61A4F" w:rsidRPr="00125FAF">
        <w:rPr>
          <w:rFonts w:ascii="Times New Roman" w:eastAsia="Times New Roman" w:hAnsi="Times New Roman" w:cs="Times New Roman"/>
          <w:color w:val="000000"/>
          <w:sz w:val="24"/>
          <w:szCs w:val="24"/>
          <w:shd w:val="clear" w:color="auto" w:fill="FFFFFF"/>
          <w:lang w:eastAsia="ru-RU"/>
        </w:rPr>
        <w:t xml:space="preserve">de la 9,5 miliarde Euro în 2013 la 21,7 miliarde EUR în 2018. UE recunoaște că acțiunea la capitolul schimbarea climei este cea mai eficientă atunci când sprijinul este conceput și implementat în parteneriat cu guvernele naționale. Din acest motiv, UE colaborează îndeaproape cu guvernele partenere pentru a-și consolida capacitatea instituțională </w:t>
      </w:r>
      <w:r w:rsidR="007C732A" w:rsidRPr="00125FAF">
        <w:rPr>
          <w:rFonts w:ascii="Times New Roman" w:eastAsia="Times New Roman" w:hAnsi="Times New Roman" w:cs="Times New Roman"/>
          <w:color w:val="000000"/>
          <w:sz w:val="24"/>
          <w:szCs w:val="24"/>
          <w:shd w:val="clear" w:color="auto" w:fill="FFFFFF"/>
          <w:lang w:eastAsia="ru-RU"/>
        </w:rPr>
        <w:t xml:space="preserve">în ceia ce </w:t>
      </w:r>
      <w:proofErr w:type="spellStart"/>
      <w:r w:rsidR="007C732A" w:rsidRPr="00125FAF">
        <w:rPr>
          <w:rFonts w:ascii="Times New Roman" w:eastAsia="Times New Roman" w:hAnsi="Times New Roman" w:cs="Times New Roman"/>
          <w:color w:val="000000"/>
          <w:sz w:val="24"/>
          <w:szCs w:val="24"/>
          <w:shd w:val="clear" w:color="auto" w:fill="FFFFFF"/>
          <w:lang w:eastAsia="ru-RU"/>
        </w:rPr>
        <w:t>priveşte</w:t>
      </w:r>
      <w:proofErr w:type="spellEnd"/>
      <w:r w:rsidR="007C732A" w:rsidRPr="00125FAF">
        <w:rPr>
          <w:rFonts w:ascii="Times New Roman" w:eastAsia="Times New Roman" w:hAnsi="Times New Roman" w:cs="Times New Roman"/>
          <w:color w:val="000000"/>
          <w:sz w:val="24"/>
          <w:szCs w:val="24"/>
          <w:shd w:val="clear" w:color="auto" w:fill="FFFFFF"/>
          <w:lang w:eastAsia="ru-RU"/>
        </w:rPr>
        <w:t xml:space="preserve"> </w:t>
      </w:r>
      <w:r w:rsidR="00C61A4F" w:rsidRPr="00125FAF">
        <w:rPr>
          <w:rFonts w:ascii="Times New Roman" w:eastAsia="Times New Roman" w:hAnsi="Times New Roman" w:cs="Times New Roman"/>
          <w:color w:val="000000"/>
          <w:sz w:val="24"/>
          <w:szCs w:val="24"/>
          <w:shd w:val="clear" w:color="auto" w:fill="FFFFFF"/>
          <w:lang w:eastAsia="ru-RU"/>
        </w:rPr>
        <w:t>dezvolta</w:t>
      </w:r>
      <w:r w:rsidR="007C732A" w:rsidRPr="00125FAF">
        <w:rPr>
          <w:rFonts w:ascii="Times New Roman" w:eastAsia="Times New Roman" w:hAnsi="Times New Roman" w:cs="Times New Roman"/>
          <w:color w:val="000000"/>
          <w:sz w:val="24"/>
          <w:szCs w:val="24"/>
          <w:shd w:val="clear" w:color="auto" w:fill="FFFFFF"/>
          <w:lang w:eastAsia="ru-RU"/>
        </w:rPr>
        <w:t>rea</w:t>
      </w:r>
      <w:r w:rsidR="00C61A4F" w:rsidRPr="00125FAF">
        <w:rPr>
          <w:rFonts w:ascii="Times New Roman" w:eastAsia="Times New Roman" w:hAnsi="Times New Roman" w:cs="Times New Roman"/>
          <w:color w:val="000000"/>
          <w:sz w:val="24"/>
          <w:szCs w:val="24"/>
          <w:shd w:val="clear" w:color="auto" w:fill="FFFFFF"/>
          <w:lang w:eastAsia="ru-RU"/>
        </w:rPr>
        <w:t xml:space="preserve"> politic</w:t>
      </w:r>
      <w:r w:rsidR="007C732A" w:rsidRPr="00125FAF">
        <w:rPr>
          <w:rFonts w:ascii="Times New Roman" w:eastAsia="Times New Roman" w:hAnsi="Times New Roman" w:cs="Times New Roman"/>
          <w:color w:val="000000"/>
          <w:sz w:val="24"/>
          <w:szCs w:val="24"/>
          <w:shd w:val="clear" w:color="auto" w:fill="FFFFFF"/>
          <w:lang w:eastAsia="ru-RU"/>
        </w:rPr>
        <w:t>i</w:t>
      </w:r>
      <w:r w:rsidR="00145722" w:rsidRPr="00125FAF">
        <w:rPr>
          <w:rFonts w:ascii="Times New Roman" w:eastAsia="Times New Roman" w:hAnsi="Times New Roman" w:cs="Times New Roman"/>
          <w:color w:val="000000"/>
          <w:sz w:val="24"/>
          <w:szCs w:val="24"/>
          <w:shd w:val="clear" w:color="auto" w:fill="FFFFFF"/>
          <w:lang w:eastAsia="ru-RU"/>
        </w:rPr>
        <w:t>lor</w:t>
      </w:r>
      <w:r w:rsidR="00C61A4F" w:rsidRPr="00125FAF">
        <w:rPr>
          <w:rFonts w:ascii="Times New Roman" w:eastAsia="Times New Roman" w:hAnsi="Times New Roman" w:cs="Times New Roman"/>
          <w:color w:val="000000"/>
          <w:sz w:val="24"/>
          <w:szCs w:val="24"/>
          <w:shd w:val="clear" w:color="auto" w:fill="FFFFFF"/>
          <w:lang w:eastAsia="ru-RU"/>
        </w:rPr>
        <w:t xml:space="preserve"> climatic</w:t>
      </w:r>
      <w:r w:rsidR="007C732A" w:rsidRPr="00125FAF">
        <w:rPr>
          <w:rFonts w:ascii="Times New Roman" w:eastAsia="Times New Roman" w:hAnsi="Times New Roman" w:cs="Times New Roman"/>
          <w:color w:val="000000"/>
          <w:sz w:val="24"/>
          <w:szCs w:val="24"/>
          <w:shd w:val="clear" w:color="auto" w:fill="FFFFFF"/>
          <w:lang w:eastAsia="ru-RU"/>
        </w:rPr>
        <w:t>e</w:t>
      </w:r>
      <w:r w:rsidR="00C61A4F" w:rsidRPr="00125FAF">
        <w:rPr>
          <w:rFonts w:ascii="Times New Roman" w:eastAsia="Times New Roman" w:hAnsi="Times New Roman" w:cs="Times New Roman"/>
          <w:color w:val="000000"/>
          <w:sz w:val="24"/>
          <w:szCs w:val="24"/>
          <w:shd w:val="clear" w:color="auto" w:fill="FFFFFF"/>
          <w:lang w:eastAsia="ru-RU"/>
        </w:rPr>
        <w:t>, în conformitate cu propriile lor priorități naționale. Această abordare permite ca părțile naționale</w:t>
      </w:r>
      <w:r w:rsidR="00145722" w:rsidRPr="00125FAF">
        <w:t xml:space="preserve"> </w:t>
      </w:r>
      <w:r w:rsidR="00145722" w:rsidRPr="00125FAF">
        <w:rPr>
          <w:rFonts w:ascii="Times New Roman" w:eastAsia="Times New Roman" w:hAnsi="Times New Roman" w:cs="Times New Roman"/>
          <w:color w:val="000000"/>
          <w:sz w:val="24"/>
          <w:szCs w:val="24"/>
          <w:shd w:val="clear" w:color="auto" w:fill="FFFFFF"/>
          <w:lang w:eastAsia="ru-RU"/>
        </w:rPr>
        <w:t>interesate</w:t>
      </w:r>
      <w:r w:rsidR="00C61A4F" w:rsidRPr="00125FAF">
        <w:rPr>
          <w:rFonts w:ascii="Times New Roman" w:eastAsia="Times New Roman" w:hAnsi="Times New Roman" w:cs="Times New Roman"/>
          <w:color w:val="000000"/>
          <w:sz w:val="24"/>
          <w:szCs w:val="24"/>
          <w:shd w:val="clear" w:color="auto" w:fill="FFFFFF"/>
          <w:lang w:eastAsia="ru-RU"/>
        </w:rPr>
        <w:t xml:space="preserve"> să fie </w:t>
      </w:r>
      <w:r w:rsidR="007E5B59" w:rsidRPr="00125FAF">
        <w:rPr>
          <w:rFonts w:ascii="Times New Roman" w:eastAsia="Times New Roman" w:hAnsi="Times New Roman" w:cs="Times New Roman"/>
          <w:color w:val="000000"/>
          <w:sz w:val="24"/>
          <w:szCs w:val="24"/>
          <w:shd w:val="clear" w:color="auto" w:fill="FFFFFF"/>
          <w:lang w:eastAsia="ru-RU"/>
        </w:rPr>
        <w:t>atrase</w:t>
      </w:r>
      <w:r w:rsidR="00C61A4F" w:rsidRPr="00125FAF">
        <w:rPr>
          <w:rFonts w:ascii="Times New Roman" w:eastAsia="Times New Roman" w:hAnsi="Times New Roman" w:cs="Times New Roman"/>
          <w:color w:val="000000"/>
          <w:sz w:val="24"/>
          <w:szCs w:val="24"/>
          <w:shd w:val="clear" w:color="auto" w:fill="FFFFFF"/>
          <w:lang w:eastAsia="ru-RU"/>
        </w:rPr>
        <w:t xml:space="preserve"> în </w:t>
      </w:r>
      <w:r w:rsidR="003010B4" w:rsidRPr="00125FAF">
        <w:rPr>
          <w:rFonts w:ascii="Times New Roman" w:eastAsia="Times New Roman" w:hAnsi="Times New Roman" w:cs="Times New Roman"/>
          <w:color w:val="000000"/>
          <w:sz w:val="24"/>
          <w:szCs w:val="24"/>
          <w:shd w:val="clear" w:color="auto" w:fill="FFFFFF"/>
          <w:lang w:eastAsia="ru-RU"/>
        </w:rPr>
        <w:t>elaborarea</w:t>
      </w:r>
      <w:r w:rsidR="00C61A4F" w:rsidRPr="00125FAF">
        <w:rPr>
          <w:rFonts w:ascii="Times New Roman" w:eastAsia="Times New Roman" w:hAnsi="Times New Roman" w:cs="Times New Roman"/>
          <w:color w:val="000000"/>
          <w:sz w:val="24"/>
          <w:szCs w:val="24"/>
          <w:shd w:val="clear" w:color="auto" w:fill="FFFFFF"/>
          <w:lang w:eastAsia="ru-RU"/>
        </w:rPr>
        <w:t xml:space="preserve"> programelor bilaterale de sprijin </w:t>
      </w:r>
      <w:r w:rsidR="007E5B59" w:rsidRPr="00125FAF">
        <w:rPr>
          <w:rFonts w:ascii="Times New Roman" w:eastAsia="Times New Roman" w:hAnsi="Times New Roman" w:cs="Times New Roman"/>
          <w:color w:val="000000"/>
          <w:sz w:val="24"/>
          <w:szCs w:val="24"/>
          <w:shd w:val="clear" w:color="auto" w:fill="FFFFFF"/>
          <w:lang w:eastAsia="ru-RU"/>
        </w:rPr>
        <w:t>din partea</w:t>
      </w:r>
      <w:r w:rsidR="00C61A4F" w:rsidRPr="00125FAF">
        <w:rPr>
          <w:rFonts w:ascii="Times New Roman" w:eastAsia="Times New Roman" w:hAnsi="Times New Roman" w:cs="Times New Roman"/>
          <w:color w:val="000000"/>
          <w:sz w:val="24"/>
          <w:szCs w:val="24"/>
          <w:shd w:val="clear" w:color="auto" w:fill="FFFFFF"/>
          <w:lang w:eastAsia="ru-RU"/>
        </w:rPr>
        <w:t xml:space="preserve"> UE, oferind nivelul de </w:t>
      </w:r>
      <w:r w:rsidR="003010B4" w:rsidRPr="00125FAF">
        <w:rPr>
          <w:rFonts w:ascii="Times New Roman" w:eastAsia="Times New Roman" w:hAnsi="Times New Roman" w:cs="Times New Roman"/>
          <w:color w:val="000000"/>
          <w:sz w:val="24"/>
          <w:szCs w:val="24"/>
          <w:shd w:val="clear" w:color="auto" w:fill="FFFFFF"/>
          <w:lang w:eastAsia="ru-RU"/>
        </w:rPr>
        <w:t xml:space="preserve">implicare </w:t>
      </w:r>
      <w:r w:rsidR="00C61A4F" w:rsidRPr="00125FAF">
        <w:rPr>
          <w:rFonts w:ascii="Times New Roman" w:eastAsia="Times New Roman" w:hAnsi="Times New Roman" w:cs="Times New Roman"/>
          <w:color w:val="000000"/>
          <w:sz w:val="24"/>
          <w:szCs w:val="24"/>
          <w:shd w:val="clear" w:color="auto" w:fill="FFFFFF"/>
          <w:lang w:eastAsia="ru-RU"/>
        </w:rPr>
        <w:t>necesar pentru ca aceste programe de sprijin să ia în considerare propriile planuri de dezvoltare ale țării.</w:t>
      </w:r>
    </w:p>
    <w:p w14:paraId="5A673CA9" w14:textId="5F2A9973" w:rsidR="00145722" w:rsidRPr="00125FAF" w:rsidRDefault="00145722" w:rsidP="001F2F2D">
      <w:pPr>
        <w:spacing w:after="120"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125FAF">
        <w:rPr>
          <w:rFonts w:ascii="Times New Roman" w:eastAsia="Times New Roman" w:hAnsi="Times New Roman" w:cs="Times New Roman"/>
          <w:color w:val="000000"/>
          <w:sz w:val="24"/>
          <w:szCs w:val="24"/>
          <w:shd w:val="clear" w:color="auto" w:fill="FFFFFF"/>
          <w:lang w:eastAsia="ru-RU"/>
        </w:rPr>
        <w:t xml:space="preserve">Printre </w:t>
      </w:r>
      <w:r w:rsidR="00B1375D" w:rsidRPr="00125FAF">
        <w:rPr>
          <w:rFonts w:ascii="Times New Roman" w:eastAsia="Times New Roman" w:hAnsi="Times New Roman" w:cs="Times New Roman"/>
          <w:color w:val="000000"/>
          <w:sz w:val="24"/>
          <w:szCs w:val="24"/>
          <w:shd w:val="clear" w:color="auto" w:fill="FFFFFF"/>
          <w:lang w:eastAsia="ru-RU"/>
        </w:rPr>
        <w:t>mecanismele</w:t>
      </w:r>
      <w:r w:rsidRPr="00125FAF">
        <w:rPr>
          <w:rFonts w:ascii="Times New Roman" w:eastAsia="Times New Roman" w:hAnsi="Times New Roman" w:cs="Times New Roman"/>
          <w:color w:val="000000"/>
          <w:sz w:val="24"/>
          <w:szCs w:val="24"/>
          <w:shd w:val="clear" w:color="auto" w:fill="FFFFFF"/>
          <w:lang w:eastAsia="ru-RU"/>
        </w:rPr>
        <w:t xml:space="preserve"> </w:t>
      </w:r>
      <w:proofErr w:type="spellStart"/>
      <w:r w:rsidRPr="00125FAF">
        <w:rPr>
          <w:rFonts w:ascii="Times New Roman" w:eastAsia="Times New Roman" w:hAnsi="Times New Roman" w:cs="Times New Roman"/>
          <w:color w:val="000000"/>
          <w:sz w:val="24"/>
          <w:szCs w:val="24"/>
          <w:shd w:val="clear" w:color="auto" w:fill="FFFFFF"/>
          <w:lang w:eastAsia="ru-RU"/>
        </w:rPr>
        <w:t>asistenţei</w:t>
      </w:r>
      <w:proofErr w:type="spellEnd"/>
      <w:r w:rsidRPr="00125FAF">
        <w:rPr>
          <w:rFonts w:ascii="Times New Roman" w:eastAsia="Times New Roman" w:hAnsi="Times New Roman" w:cs="Times New Roman"/>
          <w:color w:val="000000"/>
          <w:sz w:val="24"/>
          <w:szCs w:val="24"/>
          <w:shd w:val="clear" w:color="auto" w:fill="FFFFFF"/>
          <w:lang w:eastAsia="ru-RU"/>
        </w:rPr>
        <w:t xml:space="preserve"> externe</w:t>
      </w:r>
      <w:r w:rsidR="00DB4D14" w:rsidRPr="00125FAF">
        <w:rPr>
          <w:rFonts w:ascii="Times New Roman" w:eastAsia="Times New Roman" w:hAnsi="Times New Roman" w:cs="Times New Roman"/>
          <w:color w:val="000000"/>
          <w:sz w:val="24"/>
          <w:szCs w:val="24"/>
          <w:shd w:val="clear" w:color="auto" w:fill="FFFFFF"/>
          <w:lang w:eastAsia="ru-RU"/>
        </w:rPr>
        <w:t xml:space="preserve"> ale UE</w:t>
      </w:r>
      <w:r w:rsidRPr="00125FAF">
        <w:rPr>
          <w:rFonts w:ascii="Times New Roman" w:eastAsia="Times New Roman" w:hAnsi="Times New Roman" w:cs="Times New Roman"/>
          <w:color w:val="000000"/>
          <w:sz w:val="24"/>
          <w:szCs w:val="24"/>
          <w:shd w:val="clear" w:color="auto" w:fill="FFFFFF"/>
          <w:lang w:eastAsia="ru-RU"/>
        </w:rPr>
        <w:t xml:space="preserve"> se numără </w:t>
      </w:r>
      <w:proofErr w:type="spellStart"/>
      <w:r w:rsidRPr="00125FAF">
        <w:rPr>
          <w:rFonts w:ascii="Times New Roman" w:eastAsia="Times New Roman" w:hAnsi="Times New Roman" w:cs="Times New Roman"/>
          <w:color w:val="000000"/>
          <w:sz w:val="24"/>
          <w:szCs w:val="24"/>
          <w:shd w:val="clear" w:color="auto" w:fill="FFFFFF"/>
          <w:lang w:eastAsia="ru-RU"/>
        </w:rPr>
        <w:t>şi</w:t>
      </w:r>
      <w:proofErr w:type="spellEnd"/>
      <w:r w:rsidRPr="00125FAF">
        <w:rPr>
          <w:rFonts w:ascii="Times New Roman" w:eastAsia="Times New Roman" w:hAnsi="Times New Roman" w:cs="Times New Roman"/>
          <w:color w:val="000000"/>
          <w:sz w:val="24"/>
          <w:szCs w:val="24"/>
          <w:shd w:val="clear" w:color="auto" w:fill="FFFFFF"/>
          <w:lang w:eastAsia="ru-RU"/>
        </w:rPr>
        <w:t xml:space="preserve"> Instrumentul european de vecinătate (IEV), care </w:t>
      </w:r>
      <w:proofErr w:type="spellStart"/>
      <w:r w:rsidRPr="00125FAF">
        <w:rPr>
          <w:rFonts w:ascii="Times New Roman" w:eastAsia="Times New Roman" w:hAnsi="Times New Roman" w:cs="Times New Roman"/>
          <w:color w:val="000000"/>
          <w:sz w:val="24"/>
          <w:szCs w:val="24"/>
          <w:shd w:val="clear" w:color="auto" w:fill="FFFFFF"/>
          <w:lang w:eastAsia="ru-RU"/>
        </w:rPr>
        <w:t>priveşte</w:t>
      </w:r>
      <w:proofErr w:type="spellEnd"/>
      <w:r w:rsidRPr="00125FAF">
        <w:rPr>
          <w:rFonts w:ascii="Times New Roman" w:eastAsia="Times New Roman" w:hAnsi="Times New Roman" w:cs="Times New Roman"/>
          <w:color w:val="000000"/>
          <w:sz w:val="24"/>
          <w:szCs w:val="24"/>
          <w:shd w:val="clear" w:color="auto" w:fill="FFFFFF"/>
          <w:lang w:eastAsia="ru-RU"/>
        </w:rPr>
        <w:t xml:space="preserve"> </w:t>
      </w:r>
      <w:proofErr w:type="spellStart"/>
      <w:r w:rsidRPr="00125FAF">
        <w:rPr>
          <w:rFonts w:ascii="Times New Roman" w:eastAsia="Times New Roman" w:hAnsi="Times New Roman" w:cs="Times New Roman"/>
          <w:color w:val="000000"/>
          <w:sz w:val="24"/>
          <w:szCs w:val="24"/>
          <w:shd w:val="clear" w:color="auto" w:fill="FFFFFF"/>
          <w:lang w:eastAsia="ru-RU"/>
        </w:rPr>
        <w:t>şi</w:t>
      </w:r>
      <w:proofErr w:type="spellEnd"/>
      <w:r w:rsidRPr="00125FAF">
        <w:rPr>
          <w:rFonts w:ascii="Times New Roman" w:eastAsia="Times New Roman" w:hAnsi="Times New Roman" w:cs="Times New Roman"/>
          <w:color w:val="000000"/>
          <w:sz w:val="24"/>
          <w:szCs w:val="24"/>
          <w:shd w:val="clear" w:color="auto" w:fill="FFFFFF"/>
          <w:lang w:eastAsia="ru-RU"/>
        </w:rPr>
        <w:t xml:space="preserve"> Republica Moldova. </w:t>
      </w:r>
      <w:r w:rsidR="00B1375D" w:rsidRPr="00125FAF">
        <w:rPr>
          <w:rFonts w:ascii="Times New Roman" w:eastAsia="Times New Roman" w:hAnsi="Times New Roman" w:cs="Times New Roman"/>
          <w:color w:val="000000"/>
          <w:sz w:val="24"/>
          <w:szCs w:val="24"/>
          <w:shd w:val="clear" w:color="auto" w:fill="FFFFFF"/>
          <w:lang w:eastAsia="ru-RU"/>
        </w:rPr>
        <w:t>IEV</w:t>
      </w:r>
      <w:r w:rsidRPr="00125FAF">
        <w:rPr>
          <w:rFonts w:ascii="Times New Roman" w:eastAsia="Times New Roman" w:hAnsi="Times New Roman" w:cs="Times New Roman"/>
          <w:color w:val="000000"/>
          <w:sz w:val="24"/>
          <w:szCs w:val="24"/>
          <w:shd w:val="clear" w:color="auto" w:fill="FFFFFF"/>
          <w:lang w:eastAsia="ru-RU"/>
        </w:rPr>
        <w:t xml:space="preserve"> sprijină politica europeană de vecinătate (PEV), care acoperă țările partenere ale PEV și Rusia. </w:t>
      </w:r>
      <w:r w:rsidR="00B1375D" w:rsidRPr="00125FAF">
        <w:rPr>
          <w:rFonts w:ascii="Times New Roman" w:eastAsia="Times New Roman" w:hAnsi="Times New Roman" w:cs="Times New Roman"/>
          <w:color w:val="000000"/>
          <w:sz w:val="24"/>
          <w:szCs w:val="24"/>
          <w:shd w:val="clear" w:color="auto" w:fill="FFFFFF"/>
          <w:lang w:eastAsia="ru-RU"/>
        </w:rPr>
        <w:t>IEV</w:t>
      </w:r>
      <w:r w:rsidRPr="00125FAF">
        <w:rPr>
          <w:rFonts w:ascii="Times New Roman" w:eastAsia="Times New Roman" w:hAnsi="Times New Roman" w:cs="Times New Roman"/>
          <w:color w:val="000000"/>
          <w:sz w:val="24"/>
          <w:szCs w:val="24"/>
          <w:shd w:val="clear" w:color="auto" w:fill="FFFFFF"/>
          <w:lang w:eastAsia="ru-RU"/>
        </w:rPr>
        <w:t xml:space="preserve">, printre alte obiective, promovează dezvoltarea durabilă și </w:t>
      </w:r>
      <w:r w:rsidR="00B94958" w:rsidRPr="00125FAF">
        <w:rPr>
          <w:rFonts w:ascii="Times New Roman" w:eastAsia="Times New Roman" w:hAnsi="Times New Roman" w:cs="Times New Roman"/>
          <w:color w:val="000000"/>
          <w:sz w:val="24"/>
          <w:szCs w:val="24"/>
          <w:shd w:val="clear" w:color="auto" w:fill="FFFFFF"/>
          <w:lang w:eastAsia="ru-RU"/>
        </w:rPr>
        <w:t xml:space="preserve">atingerea </w:t>
      </w:r>
      <w:r w:rsidRPr="00125FAF">
        <w:rPr>
          <w:rFonts w:ascii="Times New Roman" w:eastAsia="Times New Roman" w:hAnsi="Times New Roman" w:cs="Times New Roman"/>
          <w:color w:val="000000"/>
          <w:sz w:val="24"/>
          <w:szCs w:val="24"/>
          <w:shd w:val="clear" w:color="auto" w:fill="FFFFFF"/>
          <w:lang w:eastAsia="ru-RU"/>
        </w:rPr>
        <w:t>obiectivel</w:t>
      </w:r>
      <w:r w:rsidR="00B94958" w:rsidRPr="00125FAF">
        <w:rPr>
          <w:rFonts w:ascii="Times New Roman" w:eastAsia="Times New Roman" w:hAnsi="Times New Roman" w:cs="Times New Roman"/>
          <w:color w:val="000000"/>
          <w:sz w:val="24"/>
          <w:szCs w:val="24"/>
          <w:shd w:val="clear" w:color="auto" w:fill="FFFFFF"/>
          <w:lang w:eastAsia="ru-RU"/>
        </w:rPr>
        <w:t>or</w:t>
      </w:r>
      <w:r w:rsidRPr="00125FAF">
        <w:rPr>
          <w:rFonts w:ascii="Times New Roman" w:eastAsia="Times New Roman" w:hAnsi="Times New Roman" w:cs="Times New Roman"/>
          <w:color w:val="000000"/>
          <w:sz w:val="24"/>
          <w:szCs w:val="24"/>
          <w:shd w:val="clear" w:color="auto" w:fill="FFFFFF"/>
          <w:lang w:eastAsia="ru-RU"/>
        </w:rPr>
        <w:t xml:space="preserve"> ONU de dezvoltare ale mileniului și finanțează acțiuni în cadrul sustenabilității mediului. Pentru perioada 2014-2020, </w:t>
      </w:r>
      <w:r w:rsidR="00B1375D" w:rsidRPr="00125FAF">
        <w:rPr>
          <w:rFonts w:ascii="Times New Roman" w:eastAsia="Times New Roman" w:hAnsi="Times New Roman" w:cs="Times New Roman"/>
          <w:color w:val="000000"/>
          <w:sz w:val="24"/>
          <w:szCs w:val="24"/>
          <w:shd w:val="clear" w:color="auto" w:fill="FFFFFF"/>
          <w:lang w:eastAsia="ru-RU"/>
        </w:rPr>
        <w:t>IEV</w:t>
      </w:r>
      <w:r w:rsidRPr="00125FAF">
        <w:rPr>
          <w:rFonts w:ascii="Times New Roman" w:eastAsia="Times New Roman" w:hAnsi="Times New Roman" w:cs="Times New Roman"/>
          <w:color w:val="000000"/>
          <w:sz w:val="24"/>
          <w:szCs w:val="24"/>
          <w:shd w:val="clear" w:color="auto" w:fill="FFFFFF"/>
          <w:lang w:eastAsia="ru-RU"/>
        </w:rPr>
        <w:t xml:space="preserve"> are un buget total de 17,5 miliarde EUR, din care se estimează că aproximativ 2,8 miliarde EUR vor fi cheltuiți </w:t>
      </w:r>
      <w:r w:rsidR="007E5B59" w:rsidRPr="00125FAF">
        <w:rPr>
          <w:rFonts w:ascii="Times New Roman" w:eastAsia="Times New Roman" w:hAnsi="Times New Roman" w:cs="Times New Roman"/>
          <w:color w:val="000000"/>
          <w:sz w:val="24"/>
          <w:szCs w:val="24"/>
          <w:shd w:val="clear" w:color="auto" w:fill="FFFFFF"/>
          <w:lang w:eastAsia="ru-RU"/>
        </w:rPr>
        <w:t>în domeniul schimbărilor climatice</w:t>
      </w:r>
      <w:r w:rsidRPr="00125FAF">
        <w:rPr>
          <w:rFonts w:ascii="Times New Roman" w:eastAsia="Times New Roman" w:hAnsi="Times New Roman" w:cs="Times New Roman"/>
          <w:color w:val="000000"/>
          <w:sz w:val="24"/>
          <w:szCs w:val="24"/>
          <w:shd w:val="clear" w:color="auto" w:fill="FFFFFF"/>
          <w:lang w:eastAsia="ru-RU"/>
        </w:rPr>
        <w:t>.</w:t>
      </w:r>
    </w:p>
    <w:p w14:paraId="458EFFD4" w14:textId="0E05756A" w:rsidR="00BA7CE5" w:rsidRPr="00125FAF" w:rsidRDefault="007909C8" w:rsidP="001F2F2D">
      <w:pPr>
        <w:spacing w:after="120"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125FAF">
        <w:rPr>
          <w:rFonts w:ascii="Times New Roman" w:eastAsia="Times New Roman" w:hAnsi="Times New Roman" w:cs="Times New Roman"/>
          <w:color w:val="000000"/>
          <w:sz w:val="24"/>
          <w:szCs w:val="24"/>
          <w:shd w:val="clear" w:color="auto" w:fill="FFFFFF"/>
          <w:lang w:eastAsia="ru-RU"/>
        </w:rPr>
        <w:t>32</w:t>
      </w:r>
      <w:r w:rsidR="00726442" w:rsidRPr="00125FAF">
        <w:rPr>
          <w:rFonts w:ascii="Times New Roman" w:eastAsia="Times New Roman" w:hAnsi="Times New Roman" w:cs="Times New Roman"/>
          <w:color w:val="000000"/>
          <w:sz w:val="24"/>
          <w:szCs w:val="24"/>
          <w:shd w:val="clear" w:color="auto" w:fill="FFFFFF"/>
          <w:lang w:eastAsia="ru-RU"/>
        </w:rPr>
        <w:t>.</w:t>
      </w:r>
      <w:r w:rsidR="004D3364" w:rsidRPr="00125FAF">
        <w:rPr>
          <w:rFonts w:ascii="Times New Roman" w:eastAsia="Times New Roman" w:hAnsi="Times New Roman" w:cs="Times New Roman"/>
          <w:color w:val="000000"/>
          <w:sz w:val="24"/>
          <w:szCs w:val="24"/>
          <w:shd w:val="clear" w:color="auto" w:fill="FFFFFF"/>
          <w:lang w:eastAsia="ru-RU"/>
        </w:rPr>
        <w:t xml:space="preserve"> UE sprijină </w:t>
      </w:r>
      <w:proofErr w:type="spellStart"/>
      <w:r w:rsidR="004D3364" w:rsidRPr="00125FAF">
        <w:rPr>
          <w:rFonts w:ascii="Times New Roman" w:eastAsia="Times New Roman" w:hAnsi="Times New Roman" w:cs="Times New Roman"/>
          <w:color w:val="000000"/>
          <w:sz w:val="24"/>
          <w:szCs w:val="24"/>
          <w:shd w:val="clear" w:color="auto" w:fill="FFFFFF"/>
          <w:lang w:eastAsia="ru-RU"/>
        </w:rPr>
        <w:t>ţările</w:t>
      </w:r>
      <w:proofErr w:type="spellEnd"/>
      <w:r w:rsidR="004D3364" w:rsidRPr="00125FAF">
        <w:rPr>
          <w:rFonts w:ascii="Times New Roman" w:eastAsia="Times New Roman" w:hAnsi="Times New Roman" w:cs="Times New Roman"/>
          <w:color w:val="000000"/>
          <w:sz w:val="24"/>
          <w:szCs w:val="24"/>
          <w:shd w:val="clear" w:color="auto" w:fill="FFFFFF"/>
          <w:lang w:eastAsia="ru-RU"/>
        </w:rPr>
        <w:t xml:space="preserve"> din sud-estul Europei </w:t>
      </w:r>
      <w:proofErr w:type="spellStart"/>
      <w:r w:rsidR="004D3364" w:rsidRPr="00125FAF">
        <w:rPr>
          <w:rFonts w:ascii="Times New Roman" w:eastAsia="Times New Roman" w:hAnsi="Times New Roman" w:cs="Times New Roman"/>
          <w:color w:val="000000"/>
          <w:sz w:val="24"/>
          <w:szCs w:val="24"/>
          <w:shd w:val="clear" w:color="auto" w:fill="FFFFFF"/>
          <w:lang w:eastAsia="ru-RU"/>
        </w:rPr>
        <w:t>şi</w:t>
      </w:r>
      <w:proofErr w:type="spellEnd"/>
      <w:r w:rsidR="004D3364" w:rsidRPr="00125FAF">
        <w:rPr>
          <w:rFonts w:ascii="Times New Roman" w:eastAsia="Times New Roman" w:hAnsi="Times New Roman" w:cs="Times New Roman"/>
          <w:color w:val="000000"/>
          <w:sz w:val="24"/>
          <w:szCs w:val="24"/>
          <w:shd w:val="clear" w:color="auto" w:fill="FFFFFF"/>
          <w:lang w:eastAsia="ru-RU"/>
        </w:rPr>
        <w:t xml:space="preserve"> prin intermediul </w:t>
      </w:r>
      <w:proofErr w:type="spellStart"/>
      <w:r w:rsidR="004D3364" w:rsidRPr="00125FAF">
        <w:rPr>
          <w:rFonts w:ascii="Times New Roman" w:eastAsia="Times New Roman" w:hAnsi="Times New Roman" w:cs="Times New Roman"/>
          <w:color w:val="000000"/>
          <w:sz w:val="24"/>
          <w:szCs w:val="24"/>
          <w:shd w:val="clear" w:color="auto" w:fill="FFFFFF"/>
          <w:lang w:eastAsia="ru-RU"/>
        </w:rPr>
        <w:t>Comunităţii</w:t>
      </w:r>
      <w:proofErr w:type="spellEnd"/>
      <w:r w:rsidR="004D3364" w:rsidRPr="00125FAF">
        <w:rPr>
          <w:rFonts w:ascii="Times New Roman" w:eastAsia="Times New Roman" w:hAnsi="Times New Roman" w:cs="Times New Roman"/>
          <w:color w:val="000000"/>
          <w:sz w:val="24"/>
          <w:szCs w:val="24"/>
          <w:shd w:val="clear" w:color="auto" w:fill="FFFFFF"/>
          <w:lang w:eastAsia="ru-RU"/>
        </w:rPr>
        <w:t xml:space="preserve"> Energetice,</w:t>
      </w:r>
      <w:r w:rsidR="004D3364" w:rsidRPr="00125FAF">
        <w:t xml:space="preserve"> </w:t>
      </w:r>
      <w:r w:rsidR="004D3364" w:rsidRPr="00125FAF">
        <w:rPr>
          <w:rFonts w:ascii="Times New Roman" w:eastAsia="Times New Roman" w:hAnsi="Times New Roman" w:cs="Times New Roman"/>
          <w:color w:val="000000"/>
          <w:sz w:val="24"/>
          <w:szCs w:val="24"/>
          <w:shd w:val="clear" w:color="auto" w:fill="FFFFFF"/>
          <w:lang w:eastAsia="ru-RU"/>
        </w:rPr>
        <w:t xml:space="preserve">din care face parte </w:t>
      </w:r>
      <w:proofErr w:type="spellStart"/>
      <w:r w:rsidR="004D3364" w:rsidRPr="00125FAF">
        <w:rPr>
          <w:rFonts w:ascii="Times New Roman" w:eastAsia="Times New Roman" w:hAnsi="Times New Roman" w:cs="Times New Roman"/>
          <w:color w:val="000000"/>
          <w:sz w:val="24"/>
          <w:szCs w:val="24"/>
          <w:shd w:val="clear" w:color="auto" w:fill="FFFFFF"/>
          <w:lang w:eastAsia="ru-RU"/>
        </w:rPr>
        <w:t>şi</w:t>
      </w:r>
      <w:proofErr w:type="spellEnd"/>
      <w:r w:rsidR="004D3364" w:rsidRPr="00125FAF">
        <w:rPr>
          <w:rFonts w:ascii="Times New Roman" w:eastAsia="Times New Roman" w:hAnsi="Times New Roman" w:cs="Times New Roman"/>
          <w:color w:val="000000"/>
          <w:sz w:val="24"/>
          <w:szCs w:val="24"/>
          <w:shd w:val="clear" w:color="auto" w:fill="FFFFFF"/>
          <w:lang w:eastAsia="ru-RU"/>
        </w:rPr>
        <w:t xml:space="preserve"> Republica Moldova. În acest cadru se înscrie </w:t>
      </w:r>
      <w:r w:rsidR="00EA2948" w:rsidRPr="00125FAF">
        <w:rPr>
          <w:rFonts w:ascii="Times New Roman" w:eastAsia="Times New Roman" w:hAnsi="Times New Roman" w:cs="Times New Roman"/>
          <w:color w:val="000000"/>
          <w:sz w:val="24"/>
          <w:szCs w:val="24"/>
          <w:shd w:val="clear" w:color="auto" w:fill="FFFFFF"/>
          <w:lang w:eastAsia="ru-RU"/>
        </w:rPr>
        <w:t>Recomandarea 2018/01/MC-</w:t>
      </w:r>
      <w:proofErr w:type="spellStart"/>
      <w:r w:rsidR="00EA2948" w:rsidRPr="00125FAF">
        <w:rPr>
          <w:rFonts w:ascii="Times New Roman" w:eastAsia="Times New Roman" w:hAnsi="Times New Roman" w:cs="Times New Roman"/>
          <w:color w:val="000000"/>
          <w:sz w:val="24"/>
          <w:szCs w:val="24"/>
          <w:shd w:val="clear" w:color="auto" w:fill="FFFFFF"/>
          <w:lang w:eastAsia="ru-RU"/>
        </w:rPr>
        <w:t>EnC</w:t>
      </w:r>
      <w:proofErr w:type="spellEnd"/>
      <w:r w:rsidR="00EA2948" w:rsidRPr="00125FAF">
        <w:rPr>
          <w:rFonts w:ascii="Times New Roman" w:eastAsia="Times New Roman" w:hAnsi="Times New Roman" w:cs="Times New Roman"/>
          <w:color w:val="000000"/>
          <w:sz w:val="24"/>
          <w:szCs w:val="24"/>
          <w:shd w:val="clear" w:color="auto" w:fill="FFFFFF"/>
          <w:lang w:eastAsia="ru-RU"/>
        </w:rPr>
        <w:t xml:space="preserve"> privind pregătirea pentru elaborarea planurilor naționale integrate de energie și climă de către părțile contractante ale Comunității Energetice</w:t>
      </w:r>
      <w:r w:rsidR="004B7E41" w:rsidRPr="00125FAF">
        <w:rPr>
          <w:rFonts w:ascii="Times New Roman" w:eastAsia="Times New Roman" w:hAnsi="Times New Roman" w:cs="Times New Roman"/>
          <w:color w:val="000000"/>
          <w:sz w:val="24"/>
          <w:szCs w:val="24"/>
          <w:shd w:val="clear" w:color="auto" w:fill="FFFFFF"/>
          <w:lang w:eastAsia="ru-RU"/>
        </w:rPr>
        <w:t>, Recomandare,</w:t>
      </w:r>
      <w:r w:rsidR="00DB4D14" w:rsidRPr="00125FAF">
        <w:rPr>
          <w:rFonts w:ascii="Times New Roman" w:eastAsia="Times New Roman" w:hAnsi="Times New Roman" w:cs="Times New Roman"/>
          <w:color w:val="000000"/>
          <w:sz w:val="24"/>
          <w:szCs w:val="24"/>
          <w:shd w:val="clear" w:color="auto" w:fill="FFFFFF"/>
          <w:lang w:eastAsia="ru-RU"/>
        </w:rPr>
        <w:t xml:space="preserve"> care reflectă </w:t>
      </w:r>
      <w:proofErr w:type="spellStart"/>
      <w:r w:rsidR="004B7E41" w:rsidRPr="00125FAF">
        <w:rPr>
          <w:rFonts w:ascii="Times New Roman" w:eastAsia="Times New Roman" w:hAnsi="Times New Roman" w:cs="Times New Roman"/>
          <w:color w:val="000000"/>
          <w:sz w:val="24"/>
          <w:szCs w:val="24"/>
          <w:shd w:val="clear" w:color="auto" w:fill="FFFFFF"/>
          <w:lang w:eastAsia="ru-RU"/>
        </w:rPr>
        <w:t>conţinutul</w:t>
      </w:r>
      <w:proofErr w:type="spellEnd"/>
      <w:r w:rsidR="004B7E41" w:rsidRPr="00125FAF">
        <w:rPr>
          <w:rFonts w:ascii="Times New Roman" w:eastAsia="Times New Roman" w:hAnsi="Times New Roman" w:cs="Times New Roman"/>
          <w:color w:val="000000"/>
          <w:sz w:val="24"/>
          <w:szCs w:val="24"/>
          <w:shd w:val="clear" w:color="auto" w:fill="FFFFFF"/>
          <w:lang w:eastAsia="ru-RU"/>
        </w:rPr>
        <w:t xml:space="preserve"> Regulamentului UE 2018/1999 al Parlamentului European </w:t>
      </w:r>
      <w:proofErr w:type="spellStart"/>
      <w:r w:rsidR="004B7E41" w:rsidRPr="00125FAF">
        <w:rPr>
          <w:rFonts w:ascii="Times New Roman" w:eastAsia="Times New Roman" w:hAnsi="Times New Roman" w:cs="Times New Roman"/>
          <w:color w:val="000000"/>
          <w:sz w:val="24"/>
          <w:szCs w:val="24"/>
          <w:shd w:val="clear" w:color="auto" w:fill="FFFFFF"/>
          <w:lang w:eastAsia="ru-RU"/>
        </w:rPr>
        <w:t>şi</w:t>
      </w:r>
      <w:proofErr w:type="spellEnd"/>
      <w:r w:rsidR="004B7E41" w:rsidRPr="00125FAF">
        <w:rPr>
          <w:rFonts w:ascii="Times New Roman" w:eastAsia="Times New Roman" w:hAnsi="Times New Roman" w:cs="Times New Roman"/>
          <w:color w:val="000000"/>
          <w:sz w:val="24"/>
          <w:szCs w:val="24"/>
          <w:shd w:val="clear" w:color="auto" w:fill="FFFFFF"/>
          <w:lang w:eastAsia="ru-RU"/>
        </w:rPr>
        <w:t xml:space="preserve"> al Consiliului din 11.12.18. Acesta </w:t>
      </w:r>
      <w:r w:rsidR="004B7E41" w:rsidRPr="00125FAF">
        <w:rPr>
          <w:rFonts w:ascii="Times New Roman" w:eastAsia="Times New Roman" w:hAnsi="Times New Roman" w:cs="Times New Roman"/>
          <w:color w:val="000000"/>
          <w:sz w:val="24"/>
          <w:szCs w:val="24"/>
          <w:shd w:val="clear" w:color="auto" w:fill="FFFFFF"/>
          <w:lang w:eastAsia="ru-RU"/>
        </w:rPr>
        <w:lastRenderedPageBreak/>
        <w:t xml:space="preserve">din urmă stabilește un mecanism de guvernanță pentru punerea în aplicare a unor strategii și măsuri, coerente cu Acordul de la Paris, concepute pentru a îndeplini obiectivele </w:t>
      </w:r>
      <w:proofErr w:type="spellStart"/>
      <w:r w:rsidR="00B1375D" w:rsidRPr="00125FAF">
        <w:rPr>
          <w:rFonts w:ascii="Times New Roman" w:eastAsia="Times New Roman" w:hAnsi="Times New Roman" w:cs="Times New Roman"/>
          <w:color w:val="000000"/>
          <w:sz w:val="24"/>
          <w:szCs w:val="24"/>
          <w:shd w:val="clear" w:color="auto" w:fill="FFFFFF"/>
          <w:lang w:eastAsia="ru-RU"/>
        </w:rPr>
        <w:t>Comunităţii</w:t>
      </w:r>
      <w:proofErr w:type="spellEnd"/>
      <w:r w:rsidR="00B1375D" w:rsidRPr="00125FAF">
        <w:rPr>
          <w:rFonts w:ascii="Times New Roman" w:eastAsia="Times New Roman" w:hAnsi="Times New Roman" w:cs="Times New Roman"/>
          <w:color w:val="000000"/>
          <w:sz w:val="24"/>
          <w:szCs w:val="24"/>
          <w:shd w:val="clear" w:color="auto" w:fill="FFFFFF"/>
          <w:lang w:eastAsia="ru-RU"/>
        </w:rPr>
        <w:t xml:space="preserve"> Energetice</w:t>
      </w:r>
      <w:r w:rsidR="00B1375D" w:rsidRPr="00125FAF" w:rsidDel="00B1375D">
        <w:rPr>
          <w:rFonts w:ascii="Times New Roman" w:eastAsia="Times New Roman" w:hAnsi="Times New Roman" w:cs="Times New Roman"/>
          <w:color w:val="000000"/>
          <w:sz w:val="24"/>
          <w:szCs w:val="24"/>
          <w:shd w:val="clear" w:color="auto" w:fill="FFFFFF"/>
          <w:lang w:eastAsia="ru-RU"/>
        </w:rPr>
        <w:t xml:space="preserve"> </w:t>
      </w:r>
      <w:r w:rsidR="004B7E41" w:rsidRPr="00125FAF">
        <w:rPr>
          <w:rFonts w:ascii="Times New Roman" w:eastAsia="Times New Roman" w:hAnsi="Times New Roman" w:cs="Times New Roman"/>
          <w:color w:val="000000"/>
          <w:sz w:val="24"/>
          <w:szCs w:val="24"/>
          <w:shd w:val="clear" w:color="auto" w:fill="FFFFFF"/>
          <w:lang w:eastAsia="ru-RU"/>
        </w:rPr>
        <w:t>și angajamentele pe termen lung asumate de U</w:t>
      </w:r>
      <w:r w:rsidR="00B1375D" w:rsidRPr="00125FAF">
        <w:rPr>
          <w:rFonts w:ascii="Times New Roman" w:eastAsia="Times New Roman" w:hAnsi="Times New Roman" w:cs="Times New Roman"/>
          <w:color w:val="000000"/>
          <w:sz w:val="24"/>
          <w:szCs w:val="24"/>
          <w:shd w:val="clear" w:color="auto" w:fill="FFFFFF"/>
          <w:lang w:eastAsia="ru-RU"/>
        </w:rPr>
        <w:t>E în</w:t>
      </w:r>
      <w:r w:rsidR="004B7E41" w:rsidRPr="00125FAF">
        <w:rPr>
          <w:rFonts w:ascii="Times New Roman" w:eastAsia="Times New Roman" w:hAnsi="Times New Roman" w:cs="Times New Roman"/>
          <w:color w:val="000000"/>
          <w:sz w:val="24"/>
          <w:szCs w:val="24"/>
          <w:shd w:val="clear" w:color="auto" w:fill="FFFFFF"/>
          <w:lang w:eastAsia="ru-RU"/>
        </w:rPr>
        <w:t xml:space="preserve"> legătură cu emisiile de gaze cu efect de seră și, în special pentru prima perioadă de zece ani (2021-2030), obiectivele U</w:t>
      </w:r>
      <w:r w:rsidR="00B1375D" w:rsidRPr="00125FAF">
        <w:rPr>
          <w:rFonts w:ascii="Times New Roman" w:eastAsia="Times New Roman" w:hAnsi="Times New Roman" w:cs="Times New Roman"/>
          <w:color w:val="000000"/>
          <w:sz w:val="24"/>
          <w:szCs w:val="24"/>
          <w:shd w:val="clear" w:color="auto" w:fill="FFFFFF"/>
          <w:lang w:eastAsia="ru-RU"/>
        </w:rPr>
        <w:t>E</w:t>
      </w:r>
      <w:r w:rsidR="004B7E41" w:rsidRPr="00125FAF">
        <w:rPr>
          <w:rFonts w:ascii="Times New Roman" w:eastAsia="Times New Roman" w:hAnsi="Times New Roman" w:cs="Times New Roman"/>
          <w:color w:val="000000"/>
          <w:sz w:val="24"/>
          <w:szCs w:val="24"/>
          <w:shd w:val="clear" w:color="auto" w:fill="FFFFFF"/>
          <w:lang w:eastAsia="ru-RU"/>
        </w:rPr>
        <w:t xml:space="preserve"> privind energia și clima pentru 2030. </w:t>
      </w:r>
      <w:r w:rsidR="00EA2948" w:rsidRPr="00125FAF">
        <w:rPr>
          <w:rFonts w:ascii="Times New Roman" w:eastAsia="Times New Roman" w:hAnsi="Times New Roman" w:cs="Times New Roman"/>
          <w:color w:val="000000"/>
          <w:sz w:val="24"/>
          <w:szCs w:val="24"/>
          <w:shd w:val="clear" w:color="auto" w:fill="FFFFFF"/>
          <w:lang w:eastAsia="ru-RU"/>
        </w:rPr>
        <w:t xml:space="preserve">Elaborarea </w:t>
      </w:r>
      <w:proofErr w:type="spellStart"/>
      <w:r w:rsidR="00EA2948" w:rsidRPr="00125FAF">
        <w:rPr>
          <w:rFonts w:ascii="Times New Roman" w:eastAsia="Times New Roman" w:hAnsi="Times New Roman" w:cs="Times New Roman"/>
          <w:color w:val="000000"/>
          <w:sz w:val="24"/>
          <w:szCs w:val="24"/>
          <w:shd w:val="clear" w:color="auto" w:fill="FFFFFF"/>
          <w:lang w:eastAsia="ru-RU"/>
        </w:rPr>
        <w:t>şi</w:t>
      </w:r>
      <w:proofErr w:type="spellEnd"/>
      <w:r w:rsidR="00EA2948" w:rsidRPr="00125FAF">
        <w:rPr>
          <w:rFonts w:ascii="Times New Roman" w:eastAsia="Times New Roman" w:hAnsi="Times New Roman" w:cs="Times New Roman"/>
          <w:color w:val="000000"/>
          <w:sz w:val="24"/>
          <w:szCs w:val="24"/>
          <w:shd w:val="clear" w:color="auto" w:fill="FFFFFF"/>
          <w:lang w:eastAsia="ru-RU"/>
        </w:rPr>
        <w:t xml:space="preserve"> aprobarea planului în cauză deschide calea spre </w:t>
      </w:r>
      <w:proofErr w:type="spellStart"/>
      <w:r w:rsidR="00EA2948" w:rsidRPr="00125FAF">
        <w:rPr>
          <w:rFonts w:ascii="Times New Roman" w:eastAsia="Times New Roman" w:hAnsi="Times New Roman" w:cs="Times New Roman"/>
          <w:color w:val="000000"/>
          <w:sz w:val="24"/>
          <w:szCs w:val="24"/>
          <w:shd w:val="clear" w:color="auto" w:fill="FFFFFF"/>
          <w:lang w:eastAsia="ru-RU"/>
        </w:rPr>
        <w:t>obţinerea</w:t>
      </w:r>
      <w:proofErr w:type="spellEnd"/>
      <w:r w:rsidR="00EA2948" w:rsidRPr="00125FAF">
        <w:rPr>
          <w:rFonts w:ascii="Times New Roman" w:eastAsia="Times New Roman" w:hAnsi="Times New Roman" w:cs="Times New Roman"/>
          <w:color w:val="000000"/>
          <w:sz w:val="24"/>
          <w:szCs w:val="24"/>
          <w:shd w:val="clear" w:color="auto" w:fill="FFFFFF"/>
          <w:lang w:eastAsia="ru-RU"/>
        </w:rPr>
        <w:t xml:space="preserve"> de </w:t>
      </w:r>
      <w:proofErr w:type="spellStart"/>
      <w:r w:rsidR="00EA2948" w:rsidRPr="00125FAF">
        <w:rPr>
          <w:rFonts w:ascii="Times New Roman" w:eastAsia="Times New Roman" w:hAnsi="Times New Roman" w:cs="Times New Roman"/>
          <w:color w:val="000000"/>
          <w:sz w:val="24"/>
          <w:szCs w:val="24"/>
          <w:shd w:val="clear" w:color="auto" w:fill="FFFFFF"/>
          <w:lang w:eastAsia="ru-RU"/>
        </w:rPr>
        <w:t>finanţare</w:t>
      </w:r>
      <w:proofErr w:type="spellEnd"/>
      <w:r w:rsidR="00EA2948" w:rsidRPr="00125FAF">
        <w:rPr>
          <w:rFonts w:ascii="Times New Roman" w:eastAsia="Times New Roman" w:hAnsi="Times New Roman" w:cs="Times New Roman"/>
          <w:color w:val="000000"/>
          <w:sz w:val="24"/>
          <w:szCs w:val="24"/>
          <w:shd w:val="clear" w:color="auto" w:fill="FFFFFF"/>
          <w:lang w:eastAsia="ru-RU"/>
        </w:rPr>
        <w:t xml:space="preserve"> pentru promovarea în </w:t>
      </w:r>
      <w:proofErr w:type="spellStart"/>
      <w:r w:rsidR="00EA2948" w:rsidRPr="00125FAF">
        <w:rPr>
          <w:rFonts w:ascii="Times New Roman" w:eastAsia="Times New Roman" w:hAnsi="Times New Roman" w:cs="Times New Roman"/>
          <w:color w:val="000000"/>
          <w:sz w:val="24"/>
          <w:szCs w:val="24"/>
          <w:shd w:val="clear" w:color="auto" w:fill="FFFFFF"/>
          <w:lang w:eastAsia="ru-RU"/>
        </w:rPr>
        <w:t>ţară</w:t>
      </w:r>
      <w:proofErr w:type="spellEnd"/>
      <w:r w:rsidR="00EA2948" w:rsidRPr="00125FAF">
        <w:rPr>
          <w:rFonts w:ascii="Times New Roman" w:eastAsia="Times New Roman" w:hAnsi="Times New Roman" w:cs="Times New Roman"/>
          <w:color w:val="000000"/>
          <w:sz w:val="24"/>
          <w:szCs w:val="24"/>
          <w:shd w:val="clear" w:color="auto" w:fill="FFFFFF"/>
          <w:lang w:eastAsia="ru-RU"/>
        </w:rPr>
        <w:t xml:space="preserve"> a </w:t>
      </w:r>
      <w:proofErr w:type="spellStart"/>
      <w:r w:rsidR="00EA2948" w:rsidRPr="00125FAF">
        <w:rPr>
          <w:rFonts w:ascii="Times New Roman" w:eastAsia="Times New Roman" w:hAnsi="Times New Roman" w:cs="Times New Roman"/>
          <w:color w:val="000000"/>
          <w:sz w:val="24"/>
          <w:szCs w:val="24"/>
          <w:shd w:val="clear" w:color="auto" w:fill="FFFFFF"/>
          <w:lang w:eastAsia="ru-RU"/>
        </w:rPr>
        <w:t>eficienţii</w:t>
      </w:r>
      <w:proofErr w:type="spellEnd"/>
      <w:r w:rsidR="00EA2948" w:rsidRPr="00125FAF">
        <w:rPr>
          <w:rFonts w:ascii="Times New Roman" w:eastAsia="Times New Roman" w:hAnsi="Times New Roman" w:cs="Times New Roman"/>
          <w:color w:val="000000"/>
          <w:sz w:val="24"/>
          <w:szCs w:val="24"/>
          <w:shd w:val="clear" w:color="auto" w:fill="FFFFFF"/>
          <w:lang w:eastAsia="ru-RU"/>
        </w:rPr>
        <w:t xml:space="preserve"> energetice </w:t>
      </w:r>
      <w:proofErr w:type="spellStart"/>
      <w:r w:rsidR="00EA2948" w:rsidRPr="00125FAF">
        <w:rPr>
          <w:rFonts w:ascii="Times New Roman" w:eastAsia="Times New Roman" w:hAnsi="Times New Roman" w:cs="Times New Roman"/>
          <w:color w:val="000000"/>
          <w:sz w:val="24"/>
          <w:szCs w:val="24"/>
          <w:shd w:val="clear" w:color="auto" w:fill="FFFFFF"/>
          <w:lang w:eastAsia="ru-RU"/>
        </w:rPr>
        <w:t>şi</w:t>
      </w:r>
      <w:proofErr w:type="spellEnd"/>
      <w:r w:rsidR="00EA2948" w:rsidRPr="00125FAF">
        <w:rPr>
          <w:rFonts w:ascii="Times New Roman" w:eastAsia="Times New Roman" w:hAnsi="Times New Roman" w:cs="Times New Roman"/>
          <w:color w:val="000000"/>
          <w:sz w:val="24"/>
          <w:szCs w:val="24"/>
          <w:shd w:val="clear" w:color="auto" w:fill="FFFFFF"/>
          <w:lang w:eastAsia="ru-RU"/>
        </w:rPr>
        <w:t xml:space="preserve"> SRE, cu impacturi importante asupra reducerii </w:t>
      </w:r>
      <w:r w:rsidR="004B7E41" w:rsidRPr="00125FAF">
        <w:rPr>
          <w:rFonts w:ascii="Times New Roman" w:eastAsia="Times New Roman" w:hAnsi="Times New Roman" w:cs="Times New Roman"/>
          <w:color w:val="000000"/>
          <w:sz w:val="24"/>
          <w:szCs w:val="24"/>
          <w:shd w:val="clear" w:color="auto" w:fill="FFFFFF"/>
          <w:lang w:eastAsia="ru-RU"/>
        </w:rPr>
        <w:t xml:space="preserve">de </w:t>
      </w:r>
      <w:r w:rsidR="00EA2948" w:rsidRPr="00125FAF">
        <w:rPr>
          <w:rFonts w:ascii="Times New Roman" w:eastAsia="Times New Roman" w:hAnsi="Times New Roman" w:cs="Times New Roman"/>
          <w:color w:val="000000"/>
          <w:sz w:val="24"/>
          <w:szCs w:val="24"/>
          <w:shd w:val="clear" w:color="auto" w:fill="FFFFFF"/>
          <w:lang w:eastAsia="ru-RU"/>
        </w:rPr>
        <w:t>GES.</w:t>
      </w:r>
    </w:p>
    <w:p w14:paraId="742210FC" w14:textId="05994787" w:rsidR="006364B2" w:rsidRPr="00125FAF" w:rsidRDefault="006364B2" w:rsidP="001F2F2D">
      <w:pPr>
        <w:spacing w:after="120" w:line="240" w:lineRule="auto"/>
        <w:ind w:firstLine="720"/>
        <w:jc w:val="both"/>
        <w:rPr>
          <w:rFonts w:ascii="Times New Roman" w:eastAsia="Times New Roman" w:hAnsi="Times New Roman" w:cs="Times New Roman"/>
          <w:sz w:val="24"/>
          <w:szCs w:val="24"/>
          <w:lang w:eastAsia="ru-RU"/>
        </w:rPr>
      </w:pPr>
      <w:r w:rsidRPr="00125FAF">
        <w:rPr>
          <w:rFonts w:ascii="Times New Roman" w:eastAsia="Times New Roman" w:hAnsi="Times New Roman" w:cs="Times New Roman"/>
          <w:color w:val="000000"/>
          <w:sz w:val="24"/>
          <w:szCs w:val="24"/>
          <w:shd w:val="clear" w:color="auto" w:fill="FFFFFF"/>
          <w:lang w:eastAsia="ru-RU"/>
        </w:rPr>
        <w:t>3</w:t>
      </w:r>
      <w:r w:rsidR="007909C8" w:rsidRPr="00125FAF">
        <w:rPr>
          <w:rFonts w:ascii="Times New Roman" w:eastAsia="Times New Roman" w:hAnsi="Times New Roman" w:cs="Times New Roman"/>
          <w:color w:val="000000"/>
          <w:sz w:val="24"/>
          <w:szCs w:val="24"/>
          <w:shd w:val="clear" w:color="auto" w:fill="FFFFFF"/>
          <w:lang w:eastAsia="ru-RU"/>
        </w:rPr>
        <w:t>3</w:t>
      </w:r>
      <w:r w:rsidRPr="00125FAF">
        <w:rPr>
          <w:rFonts w:ascii="Times New Roman" w:eastAsia="Times New Roman" w:hAnsi="Times New Roman" w:cs="Times New Roman"/>
          <w:color w:val="000000"/>
          <w:sz w:val="24"/>
          <w:szCs w:val="24"/>
          <w:shd w:val="clear" w:color="auto" w:fill="FFFFFF"/>
          <w:lang w:eastAsia="ru-RU"/>
        </w:rPr>
        <w:t xml:space="preserve">. </w:t>
      </w:r>
      <w:r w:rsidR="00B1375D" w:rsidRPr="00125FAF">
        <w:rPr>
          <w:rFonts w:ascii="Times New Roman" w:eastAsia="Times New Roman" w:hAnsi="Times New Roman" w:cs="Times New Roman"/>
          <w:color w:val="000000"/>
          <w:sz w:val="24"/>
          <w:szCs w:val="24"/>
          <w:shd w:val="clear" w:color="auto" w:fill="FFFFFF"/>
          <w:lang w:eastAsia="ru-RU"/>
        </w:rPr>
        <w:t xml:space="preserve">Odată cu semnarea Acordului de asociere între Republica Moldova </w:t>
      </w:r>
      <w:proofErr w:type="spellStart"/>
      <w:r w:rsidR="00B1375D" w:rsidRPr="00125FAF">
        <w:rPr>
          <w:rFonts w:ascii="Times New Roman" w:eastAsia="Times New Roman" w:hAnsi="Times New Roman" w:cs="Times New Roman"/>
          <w:color w:val="000000"/>
          <w:sz w:val="24"/>
          <w:szCs w:val="24"/>
          <w:shd w:val="clear" w:color="auto" w:fill="FFFFFF"/>
          <w:lang w:eastAsia="ru-RU"/>
        </w:rPr>
        <w:t>şi</w:t>
      </w:r>
      <w:proofErr w:type="spellEnd"/>
      <w:r w:rsidR="00B1375D" w:rsidRPr="00125FAF">
        <w:rPr>
          <w:rFonts w:ascii="Times New Roman" w:eastAsia="Times New Roman" w:hAnsi="Times New Roman" w:cs="Times New Roman"/>
          <w:color w:val="000000"/>
          <w:sz w:val="24"/>
          <w:szCs w:val="24"/>
          <w:shd w:val="clear" w:color="auto" w:fill="FFFFFF"/>
          <w:lang w:eastAsia="ru-RU"/>
        </w:rPr>
        <w:t xml:space="preserve"> Uniunea Europeană (2014)</w:t>
      </w:r>
      <w:r w:rsidR="00F82ED4" w:rsidRPr="00125FAF">
        <w:rPr>
          <w:rFonts w:ascii="Times New Roman" w:eastAsia="Times New Roman" w:hAnsi="Times New Roman" w:cs="Times New Roman"/>
          <w:color w:val="000000"/>
          <w:sz w:val="24"/>
          <w:szCs w:val="24"/>
          <w:shd w:val="clear" w:color="auto" w:fill="FFFFFF"/>
          <w:lang w:eastAsia="ru-RU"/>
        </w:rPr>
        <w:t>, Republica Moldova miza mult pe aderarea</w:t>
      </w:r>
      <w:r w:rsidR="00B1375D" w:rsidRPr="00125FAF">
        <w:rPr>
          <w:rFonts w:ascii="Times New Roman" w:eastAsia="Times New Roman" w:hAnsi="Times New Roman" w:cs="Times New Roman"/>
          <w:color w:val="000000"/>
          <w:sz w:val="24"/>
          <w:szCs w:val="24"/>
          <w:shd w:val="clear" w:color="auto" w:fill="FFFFFF"/>
          <w:lang w:eastAsia="ru-RU"/>
        </w:rPr>
        <w:t xml:space="preserve"> </w:t>
      </w:r>
      <w:proofErr w:type="spellStart"/>
      <w:r w:rsidR="00B1375D" w:rsidRPr="00125FAF">
        <w:rPr>
          <w:rFonts w:ascii="Times New Roman" w:eastAsia="Times New Roman" w:hAnsi="Times New Roman" w:cs="Times New Roman"/>
          <w:color w:val="000000"/>
          <w:sz w:val="24"/>
          <w:szCs w:val="24"/>
          <w:shd w:val="clear" w:color="auto" w:fill="FFFFFF"/>
          <w:lang w:eastAsia="ru-RU"/>
        </w:rPr>
        <w:t>curândă</w:t>
      </w:r>
      <w:proofErr w:type="spellEnd"/>
      <w:r w:rsidR="00B1375D" w:rsidRPr="00125FAF">
        <w:rPr>
          <w:rFonts w:ascii="Times New Roman" w:eastAsia="Times New Roman" w:hAnsi="Times New Roman" w:cs="Times New Roman"/>
          <w:color w:val="000000"/>
          <w:sz w:val="24"/>
          <w:szCs w:val="24"/>
          <w:shd w:val="clear" w:color="auto" w:fill="FFFFFF"/>
          <w:lang w:eastAsia="ru-RU"/>
        </w:rPr>
        <w:t xml:space="preserve"> a</w:t>
      </w:r>
      <w:r w:rsidR="00F82ED4" w:rsidRPr="00125FAF">
        <w:rPr>
          <w:rFonts w:ascii="Times New Roman" w:eastAsia="Times New Roman" w:hAnsi="Times New Roman" w:cs="Times New Roman"/>
          <w:color w:val="000000"/>
          <w:sz w:val="24"/>
          <w:szCs w:val="24"/>
          <w:shd w:val="clear" w:color="auto" w:fill="FFFFFF"/>
          <w:lang w:eastAsia="ru-RU"/>
        </w:rPr>
        <w:t xml:space="preserve"> </w:t>
      </w:r>
      <w:proofErr w:type="spellStart"/>
      <w:r w:rsidR="00F82ED4" w:rsidRPr="00125FAF">
        <w:rPr>
          <w:rFonts w:ascii="Times New Roman" w:eastAsia="Times New Roman" w:hAnsi="Times New Roman" w:cs="Times New Roman"/>
          <w:color w:val="000000"/>
          <w:sz w:val="24"/>
          <w:szCs w:val="24"/>
          <w:shd w:val="clear" w:color="auto" w:fill="FFFFFF"/>
          <w:lang w:eastAsia="ru-RU"/>
        </w:rPr>
        <w:t>ţării</w:t>
      </w:r>
      <w:proofErr w:type="spellEnd"/>
      <w:r w:rsidR="00F82ED4" w:rsidRPr="00125FAF">
        <w:rPr>
          <w:rFonts w:ascii="Times New Roman" w:eastAsia="Times New Roman" w:hAnsi="Times New Roman" w:cs="Times New Roman"/>
          <w:color w:val="000000"/>
          <w:sz w:val="24"/>
          <w:szCs w:val="24"/>
          <w:shd w:val="clear" w:color="auto" w:fill="FFFFFF"/>
          <w:lang w:eastAsia="ru-RU"/>
        </w:rPr>
        <w:t xml:space="preserve"> la </w:t>
      </w:r>
      <w:proofErr w:type="spellStart"/>
      <w:r w:rsidR="00F82ED4" w:rsidRPr="00125FAF">
        <w:rPr>
          <w:rFonts w:ascii="Times New Roman" w:eastAsia="Times New Roman" w:hAnsi="Times New Roman" w:cs="Times New Roman"/>
          <w:color w:val="000000"/>
          <w:sz w:val="24"/>
          <w:szCs w:val="24"/>
          <w:shd w:val="clear" w:color="auto" w:fill="FFFFFF"/>
          <w:lang w:eastAsia="ru-RU"/>
        </w:rPr>
        <w:t>piaţa</w:t>
      </w:r>
      <w:proofErr w:type="spellEnd"/>
      <w:r w:rsidR="00F82ED4" w:rsidRPr="00125FAF">
        <w:rPr>
          <w:rFonts w:ascii="Times New Roman" w:eastAsia="Times New Roman" w:hAnsi="Times New Roman" w:cs="Times New Roman"/>
          <w:color w:val="000000"/>
          <w:sz w:val="24"/>
          <w:szCs w:val="24"/>
          <w:shd w:val="clear" w:color="auto" w:fill="FFFFFF"/>
          <w:lang w:eastAsia="ru-RU"/>
        </w:rPr>
        <w:t xml:space="preserve"> de carbon a UE, pe care </w:t>
      </w:r>
      <w:proofErr w:type="spellStart"/>
      <w:r w:rsidR="00F82ED4" w:rsidRPr="00125FAF">
        <w:rPr>
          <w:rFonts w:ascii="Times New Roman" w:eastAsia="Times New Roman" w:hAnsi="Times New Roman" w:cs="Times New Roman"/>
          <w:color w:val="000000"/>
          <w:sz w:val="24"/>
          <w:szCs w:val="24"/>
          <w:shd w:val="clear" w:color="auto" w:fill="FFFFFF"/>
          <w:lang w:eastAsia="ru-RU"/>
        </w:rPr>
        <w:t>ţara</w:t>
      </w:r>
      <w:proofErr w:type="spellEnd"/>
      <w:r w:rsidR="00F82ED4" w:rsidRPr="00125FAF">
        <w:rPr>
          <w:rFonts w:ascii="Times New Roman" w:eastAsia="Times New Roman" w:hAnsi="Times New Roman" w:cs="Times New Roman"/>
          <w:color w:val="000000"/>
          <w:sz w:val="24"/>
          <w:szCs w:val="24"/>
          <w:shd w:val="clear" w:color="auto" w:fill="FFFFFF"/>
          <w:lang w:eastAsia="ru-RU"/>
        </w:rPr>
        <w:t xml:space="preserve"> ar fi putut </w:t>
      </w:r>
      <w:proofErr w:type="spellStart"/>
      <w:r w:rsidR="00F82ED4" w:rsidRPr="00125FAF">
        <w:rPr>
          <w:rFonts w:ascii="Times New Roman" w:eastAsia="Times New Roman" w:hAnsi="Times New Roman" w:cs="Times New Roman"/>
          <w:color w:val="000000"/>
          <w:sz w:val="24"/>
          <w:szCs w:val="24"/>
          <w:shd w:val="clear" w:color="auto" w:fill="FFFFFF"/>
          <w:lang w:eastAsia="ru-RU"/>
        </w:rPr>
        <w:t>tranzacţiona</w:t>
      </w:r>
      <w:proofErr w:type="spellEnd"/>
      <w:r w:rsidR="00F82ED4" w:rsidRPr="00125FAF">
        <w:rPr>
          <w:rFonts w:ascii="Times New Roman" w:eastAsia="Times New Roman" w:hAnsi="Times New Roman" w:cs="Times New Roman"/>
          <w:color w:val="000000"/>
          <w:sz w:val="24"/>
          <w:szCs w:val="24"/>
          <w:shd w:val="clear" w:color="auto" w:fill="FFFFFF"/>
          <w:lang w:eastAsia="ru-RU"/>
        </w:rPr>
        <w:t xml:space="preserve"> reducerile de emisii produse pe teritoriul său. În acest sens, conform Acordului de asociere dintre UE </w:t>
      </w:r>
      <w:proofErr w:type="spellStart"/>
      <w:r w:rsidR="00F82ED4" w:rsidRPr="00125FAF">
        <w:rPr>
          <w:rFonts w:ascii="Times New Roman" w:eastAsia="Times New Roman" w:hAnsi="Times New Roman" w:cs="Times New Roman"/>
          <w:color w:val="000000"/>
          <w:sz w:val="24"/>
          <w:szCs w:val="24"/>
          <w:shd w:val="clear" w:color="auto" w:fill="FFFFFF"/>
          <w:lang w:eastAsia="ru-RU"/>
        </w:rPr>
        <w:t>şi</w:t>
      </w:r>
      <w:proofErr w:type="spellEnd"/>
      <w:r w:rsidR="00F82ED4" w:rsidRPr="00125FAF">
        <w:rPr>
          <w:rFonts w:ascii="Times New Roman" w:eastAsia="Times New Roman" w:hAnsi="Times New Roman" w:cs="Times New Roman"/>
          <w:color w:val="000000"/>
          <w:sz w:val="24"/>
          <w:szCs w:val="24"/>
          <w:shd w:val="clear" w:color="auto" w:fill="FFFFFF"/>
          <w:lang w:eastAsia="ru-RU"/>
        </w:rPr>
        <w:t xml:space="preserve"> Republica Moldova, </w:t>
      </w:r>
      <w:r w:rsidR="006A7CAB" w:rsidRPr="00125FAF">
        <w:rPr>
          <w:rFonts w:ascii="Times New Roman" w:eastAsia="Times New Roman" w:hAnsi="Times New Roman" w:cs="Times New Roman"/>
          <w:color w:val="000000"/>
          <w:sz w:val="24"/>
          <w:szCs w:val="24"/>
          <w:shd w:val="clear" w:color="auto" w:fill="FFFFFF"/>
          <w:lang w:eastAsia="ru-RU"/>
        </w:rPr>
        <w:t xml:space="preserve">către anul 2022 </w:t>
      </w:r>
      <w:r w:rsidR="00F82ED4" w:rsidRPr="00125FAF">
        <w:rPr>
          <w:rFonts w:ascii="Times New Roman" w:eastAsia="Times New Roman" w:hAnsi="Times New Roman" w:cs="Times New Roman"/>
          <w:color w:val="000000"/>
          <w:sz w:val="24"/>
          <w:szCs w:val="24"/>
          <w:shd w:val="clear" w:color="auto" w:fill="FFFFFF"/>
          <w:lang w:eastAsia="ru-RU"/>
        </w:rPr>
        <w:t xml:space="preserve">urma să fie implementată </w:t>
      </w:r>
      <w:r w:rsidR="006A7CAB" w:rsidRPr="00125FAF">
        <w:rPr>
          <w:rFonts w:ascii="Times New Roman" w:eastAsia="Times New Roman" w:hAnsi="Times New Roman" w:cs="Times New Roman"/>
          <w:color w:val="000000"/>
          <w:sz w:val="24"/>
          <w:szCs w:val="24"/>
          <w:shd w:val="clear" w:color="auto" w:fill="FFFFFF"/>
          <w:lang w:eastAsia="ru-RU"/>
        </w:rPr>
        <w:t>Directiva 2003/87/CE cu privire la stabilirea unui sistem de comercializare a cotelor de emisii de gaze cu efect de seră în Comunitatea Europeană,</w:t>
      </w:r>
      <w:r w:rsidR="006A7CAB" w:rsidRPr="00125FAF">
        <w:rPr>
          <w:rFonts w:ascii="Times New Roman" w:hAnsi="Times New Roman" w:cs="Times New Roman"/>
          <w:sz w:val="24"/>
          <w:szCs w:val="24"/>
        </w:rPr>
        <w:t xml:space="preserve"> în vederea </w:t>
      </w:r>
      <w:r w:rsidR="006A7CAB" w:rsidRPr="00125FAF">
        <w:rPr>
          <w:rFonts w:ascii="Times New Roman" w:eastAsia="Times New Roman" w:hAnsi="Times New Roman" w:cs="Times New Roman"/>
          <w:color w:val="000000"/>
          <w:sz w:val="24"/>
          <w:szCs w:val="24"/>
          <w:shd w:val="clear" w:color="auto" w:fill="FFFFFF"/>
          <w:lang w:eastAsia="ru-RU"/>
        </w:rPr>
        <w:t xml:space="preserve">promovării reducerilor de GES într-un mod rentabil și eficient din punct de vedere economic. </w:t>
      </w:r>
      <w:r w:rsidR="007C1C04" w:rsidRPr="00125FAF">
        <w:rPr>
          <w:rFonts w:ascii="Times New Roman" w:eastAsia="Times New Roman" w:hAnsi="Times New Roman" w:cs="Times New Roman"/>
          <w:color w:val="000000"/>
          <w:sz w:val="24"/>
          <w:szCs w:val="24"/>
          <w:shd w:val="clear" w:color="auto" w:fill="FFFFFF"/>
          <w:lang w:eastAsia="ru-RU"/>
        </w:rPr>
        <w:t>Transpunerea Directivei date în legislația națională ar trebui considerată ca fiind primul pas în crearea unui Sistem de comercializare a cotelor de emisie (</w:t>
      </w:r>
      <w:r w:rsidR="00B1375D" w:rsidRPr="00125FAF">
        <w:rPr>
          <w:rFonts w:ascii="Times New Roman" w:eastAsia="Times New Roman" w:hAnsi="Times New Roman" w:cs="Times New Roman"/>
          <w:color w:val="000000"/>
          <w:sz w:val="24"/>
          <w:szCs w:val="24"/>
          <w:shd w:val="clear" w:color="auto" w:fill="FFFFFF"/>
          <w:lang w:eastAsia="ru-RU"/>
        </w:rPr>
        <w:t>C</w:t>
      </w:r>
      <w:r w:rsidR="007C1C04" w:rsidRPr="00125FAF">
        <w:rPr>
          <w:rFonts w:ascii="Times New Roman" w:eastAsia="Times New Roman" w:hAnsi="Times New Roman" w:cs="Times New Roman"/>
          <w:color w:val="000000"/>
          <w:sz w:val="24"/>
          <w:szCs w:val="24"/>
          <w:shd w:val="clear" w:color="auto" w:fill="FFFFFF"/>
          <w:lang w:eastAsia="ru-RU"/>
        </w:rPr>
        <w:t>CE) care va fi compatibil pentru a se conecta ulterior la UE-</w:t>
      </w:r>
      <w:r w:rsidR="00B1375D" w:rsidRPr="00125FAF">
        <w:rPr>
          <w:rFonts w:ascii="Times New Roman" w:eastAsia="Times New Roman" w:hAnsi="Times New Roman" w:cs="Times New Roman"/>
          <w:color w:val="000000"/>
          <w:sz w:val="24"/>
          <w:szCs w:val="24"/>
          <w:shd w:val="clear" w:color="auto" w:fill="FFFFFF"/>
          <w:lang w:eastAsia="ru-RU"/>
        </w:rPr>
        <w:t>C</w:t>
      </w:r>
      <w:r w:rsidR="007C1C04" w:rsidRPr="00125FAF">
        <w:rPr>
          <w:rFonts w:ascii="Times New Roman" w:eastAsia="Times New Roman" w:hAnsi="Times New Roman" w:cs="Times New Roman"/>
          <w:color w:val="000000"/>
          <w:sz w:val="24"/>
          <w:szCs w:val="24"/>
          <w:shd w:val="clear" w:color="auto" w:fill="FFFFFF"/>
          <w:lang w:eastAsia="ru-RU"/>
        </w:rPr>
        <w:t>CE. Pentru a face parte din UE-</w:t>
      </w:r>
      <w:r w:rsidR="00B1375D" w:rsidRPr="00125FAF">
        <w:rPr>
          <w:rFonts w:ascii="Times New Roman" w:eastAsia="Times New Roman" w:hAnsi="Times New Roman" w:cs="Times New Roman"/>
          <w:color w:val="000000"/>
          <w:sz w:val="24"/>
          <w:szCs w:val="24"/>
          <w:shd w:val="clear" w:color="auto" w:fill="FFFFFF"/>
          <w:lang w:eastAsia="ru-RU"/>
        </w:rPr>
        <w:t>C</w:t>
      </w:r>
      <w:r w:rsidR="007C1C04" w:rsidRPr="00125FAF">
        <w:rPr>
          <w:rFonts w:ascii="Times New Roman" w:eastAsia="Times New Roman" w:hAnsi="Times New Roman" w:cs="Times New Roman"/>
          <w:color w:val="000000"/>
          <w:sz w:val="24"/>
          <w:szCs w:val="24"/>
          <w:shd w:val="clear" w:color="auto" w:fill="FFFFFF"/>
          <w:lang w:eastAsia="ru-RU"/>
        </w:rPr>
        <w:t>CE, ar trebui implementate cel puțin alte șapte directive și reg</w:t>
      </w:r>
      <w:r w:rsidR="00B94958" w:rsidRPr="00125FAF">
        <w:rPr>
          <w:rFonts w:ascii="Times New Roman" w:eastAsia="Times New Roman" w:hAnsi="Times New Roman" w:cs="Times New Roman"/>
          <w:color w:val="000000"/>
          <w:sz w:val="24"/>
          <w:szCs w:val="24"/>
          <w:shd w:val="clear" w:color="auto" w:fill="FFFFFF"/>
          <w:lang w:eastAsia="ru-RU"/>
        </w:rPr>
        <w:t>ulamente</w:t>
      </w:r>
      <w:r w:rsidR="007C1C04" w:rsidRPr="00125FAF">
        <w:rPr>
          <w:rFonts w:ascii="Times New Roman" w:eastAsia="Times New Roman" w:hAnsi="Times New Roman" w:cs="Times New Roman"/>
          <w:color w:val="000000"/>
          <w:sz w:val="24"/>
          <w:szCs w:val="24"/>
          <w:shd w:val="clear" w:color="auto" w:fill="FFFFFF"/>
          <w:lang w:eastAsia="ru-RU"/>
        </w:rPr>
        <w:t xml:space="preserve"> UE, inclusiv cele care reglementează MRV, Înregistrarea emisiilor de GES, </w:t>
      </w:r>
      <w:proofErr w:type="spellStart"/>
      <w:r w:rsidR="007C1C04" w:rsidRPr="00125FAF">
        <w:rPr>
          <w:rFonts w:ascii="Times New Roman" w:eastAsia="Times New Roman" w:hAnsi="Times New Roman" w:cs="Times New Roman"/>
          <w:color w:val="000000"/>
          <w:sz w:val="24"/>
          <w:szCs w:val="24"/>
          <w:shd w:val="clear" w:color="auto" w:fill="FFFFFF"/>
          <w:lang w:eastAsia="ru-RU"/>
        </w:rPr>
        <w:t>benchmarking</w:t>
      </w:r>
      <w:proofErr w:type="spellEnd"/>
      <w:r w:rsidR="007C1C04" w:rsidRPr="00125FAF">
        <w:rPr>
          <w:rFonts w:ascii="Times New Roman" w:eastAsia="Times New Roman" w:hAnsi="Times New Roman" w:cs="Times New Roman"/>
          <w:color w:val="000000"/>
          <w:sz w:val="24"/>
          <w:szCs w:val="24"/>
          <w:shd w:val="clear" w:color="auto" w:fill="FFFFFF"/>
          <w:lang w:eastAsia="ru-RU"/>
        </w:rPr>
        <w:t>, licitați</w:t>
      </w:r>
      <w:r w:rsidR="00B1375D" w:rsidRPr="00125FAF">
        <w:rPr>
          <w:rFonts w:ascii="Times New Roman" w:eastAsia="Times New Roman" w:hAnsi="Times New Roman" w:cs="Times New Roman"/>
          <w:color w:val="000000"/>
          <w:sz w:val="24"/>
          <w:szCs w:val="24"/>
          <w:shd w:val="clear" w:color="auto" w:fill="FFFFFF"/>
          <w:lang w:eastAsia="ru-RU"/>
        </w:rPr>
        <w:t>il</w:t>
      </w:r>
      <w:r w:rsidR="007C1C04" w:rsidRPr="00125FAF">
        <w:rPr>
          <w:rFonts w:ascii="Times New Roman" w:eastAsia="Times New Roman" w:hAnsi="Times New Roman" w:cs="Times New Roman"/>
          <w:color w:val="000000"/>
          <w:sz w:val="24"/>
          <w:szCs w:val="24"/>
          <w:shd w:val="clear" w:color="auto" w:fill="FFFFFF"/>
          <w:lang w:eastAsia="ru-RU"/>
        </w:rPr>
        <w:t xml:space="preserve">e etc. S-a dovedit că </w:t>
      </w:r>
      <w:proofErr w:type="spellStart"/>
      <w:r w:rsidR="007C1C04" w:rsidRPr="00125FAF">
        <w:rPr>
          <w:rFonts w:ascii="Times New Roman" w:eastAsia="Times New Roman" w:hAnsi="Times New Roman" w:cs="Times New Roman"/>
          <w:color w:val="000000"/>
          <w:sz w:val="24"/>
          <w:szCs w:val="24"/>
          <w:shd w:val="clear" w:color="auto" w:fill="FFFFFF"/>
          <w:lang w:eastAsia="ru-RU"/>
        </w:rPr>
        <w:t>întreţinerea</w:t>
      </w:r>
      <w:proofErr w:type="spellEnd"/>
      <w:r w:rsidR="007C1C04" w:rsidRPr="00125FAF">
        <w:rPr>
          <w:rFonts w:ascii="Times New Roman" w:eastAsia="Times New Roman" w:hAnsi="Times New Roman" w:cs="Times New Roman"/>
          <w:color w:val="000000"/>
          <w:sz w:val="24"/>
          <w:szCs w:val="24"/>
          <w:shd w:val="clear" w:color="auto" w:fill="FFFFFF"/>
          <w:lang w:eastAsia="ru-RU"/>
        </w:rPr>
        <w:t xml:space="preserve"> </w:t>
      </w:r>
      <w:proofErr w:type="spellStart"/>
      <w:r w:rsidR="00BC10FD" w:rsidRPr="00125FAF">
        <w:rPr>
          <w:rFonts w:ascii="Times New Roman" w:eastAsia="Times New Roman" w:hAnsi="Times New Roman" w:cs="Times New Roman"/>
          <w:color w:val="000000"/>
          <w:sz w:val="24"/>
          <w:szCs w:val="24"/>
          <w:shd w:val="clear" w:color="auto" w:fill="FFFFFF"/>
          <w:lang w:eastAsia="ru-RU"/>
        </w:rPr>
        <w:t>şi</w:t>
      </w:r>
      <w:proofErr w:type="spellEnd"/>
      <w:r w:rsidR="00BC10FD" w:rsidRPr="00125FAF">
        <w:rPr>
          <w:rFonts w:ascii="Times New Roman" w:eastAsia="Times New Roman" w:hAnsi="Times New Roman" w:cs="Times New Roman"/>
          <w:color w:val="000000"/>
          <w:sz w:val="24"/>
          <w:szCs w:val="24"/>
          <w:shd w:val="clear" w:color="auto" w:fill="FFFFFF"/>
          <w:lang w:eastAsia="ru-RU"/>
        </w:rPr>
        <w:t xml:space="preserve"> utilizarea </w:t>
      </w:r>
      <w:r w:rsidR="007C1C04" w:rsidRPr="00125FAF">
        <w:rPr>
          <w:rFonts w:ascii="Times New Roman" w:eastAsia="Times New Roman" w:hAnsi="Times New Roman" w:cs="Times New Roman"/>
          <w:color w:val="000000"/>
          <w:sz w:val="24"/>
          <w:szCs w:val="24"/>
          <w:shd w:val="clear" w:color="auto" w:fill="FFFFFF"/>
          <w:lang w:eastAsia="ru-RU"/>
        </w:rPr>
        <w:t xml:space="preserve">tuturor acestor sisteme </w:t>
      </w:r>
      <w:r w:rsidR="00DA57CD" w:rsidRPr="00125FAF">
        <w:rPr>
          <w:rFonts w:ascii="Times New Roman" w:eastAsia="Times New Roman" w:hAnsi="Times New Roman" w:cs="Times New Roman"/>
          <w:color w:val="000000"/>
          <w:sz w:val="24"/>
          <w:szCs w:val="24"/>
          <w:shd w:val="clear" w:color="auto" w:fill="FFFFFF"/>
          <w:lang w:eastAsia="ru-RU"/>
        </w:rPr>
        <w:t xml:space="preserve">costă mult mai mult, decât efectul de la </w:t>
      </w:r>
      <w:proofErr w:type="spellStart"/>
      <w:r w:rsidR="00DA57CD" w:rsidRPr="00125FAF">
        <w:rPr>
          <w:rFonts w:ascii="Times New Roman" w:eastAsia="Times New Roman" w:hAnsi="Times New Roman" w:cs="Times New Roman"/>
          <w:color w:val="000000"/>
          <w:sz w:val="24"/>
          <w:szCs w:val="24"/>
          <w:shd w:val="clear" w:color="auto" w:fill="FFFFFF"/>
          <w:lang w:eastAsia="ru-RU"/>
        </w:rPr>
        <w:t>potenţiala</w:t>
      </w:r>
      <w:proofErr w:type="spellEnd"/>
      <w:r w:rsidR="00DA57CD" w:rsidRPr="00125FAF">
        <w:rPr>
          <w:rFonts w:ascii="Times New Roman" w:eastAsia="Times New Roman" w:hAnsi="Times New Roman" w:cs="Times New Roman"/>
          <w:color w:val="000000"/>
          <w:sz w:val="24"/>
          <w:szCs w:val="24"/>
          <w:shd w:val="clear" w:color="auto" w:fill="FFFFFF"/>
          <w:lang w:eastAsia="ru-RU"/>
        </w:rPr>
        <w:t xml:space="preserve"> reducere de GES </w:t>
      </w:r>
      <w:proofErr w:type="spellStart"/>
      <w:r w:rsidR="00DA57CD" w:rsidRPr="00125FAF">
        <w:rPr>
          <w:rFonts w:ascii="Times New Roman" w:eastAsia="Times New Roman" w:hAnsi="Times New Roman" w:cs="Times New Roman"/>
          <w:color w:val="000000"/>
          <w:sz w:val="24"/>
          <w:szCs w:val="24"/>
          <w:shd w:val="clear" w:color="auto" w:fill="FFFFFF"/>
          <w:lang w:eastAsia="ru-RU"/>
        </w:rPr>
        <w:t>aşteptată</w:t>
      </w:r>
      <w:proofErr w:type="spellEnd"/>
      <w:r w:rsidR="00DA57CD" w:rsidRPr="00125FAF">
        <w:rPr>
          <w:rFonts w:ascii="Times New Roman" w:eastAsia="Times New Roman" w:hAnsi="Times New Roman" w:cs="Times New Roman"/>
          <w:color w:val="000000"/>
          <w:sz w:val="24"/>
          <w:szCs w:val="24"/>
          <w:shd w:val="clear" w:color="auto" w:fill="FFFFFF"/>
          <w:lang w:eastAsia="ru-RU"/>
        </w:rPr>
        <w:t xml:space="preserve"> în </w:t>
      </w:r>
      <w:proofErr w:type="spellStart"/>
      <w:r w:rsidR="00DA57CD" w:rsidRPr="00125FAF">
        <w:rPr>
          <w:rFonts w:ascii="Times New Roman" w:eastAsia="Times New Roman" w:hAnsi="Times New Roman" w:cs="Times New Roman"/>
          <w:color w:val="000000"/>
          <w:sz w:val="24"/>
          <w:szCs w:val="24"/>
          <w:shd w:val="clear" w:color="auto" w:fill="FFFFFF"/>
          <w:lang w:eastAsia="ru-RU"/>
        </w:rPr>
        <w:t>ţară</w:t>
      </w:r>
      <w:proofErr w:type="spellEnd"/>
      <w:r w:rsidR="00BC10FD" w:rsidRPr="00125FAF">
        <w:rPr>
          <w:rFonts w:ascii="Times New Roman" w:eastAsia="Times New Roman" w:hAnsi="Times New Roman" w:cs="Times New Roman"/>
          <w:color w:val="000000"/>
          <w:sz w:val="24"/>
          <w:szCs w:val="24"/>
          <w:shd w:val="clear" w:color="auto" w:fill="FFFFFF"/>
          <w:lang w:eastAsia="ru-RU"/>
        </w:rPr>
        <w:t xml:space="preserve">, </w:t>
      </w:r>
      <w:r w:rsidR="003D4067" w:rsidRPr="00125FAF">
        <w:rPr>
          <w:rFonts w:ascii="Times New Roman" w:eastAsia="Times New Roman" w:hAnsi="Times New Roman" w:cs="Times New Roman"/>
          <w:color w:val="000000"/>
          <w:sz w:val="24"/>
          <w:szCs w:val="24"/>
          <w:shd w:val="clear" w:color="auto" w:fill="FFFFFF"/>
          <w:lang w:eastAsia="ru-RU"/>
        </w:rPr>
        <w:t>în cadrul Directivei</w:t>
      </w:r>
      <w:r w:rsidR="00DA57CD" w:rsidRPr="00125FAF">
        <w:rPr>
          <w:rFonts w:ascii="Times New Roman" w:eastAsia="Times New Roman" w:hAnsi="Times New Roman" w:cs="Times New Roman"/>
          <w:color w:val="000000"/>
          <w:sz w:val="24"/>
          <w:szCs w:val="24"/>
          <w:shd w:val="clear" w:color="auto" w:fill="FFFFFF"/>
          <w:lang w:eastAsia="ru-RU"/>
        </w:rPr>
        <w:t xml:space="preserve">. Drept urmare, Comunitatea Energetică </w:t>
      </w:r>
      <w:r w:rsidR="003D4067" w:rsidRPr="00125FAF">
        <w:rPr>
          <w:rFonts w:ascii="Times New Roman" w:eastAsia="Times New Roman" w:hAnsi="Times New Roman" w:cs="Times New Roman"/>
          <w:color w:val="000000"/>
          <w:sz w:val="24"/>
          <w:szCs w:val="24"/>
          <w:shd w:val="clear" w:color="auto" w:fill="FFFFFF"/>
          <w:lang w:eastAsia="ru-RU"/>
        </w:rPr>
        <w:t xml:space="preserve">s-a </w:t>
      </w:r>
      <w:proofErr w:type="spellStart"/>
      <w:r w:rsidR="003D4067" w:rsidRPr="00125FAF">
        <w:rPr>
          <w:rFonts w:ascii="Times New Roman" w:eastAsia="Times New Roman" w:hAnsi="Times New Roman" w:cs="Times New Roman"/>
          <w:color w:val="000000"/>
          <w:sz w:val="24"/>
          <w:szCs w:val="24"/>
          <w:shd w:val="clear" w:color="auto" w:fill="FFFFFF"/>
          <w:lang w:eastAsia="ru-RU"/>
        </w:rPr>
        <w:t>pronunţat</w:t>
      </w:r>
      <w:proofErr w:type="spellEnd"/>
      <w:r w:rsidR="003D4067" w:rsidRPr="00125FAF">
        <w:rPr>
          <w:rFonts w:ascii="Times New Roman" w:eastAsia="Times New Roman" w:hAnsi="Times New Roman" w:cs="Times New Roman"/>
          <w:color w:val="000000"/>
          <w:sz w:val="24"/>
          <w:szCs w:val="24"/>
          <w:shd w:val="clear" w:color="auto" w:fill="FFFFFF"/>
          <w:lang w:eastAsia="ru-RU"/>
        </w:rPr>
        <w:t xml:space="preserve"> în favoarea transpunerii simplificate a Directivei 2003/87/CE </w:t>
      </w:r>
      <w:r w:rsidR="00DA57CD" w:rsidRPr="00125FAF">
        <w:rPr>
          <w:rFonts w:ascii="Times New Roman" w:eastAsia="Times New Roman" w:hAnsi="Times New Roman" w:cs="Times New Roman"/>
          <w:color w:val="000000"/>
          <w:sz w:val="24"/>
          <w:szCs w:val="24"/>
          <w:shd w:val="clear" w:color="auto" w:fill="FFFFFF"/>
          <w:lang w:eastAsia="ru-RU"/>
        </w:rPr>
        <w:t xml:space="preserve">în Republica Moldova care constă în stabilirea palierelor de emisii pentru întreprinderile care cad sub </w:t>
      </w:r>
      <w:proofErr w:type="spellStart"/>
      <w:r w:rsidR="00DA57CD" w:rsidRPr="00125FAF">
        <w:rPr>
          <w:rFonts w:ascii="Times New Roman" w:eastAsia="Times New Roman" w:hAnsi="Times New Roman" w:cs="Times New Roman"/>
          <w:color w:val="000000"/>
          <w:sz w:val="24"/>
          <w:szCs w:val="24"/>
          <w:shd w:val="clear" w:color="auto" w:fill="FFFFFF"/>
          <w:lang w:eastAsia="ru-RU"/>
        </w:rPr>
        <w:t>acţiunea</w:t>
      </w:r>
      <w:proofErr w:type="spellEnd"/>
      <w:r w:rsidR="00DA57CD" w:rsidRPr="00125FAF">
        <w:rPr>
          <w:rFonts w:ascii="Times New Roman" w:eastAsia="Times New Roman" w:hAnsi="Times New Roman" w:cs="Times New Roman"/>
          <w:color w:val="000000"/>
          <w:sz w:val="24"/>
          <w:szCs w:val="24"/>
          <w:shd w:val="clear" w:color="auto" w:fill="FFFFFF"/>
          <w:lang w:eastAsia="ru-RU"/>
        </w:rPr>
        <w:t xml:space="preserve"> Directivei, cu ulterioara înăsprire a acestora până la nivelul stabilit în UE. În această abordare, însă, întreprinderile respective din </w:t>
      </w:r>
      <w:proofErr w:type="spellStart"/>
      <w:r w:rsidR="00DA57CD" w:rsidRPr="00125FAF">
        <w:rPr>
          <w:rFonts w:ascii="Times New Roman" w:eastAsia="Times New Roman" w:hAnsi="Times New Roman" w:cs="Times New Roman"/>
          <w:color w:val="000000"/>
          <w:sz w:val="24"/>
          <w:szCs w:val="24"/>
          <w:shd w:val="clear" w:color="auto" w:fill="FFFFFF"/>
          <w:lang w:eastAsia="ru-RU"/>
        </w:rPr>
        <w:t>ţară</w:t>
      </w:r>
      <w:proofErr w:type="spellEnd"/>
      <w:r w:rsidR="00DA57CD" w:rsidRPr="00125FAF">
        <w:rPr>
          <w:rFonts w:ascii="Times New Roman" w:eastAsia="Times New Roman" w:hAnsi="Times New Roman" w:cs="Times New Roman"/>
          <w:color w:val="000000"/>
          <w:sz w:val="24"/>
          <w:szCs w:val="24"/>
          <w:shd w:val="clear" w:color="auto" w:fill="FFFFFF"/>
          <w:lang w:eastAsia="ru-RU"/>
        </w:rPr>
        <w:t xml:space="preserve"> nu vor putea comercializa emisiile pe </w:t>
      </w:r>
      <w:proofErr w:type="spellStart"/>
      <w:r w:rsidR="00DA57CD" w:rsidRPr="00125FAF">
        <w:rPr>
          <w:rFonts w:ascii="Times New Roman" w:eastAsia="Times New Roman" w:hAnsi="Times New Roman" w:cs="Times New Roman"/>
          <w:color w:val="000000"/>
          <w:sz w:val="24"/>
          <w:szCs w:val="24"/>
          <w:shd w:val="clear" w:color="auto" w:fill="FFFFFF"/>
          <w:lang w:eastAsia="ru-RU"/>
        </w:rPr>
        <w:t>piaţa</w:t>
      </w:r>
      <w:proofErr w:type="spellEnd"/>
      <w:r w:rsidR="00DA57CD" w:rsidRPr="00125FAF">
        <w:rPr>
          <w:rFonts w:ascii="Times New Roman" w:eastAsia="Times New Roman" w:hAnsi="Times New Roman" w:cs="Times New Roman"/>
          <w:color w:val="000000"/>
          <w:sz w:val="24"/>
          <w:szCs w:val="24"/>
          <w:shd w:val="clear" w:color="auto" w:fill="FFFFFF"/>
          <w:lang w:eastAsia="ru-RU"/>
        </w:rPr>
        <w:t xml:space="preserve"> de carbon.</w:t>
      </w:r>
      <w:r w:rsidR="00FF1B32" w:rsidRPr="00125FAF">
        <w:rPr>
          <w:rFonts w:ascii="Times New Roman" w:eastAsia="Times New Roman" w:hAnsi="Times New Roman" w:cs="Times New Roman"/>
          <w:color w:val="000000"/>
          <w:sz w:val="24"/>
          <w:szCs w:val="24"/>
          <w:shd w:val="clear" w:color="auto" w:fill="FFFFFF"/>
          <w:lang w:eastAsia="ru-RU"/>
        </w:rPr>
        <w:t xml:space="preserve"> Drept urmare, </w:t>
      </w:r>
      <w:r w:rsidRPr="00125FAF">
        <w:rPr>
          <w:rFonts w:ascii="Times New Roman" w:eastAsia="Times New Roman" w:hAnsi="Times New Roman" w:cs="Times New Roman"/>
          <w:color w:val="000000"/>
          <w:sz w:val="24"/>
          <w:szCs w:val="24"/>
          <w:shd w:val="clear" w:color="auto" w:fill="FFFFFF"/>
          <w:lang w:eastAsia="ru-RU"/>
        </w:rPr>
        <w:t xml:space="preserve">Republica Moldova urmează să evalueze oportunitatea </w:t>
      </w:r>
      <w:proofErr w:type="spellStart"/>
      <w:r w:rsidRPr="00125FAF">
        <w:rPr>
          <w:rFonts w:ascii="Times New Roman" w:eastAsia="Times New Roman" w:hAnsi="Times New Roman" w:cs="Times New Roman"/>
          <w:color w:val="000000"/>
          <w:sz w:val="24"/>
          <w:szCs w:val="24"/>
          <w:shd w:val="clear" w:color="auto" w:fill="FFFFFF"/>
          <w:lang w:eastAsia="ru-RU"/>
        </w:rPr>
        <w:t>iniţierii</w:t>
      </w:r>
      <w:proofErr w:type="spellEnd"/>
      <w:r w:rsidRPr="00125FAF">
        <w:rPr>
          <w:rFonts w:ascii="Times New Roman" w:eastAsia="Times New Roman" w:hAnsi="Times New Roman" w:cs="Times New Roman"/>
          <w:color w:val="000000"/>
          <w:sz w:val="24"/>
          <w:szCs w:val="24"/>
          <w:shd w:val="clear" w:color="auto" w:fill="FFFFFF"/>
          <w:lang w:eastAsia="ru-RU"/>
        </w:rPr>
        <w:t xml:space="preserve"> unor negocieri cu Uniunea Europeană </w:t>
      </w:r>
      <w:r w:rsidR="00FF1B32" w:rsidRPr="00125FAF">
        <w:rPr>
          <w:rFonts w:ascii="Times New Roman" w:eastAsia="Times New Roman" w:hAnsi="Times New Roman" w:cs="Times New Roman"/>
          <w:color w:val="000000"/>
          <w:sz w:val="24"/>
          <w:szCs w:val="24"/>
          <w:shd w:val="clear" w:color="auto" w:fill="FFFFFF"/>
          <w:lang w:eastAsia="ru-RU"/>
        </w:rPr>
        <w:t xml:space="preserve">în vederea </w:t>
      </w:r>
      <w:proofErr w:type="spellStart"/>
      <w:r w:rsidR="00FF1B32" w:rsidRPr="00125FAF">
        <w:rPr>
          <w:rFonts w:ascii="Times New Roman" w:eastAsia="Times New Roman" w:hAnsi="Times New Roman" w:cs="Times New Roman"/>
          <w:color w:val="000000"/>
          <w:sz w:val="24"/>
          <w:szCs w:val="24"/>
          <w:shd w:val="clear" w:color="auto" w:fill="FFFFFF"/>
          <w:lang w:eastAsia="ru-RU"/>
        </w:rPr>
        <w:t>depăşirii</w:t>
      </w:r>
      <w:proofErr w:type="spellEnd"/>
      <w:r w:rsidR="00FF1B32" w:rsidRPr="00125FAF">
        <w:rPr>
          <w:rFonts w:ascii="Times New Roman" w:eastAsia="Times New Roman" w:hAnsi="Times New Roman" w:cs="Times New Roman"/>
          <w:color w:val="000000"/>
          <w:sz w:val="24"/>
          <w:szCs w:val="24"/>
          <w:shd w:val="clear" w:color="auto" w:fill="FFFFFF"/>
          <w:lang w:eastAsia="ru-RU"/>
        </w:rPr>
        <w:t xml:space="preserve"> problemei în cauză.</w:t>
      </w:r>
    </w:p>
    <w:p w14:paraId="47497EE2" w14:textId="3609C33A" w:rsidR="006364B2" w:rsidRPr="00125FAF" w:rsidRDefault="006364B2" w:rsidP="006364B2">
      <w:pPr>
        <w:spacing w:after="0" w:line="240" w:lineRule="auto"/>
        <w:ind w:firstLine="720"/>
        <w:jc w:val="both"/>
        <w:rPr>
          <w:rFonts w:ascii="Times New Roman" w:eastAsia="Times New Roman" w:hAnsi="Times New Roman" w:cs="Times New Roman"/>
          <w:color w:val="000000"/>
          <w:sz w:val="24"/>
          <w:szCs w:val="24"/>
          <w:lang w:eastAsia="ru-RU"/>
        </w:rPr>
      </w:pPr>
      <w:r w:rsidRPr="00125FAF">
        <w:rPr>
          <w:rFonts w:ascii="Times New Roman" w:eastAsia="Times New Roman" w:hAnsi="Times New Roman" w:cs="Times New Roman"/>
          <w:color w:val="000000"/>
          <w:sz w:val="24"/>
          <w:szCs w:val="24"/>
          <w:shd w:val="clear" w:color="auto" w:fill="FFFFFF"/>
          <w:lang w:eastAsia="ru-RU"/>
        </w:rPr>
        <w:t>3</w:t>
      </w:r>
      <w:r w:rsidR="007909C8" w:rsidRPr="00125FAF">
        <w:rPr>
          <w:rFonts w:ascii="Times New Roman" w:eastAsia="Times New Roman" w:hAnsi="Times New Roman" w:cs="Times New Roman"/>
          <w:color w:val="000000"/>
          <w:sz w:val="24"/>
          <w:szCs w:val="24"/>
          <w:shd w:val="clear" w:color="auto" w:fill="FFFFFF"/>
          <w:lang w:eastAsia="ru-RU"/>
        </w:rPr>
        <w:t>4</w:t>
      </w:r>
      <w:r w:rsidRPr="00125FAF">
        <w:rPr>
          <w:rFonts w:ascii="Times New Roman" w:eastAsia="Times New Roman" w:hAnsi="Times New Roman" w:cs="Times New Roman"/>
          <w:color w:val="000000"/>
          <w:sz w:val="24"/>
          <w:szCs w:val="24"/>
          <w:shd w:val="clear" w:color="auto" w:fill="FFFFFF"/>
          <w:lang w:eastAsia="ru-RU"/>
        </w:rPr>
        <w:t>. În scopul atingerii obiectivelor prezent</w:t>
      </w:r>
      <w:r w:rsidR="00B94958" w:rsidRPr="00125FAF">
        <w:rPr>
          <w:rFonts w:ascii="Times New Roman" w:eastAsia="Times New Roman" w:hAnsi="Times New Roman" w:cs="Times New Roman"/>
          <w:color w:val="000000"/>
          <w:sz w:val="24"/>
          <w:szCs w:val="24"/>
          <w:shd w:val="clear" w:color="auto" w:fill="FFFFFF"/>
          <w:lang w:eastAsia="ru-RU"/>
        </w:rPr>
        <w:t>ului Program</w:t>
      </w:r>
      <w:r w:rsidR="00E70219" w:rsidRPr="00125FAF">
        <w:rPr>
          <w:rFonts w:ascii="Times New Roman" w:eastAsia="Times New Roman" w:hAnsi="Times New Roman" w:cs="Times New Roman"/>
          <w:color w:val="000000"/>
          <w:sz w:val="24"/>
          <w:szCs w:val="24"/>
          <w:shd w:val="clear" w:color="auto" w:fill="FFFFFF"/>
          <w:lang w:eastAsia="ru-RU"/>
        </w:rPr>
        <w:t xml:space="preserve"> </w:t>
      </w:r>
      <w:r w:rsidRPr="00125FAF">
        <w:rPr>
          <w:rFonts w:ascii="Times New Roman" w:eastAsia="Times New Roman" w:hAnsi="Times New Roman" w:cs="Times New Roman"/>
          <w:color w:val="000000"/>
          <w:sz w:val="24"/>
          <w:szCs w:val="24"/>
          <w:lang w:eastAsia="ru-RU"/>
        </w:rPr>
        <w:t xml:space="preserve">au fost identificate </w:t>
      </w:r>
      <w:proofErr w:type="spellStart"/>
      <w:r w:rsidRPr="00125FAF">
        <w:rPr>
          <w:rFonts w:ascii="Times New Roman" w:eastAsia="Times New Roman" w:hAnsi="Times New Roman" w:cs="Times New Roman"/>
          <w:color w:val="000000"/>
          <w:sz w:val="24"/>
          <w:szCs w:val="24"/>
          <w:lang w:eastAsia="ru-RU"/>
        </w:rPr>
        <w:t>acţiuni</w:t>
      </w:r>
      <w:proofErr w:type="spellEnd"/>
      <w:r w:rsidRPr="00125FAF">
        <w:rPr>
          <w:rFonts w:ascii="Times New Roman" w:eastAsia="Times New Roman" w:hAnsi="Times New Roman" w:cs="Times New Roman"/>
          <w:color w:val="000000"/>
          <w:sz w:val="24"/>
          <w:szCs w:val="24"/>
          <w:lang w:eastAsia="ru-RU"/>
        </w:rPr>
        <w:t xml:space="preserve"> </w:t>
      </w:r>
      <w:r w:rsidR="003D4067" w:rsidRPr="00125FAF">
        <w:rPr>
          <w:rFonts w:ascii="Times New Roman" w:eastAsia="Times New Roman" w:hAnsi="Times New Roman" w:cs="Times New Roman"/>
          <w:color w:val="000000"/>
          <w:sz w:val="24"/>
          <w:szCs w:val="24"/>
          <w:lang w:eastAsia="ru-RU"/>
        </w:rPr>
        <w:t xml:space="preserve">prioritare comune pentru întreaga economie a </w:t>
      </w:r>
      <w:proofErr w:type="spellStart"/>
      <w:r w:rsidR="003D4067" w:rsidRPr="00125FAF">
        <w:rPr>
          <w:rFonts w:ascii="Times New Roman" w:eastAsia="Times New Roman" w:hAnsi="Times New Roman" w:cs="Times New Roman"/>
          <w:color w:val="000000"/>
          <w:sz w:val="24"/>
          <w:szCs w:val="24"/>
          <w:lang w:eastAsia="ru-RU"/>
        </w:rPr>
        <w:t>ţării</w:t>
      </w:r>
      <w:proofErr w:type="spellEnd"/>
      <w:r w:rsidR="003D4067" w:rsidRPr="00125FAF">
        <w:rPr>
          <w:rFonts w:ascii="Times New Roman" w:eastAsia="Times New Roman" w:hAnsi="Times New Roman" w:cs="Times New Roman"/>
          <w:color w:val="000000"/>
          <w:sz w:val="24"/>
          <w:szCs w:val="24"/>
          <w:lang w:eastAsia="ru-RU"/>
        </w:rPr>
        <w:t xml:space="preserve">, precum </w:t>
      </w:r>
      <w:proofErr w:type="spellStart"/>
      <w:r w:rsidR="003D4067" w:rsidRPr="00125FAF">
        <w:rPr>
          <w:rFonts w:ascii="Times New Roman" w:eastAsia="Times New Roman" w:hAnsi="Times New Roman" w:cs="Times New Roman"/>
          <w:color w:val="000000"/>
          <w:sz w:val="24"/>
          <w:szCs w:val="24"/>
          <w:lang w:eastAsia="ru-RU"/>
        </w:rPr>
        <w:t>şi</w:t>
      </w:r>
      <w:proofErr w:type="spellEnd"/>
      <w:r w:rsidR="003D4067" w:rsidRPr="00125FAF">
        <w:rPr>
          <w:rFonts w:ascii="Times New Roman" w:eastAsia="Times New Roman" w:hAnsi="Times New Roman" w:cs="Times New Roman"/>
          <w:color w:val="000000"/>
          <w:sz w:val="24"/>
          <w:szCs w:val="24"/>
          <w:lang w:eastAsia="ru-RU"/>
        </w:rPr>
        <w:t xml:space="preserve"> </w:t>
      </w:r>
      <w:r w:rsidR="00240039" w:rsidRPr="00125FAF">
        <w:rPr>
          <w:rFonts w:ascii="Times New Roman" w:eastAsia="Times New Roman" w:hAnsi="Times New Roman" w:cs="Times New Roman"/>
          <w:color w:val="000000"/>
          <w:sz w:val="24"/>
          <w:szCs w:val="24"/>
          <w:lang w:eastAsia="ru-RU"/>
        </w:rPr>
        <w:t xml:space="preserve">specifice, </w:t>
      </w:r>
      <w:r w:rsidR="003D4067" w:rsidRPr="00125FAF">
        <w:rPr>
          <w:rFonts w:ascii="Times New Roman" w:eastAsia="Times New Roman" w:hAnsi="Times New Roman" w:cs="Times New Roman"/>
          <w:color w:val="000000"/>
          <w:sz w:val="24"/>
          <w:szCs w:val="24"/>
          <w:lang w:eastAsia="ru-RU"/>
        </w:rPr>
        <w:t>pentru fiecare sector în parte (energetic</w:t>
      </w:r>
      <w:r w:rsidR="00BA3738" w:rsidRPr="00125FAF">
        <w:rPr>
          <w:rFonts w:ascii="Times New Roman" w:eastAsia="Times New Roman" w:hAnsi="Times New Roman" w:cs="Times New Roman"/>
          <w:color w:val="000000"/>
          <w:sz w:val="24"/>
          <w:szCs w:val="24"/>
          <w:lang w:eastAsia="ru-RU"/>
        </w:rPr>
        <w:t>ă</w:t>
      </w:r>
      <w:r w:rsidR="003D4067" w:rsidRPr="00125FAF">
        <w:rPr>
          <w:rFonts w:ascii="Times New Roman" w:eastAsia="Times New Roman" w:hAnsi="Times New Roman" w:cs="Times New Roman"/>
          <w:color w:val="000000"/>
          <w:sz w:val="24"/>
          <w:szCs w:val="24"/>
          <w:lang w:eastAsia="ru-RU"/>
        </w:rPr>
        <w:t>, transporturi, clădiri, industri</w:t>
      </w:r>
      <w:r w:rsidR="00BA3738" w:rsidRPr="00125FAF">
        <w:rPr>
          <w:rFonts w:ascii="Times New Roman" w:eastAsia="Times New Roman" w:hAnsi="Times New Roman" w:cs="Times New Roman"/>
          <w:color w:val="000000"/>
          <w:sz w:val="24"/>
          <w:szCs w:val="24"/>
          <w:lang w:eastAsia="ru-RU"/>
        </w:rPr>
        <w:t>e</w:t>
      </w:r>
      <w:r w:rsidR="003D4067" w:rsidRPr="00125FAF">
        <w:rPr>
          <w:rFonts w:ascii="Times New Roman" w:eastAsia="Times New Roman" w:hAnsi="Times New Roman" w:cs="Times New Roman"/>
          <w:color w:val="000000"/>
          <w:sz w:val="24"/>
          <w:szCs w:val="24"/>
          <w:lang w:eastAsia="ru-RU"/>
        </w:rPr>
        <w:t>, agric</w:t>
      </w:r>
      <w:r w:rsidR="00BA3738" w:rsidRPr="00125FAF">
        <w:rPr>
          <w:rFonts w:ascii="Times New Roman" w:eastAsia="Times New Roman" w:hAnsi="Times New Roman" w:cs="Times New Roman"/>
          <w:color w:val="000000"/>
          <w:sz w:val="24"/>
          <w:szCs w:val="24"/>
          <w:lang w:eastAsia="ru-RU"/>
        </w:rPr>
        <w:t>ultură</w:t>
      </w:r>
      <w:r w:rsidR="003D4067" w:rsidRPr="00125FAF">
        <w:rPr>
          <w:rFonts w:ascii="Times New Roman" w:eastAsia="Times New Roman" w:hAnsi="Times New Roman" w:cs="Times New Roman"/>
          <w:color w:val="000000"/>
          <w:sz w:val="24"/>
          <w:szCs w:val="24"/>
          <w:lang w:eastAsia="ru-RU"/>
        </w:rPr>
        <w:t xml:space="preserve">, </w:t>
      </w:r>
      <w:r w:rsidR="00BA3738" w:rsidRPr="00125FAF">
        <w:rPr>
          <w:rFonts w:ascii="Times New Roman" w:eastAsia="Times New Roman" w:hAnsi="Times New Roman" w:cs="Times New Roman"/>
          <w:color w:val="000000"/>
          <w:sz w:val="24"/>
          <w:szCs w:val="24"/>
          <w:lang w:eastAsia="ru-RU"/>
        </w:rPr>
        <w:t>silvicultură</w:t>
      </w:r>
      <w:r w:rsidR="003D4067" w:rsidRPr="00125FAF">
        <w:rPr>
          <w:rFonts w:ascii="Times New Roman" w:eastAsia="Times New Roman" w:hAnsi="Times New Roman" w:cs="Times New Roman"/>
          <w:color w:val="000000"/>
          <w:sz w:val="24"/>
          <w:szCs w:val="24"/>
          <w:lang w:eastAsia="ru-RU"/>
        </w:rPr>
        <w:t xml:space="preserve"> </w:t>
      </w:r>
      <w:proofErr w:type="spellStart"/>
      <w:r w:rsidR="003D4067" w:rsidRPr="00125FAF">
        <w:rPr>
          <w:rFonts w:ascii="Times New Roman" w:eastAsia="Times New Roman" w:hAnsi="Times New Roman" w:cs="Times New Roman"/>
          <w:color w:val="000000"/>
          <w:sz w:val="24"/>
          <w:szCs w:val="24"/>
          <w:lang w:eastAsia="ru-RU"/>
        </w:rPr>
        <w:t>şi</w:t>
      </w:r>
      <w:proofErr w:type="spellEnd"/>
      <w:r w:rsidR="003D4067" w:rsidRPr="00125FAF">
        <w:rPr>
          <w:rFonts w:ascii="Times New Roman" w:eastAsia="Times New Roman" w:hAnsi="Times New Roman" w:cs="Times New Roman"/>
          <w:color w:val="000000"/>
          <w:sz w:val="24"/>
          <w:szCs w:val="24"/>
          <w:lang w:eastAsia="ru-RU"/>
        </w:rPr>
        <w:t xml:space="preserve"> </w:t>
      </w:r>
      <w:proofErr w:type="spellStart"/>
      <w:r w:rsidR="003D4067" w:rsidRPr="00125FAF">
        <w:rPr>
          <w:rFonts w:ascii="Times New Roman" w:eastAsia="Times New Roman" w:hAnsi="Times New Roman" w:cs="Times New Roman"/>
          <w:color w:val="000000"/>
          <w:sz w:val="24"/>
          <w:szCs w:val="24"/>
          <w:lang w:eastAsia="ru-RU"/>
        </w:rPr>
        <w:t>deşeuri</w:t>
      </w:r>
      <w:proofErr w:type="spellEnd"/>
      <w:r w:rsidR="003D4067" w:rsidRPr="00125FAF">
        <w:rPr>
          <w:rFonts w:ascii="Times New Roman" w:eastAsia="Times New Roman" w:hAnsi="Times New Roman" w:cs="Times New Roman"/>
          <w:color w:val="000000"/>
          <w:sz w:val="24"/>
          <w:szCs w:val="24"/>
          <w:lang w:eastAsia="ru-RU"/>
        </w:rPr>
        <w:t>)</w:t>
      </w:r>
      <w:r w:rsidR="00BA3738" w:rsidRPr="00125FAF">
        <w:rPr>
          <w:rFonts w:ascii="Times New Roman" w:eastAsia="Times New Roman" w:hAnsi="Times New Roman" w:cs="Times New Roman"/>
          <w:color w:val="000000"/>
          <w:sz w:val="24"/>
          <w:szCs w:val="24"/>
          <w:lang w:eastAsia="ru-RU"/>
        </w:rPr>
        <w:t>.</w:t>
      </w:r>
    </w:p>
    <w:p w14:paraId="69957C11" w14:textId="77777777" w:rsidR="003D4067" w:rsidRPr="00125FAF" w:rsidRDefault="003D4067" w:rsidP="001F2F2D">
      <w:pPr>
        <w:spacing w:after="120" w:line="240" w:lineRule="auto"/>
        <w:ind w:firstLine="720"/>
        <w:jc w:val="both"/>
        <w:rPr>
          <w:rFonts w:ascii="Times New Roman" w:eastAsia="Times New Roman" w:hAnsi="Times New Roman" w:cs="Times New Roman"/>
          <w:sz w:val="24"/>
          <w:szCs w:val="24"/>
          <w:lang w:eastAsia="ru-RU"/>
        </w:rPr>
      </w:pPr>
      <w:r w:rsidRPr="00125FAF">
        <w:rPr>
          <w:rFonts w:ascii="Times New Roman" w:eastAsia="Times New Roman" w:hAnsi="Times New Roman" w:cs="Times New Roman"/>
          <w:sz w:val="24"/>
          <w:szCs w:val="24"/>
          <w:lang w:eastAsia="ru-RU"/>
        </w:rPr>
        <w:t xml:space="preserve">Printre </w:t>
      </w:r>
      <w:proofErr w:type="spellStart"/>
      <w:r w:rsidRPr="00125FAF">
        <w:rPr>
          <w:rFonts w:ascii="Times New Roman" w:eastAsia="Times New Roman" w:hAnsi="Times New Roman" w:cs="Times New Roman"/>
          <w:i/>
          <w:iCs/>
          <w:sz w:val="24"/>
          <w:szCs w:val="24"/>
          <w:lang w:eastAsia="ru-RU"/>
        </w:rPr>
        <w:t>acţiunile</w:t>
      </w:r>
      <w:proofErr w:type="spellEnd"/>
      <w:r w:rsidRPr="00125FAF">
        <w:rPr>
          <w:rFonts w:ascii="Times New Roman" w:eastAsia="Times New Roman" w:hAnsi="Times New Roman" w:cs="Times New Roman"/>
          <w:i/>
          <w:iCs/>
          <w:sz w:val="24"/>
          <w:szCs w:val="24"/>
          <w:lang w:eastAsia="ru-RU"/>
        </w:rPr>
        <w:t xml:space="preserve"> prioritare comune</w:t>
      </w:r>
      <w:r w:rsidRPr="00125FAF">
        <w:rPr>
          <w:rFonts w:ascii="Times New Roman" w:eastAsia="Times New Roman" w:hAnsi="Times New Roman" w:cs="Times New Roman"/>
          <w:sz w:val="24"/>
          <w:szCs w:val="24"/>
          <w:lang w:eastAsia="ru-RU"/>
        </w:rPr>
        <w:t xml:space="preserve"> fac parte:</w:t>
      </w:r>
    </w:p>
    <w:p w14:paraId="26C57B75" w14:textId="408822B3" w:rsidR="003D4067" w:rsidRPr="00125FAF" w:rsidRDefault="003D4067" w:rsidP="001F2F2D">
      <w:pPr>
        <w:spacing w:after="0" w:line="240" w:lineRule="auto"/>
        <w:ind w:firstLine="720"/>
        <w:jc w:val="both"/>
        <w:rPr>
          <w:rFonts w:ascii="Times New Roman" w:eastAsia="Times New Roman" w:hAnsi="Times New Roman" w:cs="Times New Roman"/>
          <w:sz w:val="24"/>
          <w:szCs w:val="24"/>
          <w:lang w:eastAsia="ru-RU"/>
        </w:rPr>
      </w:pPr>
      <w:r w:rsidRPr="00125FAF">
        <w:rPr>
          <w:rFonts w:ascii="Times New Roman" w:eastAsia="Times New Roman" w:hAnsi="Times New Roman" w:cs="Times New Roman"/>
          <w:sz w:val="24"/>
          <w:szCs w:val="24"/>
          <w:lang w:eastAsia="ru-RU"/>
        </w:rPr>
        <w:t>1)</w:t>
      </w:r>
      <w:r w:rsidRPr="00125FAF">
        <w:rPr>
          <w:rFonts w:ascii="Times New Roman" w:eastAsia="Times New Roman" w:hAnsi="Times New Roman" w:cs="Times New Roman"/>
          <w:sz w:val="24"/>
          <w:szCs w:val="24"/>
          <w:lang w:eastAsia="ru-RU"/>
        </w:rPr>
        <w:tab/>
        <w:t xml:space="preserve">Promovarea </w:t>
      </w:r>
      <w:proofErr w:type="spellStart"/>
      <w:r w:rsidRPr="00125FAF">
        <w:rPr>
          <w:rFonts w:ascii="Times New Roman" w:eastAsia="Times New Roman" w:hAnsi="Times New Roman" w:cs="Times New Roman"/>
          <w:sz w:val="24"/>
          <w:szCs w:val="24"/>
          <w:lang w:eastAsia="ru-RU"/>
        </w:rPr>
        <w:t>eficienţii</w:t>
      </w:r>
      <w:proofErr w:type="spellEnd"/>
      <w:r w:rsidRPr="00125FAF">
        <w:rPr>
          <w:rFonts w:ascii="Times New Roman" w:eastAsia="Times New Roman" w:hAnsi="Times New Roman" w:cs="Times New Roman"/>
          <w:sz w:val="24"/>
          <w:szCs w:val="24"/>
          <w:lang w:eastAsia="ru-RU"/>
        </w:rPr>
        <w:t xml:space="preserve"> energetice în vederea diminuării însemnate a</w:t>
      </w:r>
      <w:r w:rsidR="00E70219" w:rsidRPr="00125FAF">
        <w:rPr>
          <w:rFonts w:ascii="Times New Roman" w:eastAsia="Times New Roman" w:hAnsi="Times New Roman" w:cs="Times New Roman"/>
          <w:sz w:val="24"/>
          <w:szCs w:val="24"/>
          <w:lang w:eastAsia="ru-RU"/>
        </w:rPr>
        <w:t xml:space="preserve"> </w:t>
      </w:r>
      <w:proofErr w:type="spellStart"/>
      <w:r w:rsidRPr="00125FAF">
        <w:rPr>
          <w:rFonts w:ascii="Times New Roman" w:eastAsia="Times New Roman" w:hAnsi="Times New Roman" w:cs="Times New Roman"/>
          <w:sz w:val="24"/>
          <w:szCs w:val="24"/>
          <w:lang w:eastAsia="ru-RU"/>
        </w:rPr>
        <w:t>intensităţii</w:t>
      </w:r>
      <w:proofErr w:type="spellEnd"/>
      <w:r w:rsidRPr="00125FAF">
        <w:rPr>
          <w:rFonts w:ascii="Times New Roman" w:eastAsia="Times New Roman" w:hAnsi="Times New Roman" w:cs="Times New Roman"/>
          <w:sz w:val="24"/>
          <w:szCs w:val="24"/>
          <w:lang w:eastAsia="ru-RU"/>
        </w:rPr>
        <w:t xml:space="preserve"> energetice;</w:t>
      </w:r>
    </w:p>
    <w:p w14:paraId="011E04D6" w14:textId="77777777" w:rsidR="003D4067" w:rsidRPr="00125FAF" w:rsidRDefault="003D4067" w:rsidP="001F2F2D">
      <w:pPr>
        <w:spacing w:after="0" w:line="240" w:lineRule="auto"/>
        <w:ind w:firstLine="720"/>
        <w:jc w:val="both"/>
        <w:rPr>
          <w:rFonts w:ascii="Times New Roman" w:eastAsia="Times New Roman" w:hAnsi="Times New Roman" w:cs="Times New Roman"/>
          <w:sz w:val="24"/>
          <w:szCs w:val="24"/>
          <w:lang w:eastAsia="ru-RU"/>
        </w:rPr>
      </w:pPr>
      <w:r w:rsidRPr="00125FAF">
        <w:rPr>
          <w:rFonts w:ascii="Times New Roman" w:eastAsia="Times New Roman" w:hAnsi="Times New Roman" w:cs="Times New Roman"/>
          <w:sz w:val="24"/>
          <w:szCs w:val="24"/>
          <w:lang w:eastAsia="ru-RU"/>
        </w:rPr>
        <w:t>2)</w:t>
      </w:r>
      <w:r w:rsidRPr="00125FAF">
        <w:rPr>
          <w:rFonts w:ascii="Times New Roman" w:eastAsia="Times New Roman" w:hAnsi="Times New Roman" w:cs="Times New Roman"/>
          <w:sz w:val="24"/>
          <w:szCs w:val="24"/>
          <w:lang w:eastAsia="ru-RU"/>
        </w:rPr>
        <w:tab/>
        <w:t xml:space="preserve">Promovarea mecanismelor de suport al </w:t>
      </w:r>
      <w:proofErr w:type="spellStart"/>
      <w:r w:rsidRPr="00125FAF">
        <w:rPr>
          <w:rFonts w:ascii="Times New Roman" w:eastAsia="Times New Roman" w:hAnsi="Times New Roman" w:cs="Times New Roman"/>
          <w:sz w:val="24"/>
          <w:szCs w:val="24"/>
          <w:lang w:eastAsia="ru-RU"/>
        </w:rPr>
        <w:t>investiţiilor</w:t>
      </w:r>
      <w:proofErr w:type="spellEnd"/>
      <w:r w:rsidRPr="00125FAF">
        <w:rPr>
          <w:rFonts w:ascii="Times New Roman" w:eastAsia="Times New Roman" w:hAnsi="Times New Roman" w:cs="Times New Roman"/>
          <w:sz w:val="24"/>
          <w:szCs w:val="24"/>
          <w:lang w:eastAsia="ru-RU"/>
        </w:rPr>
        <w:t xml:space="preserve"> în tehnologiile energiei verzi;</w:t>
      </w:r>
    </w:p>
    <w:p w14:paraId="77AC243C" w14:textId="77777777" w:rsidR="003D4067" w:rsidRPr="00125FAF" w:rsidRDefault="003D4067" w:rsidP="001F2F2D">
      <w:pPr>
        <w:spacing w:after="0" w:line="240" w:lineRule="auto"/>
        <w:ind w:firstLine="720"/>
        <w:jc w:val="both"/>
        <w:rPr>
          <w:rFonts w:ascii="Times New Roman" w:eastAsia="Times New Roman" w:hAnsi="Times New Roman" w:cs="Times New Roman"/>
          <w:sz w:val="24"/>
          <w:szCs w:val="24"/>
          <w:lang w:eastAsia="ru-RU"/>
        </w:rPr>
      </w:pPr>
      <w:r w:rsidRPr="00125FAF">
        <w:rPr>
          <w:rFonts w:ascii="Times New Roman" w:eastAsia="Times New Roman" w:hAnsi="Times New Roman" w:cs="Times New Roman"/>
          <w:sz w:val="24"/>
          <w:szCs w:val="24"/>
          <w:lang w:eastAsia="ru-RU"/>
        </w:rPr>
        <w:t>3)</w:t>
      </w:r>
      <w:r w:rsidRPr="00125FAF">
        <w:rPr>
          <w:rFonts w:ascii="Times New Roman" w:eastAsia="Times New Roman" w:hAnsi="Times New Roman" w:cs="Times New Roman"/>
          <w:sz w:val="24"/>
          <w:szCs w:val="24"/>
          <w:lang w:eastAsia="ru-RU"/>
        </w:rPr>
        <w:tab/>
        <w:t>Crearea unui sistem de monitoring și evaluare a calității factorilor de mediu în conformitate cu cerințele internaționale;</w:t>
      </w:r>
    </w:p>
    <w:p w14:paraId="6B4989C6" w14:textId="77777777" w:rsidR="005E1830" w:rsidRDefault="003D4067" w:rsidP="001F2F2D">
      <w:pPr>
        <w:spacing w:after="120" w:line="240" w:lineRule="auto"/>
        <w:ind w:firstLine="720"/>
        <w:jc w:val="both"/>
        <w:rPr>
          <w:rFonts w:ascii="Times New Roman" w:eastAsia="Times New Roman" w:hAnsi="Times New Roman" w:cs="Times New Roman"/>
          <w:sz w:val="24"/>
          <w:szCs w:val="24"/>
          <w:lang w:eastAsia="ru-RU"/>
        </w:rPr>
      </w:pPr>
      <w:r w:rsidRPr="00125FAF">
        <w:rPr>
          <w:rFonts w:ascii="Times New Roman" w:eastAsia="Times New Roman" w:hAnsi="Times New Roman" w:cs="Times New Roman"/>
          <w:sz w:val="24"/>
          <w:szCs w:val="24"/>
          <w:lang w:eastAsia="ru-RU"/>
        </w:rPr>
        <w:t>4)</w:t>
      </w:r>
      <w:r w:rsidRPr="00125FAF">
        <w:rPr>
          <w:rFonts w:ascii="Times New Roman" w:eastAsia="Times New Roman" w:hAnsi="Times New Roman" w:cs="Times New Roman"/>
          <w:sz w:val="24"/>
          <w:szCs w:val="24"/>
          <w:lang w:eastAsia="ru-RU"/>
        </w:rPr>
        <w:tab/>
        <w:t xml:space="preserve">Integrarea principiilor de protecție a mediului, </w:t>
      </w:r>
      <w:r w:rsidR="00BF70E2" w:rsidRPr="00125FAF">
        <w:rPr>
          <w:rFonts w:ascii="Times New Roman" w:eastAsia="Times New Roman" w:hAnsi="Times New Roman" w:cs="Times New Roman"/>
          <w:sz w:val="24"/>
          <w:szCs w:val="24"/>
          <w:lang w:eastAsia="ru-RU"/>
        </w:rPr>
        <w:t xml:space="preserve">de asigurare a egalității de gen și incluziunii, </w:t>
      </w:r>
      <w:r w:rsidRPr="00125FAF">
        <w:rPr>
          <w:rFonts w:ascii="Times New Roman" w:eastAsia="Times New Roman" w:hAnsi="Times New Roman" w:cs="Times New Roman"/>
          <w:sz w:val="24"/>
          <w:szCs w:val="24"/>
          <w:lang w:eastAsia="ru-RU"/>
        </w:rPr>
        <w:t xml:space="preserve">de dezvoltare durabilă </w:t>
      </w:r>
      <w:proofErr w:type="spellStart"/>
      <w:r w:rsidRPr="00125FAF">
        <w:rPr>
          <w:rFonts w:ascii="Times New Roman" w:eastAsia="Times New Roman" w:hAnsi="Times New Roman" w:cs="Times New Roman"/>
          <w:sz w:val="24"/>
          <w:szCs w:val="24"/>
          <w:lang w:eastAsia="ru-RU"/>
        </w:rPr>
        <w:t>şi</w:t>
      </w:r>
      <w:proofErr w:type="spellEnd"/>
      <w:r w:rsidRPr="00125FAF">
        <w:rPr>
          <w:rFonts w:ascii="Times New Roman" w:eastAsia="Times New Roman" w:hAnsi="Times New Roman" w:cs="Times New Roman"/>
          <w:sz w:val="24"/>
          <w:szCs w:val="24"/>
          <w:lang w:eastAsia="ru-RU"/>
        </w:rPr>
        <w:t xml:space="preserve"> dezvoltare economică verde</w:t>
      </w:r>
      <w:r w:rsidR="005E1830">
        <w:rPr>
          <w:rFonts w:ascii="Times New Roman" w:eastAsia="Times New Roman" w:hAnsi="Times New Roman" w:cs="Times New Roman"/>
          <w:sz w:val="24"/>
          <w:szCs w:val="24"/>
          <w:lang w:eastAsia="ru-RU"/>
        </w:rPr>
        <w:t>;</w:t>
      </w:r>
    </w:p>
    <w:p w14:paraId="3864B143" w14:textId="6832EC43" w:rsidR="006364B2" w:rsidRPr="00125FAF" w:rsidRDefault="007717CD" w:rsidP="001F2F2D">
      <w:pPr>
        <w:spacing w:after="120" w:line="240" w:lineRule="auto"/>
        <w:ind w:firstLine="720"/>
        <w:jc w:val="both"/>
        <w:rPr>
          <w:rFonts w:ascii="Times New Roman" w:eastAsia="Times New Roman" w:hAnsi="Times New Roman" w:cs="Times New Roman"/>
          <w:color w:val="000000"/>
          <w:sz w:val="24"/>
          <w:szCs w:val="24"/>
          <w:shd w:val="clear" w:color="auto" w:fill="FFFFFF"/>
          <w:lang w:eastAsia="ru-RU"/>
        </w:rPr>
      </w:pPr>
      <w:proofErr w:type="spellStart"/>
      <w:r w:rsidRPr="00125FAF">
        <w:rPr>
          <w:rFonts w:ascii="Times New Roman" w:eastAsia="Times New Roman" w:hAnsi="Times New Roman" w:cs="Times New Roman"/>
          <w:sz w:val="24"/>
          <w:szCs w:val="24"/>
          <w:lang w:eastAsia="ru-RU"/>
        </w:rPr>
        <w:t>Acţiunile</w:t>
      </w:r>
      <w:proofErr w:type="spellEnd"/>
      <w:r w:rsidRPr="00125FAF">
        <w:rPr>
          <w:rFonts w:ascii="Times New Roman" w:eastAsia="Times New Roman" w:hAnsi="Times New Roman" w:cs="Times New Roman"/>
          <w:sz w:val="24"/>
          <w:szCs w:val="24"/>
          <w:lang w:eastAsia="ru-RU"/>
        </w:rPr>
        <w:t xml:space="preserve"> prioritare de atenuare specifice pentru fiecare sector sunt </w:t>
      </w:r>
      <w:r w:rsidR="005450C3" w:rsidRPr="00125FAF">
        <w:rPr>
          <w:rFonts w:ascii="Times New Roman" w:eastAsia="Times New Roman" w:hAnsi="Times New Roman" w:cs="Times New Roman"/>
          <w:sz w:val="24"/>
          <w:szCs w:val="24"/>
          <w:lang w:eastAsia="ru-RU"/>
        </w:rPr>
        <w:t xml:space="preserve">divizate </w:t>
      </w:r>
      <w:r w:rsidRPr="00125FAF">
        <w:rPr>
          <w:rFonts w:ascii="Times New Roman" w:eastAsia="Times New Roman" w:hAnsi="Times New Roman" w:cs="Times New Roman"/>
          <w:sz w:val="24"/>
          <w:szCs w:val="24"/>
          <w:lang w:eastAsia="ru-RU"/>
        </w:rPr>
        <w:t>în două componente</w:t>
      </w:r>
      <w:r w:rsidR="005450C3" w:rsidRPr="00125FAF">
        <w:rPr>
          <w:rFonts w:ascii="Times New Roman" w:eastAsia="Times New Roman" w:hAnsi="Times New Roman" w:cs="Times New Roman"/>
          <w:sz w:val="24"/>
          <w:szCs w:val="24"/>
          <w:lang w:eastAsia="ru-RU"/>
        </w:rPr>
        <w:t>, agregate</w:t>
      </w:r>
      <w:r w:rsidR="00E70219" w:rsidRPr="00125FAF">
        <w:rPr>
          <w:rFonts w:ascii="Times New Roman" w:eastAsia="Times New Roman" w:hAnsi="Times New Roman" w:cs="Times New Roman"/>
          <w:sz w:val="24"/>
          <w:szCs w:val="24"/>
          <w:lang w:eastAsia="ru-RU"/>
        </w:rPr>
        <w:t xml:space="preserve"> </w:t>
      </w:r>
      <w:r w:rsidR="005450C3" w:rsidRPr="00125FAF">
        <w:rPr>
          <w:rFonts w:ascii="Times New Roman" w:eastAsia="Times New Roman" w:hAnsi="Times New Roman" w:cs="Times New Roman"/>
          <w:sz w:val="24"/>
          <w:szCs w:val="24"/>
          <w:lang w:eastAsia="ru-RU"/>
        </w:rPr>
        <w:t xml:space="preserve">- expuse mai jos, </w:t>
      </w:r>
      <w:proofErr w:type="spellStart"/>
      <w:r w:rsidR="005450C3" w:rsidRPr="00125FAF">
        <w:rPr>
          <w:rFonts w:ascii="Times New Roman" w:eastAsia="Times New Roman" w:hAnsi="Times New Roman" w:cs="Times New Roman"/>
          <w:sz w:val="24"/>
          <w:szCs w:val="24"/>
          <w:lang w:eastAsia="ru-RU"/>
        </w:rPr>
        <w:t>şi</w:t>
      </w:r>
      <w:proofErr w:type="spellEnd"/>
      <w:r w:rsidR="005450C3" w:rsidRPr="00125FAF">
        <w:rPr>
          <w:rFonts w:ascii="Times New Roman" w:eastAsia="Times New Roman" w:hAnsi="Times New Roman" w:cs="Times New Roman"/>
          <w:sz w:val="24"/>
          <w:szCs w:val="24"/>
          <w:lang w:eastAsia="ru-RU"/>
        </w:rPr>
        <w:t xml:space="preserve"> în formă detaliată, - </w:t>
      </w:r>
      <w:r w:rsidRPr="00125FAF">
        <w:rPr>
          <w:rFonts w:ascii="Times New Roman" w:eastAsia="Times New Roman" w:hAnsi="Times New Roman" w:cs="Times New Roman"/>
          <w:sz w:val="24"/>
          <w:szCs w:val="24"/>
          <w:lang w:eastAsia="ru-RU"/>
        </w:rPr>
        <w:t xml:space="preserve">expuse </w:t>
      </w:r>
      <w:r w:rsidR="00D43F0A" w:rsidRPr="00125FAF">
        <w:rPr>
          <w:rFonts w:ascii="Times New Roman" w:eastAsia="Times New Roman" w:hAnsi="Times New Roman" w:cs="Times New Roman"/>
          <w:sz w:val="24"/>
          <w:szCs w:val="24"/>
          <w:lang w:eastAsia="ru-RU"/>
        </w:rPr>
        <w:t xml:space="preserve">în </w:t>
      </w:r>
      <w:r w:rsidR="00E40737" w:rsidRPr="00125FAF">
        <w:rPr>
          <w:rFonts w:ascii="Times New Roman" w:eastAsia="Times New Roman" w:hAnsi="Times New Roman" w:cs="Times New Roman"/>
          <w:sz w:val="24"/>
          <w:szCs w:val="24"/>
          <w:lang w:eastAsia="ru-RU"/>
        </w:rPr>
        <w:t xml:space="preserve">Anexa </w:t>
      </w:r>
      <w:r w:rsidR="00453DA5" w:rsidRPr="00125FAF">
        <w:rPr>
          <w:rFonts w:ascii="Times New Roman" w:eastAsia="Times New Roman" w:hAnsi="Times New Roman" w:cs="Times New Roman"/>
          <w:sz w:val="24"/>
          <w:szCs w:val="24"/>
          <w:lang w:eastAsia="ru-RU"/>
        </w:rPr>
        <w:t>2</w:t>
      </w:r>
      <w:r w:rsidR="005450C3" w:rsidRPr="00125FAF">
        <w:rPr>
          <w:rFonts w:ascii="Times New Roman" w:eastAsia="Times New Roman" w:hAnsi="Times New Roman" w:cs="Times New Roman"/>
          <w:sz w:val="24"/>
          <w:szCs w:val="24"/>
          <w:lang w:eastAsia="ru-RU"/>
        </w:rPr>
        <w:t>.</w:t>
      </w:r>
    </w:p>
    <w:p w14:paraId="5918441F" w14:textId="42C85F3C" w:rsidR="006364B2" w:rsidRPr="00125FAF" w:rsidRDefault="005450C3" w:rsidP="00446F14">
      <w:pPr>
        <w:spacing w:after="120" w:line="240" w:lineRule="auto"/>
        <w:ind w:firstLine="720"/>
        <w:jc w:val="both"/>
        <w:rPr>
          <w:rFonts w:ascii="Times New Roman" w:eastAsia="Times New Roman" w:hAnsi="Times New Roman" w:cs="Times New Roman"/>
          <w:sz w:val="24"/>
          <w:szCs w:val="24"/>
          <w:lang w:eastAsia="ru-RU"/>
        </w:rPr>
      </w:pPr>
      <w:r w:rsidRPr="00125FAF">
        <w:rPr>
          <w:rFonts w:ascii="Times New Roman" w:eastAsia="Times New Roman" w:hAnsi="Times New Roman" w:cs="Times New Roman"/>
          <w:color w:val="000000"/>
          <w:sz w:val="24"/>
          <w:szCs w:val="24"/>
          <w:shd w:val="clear" w:color="auto" w:fill="FFFFFF"/>
          <w:lang w:eastAsia="ru-RU"/>
        </w:rPr>
        <w:t>3</w:t>
      </w:r>
      <w:r w:rsidR="007909C8" w:rsidRPr="00125FAF">
        <w:rPr>
          <w:rFonts w:ascii="Times New Roman" w:eastAsia="Times New Roman" w:hAnsi="Times New Roman" w:cs="Times New Roman"/>
          <w:color w:val="000000"/>
          <w:sz w:val="24"/>
          <w:szCs w:val="24"/>
          <w:shd w:val="clear" w:color="auto" w:fill="FFFFFF"/>
          <w:lang w:eastAsia="ru-RU"/>
        </w:rPr>
        <w:t>5</w:t>
      </w:r>
      <w:r w:rsidR="00726442" w:rsidRPr="00125FAF">
        <w:rPr>
          <w:rFonts w:ascii="Times New Roman" w:eastAsia="Times New Roman" w:hAnsi="Times New Roman" w:cs="Times New Roman"/>
          <w:color w:val="000000"/>
          <w:sz w:val="24"/>
          <w:szCs w:val="24"/>
          <w:shd w:val="clear" w:color="auto" w:fill="FFFFFF"/>
          <w:lang w:eastAsia="ru-RU"/>
        </w:rPr>
        <w:t>.</w:t>
      </w:r>
      <w:r w:rsidR="006364B2" w:rsidRPr="00125FAF">
        <w:rPr>
          <w:rFonts w:ascii="Times New Roman" w:eastAsia="Times New Roman" w:hAnsi="Times New Roman" w:cs="Times New Roman"/>
          <w:color w:val="000000"/>
          <w:sz w:val="24"/>
          <w:szCs w:val="24"/>
          <w:shd w:val="clear" w:color="auto" w:fill="FFFFFF"/>
          <w:lang w:eastAsia="ru-RU"/>
        </w:rPr>
        <w:t xml:space="preserve"> </w:t>
      </w:r>
      <w:proofErr w:type="spellStart"/>
      <w:r w:rsidR="006364B2" w:rsidRPr="00125FAF">
        <w:rPr>
          <w:rFonts w:ascii="Times New Roman" w:eastAsia="Times New Roman" w:hAnsi="Times New Roman" w:cs="Times New Roman"/>
          <w:color w:val="000000"/>
          <w:sz w:val="24"/>
          <w:szCs w:val="24"/>
          <w:shd w:val="clear" w:color="auto" w:fill="FFFFFF"/>
          <w:lang w:eastAsia="ru-RU"/>
        </w:rPr>
        <w:t>Acţiunile</w:t>
      </w:r>
      <w:proofErr w:type="spellEnd"/>
      <w:r w:rsidR="006364B2" w:rsidRPr="00125FAF">
        <w:rPr>
          <w:rFonts w:ascii="Times New Roman" w:eastAsia="Times New Roman" w:hAnsi="Times New Roman" w:cs="Times New Roman"/>
          <w:color w:val="000000"/>
          <w:sz w:val="24"/>
          <w:szCs w:val="24"/>
          <w:shd w:val="clear" w:color="auto" w:fill="FFFFFF"/>
          <w:lang w:eastAsia="ru-RU"/>
        </w:rPr>
        <w:t xml:space="preserve"> </w:t>
      </w:r>
      <w:r w:rsidR="008F2624" w:rsidRPr="00125FAF">
        <w:rPr>
          <w:rFonts w:ascii="Times New Roman" w:eastAsia="Times New Roman" w:hAnsi="Times New Roman" w:cs="Times New Roman"/>
          <w:color w:val="000000"/>
          <w:sz w:val="24"/>
          <w:szCs w:val="24"/>
          <w:shd w:val="clear" w:color="auto" w:fill="FFFFFF"/>
          <w:lang w:eastAsia="ru-RU"/>
        </w:rPr>
        <w:t xml:space="preserve">prioritare </w:t>
      </w:r>
      <w:r w:rsidR="006364B2" w:rsidRPr="00125FAF">
        <w:rPr>
          <w:rFonts w:ascii="Times New Roman" w:eastAsia="Times New Roman" w:hAnsi="Times New Roman" w:cs="Times New Roman"/>
          <w:color w:val="000000"/>
          <w:sz w:val="24"/>
          <w:szCs w:val="24"/>
          <w:shd w:val="clear" w:color="auto" w:fill="FFFFFF"/>
          <w:lang w:eastAsia="ru-RU"/>
        </w:rPr>
        <w:t xml:space="preserve">de atenuare </w:t>
      </w:r>
      <w:r w:rsidR="00FE3E1D" w:rsidRPr="00125FAF">
        <w:rPr>
          <w:rFonts w:ascii="Times New Roman" w:eastAsia="Times New Roman" w:hAnsi="Times New Roman" w:cs="Times New Roman"/>
          <w:color w:val="000000"/>
          <w:sz w:val="24"/>
          <w:szCs w:val="24"/>
          <w:shd w:val="clear" w:color="auto" w:fill="FFFFFF"/>
          <w:lang w:eastAsia="ru-RU"/>
        </w:rPr>
        <w:t xml:space="preserve">a emisiilor de GES </w:t>
      </w:r>
      <w:r w:rsidR="006364B2" w:rsidRPr="00125FAF">
        <w:rPr>
          <w:rFonts w:ascii="Times New Roman" w:eastAsia="Times New Roman" w:hAnsi="Times New Roman" w:cs="Times New Roman"/>
          <w:color w:val="000000"/>
          <w:sz w:val="24"/>
          <w:szCs w:val="24"/>
          <w:shd w:val="clear" w:color="auto" w:fill="FFFFFF"/>
          <w:lang w:eastAsia="ru-RU"/>
        </w:rPr>
        <w:t xml:space="preserve">în </w:t>
      </w:r>
      <w:r w:rsidR="006364B2" w:rsidRPr="00125FAF">
        <w:rPr>
          <w:rFonts w:ascii="Times New Roman" w:eastAsia="Times New Roman" w:hAnsi="Times New Roman" w:cs="Times New Roman"/>
          <w:b/>
          <w:color w:val="000000"/>
          <w:sz w:val="24"/>
          <w:szCs w:val="24"/>
          <w:shd w:val="clear" w:color="auto" w:fill="FFFFFF"/>
          <w:lang w:eastAsia="ru-RU"/>
        </w:rPr>
        <w:t>sectorul energetic</w:t>
      </w:r>
      <w:r w:rsidR="006364B2" w:rsidRPr="00125FAF">
        <w:rPr>
          <w:rFonts w:ascii="Times New Roman" w:eastAsia="Times New Roman" w:hAnsi="Times New Roman" w:cs="Times New Roman"/>
          <w:color w:val="000000"/>
          <w:sz w:val="24"/>
          <w:szCs w:val="24"/>
          <w:shd w:val="clear" w:color="auto" w:fill="FFFFFF"/>
          <w:lang w:eastAsia="ru-RU"/>
        </w:rPr>
        <w:t xml:space="preserve"> constau în</w:t>
      </w:r>
      <w:r w:rsidR="008F2624" w:rsidRPr="00125FAF">
        <w:rPr>
          <w:rFonts w:ascii="Times New Roman" w:eastAsia="Times New Roman" w:hAnsi="Times New Roman" w:cs="Times New Roman"/>
          <w:color w:val="000000"/>
          <w:sz w:val="24"/>
          <w:szCs w:val="24"/>
          <w:shd w:val="clear" w:color="auto" w:fill="FFFFFF"/>
          <w:lang w:eastAsia="ru-RU"/>
        </w:rPr>
        <w:t xml:space="preserve"> promovarea pe toate căile a:</w:t>
      </w:r>
    </w:p>
    <w:p w14:paraId="12FA410B" w14:textId="009D6956" w:rsidR="008F2624" w:rsidRPr="00125FAF" w:rsidRDefault="008F2624" w:rsidP="001F2F2D">
      <w:pPr>
        <w:spacing w:after="0" w:line="240" w:lineRule="auto"/>
        <w:ind w:left="720"/>
        <w:jc w:val="both"/>
        <w:rPr>
          <w:rFonts w:ascii="Times New Roman" w:eastAsia="Times New Roman" w:hAnsi="Times New Roman" w:cs="Times New Roman"/>
          <w:iCs/>
          <w:color w:val="000000"/>
          <w:sz w:val="24"/>
          <w:szCs w:val="24"/>
          <w:lang w:eastAsia="ru-RU"/>
        </w:rPr>
      </w:pPr>
      <w:r w:rsidRPr="00125FAF">
        <w:rPr>
          <w:rFonts w:ascii="Times New Roman" w:eastAsia="Times New Roman" w:hAnsi="Times New Roman" w:cs="Times New Roman"/>
          <w:color w:val="000000"/>
          <w:sz w:val="24"/>
          <w:szCs w:val="24"/>
          <w:lang w:eastAsia="ru-RU"/>
        </w:rPr>
        <w:t xml:space="preserve">a) </w:t>
      </w:r>
      <w:r w:rsidRPr="00125FAF">
        <w:rPr>
          <w:rFonts w:ascii="Times New Roman" w:eastAsia="Times New Roman" w:hAnsi="Times New Roman" w:cs="Times New Roman"/>
          <w:iCs/>
          <w:color w:val="000000"/>
          <w:sz w:val="24"/>
          <w:szCs w:val="24"/>
          <w:lang w:eastAsia="ru-RU"/>
        </w:rPr>
        <w:t>surselor regenerabile de energie</w:t>
      </w:r>
      <w:r w:rsidR="004578CD" w:rsidRPr="00125FAF">
        <w:rPr>
          <w:rFonts w:ascii="Times New Roman" w:eastAsia="Times New Roman" w:hAnsi="Times New Roman" w:cs="Times New Roman"/>
          <w:iCs/>
          <w:color w:val="000000"/>
          <w:sz w:val="24"/>
          <w:szCs w:val="24"/>
          <w:lang w:eastAsia="ru-RU"/>
        </w:rPr>
        <w:t xml:space="preserve"> electrică</w:t>
      </w:r>
      <w:r w:rsidRPr="00125FAF">
        <w:rPr>
          <w:rFonts w:ascii="Times New Roman" w:eastAsia="Times New Roman" w:hAnsi="Times New Roman" w:cs="Times New Roman"/>
          <w:iCs/>
          <w:color w:val="000000"/>
          <w:sz w:val="24"/>
          <w:szCs w:val="24"/>
          <w:lang w:eastAsia="ru-RU"/>
        </w:rPr>
        <w:t>, având obiectivul de reducere maximă a importului de combustibili fosili;</w:t>
      </w:r>
    </w:p>
    <w:p w14:paraId="259DFD11" w14:textId="31DEBC65" w:rsidR="008F2624" w:rsidRPr="00125FAF" w:rsidRDefault="005450C3" w:rsidP="001F2F2D">
      <w:pPr>
        <w:spacing w:after="0" w:line="240" w:lineRule="auto"/>
        <w:ind w:left="720"/>
        <w:jc w:val="both"/>
        <w:rPr>
          <w:rFonts w:ascii="Times New Roman" w:eastAsia="Times New Roman" w:hAnsi="Times New Roman" w:cs="Times New Roman"/>
          <w:iCs/>
          <w:color w:val="000000"/>
          <w:sz w:val="24"/>
          <w:szCs w:val="24"/>
          <w:lang w:eastAsia="ru-RU"/>
        </w:rPr>
      </w:pPr>
      <w:r w:rsidRPr="00125FAF">
        <w:rPr>
          <w:rFonts w:ascii="Times New Roman" w:eastAsia="Times New Roman" w:hAnsi="Times New Roman" w:cs="Times New Roman"/>
          <w:iCs/>
          <w:color w:val="000000"/>
          <w:sz w:val="24"/>
          <w:szCs w:val="24"/>
          <w:lang w:eastAsia="ru-RU"/>
        </w:rPr>
        <w:t>b</w:t>
      </w:r>
      <w:r w:rsidR="00FE3E1D" w:rsidRPr="00125FAF">
        <w:rPr>
          <w:rFonts w:ascii="Times New Roman" w:eastAsia="Times New Roman" w:hAnsi="Times New Roman" w:cs="Times New Roman"/>
          <w:iCs/>
          <w:color w:val="000000"/>
          <w:sz w:val="24"/>
          <w:szCs w:val="24"/>
          <w:lang w:eastAsia="ru-RU"/>
        </w:rPr>
        <w:t xml:space="preserve">) cogenerării de înaltă </w:t>
      </w:r>
      <w:proofErr w:type="spellStart"/>
      <w:r w:rsidR="00FE3E1D" w:rsidRPr="00125FAF">
        <w:rPr>
          <w:rFonts w:ascii="Times New Roman" w:eastAsia="Times New Roman" w:hAnsi="Times New Roman" w:cs="Times New Roman"/>
          <w:iCs/>
          <w:color w:val="000000"/>
          <w:sz w:val="24"/>
          <w:szCs w:val="24"/>
          <w:lang w:eastAsia="ru-RU"/>
        </w:rPr>
        <w:t>eficienţă</w:t>
      </w:r>
      <w:proofErr w:type="spellEnd"/>
      <w:r w:rsidR="00FE3E1D" w:rsidRPr="00125FAF">
        <w:rPr>
          <w:rFonts w:ascii="Times New Roman" w:eastAsia="Times New Roman" w:hAnsi="Times New Roman" w:cs="Times New Roman"/>
          <w:iCs/>
          <w:color w:val="000000"/>
          <w:sz w:val="24"/>
          <w:szCs w:val="24"/>
          <w:lang w:eastAsia="ru-RU"/>
        </w:rPr>
        <w:t>;</w:t>
      </w:r>
    </w:p>
    <w:p w14:paraId="428D82CE" w14:textId="655368D7" w:rsidR="006364B2" w:rsidRPr="00125FAF" w:rsidRDefault="009861AB" w:rsidP="006364B2">
      <w:pPr>
        <w:spacing w:after="0" w:line="240" w:lineRule="auto"/>
        <w:ind w:firstLine="720"/>
        <w:jc w:val="both"/>
        <w:rPr>
          <w:rFonts w:ascii="Times New Roman" w:eastAsia="Times New Roman" w:hAnsi="Times New Roman" w:cs="Times New Roman"/>
          <w:iCs/>
          <w:sz w:val="24"/>
          <w:szCs w:val="24"/>
          <w:lang w:eastAsia="ru-RU"/>
        </w:rPr>
      </w:pPr>
      <w:r w:rsidRPr="00125FAF">
        <w:rPr>
          <w:rFonts w:ascii="Times New Roman" w:eastAsia="Times New Roman" w:hAnsi="Times New Roman" w:cs="Times New Roman"/>
          <w:iCs/>
          <w:sz w:val="24"/>
          <w:szCs w:val="24"/>
          <w:lang w:eastAsia="ru-RU"/>
        </w:rPr>
        <w:t>c</w:t>
      </w:r>
      <w:r w:rsidR="006364B2" w:rsidRPr="00125FAF">
        <w:rPr>
          <w:rFonts w:ascii="Times New Roman" w:eastAsia="Times New Roman" w:hAnsi="Times New Roman" w:cs="Times New Roman"/>
          <w:iCs/>
          <w:sz w:val="24"/>
          <w:szCs w:val="24"/>
          <w:lang w:eastAsia="ru-RU"/>
        </w:rPr>
        <w:t>) retehnologiz</w:t>
      </w:r>
      <w:r w:rsidR="004578CD" w:rsidRPr="00125FAF">
        <w:rPr>
          <w:rFonts w:ascii="Times New Roman" w:eastAsia="Times New Roman" w:hAnsi="Times New Roman" w:cs="Times New Roman"/>
          <w:iCs/>
          <w:sz w:val="24"/>
          <w:szCs w:val="24"/>
          <w:lang w:eastAsia="ru-RU"/>
        </w:rPr>
        <w:t>ării</w:t>
      </w:r>
      <w:r w:rsidR="006364B2" w:rsidRPr="00125FAF">
        <w:rPr>
          <w:rFonts w:ascii="Times New Roman" w:eastAsia="Times New Roman" w:hAnsi="Times New Roman" w:cs="Times New Roman"/>
          <w:iCs/>
          <w:sz w:val="24"/>
          <w:szCs w:val="24"/>
          <w:lang w:eastAsia="ru-RU"/>
        </w:rPr>
        <w:t xml:space="preserve"> </w:t>
      </w:r>
      <w:proofErr w:type="spellStart"/>
      <w:r w:rsidR="006364B2" w:rsidRPr="00125FAF">
        <w:rPr>
          <w:rFonts w:ascii="Times New Roman" w:eastAsia="Times New Roman" w:hAnsi="Times New Roman" w:cs="Times New Roman"/>
          <w:iCs/>
          <w:sz w:val="24"/>
          <w:szCs w:val="24"/>
          <w:lang w:eastAsia="ru-RU"/>
        </w:rPr>
        <w:t>şi</w:t>
      </w:r>
      <w:proofErr w:type="spellEnd"/>
      <w:r w:rsidR="006364B2" w:rsidRPr="00125FAF">
        <w:rPr>
          <w:rFonts w:ascii="Times New Roman" w:eastAsia="Times New Roman" w:hAnsi="Times New Roman" w:cs="Times New Roman"/>
          <w:iCs/>
          <w:sz w:val="24"/>
          <w:szCs w:val="24"/>
          <w:lang w:eastAsia="ru-RU"/>
        </w:rPr>
        <w:t xml:space="preserve"> moderniz</w:t>
      </w:r>
      <w:r w:rsidR="004578CD" w:rsidRPr="00125FAF">
        <w:rPr>
          <w:rFonts w:ascii="Times New Roman" w:eastAsia="Times New Roman" w:hAnsi="Times New Roman" w:cs="Times New Roman"/>
          <w:iCs/>
          <w:sz w:val="24"/>
          <w:szCs w:val="24"/>
          <w:lang w:eastAsia="ru-RU"/>
        </w:rPr>
        <w:t>ării</w:t>
      </w:r>
      <w:r w:rsidR="006364B2" w:rsidRPr="00125FAF">
        <w:rPr>
          <w:rFonts w:ascii="Times New Roman" w:eastAsia="Times New Roman" w:hAnsi="Times New Roman" w:cs="Times New Roman"/>
          <w:iCs/>
          <w:sz w:val="24"/>
          <w:szCs w:val="24"/>
          <w:lang w:eastAsia="ru-RU"/>
        </w:rPr>
        <w:t xml:space="preserve"> centralelor electrice de termoficare existente, </w:t>
      </w:r>
      <w:r w:rsidR="006364B2" w:rsidRPr="00125FAF">
        <w:rPr>
          <w:rFonts w:ascii="Times New Roman" w:eastAsia="Times New Roman" w:hAnsi="Times New Roman" w:cs="Times New Roman"/>
          <w:bCs/>
          <w:iCs/>
          <w:sz w:val="24"/>
          <w:szCs w:val="24"/>
          <w:lang w:eastAsia="ru-RU"/>
        </w:rPr>
        <w:t xml:space="preserve">precum </w:t>
      </w:r>
      <w:proofErr w:type="spellStart"/>
      <w:r w:rsidR="006364B2" w:rsidRPr="00125FAF">
        <w:rPr>
          <w:rFonts w:ascii="Times New Roman" w:eastAsia="Times New Roman" w:hAnsi="Times New Roman" w:cs="Times New Roman"/>
          <w:bCs/>
          <w:iCs/>
          <w:sz w:val="24"/>
          <w:szCs w:val="24"/>
          <w:lang w:eastAsia="ru-RU"/>
        </w:rPr>
        <w:t>şi</w:t>
      </w:r>
      <w:proofErr w:type="spellEnd"/>
      <w:r w:rsidR="006364B2" w:rsidRPr="00125FAF">
        <w:rPr>
          <w:rFonts w:ascii="Times New Roman" w:eastAsia="Times New Roman" w:hAnsi="Times New Roman" w:cs="Times New Roman"/>
          <w:bCs/>
          <w:iCs/>
          <w:sz w:val="24"/>
          <w:szCs w:val="24"/>
          <w:lang w:eastAsia="ru-RU"/>
        </w:rPr>
        <w:t xml:space="preserve"> a sistemelor de alimentare centralizată cu energie termică, acolo unde eforturile </w:t>
      </w:r>
      <w:proofErr w:type="spellStart"/>
      <w:r w:rsidR="006364B2" w:rsidRPr="00125FAF">
        <w:rPr>
          <w:rFonts w:ascii="Times New Roman" w:eastAsia="Times New Roman" w:hAnsi="Times New Roman" w:cs="Times New Roman"/>
          <w:bCs/>
          <w:iCs/>
          <w:sz w:val="24"/>
          <w:szCs w:val="24"/>
          <w:lang w:eastAsia="ru-RU"/>
        </w:rPr>
        <w:t>investiţionale</w:t>
      </w:r>
      <w:proofErr w:type="spellEnd"/>
      <w:r w:rsidR="006364B2" w:rsidRPr="00125FAF">
        <w:rPr>
          <w:rFonts w:ascii="Times New Roman" w:eastAsia="Times New Roman" w:hAnsi="Times New Roman" w:cs="Times New Roman"/>
          <w:bCs/>
          <w:iCs/>
          <w:sz w:val="24"/>
          <w:szCs w:val="24"/>
          <w:lang w:eastAsia="ru-RU"/>
        </w:rPr>
        <w:t xml:space="preserve"> </w:t>
      </w:r>
      <w:proofErr w:type="spellStart"/>
      <w:r w:rsidR="006364B2" w:rsidRPr="00125FAF">
        <w:rPr>
          <w:rFonts w:ascii="Times New Roman" w:eastAsia="Times New Roman" w:hAnsi="Times New Roman" w:cs="Times New Roman"/>
          <w:bCs/>
          <w:iCs/>
          <w:sz w:val="24"/>
          <w:szCs w:val="24"/>
          <w:lang w:eastAsia="ru-RU"/>
        </w:rPr>
        <w:t>sînt</w:t>
      </w:r>
      <w:proofErr w:type="spellEnd"/>
      <w:r w:rsidR="006364B2" w:rsidRPr="00125FAF">
        <w:rPr>
          <w:rFonts w:ascii="Times New Roman" w:eastAsia="Times New Roman" w:hAnsi="Times New Roman" w:cs="Times New Roman"/>
          <w:bCs/>
          <w:iCs/>
          <w:sz w:val="24"/>
          <w:szCs w:val="24"/>
          <w:lang w:eastAsia="ru-RU"/>
        </w:rPr>
        <w:t xml:space="preserve"> remarcabile</w:t>
      </w:r>
      <w:r w:rsidR="006364B2" w:rsidRPr="00125FAF">
        <w:rPr>
          <w:rFonts w:ascii="Times New Roman" w:eastAsia="Times New Roman" w:hAnsi="Times New Roman" w:cs="Times New Roman"/>
          <w:iCs/>
          <w:sz w:val="24"/>
          <w:szCs w:val="24"/>
          <w:lang w:eastAsia="ru-RU"/>
        </w:rPr>
        <w:t>;</w:t>
      </w:r>
    </w:p>
    <w:p w14:paraId="49DFE21E" w14:textId="7ECC2169" w:rsidR="006364B2" w:rsidRPr="00125FAF" w:rsidRDefault="009861AB" w:rsidP="006364B2">
      <w:pPr>
        <w:spacing w:after="0" w:line="240" w:lineRule="auto"/>
        <w:ind w:firstLine="720"/>
        <w:jc w:val="both"/>
        <w:rPr>
          <w:rFonts w:ascii="Times New Roman" w:eastAsia="Times New Roman" w:hAnsi="Times New Roman" w:cs="Times New Roman"/>
          <w:iCs/>
          <w:sz w:val="24"/>
          <w:szCs w:val="24"/>
          <w:lang w:eastAsia="ru-RU"/>
        </w:rPr>
      </w:pPr>
      <w:r w:rsidRPr="00125FAF">
        <w:rPr>
          <w:rFonts w:ascii="Times New Roman" w:eastAsia="Times New Roman" w:hAnsi="Times New Roman" w:cs="Times New Roman"/>
          <w:iCs/>
          <w:sz w:val="24"/>
          <w:szCs w:val="24"/>
          <w:lang w:eastAsia="ru-RU"/>
        </w:rPr>
        <w:lastRenderedPageBreak/>
        <w:t>d</w:t>
      </w:r>
      <w:r w:rsidR="006364B2" w:rsidRPr="00125FAF">
        <w:rPr>
          <w:rFonts w:ascii="Times New Roman" w:eastAsia="Times New Roman" w:hAnsi="Times New Roman" w:cs="Times New Roman"/>
          <w:iCs/>
          <w:sz w:val="24"/>
          <w:szCs w:val="24"/>
          <w:lang w:eastAsia="ru-RU"/>
        </w:rPr>
        <w:t xml:space="preserve">) </w:t>
      </w:r>
      <w:proofErr w:type="spellStart"/>
      <w:r w:rsidR="006364B2" w:rsidRPr="00125FAF">
        <w:rPr>
          <w:rFonts w:ascii="Times New Roman" w:eastAsia="Times New Roman" w:hAnsi="Times New Roman" w:cs="Times New Roman"/>
          <w:iCs/>
          <w:sz w:val="24"/>
          <w:szCs w:val="24"/>
          <w:lang w:eastAsia="ru-RU"/>
        </w:rPr>
        <w:t>reconstrucţi</w:t>
      </w:r>
      <w:r w:rsidR="004578CD" w:rsidRPr="00125FAF">
        <w:rPr>
          <w:rFonts w:ascii="Times New Roman" w:eastAsia="Times New Roman" w:hAnsi="Times New Roman" w:cs="Times New Roman"/>
          <w:iCs/>
          <w:sz w:val="24"/>
          <w:szCs w:val="24"/>
          <w:lang w:eastAsia="ru-RU"/>
        </w:rPr>
        <w:t>ei</w:t>
      </w:r>
      <w:proofErr w:type="spellEnd"/>
      <w:r w:rsidR="006364B2" w:rsidRPr="00125FAF">
        <w:rPr>
          <w:rFonts w:ascii="Times New Roman" w:eastAsia="Times New Roman" w:hAnsi="Times New Roman" w:cs="Times New Roman"/>
          <w:iCs/>
          <w:sz w:val="24"/>
          <w:szCs w:val="24"/>
          <w:lang w:eastAsia="ru-RU"/>
        </w:rPr>
        <w:t xml:space="preserve"> </w:t>
      </w:r>
      <w:r w:rsidR="006364B2" w:rsidRPr="00125FAF">
        <w:rPr>
          <w:rFonts w:ascii="Times New Roman" w:eastAsia="Times New Roman" w:hAnsi="Times New Roman" w:cs="Times New Roman"/>
          <w:iCs/>
          <w:sz w:val="24"/>
          <w:szCs w:val="24"/>
          <w:shd w:val="clear" w:color="auto" w:fill="FFFFFF"/>
          <w:lang w:eastAsia="ru-RU"/>
        </w:rPr>
        <w:t xml:space="preserve">centralelor termice existente, astfel </w:t>
      </w:r>
      <w:proofErr w:type="spellStart"/>
      <w:r w:rsidR="006364B2" w:rsidRPr="00125FAF">
        <w:rPr>
          <w:rFonts w:ascii="Times New Roman" w:eastAsia="Times New Roman" w:hAnsi="Times New Roman" w:cs="Times New Roman"/>
          <w:iCs/>
          <w:sz w:val="24"/>
          <w:szCs w:val="24"/>
          <w:shd w:val="clear" w:color="auto" w:fill="FFFFFF"/>
          <w:lang w:eastAsia="ru-RU"/>
        </w:rPr>
        <w:t>încît</w:t>
      </w:r>
      <w:proofErr w:type="spellEnd"/>
      <w:r w:rsidR="006364B2" w:rsidRPr="00125FAF">
        <w:rPr>
          <w:rFonts w:ascii="Times New Roman" w:eastAsia="Times New Roman" w:hAnsi="Times New Roman" w:cs="Times New Roman"/>
          <w:iCs/>
          <w:sz w:val="24"/>
          <w:szCs w:val="24"/>
          <w:shd w:val="clear" w:color="auto" w:fill="FFFFFF"/>
          <w:lang w:eastAsia="ru-RU"/>
        </w:rPr>
        <w:t xml:space="preserve"> acestea să lucreze în modul de cogenerare, în special în </w:t>
      </w:r>
      <w:proofErr w:type="spellStart"/>
      <w:r w:rsidR="006364B2" w:rsidRPr="00125FAF">
        <w:rPr>
          <w:rFonts w:ascii="Times New Roman" w:eastAsia="Times New Roman" w:hAnsi="Times New Roman" w:cs="Times New Roman"/>
          <w:iCs/>
          <w:sz w:val="24"/>
          <w:szCs w:val="24"/>
          <w:shd w:val="clear" w:color="auto" w:fill="FFFFFF"/>
          <w:lang w:eastAsia="ru-RU"/>
        </w:rPr>
        <w:t>localităţile</w:t>
      </w:r>
      <w:proofErr w:type="spellEnd"/>
      <w:r w:rsidR="006364B2" w:rsidRPr="00125FAF">
        <w:rPr>
          <w:rFonts w:ascii="Times New Roman" w:eastAsia="Times New Roman" w:hAnsi="Times New Roman" w:cs="Times New Roman"/>
          <w:iCs/>
          <w:sz w:val="24"/>
          <w:szCs w:val="24"/>
          <w:shd w:val="clear" w:color="auto" w:fill="FFFFFF"/>
          <w:lang w:eastAsia="ru-RU"/>
        </w:rPr>
        <w:t xml:space="preserve"> în care există sisteme centralizate de alimentare cu energie termică sau la centralele termice </w:t>
      </w:r>
      <w:proofErr w:type="spellStart"/>
      <w:r w:rsidR="006364B2" w:rsidRPr="00125FAF">
        <w:rPr>
          <w:rFonts w:ascii="Times New Roman" w:eastAsia="Times New Roman" w:hAnsi="Times New Roman" w:cs="Times New Roman"/>
          <w:iCs/>
          <w:sz w:val="24"/>
          <w:szCs w:val="24"/>
          <w:shd w:val="clear" w:color="auto" w:fill="FFFFFF"/>
          <w:lang w:eastAsia="ru-RU"/>
        </w:rPr>
        <w:t>deţinute</w:t>
      </w:r>
      <w:proofErr w:type="spellEnd"/>
      <w:r w:rsidR="006364B2" w:rsidRPr="00125FAF">
        <w:rPr>
          <w:rFonts w:ascii="Times New Roman" w:eastAsia="Times New Roman" w:hAnsi="Times New Roman" w:cs="Times New Roman"/>
          <w:iCs/>
          <w:sz w:val="24"/>
          <w:szCs w:val="24"/>
          <w:shd w:val="clear" w:color="auto" w:fill="FFFFFF"/>
          <w:lang w:eastAsia="ru-RU"/>
        </w:rPr>
        <w:t xml:space="preserve"> de întreprinderile industriale;</w:t>
      </w:r>
    </w:p>
    <w:p w14:paraId="6A1D65DE" w14:textId="21602673" w:rsidR="006364B2" w:rsidRPr="00125FAF" w:rsidRDefault="009861AB" w:rsidP="001F2F2D">
      <w:pPr>
        <w:spacing w:after="120" w:line="240" w:lineRule="auto"/>
        <w:ind w:firstLine="720"/>
        <w:jc w:val="both"/>
        <w:rPr>
          <w:rFonts w:ascii="Times New Roman" w:eastAsia="Times New Roman" w:hAnsi="Times New Roman" w:cs="Times New Roman"/>
          <w:iCs/>
          <w:sz w:val="24"/>
          <w:szCs w:val="24"/>
          <w:lang w:eastAsia="ru-RU"/>
        </w:rPr>
      </w:pPr>
      <w:r w:rsidRPr="00125FAF">
        <w:rPr>
          <w:rFonts w:ascii="Times New Roman" w:eastAsia="Times New Roman" w:hAnsi="Times New Roman" w:cs="Times New Roman"/>
          <w:iCs/>
          <w:color w:val="000000"/>
          <w:sz w:val="24"/>
          <w:szCs w:val="24"/>
          <w:shd w:val="clear" w:color="auto" w:fill="FFFFFF"/>
          <w:lang w:eastAsia="ru-RU"/>
        </w:rPr>
        <w:t>e</w:t>
      </w:r>
      <w:r w:rsidR="006364B2" w:rsidRPr="00125FAF">
        <w:rPr>
          <w:rFonts w:ascii="Times New Roman" w:eastAsia="Times New Roman" w:hAnsi="Times New Roman" w:cs="Times New Roman"/>
          <w:iCs/>
          <w:color w:val="000000"/>
          <w:sz w:val="24"/>
          <w:szCs w:val="24"/>
          <w:shd w:val="clear" w:color="auto" w:fill="FFFFFF"/>
          <w:lang w:eastAsia="ru-RU"/>
        </w:rPr>
        <w:t xml:space="preserve">) reducerea pierderilor de energie </w:t>
      </w:r>
      <w:r w:rsidR="00BA3738" w:rsidRPr="00125FAF">
        <w:rPr>
          <w:rFonts w:ascii="Times New Roman" w:eastAsia="Times New Roman" w:hAnsi="Times New Roman" w:cs="Times New Roman"/>
          <w:iCs/>
          <w:color w:val="000000"/>
          <w:sz w:val="24"/>
          <w:szCs w:val="24"/>
          <w:shd w:val="clear" w:color="auto" w:fill="FFFFFF"/>
          <w:lang w:eastAsia="ru-RU"/>
        </w:rPr>
        <w:t xml:space="preserve">în procesul de </w:t>
      </w:r>
      <w:proofErr w:type="spellStart"/>
      <w:r w:rsidR="006364B2" w:rsidRPr="00125FAF">
        <w:rPr>
          <w:rFonts w:ascii="Times New Roman" w:eastAsia="Times New Roman" w:hAnsi="Times New Roman" w:cs="Times New Roman"/>
          <w:iCs/>
          <w:color w:val="000000"/>
          <w:sz w:val="24"/>
          <w:szCs w:val="24"/>
          <w:shd w:val="clear" w:color="auto" w:fill="FFFFFF"/>
          <w:lang w:eastAsia="ru-RU"/>
        </w:rPr>
        <w:t>distribuţie</w:t>
      </w:r>
      <w:proofErr w:type="spellEnd"/>
      <w:r w:rsidR="006364B2" w:rsidRPr="00125FAF">
        <w:rPr>
          <w:rFonts w:ascii="Times New Roman" w:eastAsia="Times New Roman" w:hAnsi="Times New Roman" w:cs="Times New Roman"/>
          <w:iCs/>
          <w:color w:val="000000"/>
          <w:sz w:val="24"/>
          <w:szCs w:val="24"/>
          <w:shd w:val="clear" w:color="auto" w:fill="FFFFFF"/>
          <w:lang w:eastAsia="ru-RU"/>
        </w:rPr>
        <w:t xml:space="preserve"> </w:t>
      </w:r>
      <w:proofErr w:type="spellStart"/>
      <w:r w:rsidR="006364B2" w:rsidRPr="00125FAF">
        <w:rPr>
          <w:rFonts w:ascii="Times New Roman" w:eastAsia="Times New Roman" w:hAnsi="Times New Roman" w:cs="Times New Roman"/>
          <w:iCs/>
          <w:color w:val="000000"/>
          <w:sz w:val="24"/>
          <w:szCs w:val="24"/>
          <w:shd w:val="clear" w:color="auto" w:fill="FFFFFF"/>
          <w:lang w:eastAsia="ru-RU"/>
        </w:rPr>
        <w:t>şi</w:t>
      </w:r>
      <w:proofErr w:type="spellEnd"/>
      <w:r w:rsidR="006364B2" w:rsidRPr="00125FAF">
        <w:rPr>
          <w:rFonts w:ascii="Times New Roman" w:eastAsia="Times New Roman" w:hAnsi="Times New Roman" w:cs="Times New Roman"/>
          <w:iCs/>
          <w:color w:val="000000"/>
          <w:sz w:val="24"/>
          <w:szCs w:val="24"/>
          <w:shd w:val="clear" w:color="auto" w:fill="FFFFFF"/>
          <w:lang w:eastAsia="ru-RU"/>
        </w:rPr>
        <w:t xml:space="preserve"> transport</w:t>
      </w:r>
      <w:r w:rsidR="00BA3738" w:rsidRPr="00125FAF">
        <w:rPr>
          <w:rFonts w:ascii="Times New Roman" w:eastAsia="Times New Roman" w:hAnsi="Times New Roman" w:cs="Times New Roman"/>
          <w:iCs/>
          <w:color w:val="000000"/>
          <w:sz w:val="24"/>
          <w:szCs w:val="24"/>
          <w:shd w:val="clear" w:color="auto" w:fill="FFFFFF"/>
          <w:lang w:eastAsia="ru-RU"/>
        </w:rPr>
        <w:t xml:space="preserve"> a acesteia</w:t>
      </w:r>
      <w:r w:rsidR="006364B2" w:rsidRPr="00125FAF">
        <w:rPr>
          <w:rFonts w:ascii="Times New Roman" w:eastAsia="Times New Roman" w:hAnsi="Times New Roman" w:cs="Times New Roman"/>
          <w:iCs/>
          <w:color w:val="000000"/>
          <w:sz w:val="24"/>
          <w:szCs w:val="24"/>
          <w:shd w:val="clear" w:color="auto" w:fill="FFFFFF"/>
          <w:lang w:eastAsia="ru-RU"/>
        </w:rPr>
        <w:t>.</w:t>
      </w:r>
    </w:p>
    <w:p w14:paraId="442A3097" w14:textId="5C7E67EA" w:rsidR="006364B2" w:rsidRPr="00125FAF" w:rsidRDefault="006364B2">
      <w:pPr>
        <w:spacing w:after="0" w:line="240" w:lineRule="auto"/>
        <w:ind w:firstLine="720"/>
        <w:jc w:val="both"/>
        <w:rPr>
          <w:rFonts w:ascii="Times New Roman" w:eastAsia="Times New Roman" w:hAnsi="Times New Roman" w:cs="Times New Roman"/>
          <w:iCs/>
          <w:color w:val="000000"/>
          <w:sz w:val="24"/>
          <w:szCs w:val="24"/>
          <w:shd w:val="clear" w:color="auto" w:fill="FFFFFF"/>
          <w:lang w:eastAsia="ru-RU"/>
        </w:rPr>
      </w:pPr>
      <w:r w:rsidRPr="00125FAF">
        <w:rPr>
          <w:rFonts w:ascii="Times New Roman" w:eastAsia="Times New Roman" w:hAnsi="Times New Roman" w:cs="Times New Roman"/>
          <w:b/>
          <w:iCs/>
          <w:color w:val="000000"/>
          <w:sz w:val="24"/>
          <w:szCs w:val="24"/>
          <w:shd w:val="clear" w:color="auto" w:fill="FFFFFF"/>
          <w:lang w:eastAsia="ru-RU"/>
        </w:rPr>
        <w:t>Indicatori</w:t>
      </w:r>
      <w:r w:rsidR="00B614FB" w:rsidRPr="00125FAF">
        <w:rPr>
          <w:rFonts w:ascii="Times New Roman" w:eastAsia="Times New Roman" w:hAnsi="Times New Roman" w:cs="Times New Roman"/>
          <w:b/>
          <w:iCs/>
          <w:color w:val="000000"/>
          <w:sz w:val="24"/>
          <w:szCs w:val="24"/>
          <w:shd w:val="clear" w:color="auto" w:fill="FFFFFF"/>
          <w:lang w:eastAsia="ru-RU"/>
        </w:rPr>
        <w:t>i</w:t>
      </w:r>
      <w:r w:rsidRPr="00125FAF">
        <w:rPr>
          <w:rFonts w:ascii="Times New Roman" w:eastAsia="Times New Roman" w:hAnsi="Times New Roman" w:cs="Times New Roman"/>
          <w:b/>
          <w:iCs/>
          <w:color w:val="000000"/>
          <w:sz w:val="24"/>
          <w:szCs w:val="24"/>
          <w:shd w:val="clear" w:color="auto" w:fill="FFFFFF"/>
          <w:lang w:eastAsia="ru-RU"/>
        </w:rPr>
        <w:t xml:space="preserve"> de progres</w:t>
      </w:r>
      <w:r w:rsidR="00B614FB" w:rsidRPr="00125FAF">
        <w:rPr>
          <w:rFonts w:ascii="Times New Roman" w:eastAsia="Times New Roman" w:hAnsi="Times New Roman" w:cs="Times New Roman"/>
          <w:b/>
          <w:iCs/>
          <w:color w:val="000000"/>
          <w:sz w:val="24"/>
          <w:szCs w:val="24"/>
          <w:shd w:val="clear" w:color="auto" w:fill="FFFFFF"/>
          <w:lang w:eastAsia="ru-RU"/>
        </w:rPr>
        <w:t xml:space="preserve"> </w:t>
      </w:r>
      <w:r w:rsidR="00B614FB" w:rsidRPr="00125FAF">
        <w:rPr>
          <w:rFonts w:ascii="Times New Roman" w:eastAsia="Times New Roman" w:hAnsi="Times New Roman" w:cs="Times New Roman"/>
          <w:iCs/>
          <w:color w:val="000000"/>
          <w:sz w:val="24"/>
          <w:szCs w:val="24"/>
          <w:shd w:val="clear" w:color="auto" w:fill="FFFFFF"/>
          <w:lang w:eastAsia="ru-RU"/>
        </w:rPr>
        <w:t xml:space="preserve">corespund cu </w:t>
      </w:r>
      <w:proofErr w:type="spellStart"/>
      <w:r w:rsidR="00B614FB" w:rsidRPr="00125FAF">
        <w:rPr>
          <w:rFonts w:ascii="Times New Roman" w:eastAsia="Times New Roman" w:hAnsi="Times New Roman" w:cs="Times New Roman"/>
          <w:iCs/>
          <w:color w:val="000000"/>
          <w:sz w:val="24"/>
          <w:szCs w:val="24"/>
          <w:shd w:val="clear" w:color="auto" w:fill="FFFFFF"/>
          <w:lang w:eastAsia="ru-RU"/>
        </w:rPr>
        <w:t>ţintele</w:t>
      </w:r>
      <w:proofErr w:type="spellEnd"/>
      <w:r w:rsidR="00B614FB" w:rsidRPr="00125FAF">
        <w:rPr>
          <w:rFonts w:ascii="Times New Roman" w:eastAsia="Times New Roman" w:hAnsi="Times New Roman" w:cs="Times New Roman"/>
          <w:iCs/>
          <w:color w:val="000000"/>
          <w:sz w:val="24"/>
          <w:szCs w:val="24"/>
          <w:shd w:val="clear" w:color="auto" w:fill="FFFFFF"/>
          <w:lang w:eastAsia="ru-RU"/>
        </w:rPr>
        <w:t xml:space="preserve"> de reducere a emisiilor de GES către anul 2025 </w:t>
      </w:r>
      <w:proofErr w:type="spellStart"/>
      <w:r w:rsidR="00B614FB" w:rsidRPr="00125FAF">
        <w:rPr>
          <w:rFonts w:ascii="Times New Roman" w:eastAsia="Times New Roman" w:hAnsi="Times New Roman" w:cs="Times New Roman"/>
          <w:iCs/>
          <w:color w:val="000000"/>
          <w:sz w:val="24"/>
          <w:szCs w:val="24"/>
          <w:shd w:val="clear" w:color="auto" w:fill="FFFFFF"/>
          <w:lang w:eastAsia="ru-RU"/>
        </w:rPr>
        <w:t>şi</w:t>
      </w:r>
      <w:proofErr w:type="spellEnd"/>
      <w:r w:rsidR="00B614FB" w:rsidRPr="00125FAF">
        <w:rPr>
          <w:rFonts w:ascii="Times New Roman" w:eastAsia="Times New Roman" w:hAnsi="Times New Roman" w:cs="Times New Roman"/>
          <w:iCs/>
          <w:color w:val="000000"/>
          <w:sz w:val="24"/>
          <w:szCs w:val="24"/>
          <w:shd w:val="clear" w:color="auto" w:fill="FFFFFF"/>
          <w:lang w:eastAsia="ru-RU"/>
        </w:rPr>
        <w:t xml:space="preserve"> 2030 </w:t>
      </w:r>
      <w:proofErr w:type="spellStart"/>
      <w:r w:rsidR="00B614FB" w:rsidRPr="00125FAF">
        <w:rPr>
          <w:rFonts w:ascii="Times New Roman" w:eastAsia="Times New Roman" w:hAnsi="Times New Roman" w:cs="Times New Roman"/>
          <w:iCs/>
          <w:color w:val="000000"/>
          <w:sz w:val="24"/>
          <w:szCs w:val="24"/>
          <w:shd w:val="clear" w:color="auto" w:fill="FFFFFF"/>
          <w:lang w:eastAsia="ru-RU"/>
        </w:rPr>
        <w:t>faţă</w:t>
      </w:r>
      <w:proofErr w:type="spellEnd"/>
      <w:r w:rsidR="00B614FB" w:rsidRPr="00125FAF">
        <w:rPr>
          <w:rFonts w:ascii="Times New Roman" w:eastAsia="Times New Roman" w:hAnsi="Times New Roman" w:cs="Times New Roman"/>
          <w:iCs/>
          <w:color w:val="000000"/>
          <w:sz w:val="24"/>
          <w:szCs w:val="24"/>
          <w:shd w:val="clear" w:color="auto" w:fill="FFFFFF"/>
          <w:lang w:eastAsia="ru-RU"/>
        </w:rPr>
        <w:t xml:space="preserve"> de anul 1990 expuse în Tabelul</w:t>
      </w:r>
      <w:r w:rsidR="00CE464D">
        <w:rPr>
          <w:rFonts w:ascii="Times New Roman" w:eastAsia="Times New Roman" w:hAnsi="Times New Roman" w:cs="Times New Roman"/>
          <w:iCs/>
          <w:color w:val="000000"/>
          <w:sz w:val="24"/>
          <w:szCs w:val="24"/>
          <w:shd w:val="clear" w:color="auto" w:fill="FFFFFF"/>
          <w:lang w:eastAsia="ru-RU"/>
        </w:rPr>
        <w:t>4</w:t>
      </w:r>
      <w:r w:rsidR="00B614FB" w:rsidRPr="00125FAF">
        <w:rPr>
          <w:rFonts w:ascii="Times New Roman" w:eastAsia="Times New Roman" w:hAnsi="Times New Roman" w:cs="Times New Roman"/>
          <w:iCs/>
          <w:color w:val="000000"/>
          <w:sz w:val="24"/>
          <w:szCs w:val="24"/>
          <w:shd w:val="clear" w:color="auto" w:fill="FFFFFF"/>
          <w:lang w:eastAsia="ru-RU"/>
        </w:rPr>
        <w:t>.2 pentru sectorul energetic.</w:t>
      </w:r>
    </w:p>
    <w:p w14:paraId="2196F9E8" w14:textId="77777777" w:rsidR="00D43F0A" w:rsidRPr="00125FAF" w:rsidRDefault="00D43F0A" w:rsidP="006364B2">
      <w:pPr>
        <w:spacing w:after="0" w:line="240" w:lineRule="auto"/>
        <w:ind w:firstLine="720"/>
        <w:jc w:val="both"/>
        <w:rPr>
          <w:rFonts w:ascii="Times New Roman" w:eastAsia="Times New Roman" w:hAnsi="Times New Roman" w:cs="Times New Roman"/>
          <w:iCs/>
          <w:color w:val="000000"/>
          <w:sz w:val="24"/>
          <w:szCs w:val="24"/>
          <w:shd w:val="clear" w:color="auto" w:fill="FFFFFF"/>
          <w:lang w:eastAsia="ru-RU"/>
        </w:rPr>
      </w:pPr>
    </w:p>
    <w:p w14:paraId="37FE0615" w14:textId="70EC546F" w:rsidR="006364B2" w:rsidRPr="00125FAF" w:rsidRDefault="006364B2" w:rsidP="006364B2">
      <w:pPr>
        <w:spacing w:after="0" w:line="240" w:lineRule="auto"/>
        <w:ind w:firstLine="720"/>
        <w:jc w:val="both"/>
        <w:rPr>
          <w:rFonts w:ascii="Times New Roman" w:eastAsia="Times New Roman" w:hAnsi="Times New Roman" w:cs="Times New Roman"/>
          <w:iCs/>
          <w:sz w:val="24"/>
          <w:szCs w:val="24"/>
          <w:lang w:eastAsia="ru-RU"/>
        </w:rPr>
      </w:pPr>
      <w:r w:rsidRPr="00125FAF">
        <w:rPr>
          <w:rFonts w:ascii="Times New Roman" w:eastAsia="Times New Roman" w:hAnsi="Times New Roman" w:cs="Times New Roman"/>
          <w:iCs/>
          <w:color w:val="000000"/>
          <w:sz w:val="24"/>
          <w:szCs w:val="24"/>
          <w:shd w:val="clear" w:color="auto" w:fill="FFFFFF"/>
          <w:lang w:eastAsia="ru-RU"/>
        </w:rPr>
        <w:t>3</w:t>
      </w:r>
      <w:r w:rsidR="007909C8" w:rsidRPr="00125FAF">
        <w:rPr>
          <w:rFonts w:ascii="Times New Roman" w:eastAsia="Times New Roman" w:hAnsi="Times New Roman" w:cs="Times New Roman"/>
          <w:iCs/>
          <w:color w:val="000000"/>
          <w:sz w:val="24"/>
          <w:szCs w:val="24"/>
          <w:shd w:val="clear" w:color="auto" w:fill="FFFFFF"/>
          <w:lang w:eastAsia="ru-RU"/>
        </w:rPr>
        <w:t>6</w:t>
      </w:r>
      <w:r w:rsidRPr="00125FAF">
        <w:rPr>
          <w:rFonts w:ascii="Times New Roman" w:eastAsia="Times New Roman" w:hAnsi="Times New Roman" w:cs="Times New Roman"/>
          <w:iCs/>
          <w:color w:val="000000"/>
          <w:sz w:val="24"/>
          <w:szCs w:val="24"/>
          <w:shd w:val="clear" w:color="auto" w:fill="FFFFFF"/>
          <w:lang w:eastAsia="ru-RU"/>
        </w:rPr>
        <w:t>.</w:t>
      </w:r>
      <w:r w:rsidRPr="00125FAF">
        <w:rPr>
          <w:rFonts w:ascii="Times New Roman" w:eastAsia="Times New Roman" w:hAnsi="Times New Roman" w:cs="Times New Roman"/>
          <w:b/>
          <w:bCs/>
          <w:iCs/>
          <w:color w:val="000000"/>
          <w:sz w:val="24"/>
          <w:szCs w:val="24"/>
          <w:shd w:val="clear" w:color="auto" w:fill="FFFFFF"/>
          <w:lang w:eastAsia="ru-RU"/>
        </w:rPr>
        <w:t xml:space="preserve"> </w:t>
      </w:r>
      <w:proofErr w:type="spellStart"/>
      <w:r w:rsidR="00D43F0A" w:rsidRPr="00125FAF">
        <w:rPr>
          <w:rFonts w:ascii="Times New Roman" w:eastAsia="Times New Roman" w:hAnsi="Times New Roman" w:cs="Times New Roman"/>
          <w:bCs/>
          <w:iCs/>
          <w:color w:val="000000"/>
          <w:sz w:val="24"/>
          <w:szCs w:val="24"/>
          <w:shd w:val="clear" w:color="auto" w:fill="FFFFFF"/>
          <w:lang w:eastAsia="ru-RU"/>
        </w:rPr>
        <w:t>Acţiunile</w:t>
      </w:r>
      <w:proofErr w:type="spellEnd"/>
      <w:r w:rsidR="00D43F0A" w:rsidRPr="00125FAF">
        <w:rPr>
          <w:rFonts w:ascii="Times New Roman" w:eastAsia="Times New Roman" w:hAnsi="Times New Roman" w:cs="Times New Roman"/>
          <w:bCs/>
          <w:iCs/>
          <w:color w:val="000000"/>
          <w:sz w:val="24"/>
          <w:szCs w:val="24"/>
          <w:shd w:val="clear" w:color="auto" w:fill="FFFFFF"/>
          <w:lang w:eastAsia="ru-RU"/>
        </w:rPr>
        <w:t xml:space="preserve"> prioritare de atenuare a emisiilor de GES în </w:t>
      </w:r>
      <w:r w:rsidR="00D43F0A" w:rsidRPr="00125FAF">
        <w:rPr>
          <w:rFonts w:ascii="Times New Roman" w:eastAsia="Times New Roman" w:hAnsi="Times New Roman" w:cs="Times New Roman"/>
          <w:b/>
          <w:bCs/>
          <w:iCs/>
          <w:color w:val="000000"/>
          <w:sz w:val="24"/>
          <w:szCs w:val="24"/>
          <w:shd w:val="clear" w:color="auto" w:fill="FFFFFF"/>
          <w:lang w:eastAsia="ru-RU"/>
        </w:rPr>
        <w:t xml:space="preserve">sectorul </w:t>
      </w:r>
      <w:r w:rsidR="00BE19B0" w:rsidRPr="00125FAF">
        <w:rPr>
          <w:rFonts w:ascii="Times New Roman" w:eastAsia="Times New Roman" w:hAnsi="Times New Roman" w:cs="Times New Roman"/>
          <w:b/>
          <w:bCs/>
          <w:iCs/>
          <w:color w:val="000000"/>
          <w:sz w:val="24"/>
          <w:szCs w:val="24"/>
          <w:shd w:val="clear" w:color="auto" w:fill="FFFFFF"/>
          <w:lang w:eastAsia="ru-RU"/>
        </w:rPr>
        <w:t>transporturi</w:t>
      </w:r>
      <w:r w:rsidR="00D43F0A" w:rsidRPr="00125FAF">
        <w:rPr>
          <w:rFonts w:ascii="Times New Roman" w:eastAsia="Times New Roman" w:hAnsi="Times New Roman" w:cs="Times New Roman"/>
          <w:bCs/>
          <w:iCs/>
          <w:color w:val="000000"/>
          <w:sz w:val="24"/>
          <w:szCs w:val="24"/>
          <w:shd w:val="clear" w:color="auto" w:fill="FFFFFF"/>
          <w:lang w:eastAsia="ru-RU"/>
        </w:rPr>
        <w:t xml:space="preserve"> constau în</w:t>
      </w:r>
      <w:r w:rsidR="00BE19B0" w:rsidRPr="00125FAF">
        <w:rPr>
          <w:rFonts w:ascii="Times New Roman" w:eastAsia="Times New Roman" w:hAnsi="Times New Roman" w:cs="Times New Roman"/>
          <w:bCs/>
          <w:iCs/>
          <w:color w:val="000000"/>
          <w:sz w:val="24"/>
          <w:szCs w:val="24"/>
          <w:shd w:val="clear" w:color="auto" w:fill="FFFFFF"/>
          <w:lang w:eastAsia="ru-RU"/>
        </w:rPr>
        <w:t>:</w:t>
      </w:r>
    </w:p>
    <w:p w14:paraId="65C24FEC" w14:textId="5A3F13A6" w:rsidR="006364B2" w:rsidRPr="00125FAF" w:rsidRDefault="006364B2" w:rsidP="006364B2">
      <w:pPr>
        <w:spacing w:after="0" w:line="240" w:lineRule="auto"/>
        <w:ind w:firstLine="720"/>
        <w:jc w:val="both"/>
        <w:rPr>
          <w:rFonts w:ascii="Times New Roman" w:eastAsia="Times New Roman" w:hAnsi="Times New Roman" w:cs="Times New Roman"/>
          <w:iCs/>
          <w:sz w:val="24"/>
          <w:szCs w:val="24"/>
          <w:lang w:eastAsia="ru-RU"/>
        </w:rPr>
      </w:pPr>
      <w:r w:rsidRPr="00125FAF">
        <w:rPr>
          <w:rFonts w:ascii="Times New Roman" w:eastAsia="Times New Roman" w:hAnsi="Times New Roman" w:cs="Times New Roman"/>
          <w:iCs/>
          <w:color w:val="000000"/>
          <w:sz w:val="24"/>
          <w:szCs w:val="24"/>
          <w:lang w:eastAsia="ru-RU"/>
        </w:rPr>
        <w:t xml:space="preserve">a) </w:t>
      </w:r>
      <w:r w:rsidR="00240845" w:rsidRPr="00125FAF">
        <w:rPr>
          <w:rFonts w:ascii="Times New Roman" w:eastAsia="Times New Roman" w:hAnsi="Times New Roman" w:cs="Times New Roman"/>
          <w:iCs/>
          <w:color w:val="000000"/>
          <w:sz w:val="24"/>
          <w:szCs w:val="24"/>
          <w:lang w:eastAsia="ru-RU"/>
        </w:rPr>
        <w:t>substituirea combustibililor distinse prin grad înalt al emisiilor de GES, inclusiv</w:t>
      </w:r>
      <w:r w:rsidR="00E70219" w:rsidRPr="00125FAF">
        <w:rPr>
          <w:rFonts w:ascii="Times New Roman" w:eastAsia="Times New Roman" w:hAnsi="Times New Roman" w:cs="Times New Roman"/>
          <w:iCs/>
          <w:color w:val="000000"/>
          <w:sz w:val="24"/>
          <w:szCs w:val="24"/>
          <w:lang w:eastAsia="ru-RU"/>
        </w:rPr>
        <w:t xml:space="preserve"> </w:t>
      </w:r>
      <w:r w:rsidRPr="00125FAF">
        <w:rPr>
          <w:rFonts w:ascii="Times New Roman" w:eastAsia="Times New Roman" w:hAnsi="Times New Roman" w:cs="Times New Roman"/>
          <w:iCs/>
          <w:color w:val="000000"/>
          <w:sz w:val="24"/>
          <w:szCs w:val="24"/>
          <w:lang w:eastAsia="ru-RU"/>
        </w:rPr>
        <w:t>utilizarea la scară mai largă a vehiculelor pe consum de gaze naturale comprimate</w:t>
      </w:r>
      <w:r w:rsidR="00240845" w:rsidRPr="00125FAF">
        <w:rPr>
          <w:rFonts w:ascii="Times New Roman" w:eastAsia="Times New Roman" w:hAnsi="Times New Roman" w:cs="Times New Roman"/>
          <w:iCs/>
          <w:color w:val="000000"/>
          <w:sz w:val="24"/>
          <w:szCs w:val="24"/>
          <w:lang w:eastAsia="ru-RU"/>
        </w:rPr>
        <w:t xml:space="preserve">, </w:t>
      </w:r>
      <w:r w:rsidRPr="00125FAF">
        <w:rPr>
          <w:rFonts w:ascii="Times New Roman" w:eastAsia="Times New Roman" w:hAnsi="Times New Roman" w:cs="Times New Roman"/>
          <w:iCs/>
          <w:color w:val="000000"/>
          <w:sz w:val="24"/>
          <w:szCs w:val="24"/>
          <w:lang w:eastAsia="ru-RU"/>
        </w:rPr>
        <w:t>gaze de sondă lichefiate</w:t>
      </w:r>
      <w:r w:rsidR="00240845" w:rsidRPr="00125FAF">
        <w:rPr>
          <w:rFonts w:ascii="Times New Roman" w:eastAsia="Times New Roman" w:hAnsi="Times New Roman" w:cs="Times New Roman"/>
          <w:iCs/>
          <w:color w:val="000000"/>
          <w:sz w:val="24"/>
          <w:szCs w:val="24"/>
          <w:lang w:eastAsia="ru-RU"/>
        </w:rPr>
        <w:t xml:space="preserve">, </w:t>
      </w:r>
      <w:proofErr w:type="spellStart"/>
      <w:r w:rsidR="00240845" w:rsidRPr="00125FAF">
        <w:rPr>
          <w:rFonts w:ascii="Times New Roman" w:eastAsia="Times New Roman" w:hAnsi="Times New Roman" w:cs="Times New Roman"/>
          <w:iCs/>
          <w:color w:val="000000"/>
          <w:sz w:val="24"/>
          <w:szCs w:val="24"/>
          <w:lang w:eastAsia="ru-RU"/>
        </w:rPr>
        <w:t>biomotorinei</w:t>
      </w:r>
      <w:proofErr w:type="spellEnd"/>
      <w:r w:rsidR="00240845" w:rsidRPr="00125FAF">
        <w:rPr>
          <w:rFonts w:ascii="Times New Roman" w:eastAsia="Times New Roman" w:hAnsi="Times New Roman" w:cs="Times New Roman"/>
          <w:iCs/>
          <w:color w:val="000000"/>
          <w:sz w:val="24"/>
          <w:szCs w:val="24"/>
          <w:lang w:eastAsia="ru-RU"/>
        </w:rPr>
        <w:t xml:space="preserve"> </w:t>
      </w:r>
      <w:proofErr w:type="spellStart"/>
      <w:r w:rsidR="00240845" w:rsidRPr="00125FAF">
        <w:rPr>
          <w:rFonts w:ascii="Times New Roman" w:eastAsia="Times New Roman" w:hAnsi="Times New Roman" w:cs="Times New Roman"/>
          <w:iCs/>
          <w:color w:val="000000"/>
          <w:sz w:val="24"/>
          <w:szCs w:val="24"/>
          <w:lang w:eastAsia="ru-RU"/>
        </w:rPr>
        <w:t>şi</w:t>
      </w:r>
      <w:proofErr w:type="spellEnd"/>
      <w:r w:rsidR="00240845" w:rsidRPr="00125FAF">
        <w:rPr>
          <w:rFonts w:ascii="Times New Roman" w:eastAsia="Times New Roman" w:hAnsi="Times New Roman" w:cs="Times New Roman"/>
          <w:iCs/>
          <w:color w:val="000000"/>
          <w:sz w:val="24"/>
          <w:szCs w:val="24"/>
          <w:lang w:eastAsia="ru-RU"/>
        </w:rPr>
        <w:t xml:space="preserve"> </w:t>
      </w:r>
      <w:proofErr w:type="spellStart"/>
      <w:r w:rsidR="00240845" w:rsidRPr="00125FAF">
        <w:rPr>
          <w:rFonts w:ascii="Times New Roman" w:eastAsia="Times New Roman" w:hAnsi="Times New Roman" w:cs="Times New Roman"/>
          <w:iCs/>
          <w:color w:val="000000"/>
          <w:sz w:val="24"/>
          <w:szCs w:val="24"/>
          <w:lang w:eastAsia="ru-RU"/>
        </w:rPr>
        <w:t>bioetanolului</w:t>
      </w:r>
      <w:proofErr w:type="spellEnd"/>
      <w:r w:rsidRPr="00125FAF">
        <w:rPr>
          <w:rFonts w:ascii="Times New Roman" w:eastAsia="Times New Roman" w:hAnsi="Times New Roman" w:cs="Times New Roman"/>
          <w:iCs/>
          <w:color w:val="000000"/>
          <w:sz w:val="24"/>
          <w:szCs w:val="24"/>
          <w:lang w:eastAsia="ru-RU"/>
        </w:rPr>
        <w:t>;</w:t>
      </w:r>
    </w:p>
    <w:p w14:paraId="6A8101CD" w14:textId="5DB2BF78" w:rsidR="006364B2" w:rsidRPr="00125FAF" w:rsidRDefault="006364B2" w:rsidP="006364B2">
      <w:pPr>
        <w:spacing w:after="0" w:line="240" w:lineRule="auto"/>
        <w:ind w:firstLine="720"/>
        <w:jc w:val="both"/>
        <w:rPr>
          <w:rFonts w:ascii="Times New Roman" w:eastAsia="Times New Roman" w:hAnsi="Times New Roman" w:cs="Times New Roman"/>
          <w:iCs/>
          <w:sz w:val="24"/>
          <w:szCs w:val="24"/>
          <w:lang w:eastAsia="ru-RU"/>
        </w:rPr>
      </w:pPr>
      <w:r w:rsidRPr="00125FAF">
        <w:rPr>
          <w:rFonts w:ascii="Times New Roman" w:eastAsia="Times New Roman" w:hAnsi="Times New Roman" w:cs="Times New Roman"/>
          <w:iCs/>
          <w:color w:val="000000"/>
          <w:sz w:val="24"/>
          <w:szCs w:val="24"/>
          <w:lang w:eastAsia="ru-RU"/>
        </w:rPr>
        <w:t>b</w:t>
      </w:r>
      <w:r w:rsidRPr="00125FAF">
        <w:rPr>
          <w:rFonts w:ascii="Times New Roman" w:eastAsia="Times New Roman" w:hAnsi="Times New Roman" w:cs="Times New Roman"/>
          <w:iCs/>
          <w:color w:val="000000"/>
          <w:sz w:val="24"/>
          <w:szCs w:val="24"/>
          <w:shd w:val="clear" w:color="auto" w:fill="FFFFFF"/>
          <w:lang w:eastAsia="ru-RU"/>
        </w:rPr>
        <w:t xml:space="preserve">) </w:t>
      </w:r>
      <w:r w:rsidR="00240845" w:rsidRPr="00125FAF">
        <w:rPr>
          <w:rFonts w:ascii="Times New Roman" w:eastAsia="Times New Roman" w:hAnsi="Times New Roman" w:cs="Times New Roman"/>
          <w:iCs/>
          <w:color w:val="000000"/>
          <w:sz w:val="24"/>
          <w:szCs w:val="24"/>
          <w:shd w:val="clear" w:color="auto" w:fill="FFFFFF"/>
          <w:lang w:eastAsia="ru-RU"/>
        </w:rPr>
        <w:t xml:space="preserve">conversiunea vehiculelor, inclusiv prin </w:t>
      </w:r>
      <w:r w:rsidRPr="00125FAF">
        <w:rPr>
          <w:rFonts w:ascii="Times New Roman" w:eastAsia="Times New Roman" w:hAnsi="Times New Roman" w:cs="Times New Roman"/>
          <w:iCs/>
          <w:color w:val="000000"/>
          <w:sz w:val="24"/>
          <w:szCs w:val="24"/>
          <w:shd w:val="clear" w:color="auto" w:fill="FFFFFF"/>
          <w:lang w:eastAsia="ru-RU"/>
        </w:rPr>
        <w:t xml:space="preserve">utilizarea vehiculelor electrice hibride (combină un motor cu ardere internă </w:t>
      </w:r>
      <w:proofErr w:type="spellStart"/>
      <w:r w:rsidRPr="00125FAF">
        <w:rPr>
          <w:rFonts w:ascii="Times New Roman" w:eastAsia="Times New Roman" w:hAnsi="Times New Roman" w:cs="Times New Roman"/>
          <w:iCs/>
          <w:color w:val="000000"/>
          <w:sz w:val="24"/>
          <w:szCs w:val="24"/>
          <w:shd w:val="clear" w:color="auto" w:fill="FFFFFF"/>
          <w:lang w:eastAsia="ru-RU"/>
        </w:rPr>
        <w:t>şi</w:t>
      </w:r>
      <w:proofErr w:type="spellEnd"/>
      <w:r w:rsidRPr="00125FAF">
        <w:rPr>
          <w:rFonts w:ascii="Times New Roman" w:eastAsia="Times New Roman" w:hAnsi="Times New Roman" w:cs="Times New Roman"/>
          <w:iCs/>
          <w:color w:val="000000"/>
          <w:sz w:val="24"/>
          <w:szCs w:val="24"/>
          <w:shd w:val="clear" w:color="auto" w:fill="FFFFFF"/>
          <w:lang w:eastAsia="ru-RU"/>
        </w:rPr>
        <w:t xml:space="preserve"> unul sau mai multe motoare electrice)</w:t>
      </w:r>
      <w:r w:rsidR="00240845" w:rsidRPr="00125FAF">
        <w:rPr>
          <w:rFonts w:ascii="Times New Roman" w:eastAsia="Times New Roman" w:hAnsi="Times New Roman" w:cs="Times New Roman"/>
          <w:iCs/>
          <w:color w:val="000000"/>
          <w:sz w:val="24"/>
          <w:szCs w:val="24"/>
          <w:shd w:val="clear" w:color="auto" w:fill="FFFFFF"/>
          <w:lang w:eastAsia="ru-RU"/>
        </w:rPr>
        <w:t>,</w:t>
      </w:r>
      <w:r w:rsidRPr="00125FAF">
        <w:rPr>
          <w:rFonts w:ascii="Times New Roman" w:eastAsia="Times New Roman" w:hAnsi="Times New Roman" w:cs="Times New Roman"/>
          <w:iCs/>
          <w:color w:val="000000"/>
          <w:sz w:val="24"/>
          <w:szCs w:val="24"/>
          <w:shd w:val="clear" w:color="auto" w:fill="FFFFFF"/>
          <w:lang w:eastAsia="ru-RU"/>
        </w:rPr>
        <w:t xml:space="preserve"> vehiculelor electrice hibride cu conectare la </w:t>
      </w:r>
      <w:proofErr w:type="spellStart"/>
      <w:r w:rsidRPr="00125FAF">
        <w:rPr>
          <w:rFonts w:ascii="Times New Roman" w:eastAsia="Times New Roman" w:hAnsi="Times New Roman" w:cs="Times New Roman"/>
          <w:iCs/>
          <w:color w:val="000000"/>
          <w:sz w:val="24"/>
          <w:szCs w:val="24"/>
          <w:shd w:val="clear" w:color="auto" w:fill="FFFFFF"/>
          <w:lang w:eastAsia="ru-RU"/>
        </w:rPr>
        <w:t>reţeaua</w:t>
      </w:r>
      <w:proofErr w:type="spellEnd"/>
      <w:r w:rsidRPr="00125FAF">
        <w:rPr>
          <w:rFonts w:ascii="Times New Roman" w:eastAsia="Times New Roman" w:hAnsi="Times New Roman" w:cs="Times New Roman"/>
          <w:iCs/>
          <w:color w:val="000000"/>
          <w:sz w:val="24"/>
          <w:szCs w:val="24"/>
          <w:shd w:val="clear" w:color="auto" w:fill="FFFFFF"/>
          <w:lang w:eastAsia="ru-RU"/>
        </w:rPr>
        <w:t xml:space="preserve"> electrică</w:t>
      </w:r>
      <w:r w:rsidR="00240845" w:rsidRPr="00125FAF">
        <w:rPr>
          <w:rFonts w:ascii="Times New Roman" w:eastAsia="Times New Roman" w:hAnsi="Times New Roman" w:cs="Times New Roman"/>
          <w:iCs/>
          <w:color w:val="000000"/>
          <w:sz w:val="24"/>
          <w:szCs w:val="24"/>
          <w:shd w:val="clear" w:color="auto" w:fill="FFFFFF"/>
          <w:lang w:eastAsia="ru-RU"/>
        </w:rPr>
        <w:t>, vehiculelor pur electrice</w:t>
      </w:r>
      <w:r w:rsidRPr="00125FAF">
        <w:rPr>
          <w:rFonts w:ascii="Times New Roman" w:eastAsia="Times New Roman" w:hAnsi="Times New Roman" w:cs="Times New Roman"/>
          <w:iCs/>
          <w:color w:val="000000"/>
          <w:sz w:val="24"/>
          <w:szCs w:val="24"/>
          <w:shd w:val="clear" w:color="auto" w:fill="FFFFFF"/>
          <w:lang w:eastAsia="ru-RU"/>
        </w:rPr>
        <w:t>;</w:t>
      </w:r>
    </w:p>
    <w:p w14:paraId="722EF2FB" w14:textId="2D684EEA" w:rsidR="006364B2" w:rsidRPr="00125FAF" w:rsidRDefault="006364B2" w:rsidP="006364B2">
      <w:pPr>
        <w:spacing w:after="0" w:line="240" w:lineRule="auto"/>
        <w:ind w:firstLine="720"/>
        <w:jc w:val="both"/>
        <w:rPr>
          <w:rFonts w:ascii="Times New Roman" w:eastAsia="Times New Roman" w:hAnsi="Times New Roman" w:cs="Times New Roman"/>
          <w:iCs/>
          <w:sz w:val="24"/>
          <w:szCs w:val="24"/>
          <w:lang w:eastAsia="ru-RU"/>
        </w:rPr>
      </w:pPr>
      <w:r w:rsidRPr="00125FAF">
        <w:rPr>
          <w:rFonts w:ascii="Times New Roman" w:eastAsia="Times New Roman" w:hAnsi="Times New Roman" w:cs="Times New Roman"/>
          <w:iCs/>
          <w:color w:val="000000"/>
          <w:sz w:val="24"/>
          <w:szCs w:val="24"/>
          <w:shd w:val="clear" w:color="auto" w:fill="FFFFFF"/>
          <w:lang w:eastAsia="ru-RU"/>
        </w:rPr>
        <w:t xml:space="preserve">c) producerea </w:t>
      </w:r>
      <w:proofErr w:type="spellStart"/>
      <w:r w:rsidRPr="00125FAF">
        <w:rPr>
          <w:rFonts w:ascii="Times New Roman" w:eastAsia="Times New Roman" w:hAnsi="Times New Roman" w:cs="Times New Roman"/>
          <w:iCs/>
          <w:color w:val="000000"/>
          <w:sz w:val="24"/>
          <w:szCs w:val="24"/>
          <w:shd w:val="clear" w:color="auto" w:fill="FFFFFF"/>
          <w:lang w:eastAsia="ru-RU"/>
        </w:rPr>
        <w:t>biomotorinei</w:t>
      </w:r>
      <w:proofErr w:type="spellEnd"/>
      <w:r w:rsidRPr="00125FAF">
        <w:rPr>
          <w:rFonts w:ascii="Times New Roman" w:eastAsia="Times New Roman" w:hAnsi="Times New Roman" w:cs="Times New Roman"/>
          <w:iCs/>
          <w:color w:val="000000"/>
          <w:sz w:val="24"/>
          <w:szCs w:val="24"/>
          <w:shd w:val="clear" w:color="auto" w:fill="FFFFFF"/>
          <w:lang w:eastAsia="ru-RU"/>
        </w:rPr>
        <w:t xml:space="preserve"> </w:t>
      </w:r>
      <w:proofErr w:type="spellStart"/>
      <w:r w:rsidRPr="00125FAF">
        <w:rPr>
          <w:rFonts w:ascii="Times New Roman" w:eastAsia="Times New Roman" w:hAnsi="Times New Roman" w:cs="Times New Roman"/>
          <w:iCs/>
          <w:color w:val="000000"/>
          <w:sz w:val="24"/>
          <w:szCs w:val="24"/>
          <w:shd w:val="clear" w:color="auto" w:fill="FFFFFF"/>
          <w:lang w:eastAsia="ru-RU"/>
        </w:rPr>
        <w:t>şi</w:t>
      </w:r>
      <w:proofErr w:type="spellEnd"/>
      <w:r w:rsidRPr="00125FAF">
        <w:rPr>
          <w:rFonts w:ascii="Times New Roman" w:eastAsia="Times New Roman" w:hAnsi="Times New Roman" w:cs="Times New Roman"/>
          <w:iCs/>
          <w:color w:val="000000"/>
          <w:sz w:val="24"/>
          <w:szCs w:val="24"/>
          <w:shd w:val="clear" w:color="auto" w:fill="FFFFFF"/>
          <w:lang w:eastAsia="ru-RU"/>
        </w:rPr>
        <w:t xml:space="preserve"> </w:t>
      </w:r>
      <w:proofErr w:type="spellStart"/>
      <w:r w:rsidRPr="00125FAF">
        <w:rPr>
          <w:rFonts w:ascii="Times New Roman" w:eastAsia="Times New Roman" w:hAnsi="Times New Roman" w:cs="Times New Roman"/>
          <w:iCs/>
          <w:color w:val="000000"/>
          <w:sz w:val="24"/>
          <w:szCs w:val="24"/>
          <w:shd w:val="clear" w:color="auto" w:fill="FFFFFF"/>
          <w:lang w:eastAsia="ru-RU"/>
        </w:rPr>
        <w:t>bioetanolului</w:t>
      </w:r>
      <w:proofErr w:type="spellEnd"/>
      <w:r w:rsidRPr="00125FAF">
        <w:rPr>
          <w:rFonts w:ascii="Times New Roman" w:eastAsia="Times New Roman" w:hAnsi="Times New Roman" w:cs="Times New Roman"/>
          <w:iCs/>
          <w:color w:val="000000"/>
          <w:sz w:val="24"/>
          <w:szCs w:val="24"/>
          <w:shd w:val="clear" w:color="auto" w:fill="FFFFFF"/>
          <w:lang w:eastAsia="ru-RU"/>
        </w:rPr>
        <w:t>;</w:t>
      </w:r>
    </w:p>
    <w:p w14:paraId="0E2C7B67" w14:textId="15A82534" w:rsidR="006364B2" w:rsidRPr="00125FAF" w:rsidRDefault="006364B2" w:rsidP="006364B2">
      <w:pPr>
        <w:spacing w:after="0" w:line="240" w:lineRule="auto"/>
        <w:ind w:firstLine="720"/>
        <w:jc w:val="both"/>
        <w:rPr>
          <w:rFonts w:ascii="Times New Roman" w:eastAsia="Times New Roman" w:hAnsi="Times New Roman" w:cs="Times New Roman"/>
          <w:iCs/>
          <w:sz w:val="24"/>
          <w:szCs w:val="24"/>
          <w:lang w:eastAsia="ru-RU"/>
        </w:rPr>
      </w:pPr>
      <w:r w:rsidRPr="00125FAF">
        <w:rPr>
          <w:rFonts w:ascii="Times New Roman" w:eastAsia="Times New Roman" w:hAnsi="Times New Roman" w:cs="Times New Roman"/>
          <w:iCs/>
          <w:color w:val="000000"/>
          <w:sz w:val="24"/>
          <w:szCs w:val="24"/>
          <w:shd w:val="clear" w:color="auto" w:fill="FFFFFF"/>
          <w:lang w:eastAsia="ru-RU"/>
        </w:rPr>
        <w:t xml:space="preserve">d) implementarea sistemului „Bus Rapid Tranzit” (sistem de transport de capacitate înaltă utilizat pentru a schimba </w:t>
      </w:r>
      <w:proofErr w:type="spellStart"/>
      <w:r w:rsidRPr="00125FAF">
        <w:rPr>
          <w:rFonts w:ascii="Times New Roman" w:eastAsia="Times New Roman" w:hAnsi="Times New Roman" w:cs="Times New Roman"/>
          <w:iCs/>
          <w:color w:val="000000"/>
          <w:sz w:val="24"/>
          <w:szCs w:val="24"/>
          <w:shd w:val="clear" w:color="auto" w:fill="FFFFFF"/>
          <w:lang w:eastAsia="ru-RU"/>
        </w:rPr>
        <w:t>tendinţa</w:t>
      </w:r>
      <w:proofErr w:type="spellEnd"/>
      <w:r w:rsidRPr="00125FAF">
        <w:rPr>
          <w:rFonts w:ascii="Times New Roman" w:eastAsia="Times New Roman" w:hAnsi="Times New Roman" w:cs="Times New Roman"/>
          <w:iCs/>
          <w:color w:val="000000"/>
          <w:sz w:val="24"/>
          <w:szCs w:val="24"/>
          <w:shd w:val="clear" w:color="auto" w:fill="FFFFFF"/>
          <w:lang w:eastAsia="ru-RU"/>
        </w:rPr>
        <w:t xml:space="preserve"> transferurilor modale către transportul public);</w:t>
      </w:r>
    </w:p>
    <w:p w14:paraId="5B86C767" w14:textId="3A380A99" w:rsidR="006364B2" w:rsidRPr="00125FAF" w:rsidRDefault="006364B2" w:rsidP="006364B2">
      <w:pPr>
        <w:spacing w:after="0" w:line="240" w:lineRule="auto"/>
        <w:ind w:firstLine="720"/>
        <w:jc w:val="both"/>
        <w:rPr>
          <w:rFonts w:ascii="Times New Roman" w:eastAsia="Times New Roman" w:hAnsi="Times New Roman" w:cs="Times New Roman"/>
          <w:iCs/>
          <w:sz w:val="24"/>
          <w:szCs w:val="24"/>
          <w:lang w:eastAsia="ru-RU"/>
        </w:rPr>
      </w:pPr>
      <w:r w:rsidRPr="00125FAF">
        <w:rPr>
          <w:rFonts w:ascii="Times New Roman" w:eastAsia="Times New Roman" w:hAnsi="Times New Roman" w:cs="Times New Roman"/>
          <w:iCs/>
          <w:color w:val="000000"/>
          <w:sz w:val="24"/>
          <w:szCs w:val="24"/>
          <w:shd w:val="clear" w:color="auto" w:fill="FFFFFF"/>
          <w:lang w:eastAsia="ru-RU"/>
        </w:rPr>
        <w:t xml:space="preserve">d) </w:t>
      </w:r>
      <w:r w:rsidR="00240845" w:rsidRPr="00125FAF">
        <w:rPr>
          <w:rFonts w:ascii="Times New Roman" w:eastAsia="Times New Roman" w:hAnsi="Times New Roman" w:cs="Times New Roman"/>
          <w:iCs/>
          <w:color w:val="000000"/>
          <w:sz w:val="24"/>
          <w:szCs w:val="24"/>
          <w:shd w:val="clear" w:color="auto" w:fill="FFFFFF"/>
          <w:lang w:eastAsia="ru-RU"/>
        </w:rPr>
        <w:t>crearea infrastructurii pentru transportul electric</w:t>
      </w:r>
      <w:r w:rsidRPr="00125FAF">
        <w:rPr>
          <w:rFonts w:ascii="Times New Roman" w:eastAsia="Times New Roman" w:hAnsi="Times New Roman" w:cs="Times New Roman"/>
          <w:iCs/>
          <w:color w:val="000000"/>
          <w:sz w:val="24"/>
          <w:szCs w:val="24"/>
          <w:shd w:val="clear" w:color="auto" w:fill="FFFFFF"/>
          <w:lang w:eastAsia="ru-RU"/>
        </w:rPr>
        <w:t>;</w:t>
      </w:r>
    </w:p>
    <w:p w14:paraId="5C9CA1F8" w14:textId="12FB6D05" w:rsidR="006364B2" w:rsidRPr="00125FAF" w:rsidRDefault="006364B2" w:rsidP="001F2F2D">
      <w:pPr>
        <w:spacing w:after="120" w:line="240" w:lineRule="auto"/>
        <w:ind w:firstLine="720"/>
        <w:jc w:val="both"/>
        <w:rPr>
          <w:rFonts w:ascii="Times New Roman" w:eastAsia="Times New Roman" w:hAnsi="Times New Roman" w:cs="Times New Roman"/>
          <w:iCs/>
          <w:sz w:val="24"/>
          <w:szCs w:val="24"/>
          <w:lang w:eastAsia="ru-RU"/>
        </w:rPr>
      </w:pPr>
      <w:r w:rsidRPr="00125FAF">
        <w:rPr>
          <w:rFonts w:ascii="Times New Roman" w:eastAsia="Times New Roman" w:hAnsi="Times New Roman" w:cs="Times New Roman"/>
          <w:iCs/>
          <w:sz w:val="24"/>
          <w:szCs w:val="24"/>
          <w:shd w:val="clear" w:color="auto" w:fill="FFFFFF"/>
          <w:lang w:eastAsia="ru-RU"/>
        </w:rPr>
        <w:t xml:space="preserve">f) </w:t>
      </w:r>
      <w:r w:rsidR="00240845" w:rsidRPr="00125FAF">
        <w:rPr>
          <w:rFonts w:ascii="Times New Roman" w:eastAsia="Times New Roman" w:hAnsi="Times New Roman" w:cs="Times New Roman"/>
          <w:iCs/>
          <w:sz w:val="24"/>
          <w:szCs w:val="24"/>
          <w:shd w:val="clear" w:color="auto" w:fill="FFFFFF"/>
          <w:lang w:eastAsia="ru-RU"/>
        </w:rPr>
        <w:t>implementarea sistemelor de tarifare electronică rutieră</w:t>
      </w:r>
      <w:r w:rsidR="00240845" w:rsidRPr="00125FAF" w:rsidDel="00240845">
        <w:rPr>
          <w:rFonts w:ascii="Times New Roman" w:eastAsia="Times New Roman" w:hAnsi="Times New Roman" w:cs="Times New Roman"/>
          <w:iCs/>
          <w:sz w:val="24"/>
          <w:szCs w:val="24"/>
          <w:shd w:val="clear" w:color="auto" w:fill="FFFFFF"/>
          <w:lang w:eastAsia="ru-RU"/>
        </w:rPr>
        <w:t xml:space="preserve"> </w:t>
      </w:r>
      <w:r w:rsidRPr="00125FAF">
        <w:rPr>
          <w:rFonts w:ascii="Times New Roman" w:eastAsia="Times New Roman" w:hAnsi="Times New Roman" w:cs="Times New Roman"/>
          <w:bCs/>
          <w:iCs/>
          <w:sz w:val="24"/>
          <w:szCs w:val="24"/>
          <w:lang w:eastAsia="ru-RU"/>
        </w:rPr>
        <w:t>etc</w:t>
      </w:r>
      <w:r w:rsidRPr="00125FAF">
        <w:rPr>
          <w:rFonts w:ascii="Times New Roman" w:eastAsia="Times New Roman" w:hAnsi="Times New Roman" w:cs="Times New Roman"/>
          <w:iCs/>
          <w:sz w:val="24"/>
          <w:szCs w:val="24"/>
          <w:shd w:val="clear" w:color="auto" w:fill="FFFFFF"/>
          <w:lang w:eastAsia="ru-RU"/>
        </w:rPr>
        <w:t>.</w:t>
      </w:r>
    </w:p>
    <w:p w14:paraId="5F2781FC" w14:textId="78656595" w:rsidR="00755BD4" w:rsidRPr="00125FAF" w:rsidRDefault="006364B2" w:rsidP="001F2F2D">
      <w:pPr>
        <w:spacing w:after="120" w:line="240" w:lineRule="auto"/>
        <w:ind w:firstLine="720"/>
        <w:jc w:val="both"/>
        <w:rPr>
          <w:rFonts w:ascii="Times New Roman" w:eastAsia="Times New Roman" w:hAnsi="Times New Roman" w:cs="Times New Roman"/>
          <w:iCs/>
          <w:color w:val="000000"/>
          <w:sz w:val="24"/>
          <w:szCs w:val="24"/>
          <w:shd w:val="clear" w:color="auto" w:fill="FFFFFF"/>
          <w:lang w:eastAsia="ru-RU"/>
        </w:rPr>
      </w:pPr>
      <w:r w:rsidRPr="00125FAF">
        <w:rPr>
          <w:rFonts w:ascii="Times New Roman" w:eastAsia="Times New Roman" w:hAnsi="Times New Roman" w:cs="Times New Roman"/>
          <w:b/>
          <w:iCs/>
          <w:color w:val="000000"/>
          <w:sz w:val="24"/>
          <w:szCs w:val="24"/>
          <w:shd w:val="clear" w:color="auto" w:fill="FFFFFF"/>
          <w:lang w:eastAsia="ru-RU"/>
        </w:rPr>
        <w:t>Indicatori</w:t>
      </w:r>
      <w:r w:rsidR="00C074BC" w:rsidRPr="00125FAF">
        <w:rPr>
          <w:rFonts w:ascii="Times New Roman" w:eastAsia="Times New Roman" w:hAnsi="Times New Roman" w:cs="Times New Roman"/>
          <w:b/>
          <w:iCs/>
          <w:color w:val="000000"/>
          <w:sz w:val="24"/>
          <w:szCs w:val="24"/>
          <w:shd w:val="clear" w:color="auto" w:fill="FFFFFF"/>
          <w:lang w:eastAsia="ru-RU"/>
        </w:rPr>
        <w:t>i</w:t>
      </w:r>
      <w:r w:rsidRPr="00125FAF">
        <w:rPr>
          <w:rFonts w:ascii="Times New Roman" w:eastAsia="Times New Roman" w:hAnsi="Times New Roman" w:cs="Times New Roman"/>
          <w:b/>
          <w:iCs/>
          <w:color w:val="000000"/>
          <w:sz w:val="24"/>
          <w:szCs w:val="24"/>
          <w:shd w:val="clear" w:color="auto" w:fill="FFFFFF"/>
          <w:lang w:eastAsia="ru-RU"/>
        </w:rPr>
        <w:t xml:space="preserve"> de progres</w:t>
      </w:r>
      <w:r w:rsidR="00B614FB" w:rsidRPr="00125FAF">
        <w:rPr>
          <w:rFonts w:ascii="Times New Roman" w:eastAsia="Times New Roman" w:hAnsi="Times New Roman" w:cs="Times New Roman"/>
          <w:b/>
          <w:iCs/>
          <w:color w:val="000000"/>
          <w:sz w:val="24"/>
          <w:szCs w:val="24"/>
          <w:shd w:val="clear" w:color="auto" w:fill="FFFFFF"/>
          <w:lang w:eastAsia="ru-RU"/>
        </w:rPr>
        <w:t xml:space="preserve"> </w:t>
      </w:r>
      <w:r w:rsidR="00B614FB" w:rsidRPr="00125FAF">
        <w:rPr>
          <w:rFonts w:ascii="Times New Roman" w:eastAsia="Times New Roman" w:hAnsi="Times New Roman" w:cs="Times New Roman"/>
          <w:iCs/>
          <w:color w:val="000000"/>
          <w:sz w:val="24"/>
          <w:szCs w:val="24"/>
          <w:shd w:val="clear" w:color="auto" w:fill="FFFFFF"/>
          <w:lang w:eastAsia="ru-RU"/>
        </w:rPr>
        <w:t xml:space="preserve">corespund cu </w:t>
      </w:r>
      <w:proofErr w:type="spellStart"/>
      <w:r w:rsidR="00B614FB" w:rsidRPr="00125FAF">
        <w:rPr>
          <w:rFonts w:ascii="Times New Roman" w:eastAsia="Times New Roman" w:hAnsi="Times New Roman" w:cs="Times New Roman"/>
          <w:iCs/>
          <w:color w:val="000000"/>
          <w:sz w:val="24"/>
          <w:szCs w:val="24"/>
          <w:shd w:val="clear" w:color="auto" w:fill="FFFFFF"/>
          <w:lang w:eastAsia="ru-RU"/>
        </w:rPr>
        <w:t>ţintele</w:t>
      </w:r>
      <w:proofErr w:type="spellEnd"/>
      <w:r w:rsidR="00B614FB" w:rsidRPr="00125FAF">
        <w:rPr>
          <w:rFonts w:ascii="Times New Roman" w:eastAsia="Times New Roman" w:hAnsi="Times New Roman" w:cs="Times New Roman"/>
          <w:iCs/>
          <w:color w:val="000000"/>
          <w:sz w:val="24"/>
          <w:szCs w:val="24"/>
          <w:shd w:val="clear" w:color="auto" w:fill="FFFFFF"/>
          <w:lang w:eastAsia="ru-RU"/>
        </w:rPr>
        <w:t xml:space="preserve"> de reducere a emisiilor de GES către anul 2025 </w:t>
      </w:r>
      <w:proofErr w:type="spellStart"/>
      <w:r w:rsidR="00B614FB" w:rsidRPr="00125FAF">
        <w:rPr>
          <w:rFonts w:ascii="Times New Roman" w:eastAsia="Times New Roman" w:hAnsi="Times New Roman" w:cs="Times New Roman"/>
          <w:iCs/>
          <w:color w:val="000000"/>
          <w:sz w:val="24"/>
          <w:szCs w:val="24"/>
          <w:shd w:val="clear" w:color="auto" w:fill="FFFFFF"/>
          <w:lang w:eastAsia="ru-RU"/>
        </w:rPr>
        <w:t>şi</w:t>
      </w:r>
      <w:proofErr w:type="spellEnd"/>
      <w:r w:rsidR="00B614FB" w:rsidRPr="00125FAF">
        <w:rPr>
          <w:rFonts w:ascii="Times New Roman" w:eastAsia="Times New Roman" w:hAnsi="Times New Roman" w:cs="Times New Roman"/>
          <w:iCs/>
          <w:color w:val="000000"/>
          <w:sz w:val="24"/>
          <w:szCs w:val="24"/>
          <w:shd w:val="clear" w:color="auto" w:fill="FFFFFF"/>
          <w:lang w:eastAsia="ru-RU"/>
        </w:rPr>
        <w:t xml:space="preserve"> 2030 </w:t>
      </w:r>
      <w:proofErr w:type="spellStart"/>
      <w:r w:rsidR="00B614FB" w:rsidRPr="00125FAF">
        <w:rPr>
          <w:rFonts w:ascii="Times New Roman" w:eastAsia="Times New Roman" w:hAnsi="Times New Roman" w:cs="Times New Roman"/>
          <w:iCs/>
          <w:color w:val="000000"/>
          <w:sz w:val="24"/>
          <w:szCs w:val="24"/>
          <w:shd w:val="clear" w:color="auto" w:fill="FFFFFF"/>
          <w:lang w:eastAsia="ru-RU"/>
        </w:rPr>
        <w:t>faţă</w:t>
      </w:r>
      <w:proofErr w:type="spellEnd"/>
      <w:r w:rsidR="00B614FB" w:rsidRPr="00125FAF">
        <w:rPr>
          <w:rFonts w:ascii="Times New Roman" w:eastAsia="Times New Roman" w:hAnsi="Times New Roman" w:cs="Times New Roman"/>
          <w:iCs/>
          <w:color w:val="000000"/>
          <w:sz w:val="24"/>
          <w:szCs w:val="24"/>
          <w:shd w:val="clear" w:color="auto" w:fill="FFFFFF"/>
          <w:lang w:eastAsia="ru-RU"/>
        </w:rPr>
        <w:t xml:space="preserve"> de anul 1990 expuse în Tabelul</w:t>
      </w:r>
      <w:r w:rsidR="00CE464D">
        <w:rPr>
          <w:rFonts w:ascii="Times New Roman" w:eastAsia="Times New Roman" w:hAnsi="Times New Roman" w:cs="Times New Roman"/>
          <w:iCs/>
          <w:color w:val="000000"/>
          <w:sz w:val="24"/>
          <w:szCs w:val="24"/>
          <w:shd w:val="clear" w:color="auto" w:fill="FFFFFF"/>
          <w:lang w:eastAsia="ru-RU"/>
        </w:rPr>
        <w:t>4</w:t>
      </w:r>
      <w:r w:rsidR="00B614FB" w:rsidRPr="00125FAF">
        <w:rPr>
          <w:rFonts w:ascii="Times New Roman" w:eastAsia="Times New Roman" w:hAnsi="Times New Roman" w:cs="Times New Roman"/>
          <w:iCs/>
          <w:color w:val="000000"/>
          <w:sz w:val="24"/>
          <w:szCs w:val="24"/>
          <w:shd w:val="clear" w:color="auto" w:fill="FFFFFF"/>
          <w:lang w:eastAsia="ru-RU"/>
        </w:rPr>
        <w:t>.2 pentru sectorul transporturi.</w:t>
      </w:r>
    </w:p>
    <w:p w14:paraId="1FBD51C0" w14:textId="26CE4578" w:rsidR="006364B2" w:rsidRPr="00125FAF" w:rsidRDefault="006364B2" w:rsidP="006364B2">
      <w:pPr>
        <w:spacing w:after="0" w:line="240" w:lineRule="auto"/>
        <w:ind w:firstLine="720"/>
        <w:jc w:val="both"/>
        <w:rPr>
          <w:rFonts w:ascii="Times New Roman" w:eastAsia="Times New Roman" w:hAnsi="Times New Roman" w:cs="Times New Roman"/>
          <w:iCs/>
          <w:color w:val="000000"/>
          <w:sz w:val="24"/>
          <w:szCs w:val="24"/>
          <w:shd w:val="clear" w:color="auto" w:fill="FFFFFF"/>
          <w:lang w:eastAsia="ru-RU"/>
        </w:rPr>
      </w:pPr>
      <w:r w:rsidRPr="00125FAF">
        <w:rPr>
          <w:rFonts w:ascii="Times New Roman" w:eastAsia="Times New Roman" w:hAnsi="Times New Roman" w:cs="Times New Roman"/>
          <w:iCs/>
          <w:color w:val="000000"/>
          <w:sz w:val="24"/>
          <w:szCs w:val="24"/>
          <w:shd w:val="clear" w:color="auto" w:fill="FFFFFF"/>
          <w:lang w:eastAsia="ru-RU"/>
        </w:rPr>
        <w:t>3</w:t>
      </w:r>
      <w:r w:rsidR="007909C8" w:rsidRPr="00125FAF">
        <w:rPr>
          <w:rFonts w:ascii="Times New Roman" w:eastAsia="Times New Roman" w:hAnsi="Times New Roman" w:cs="Times New Roman"/>
          <w:iCs/>
          <w:color w:val="000000"/>
          <w:sz w:val="24"/>
          <w:szCs w:val="24"/>
          <w:shd w:val="clear" w:color="auto" w:fill="FFFFFF"/>
          <w:lang w:eastAsia="ru-RU"/>
        </w:rPr>
        <w:t>7</w:t>
      </w:r>
      <w:r w:rsidRPr="00125FAF">
        <w:rPr>
          <w:rFonts w:ascii="Times New Roman" w:eastAsia="Times New Roman" w:hAnsi="Times New Roman" w:cs="Times New Roman"/>
          <w:b/>
          <w:bCs/>
          <w:iCs/>
          <w:color w:val="000000"/>
          <w:sz w:val="24"/>
          <w:szCs w:val="24"/>
          <w:shd w:val="clear" w:color="auto" w:fill="FFFFFF"/>
          <w:lang w:eastAsia="ru-RU"/>
        </w:rPr>
        <w:t xml:space="preserve">. </w:t>
      </w:r>
      <w:proofErr w:type="spellStart"/>
      <w:r w:rsidR="00755BD4" w:rsidRPr="00125FAF">
        <w:rPr>
          <w:rFonts w:ascii="Times New Roman" w:eastAsia="Times New Roman" w:hAnsi="Times New Roman" w:cs="Times New Roman"/>
          <w:bCs/>
          <w:iCs/>
          <w:color w:val="000000"/>
          <w:sz w:val="24"/>
          <w:szCs w:val="24"/>
          <w:shd w:val="clear" w:color="auto" w:fill="FFFFFF"/>
          <w:lang w:eastAsia="ru-RU"/>
        </w:rPr>
        <w:t>Acţiunile</w:t>
      </w:r>
      <w:proofErr w:type="spellEnd"/>
      <w:r w:rsidR="00755BD4" w:rsidRPr="00125FAF">
        <w:rPr>
          <w:rFonts w:ascii="Times New Roman" w:eastAsia="Times New Roman" w:hAnsi="Times New Roman" w:cs="Times New Roman"/>
          <w:bCs/>
          <w:iCs/>
          <w:color w:val="000000"/>
          <w:sz w:val="24"/>
          <w:szCs w:val="24"/>
          <w:shd w:val="clear" w:color="auto" w:fill="FFFFFF"/>
          <w:lang w:eastAsia="ru-RU"/>
        </w:rPr>
        <w:t xml:space="preserve"> prioritare de atenuare a emisiilor de GES în </w:t>
      </w:r>
      <w:r w:rsidR="00755BD4" w:rsidRPr="00125FAF">
        <w:rPr>
          <w:rFonts w:ascii="Times New Roman" w:eastAsia="Times New Roman" w:hAnsi="Times New Roman" w:cs="Times New Roman"/>
          <w:b/>
          <w:bCs/>
          <w:iCs/>
          <w:color w:val="000000"/>
          <w:sz w:val="24"/>
          <w:szCs w:val="24"/>
          <w:shd w:val="clear" w:color="auto" w:fill="FFFFFF"/>
          <w:lang w:eastAsia="ru-RU"/>
        </w:rPr>
        <w:t xml:space="preserve">sectorul </w:t>
      </w:r>
      <w:r w:rsidR="008F1D2F" w:rsidRPr="00125FAF">
        <w:rPr>
          <w:rFonts w:ascii="Times New Roman" w:eastAsia="Times New Roman" w:hAnsi="Times New Roman" w:cs="Times New Roman"/>
          <w:b/>
          <w:bCs/>
          <w:iCs/>
          <w:color w:val="000000"/>
          <w:sz w:val="24"/>
          <w:szCs w:val="24"/>
          <w:shd w:val="clear" w:color="auto" w:fill="FFFFFF"/>
          <w:lang w:eastAsia="ru-RU"/>
        </w:rPr>
        <w:t>clădiri</w:t>
      </w:r>
      <w:r w:rsidR="00755BD4" w:rsidRPr="00125FAF">
        <w:rPr>
          <w:rFonts w:ascii="Times New Roman" w:eastAsia="Times New Roman" w:hAnsi="Times New Roman" w:cs="Times New Roman"/>
          <w:bCs/>
          <w:iCs/>
          <w:color w:val="000000"/>
          <w:sz w:val="24"/>
          <w:szCs w:val="24"/>
          <w:shd w:val="clear" w:color="auto" w:fill="FFFFFF"/>
          <w:lang w:eastAsia="ru-RU"/>
        </w:rPr>
        <w:t xml:space="preserve"> constau în:</w:t>
      </w:r>
    </w:p>
    <w:p w14:paraId="2894F8FD" w14:textId="24DB9599" w:rsidR="006364B2" w:rsidRPr="00125FAF" w:rsidRDefault="00755BD4" w:rsidP="006364B2">
      <w:pPr>
        <w:spacing w:after="0" w:line="240" w:lineRule="auto"/>
        <w:ind w:firstLine="720"/>
        <w:jc w:val="both"/>
        <w:rPr>
          <w:rFonts w:ascii="Times New Roman" w:eastAsia="Times New Roman" w:hAnsi="Times New Roman" w:cs="Times New Roman"/>
          <w:iCs/>
          <w:sz w:val="24"/>
          <w:szCs w:val="24"/>
          <w:lang w:eastAsia="ru-RU"/>
        </w:rPr>
      </w:pPr>
      <w:r w:rsidRPr="00125FAF">
        <w:rPr>
          <w:rFonts w:ascii="Times New Roman" w:eastAsia="Times New Roman" w:hAnsi="Times New Roman" w:cs="Times New Roman"/>
          <w:iCs/>
          <w:color w:val="000000"/>
          <w:sz w:val="24"/>
          <w:szCs w:val="24"/>
          <w:shd w:val="clear" w:color="auto" w:fill="FFFFFF"/>
          <w:lang w:eastAsia="ru-RU"/>
        </w:rPr>
        <w:t xml:space="preserve">a) </w:t>
      </w:r>
      <w:proofErr w:type="spellStart"/>
      <w:r w:rsidRPr="00125FAF">
        <w:rPr>
          <w:rFonts w:ascii="Times New Roman" w:eastAsia="Times New Roman" w:hAnsi="Times New Roman" w:cs="Times New Roman"/>
          <w:iCs/>
          <w:color w:val="000000"/>
          <w:sz w:val="24"/>
          <w:szCs w:val="24"/>
          <w:shd w:val="clear" w:color="auto" w:fill="FFFFFF"/>
          <w:lang w:eastAsia="ru-RU"/>
        </w:rPr>
        <w:t>perfecţionarea</w:t>
      </w:r>
      <w:proofErr w:type="spellEnd"/>
      <w:r w:rsidRPr="00125FAF">
        <w:rPr>
          <w:rFonts w:ascii="Times New Roman" w:eastAsia="Times New Roman" w:hAnsi="Times New Roman" w:cs="Times New Roman"/>
          <w:iCs/>
          <w:color w:val="000000"/>
          <w:sz w:val="24"/>
          <w:szCs w:val="24"/>
          <w:shd w:val="clear" w:color="auto" w:fill="FFFFFF"/>
          <w:lang w:eastAsia="ru-RU"/>
        </w:rPr>
        <w:t xml:space="preserve"> cadrului normativ </w:t>
      </w:r>
      <w:proofErr w:type="spellStart"/>
      <w:r w:rsidRPr="00125FAF">
        <w:rPr>
          <w:rFonts w:ascii="Times New Roman" w:eastAsia="Times New Roman" w:hAnsi="Times New Roman" w:cs="Times New Roman"/>
          <w:iCs/>
          <w:color w:val="000000"/>
          <w:sz w:val="24"/>
          <w:szCs w:val="24"/>
          <w:shd w:val="clear" w:color="auto" w:fill="FFFFFF"/>
          <w:lang w:eastAsia="ru-RU"/>
        </w:rPr>
        <w:t>şi</w:t>
      </w:r>
      <w:proofErr w:type="spellEnd"/>
      <w:r w:rsidRPr="00125FAF">
        <w:rPr>
          <w:rFonts w:ascii="Times New Roman" w:eastAsia="Times New Roman" w:hAnsi="Times New Roman" w:cs="Times New Roman"/>
          <w:iCs/>
          <w:color w:val="000000"/>
          <w:sz w:val="24"/>
          <w:szCs w:val="24"/>
          <w:shd w:val="clear" w:color="auto" w:fill="FFFFFF"/>
          <w:lang w:eastAsia="ru-RU"/>
        </w:rPr>
        <w:t xml:space="preserve"> </w:t>
      </w:r>
      <w:proofErr w:type="spellStart"/>
      <w:r w:rsidRPr="00125FAF">
        <w:rPr>
          <w:rFonts w:ascii="Times New Roman" w:eastAsia="Times New Roman" w:hAnsi="Times New Roman" w:cs="Times New Roman"/>
          <w:iCs/>
          <w:color w:val="000000"/>
          <w:sz w:val="24"/>
          <w:szCs w:val="24"/>
          <w:shd w:val="clear" w:color="auto" w:fill="FFFFFF"/>
          <w:lang w:eastAsia="ru-RU"/>
        </w:rPr>
        <w:t>instituţional</w:t>
      </w:r>
      <w:proofErr w:type="spellEnd"/>
      <w:r w:rsidR="004246A5" w:rsidRPr="00125FAF">
        <w:rPr>
          <w:rFonts w:ascii="Times New Roman" w:eastAsia="Times New Roman" w:hAnsi="Times New Roman" w:cs="Times New Roman"/>
          <w:iCs/>
          <w:color w:val="000000"/>
          <w:sz w:val="24"/>
          <w:szCs w:val="24"/>
          <w:shd w:val="clear" w:color="auto" w:fill="FFFFFF"/>
          <w:lang w:eastAsia="ru-RU"/>
        </w:rPr>
        <w:t xml:space="preserve"> existent. </w:t>
      </w:r>
      <w:r w:rsidR="000C155B" w:rsidRPr="00125FAF">
        <w:rPr>
          <w:rFonts w:ascii="Times New Roman" w:eastAsia="Times New Roman" w:hAnsi="Times New Roman" w:cs="Times New Roman"/>
          <w:iCs/>
          <w:color w:val="000000"/>
          <w:sz w:val="24"/>
          <w:szCs w:val="24"/>
          <w:shd w:val="clear" w:color="auto" w:fill="FFFFFF"/>
          <w:lang w:eastAsia="ru-RU"/>
        </w:rPr>
        <w:t>Încorporarea</w:t>
      </w:r>
      <w:r w:rsidR="004246A5" w:rsidRPr="00125FAF">
        <w:rPr>
          <w:rFonts w:ascii="Times New Roman" w:eastAsia="Times New Roman" w:hAnsi="Times New Roman" w:cs="Times New Roman"/>
          <w:iCs/>
          <w:color w:val="000000"/>
          <w:sz w:val="24"/>
          <w:szCs w:val="24"/>
          <w:shd w:val="clear" w:color="auto" w:fill="FFFFFF"/>
          <w:lang w:eastAsia="ru-RU"/>
        </w:rPr>
        <w:t xml:space="preserve"> în cadrul </w:t>
      </w:r>
      <w:proofErr w:type="spellStart"/>
      <w:r w:rsidR="004246A5" w:rsidRPr="00125FAF">
        <w:rPr>
          <w:rFonts w:ascii="Times New Roman" w:eastAsia="Times New Roman" w:hAnsi="Times New Roman" w:cs="Times New Roman"/>
          <w:iCs/>
          <w:color w:val="000000"/>
          <w:sz w:val="24"/>
          <w:szCs w:val="24"/>
          <w:shd w:val="clear" w:color="auto" w:fill="FFFFFF"/>
          <w:lang w:eastAsia="ru-RU"/>
        </w:rPr>
        <w:t>Agenţiei</w:t>
      </w:r>
      <w:proofErr w:type="spellEnd"/>
      <w:r w:rsidR="004246A5" w:rsidRPr="00125FAF">
        <w:rPr>
          <w:rFonts w:ascii="Times New Roman" w:eastAsia="Times New Roman" w:hAnsi="Times New Roman" w:cs="Times New Roman"/>
          <w:iCs/>
          <w:color w:val="000000"/>
          <w:sz w:val="24"/>
          <w:szCs w:val="24"/>
          <w:shd w:val="clear" w:color="auto" w:fill="FFFFFF"/>
          <w:lang w:eastAsia="ru-RU"/>
        </w:rPr>
        <w:t xml:space="preserve"> de </w:t>
      </w:r>
      <w:proofErr w:type="spellStart"/>
      <w:r w:rsidR="004246A5" w:rsidRPr="00125FAF">
        <w:rPr>
          <w:rFonts w:ascii="Times New Roman" w:eastAsia="Times New Roman" w:hAnsi="Times New Roman" w:cs="Times New Roman"/>
          <w:iCs/>
          <w:color w:val="000000"/>
          <w:sz w:val="24"/>
          <w:szCs w:val="24"/>
          <w:shd w:val="clear" w:color="auto" w:fill="FFFFFF"/>
          <w:lang w:eastAsia="ru-RU"/>
        </w:rPr>
        <w:t>eficienţă</w:t>
      </w:r>
      <w:proofErr w:type="spellEnd"/>
      <w:r w:rsidR="004246A5" w:rsidRPr="00125FAF">
        <w:rPr>
          <w:rFonts w:ascii="Times New Roman" w:eastAsia="Times New Roman" w:hAnsi="Times New Roman" w:cs="Times New Roman"/>
          <w:iCs/>
          <w:color w:val="000000"/>
          <w:sz w:val="24"/>
          <w:szCs w:val="24"/>
          <w:shd w:val="clear" w:color="auto" w:fill="FFFFFF"/>
          <w:lang w:eastAsia="ru-RU"/>
        </w:rPr>
        <w:t xml:space="preserve"> energetică a Fondului de </w:t>
      </w:r>
      <w:proofErr w:type="spellStart"/>
      <w:r w:rsidR="004246A5" w:rsidRPr="00125FAF">
        <w:rPr>
          <w:rFonts w:ascii="Times New Roman" w:eastAsia="Times New Roman" w:hAnsi="Times New Roman" w:cs="Times New Roman"/>
          <w:iCs/>
          <w:color w:val="000000"/>
          <w:sz w:val="24"/>
          <w:szCs w:val="24"/>
          <w:shd w:val="clear" w:color="auto" w:fill="FFFFFF"/>
          <w:lang w:eastAsia="ru-RU"/>
        </w:rPr>
        <w:t>eficienţă</w:t>
      </w:r>
      <w:proofErr w:type="spellEnd"/>
      <w:r w:rsidR="004246A5" w:rsidRPr="00125FAF">
        <w:rPr>
          <w:rFonts w:ascii="Times New Roman" w:eastAsia="Times New Roman" w:hAnsi="Times New Roman" w:cs="Times New Roman"/>
          <w:iCs/>
          <w:color w:val="000000"/>
          <w:sz w:val="24"/>
          <w:szCs w:val="24"/>
          <w:shd w:val="clear" w:color="auto" w:fill="FFFFFF"/>
          <w:lang w:eastAsia="ru-RU"/>
        </w:rPr>
        <w:t xml:space="preserve"> energetică produsă prin HG nr. 45/2019 nu s-a soldat cu rezultate scontate</w:t>
      </w:r>
      <w:r w:rsidRPr="00125FAF">
        <w:rPr>
          <w:rFonts w:ascii="Times New Roman" w:eastAsia="Times New Roman" w:hAnsi="Times New Roman" w:cs="Times New Roman"/>
          <w:iCs/>
          <w:color w:val="000000"/>
          <w:sz w:val="24"/>
          <w:szCs w:val="24"/>
          <w:shd w:val="clear" w:color="auto" w:fill="FFFFFF"/>
          <w:lang w:eastAsia="ru-RU"/>
        </w:rPr>
        <w:t>;</w:t>
      </w:r>
    </w:p>
    <w:p w14:paraId="74351085" w14:textId="561EF7D2" w:rsidR="006364B2" w:rsidRPr="00125FAF" w:rsidRDefault="00755BD4" w:rsidP="00E70219">
      <w:pPr>
        <w:tabs>
          <w:tab w:val="left" w:pos="720"/>
        </w:tabs>
        <w:spacing w:after="0" w:line="240" w:lineRule="auto"/>
        <w:ind w:firstLine="720"/>
        <w:jc w:val="both"/>
        <w:rPr>
          <w:rFonts w:ascii="Times New Roman" w:eastAsia="Times New Roman" w:hAnsi="Times New Roman" w:cs="Times New Roman"/>
          <w:iCs/>
          <w:sz w:val="24"/>
          <w:szCs w:val="24"/>
          <w:shd w:val="clear" w:color="auto" w:fill="FFFFFF"/>
          <w:lang w:eastAsia="ru-RU"/>
        </w:rPr>
      </w:pPr>
      <w:r w:rsidRPr="00125FAF">
        <w:rPr>
          <w:rFonts w:ascii="Times New Roman" w:eastAsia="Times New Roman" w:hAnsi="Times New Roman" w:cs="Times New Roman"/>
          <w:iCs/>
          <w:color w:val="000000"/>
          <w:sz w:val="24"/>
          <w:szCs w:val="24"/>
          <w:shd w:val="clear" w:color="auto" w:fill="FFFFFF"/>
          <w:lang w:eastAsia="ru-RU"/>
        </w:rPr>
        <w:t xml:space="preserve">b) aplicarea de </w:t>
      </w:r>
      <w:r w:rsidR="006364B2" w:rsidRPr="00125FAF">
        <w:rPr>
          <w:rFonts w:ascii="Times New Roman" w:eastAsia="Times New Roman" w:hAnsi="Times New Roman" w:cs="Times New Roman"/>
          <w:iCs/>
          <w:color w:val="000000"/>
          <w:sz w:val="24"/>
          <w:szCs w:val="24"/>
          <w:shd w:val="clear" w:color="auto" w:fill="FFFFFF"/>
          <w:lang w:eastAsia="ru-RU"/>
        </w:rPr>
        <w:t>tehnologii energetic eficiente</w:t>
      </w:r>
      <w:r w:rsidR="004246A5" w:rsidRPr="00125FAF">
        <w:rPr>
          <w:rFonts w:ascii="Times New Roman" w:eastAsia="Times New Roman" w:hAnsi="Times New Roman" w:cs="Times New Roman"/>
          <w:iCs/>
          <w:color w:val="000000"/>
          <w:sz w:val="24"/>
          <w:szCs w:val="24"/>
          <w:shd w:val="clear" w:color="auto" w:fill="FFFFFF"/>
          <w:lang w:eastAsia="ru-RU"/>
        </w:rPr>
        <w:t xml:space="preserve">, inclusiv: </w:t>
      </w:r>
      <w:r w:rsidR="009861AB" w:rsidRPr="00125FAF">
        <w:rPr>
          <w:rFonts w:ascii="Times New Roman" w:hAnsi="Times New Roman" w:cs="Times New Roman"/>
          <w:bCs/>
          <w:iCs/>
          <w:sz w:val="24"/>
          <w:szCs w:val="24"/>
        </w:rPr>
        <w:t>reabilitarea termică a</w:t>
      </w:r>
      <w:r w:rsidR="006364B2" w:rsidRPr="00125FAF">
        <w:rPr>
          <w:rFonts w:ascii="Times New Roman" w:eastAsia="Times New Roman" w:hAnsi="Times New Roman" w:cs="Times New Roman"/>
          <w:bCs/>
          <w:iCs/>
          <w:sz w:val="24"/>
          <w:szCs w:val="24"/>
          <w:lang w:eastAsia="ru-RU"/>
        </w:rPr>
        <w:t xml:space="preserve"> clădirilor</w:t>
      </w:r>
      <w:r w:rsidR="006364B2" w:rsidRPr="00125FAF">
        <w:rPr>
          <w:rFonts w:ascii="Times New Roman" w:eastAsia="Times New Roman" w:hAnsi="Times New Roman" w:cs="Times New Roman"/>
          <w:iCs/>
          <w:sz w:val="24"/>
          <w:szCs w:val="24"/>
          <w:shd w:val="clear" w:color="auto" w:fill="FFFFFF"/>
          <w:lang w:eastAsia="ru-RU"/>
        </w:rPr>
        <w:t>;</w:t>
      </w:r>
      <w:r w:rsidR="00E70219" w:rsidRPr="00125FAF">
        <w:rPr>
          <w:rFonts w:ascii="Times New Roman" w:eastAsia="Times New Roman" w:hAnsi="Times New Roman" w:cs="Times New Roman"/>
          <w:iCs/>
          <w:sz w:val="24"/>
          <w:szCs w:val="24"/>
          <w:shd w:val="clear" w:color="auto" w:fill="FFFFFF"/>
          <w:lang w:eastAsia="ru-RU"/>
        </w:rPr>
        <w:t xml:space="preserve"> </w:t>
      </w:r>
      <w:r w:rsidR="006364B2" w:rsidRPr="00125FAF">
        <w:rPr>
          <w:rFonts w:ascii="Times New Roman" w:eastAsia="Times New Roman" w:hAnsi="Times New Roman" w:cs="Times New Roman"/>
          <w:iCs/>
          <w:sz w:val="24"/>
          <w:szCs w:val="24"/>
          <w:shd w:val="clear" w:color="auto" w:fill="FFFFFF"/>
          <w:lang w:eastAsia="ru-RU"/>
        </w:rPr>
        <w:t>utilizarea regulatoarelor automate</w:t>
      </w:r>
      <w:r w:rsidR="006364B2" w:rsidRPr="00125FAF">
        <w:rPr>
          <w:rFonts w:ascii="Times New Roman" w:eastAsia="Times New Roman" w:hAnsi="Times New Roman" w:cs="Times New Roman"/>
          <w:iCs/>
          <w:color w:val="000000"/>
          <w:sz w:val="24"/>
          <w:szCs w:val="24"/>
          <w:shd w:val="clear" w:color="auto" w:fill="FFFFFF"/>
          <w:lang w:eastAsia="ru-RU"/>
        </w:rPr>
        <w:t xml:space="preserve"> de temperatură în încăperi, inclusiv modul zi/noapte;</w:t>
      </w:r>
      <w:r w:rsidR="004246A5" w:rsidRPr="00125FAF">
        <w:rPr>
          <w:rFonts w:ascii="Times New Roman" w:eastAsia="Times New Roman" w:hAnsi="Times New Roman" w:cs="Times New Roman"/>
          <w:iCs/>
          <w:color w:val="000000"/>
          <w:sz w:val="24"/>
          <w:szCs w:val="24"/>
          <w:shd w:val="clear" w:color="auto" w:fill="FFFFFF"/>
          <w:lang w:eastAsia="ru-RU"/>
        </w:rPr>
        <w:t xml:space="preserve"> </w:t>
      </w:r>
      <w:r w:rsidR="006364B2" w:rsidRPr="00125FAF">
        <w:rPr>
          <w:rFonts w:ascii="Times New Roman" w:eastAsia="Times New Roman" w:hAnsi="Times New Roman" w:cs="Times New Roman"/>
          <w:iCs/>
          <w:color w:val="000000"/>
          <w:sz w:val="24"/>
          <w:szCs w:val="24"/>
          <w:shd w:val="clear" w:color="auto" w:fill="FFFFFF"/>
          <w:lang w:eastAsia="ru-RU"/>
        </w:rPr>
        <w:t>înlocuirea sistemelor de iluminare a becurilor incandescente cu becuri energetic eficiente;</w:t>
      </w:r>
      <w:r w:rsidR="008F1D2F" w:rsidRPr="00125FAF">
        <w:rPr>
          <w:rFonts w:ascii="Times New Roman" w:eastAsia="Times New Roman" w:hAnsi="Times New Roman" w:cs="Times New Roman"/>
          <w:iCs/>
          <w:color w:val="000000"/>
          <w:sz w:val="24"/>
          <w:szCs w:val="24"/>
          <w:shd w:val="clear" w:color="auto" w:fill="FFFFFF"/>
          <w:lang w:eastAsia="ru-RU"/>
        </w:rPr>
        <w:t xml:space="preserve"> </w:t>
      </w:r>
      <w:r w:rsidR="006364B2" w:rsidRPr="00125FAF">
        <w:rPr>
          <w:rFonts w:ascii="Times New Roman" w:eastAsia="Times New Roman" w:hAnsi="Times New Roman" w:cs="Times New Roman"/>
          <w:bCs/>
          <w:iCs/>
          <w:sz w:val="24"/>
          <w:szCs w:val="24"/>
          <w:lang w:eastAsia="ru-RU"/>
        </w:rPr>
        <w:t xml:space="preserve">instalarea punctelor termice individuale pentru blocurile </w:t>
      </w:r>
      <w:proofErr w:type="spellStart"/>
      <w:r w:rsidR="006364B2" w:rsidRPr="00125FAF">
        <w:rPr>
          <w:rFonts w:ascii="Times New Roman" w:eastAsia="Times New Roman" w:hAnsi="Times New Roman" w:cs="Times New Roman"/>
          <w:bCs/>
          <w:iCs/>
          <w:sz w:val="24"/>
          <w:szCs w:val="24"/>
          <w:lang w:eastAsia="ru-RU"/>
        </w:rPr>
        <w:t>rezidenţiale</w:t>
      </w:r>
      <w:proofErr w:type="spellEnd"/>
      <w:r w:rsidR="006364B2" w:rsidRPr="00125FAF">
        <w:rPr>
          <w:rFonts w:ascii="Times New Roman" w:eastAsia="Times New Roman" w:hAnsi="Times New Roman" w:cs="Times New Roman"/>
          <w:bCs/>
          <w:iCs/>
          <w:sz w:val="24"/>
          <w:szCs w:val="24"/>
          <w:lang w:eastAsia="ru-RU"/>
        </w:rPr>
        <w:t>;</w:t>
      </w:r>
      <w:r w:rsidR="008F1D2F" w:rsidRPr="00125FAF">
        <w:rPr>
          <w:rFonts w:ascii="Times New Roman" w:eastAsia="Times New Roman" w:hAnsi="Times New Roman" w:cs="Times New Roman"/>
          <w:bCs/>
          <w:iCs/>
          <w:sz w:val="24"/>
          <w:szCs w:val="24"/>
          <w:lang w:eastAsia="ru-RU"/>
        </w:rPr>
        <w:t xml:space="preserve"> </w:t>
      </w:r>
      <w:r w:rsidR="006364B2" w:rsidRPr="00125FAF">
        <w:rPr>
          <w:rFonts w:ascii="Times New Roman" w:eastAsia="Times New Roman" w:hAnsi="Times New Roman" w:cs="Times New Roman"/>
          <w:bCs/>
          <w:iCs/>
          <w:sz w:val="24"/>
          <w:szCs w:val="24"/>
          <w:lang w:eastAsia="ru-RU"/>
        </w:rPr>
        <w:t xml:space="preserve">implementarea conceptului de </w:t>
      </w:r>
      <w:proofErr w:type="spellStart"/>
      <w:r w:rsidR="006364B2" w:rsidRPr="00125FAF">
        <w:rPr>
          <w:rFonts w:ascii="Times New Roman" w:eastAsia="Times New Roman" w:hAnsi="Times New Roman" w:cs="Times New Roman"/>
          <w:bCs/>
          <w:iCs/>
          <w:sz w:val="24"/>
          <w:szCs w:val="24"/>
          <w:lang w:eastAsia="ru-RU"/>
        </w:rPr>
        <w:t>distribuţie</w:t>
      </w:r>
      <w:proofErr w:type="spellEnd"/>
      <w:r w:rsidR="006364B2" w:rsidRPr="00125FAF">
        <w:rPr>
          <w:rFonts w:ascii="Times New Roman" w:eastAsia="Times New Roman" w:hAnsi="Times New Roman" w:cs="Times New Roman"/>
          <w:bCs/>
          <w:iCs/>
          <w:sz w:val="24"/>
          <w:szCs w:val="24"/>
          <w:lang w:eastAsia="ru-RU"/>
        </w:rPr>
        <w:t xml:space="preserve"> pe orizontală a agentului termic;</w:t>
      </w:r>
      <w:r w:rsidR="008F1D2F" w:rsidRPr="00125FAF">
        <w:rPr>
          <w:rFonts w:ascii="Times New Roman" w:eastAsia="Times New Roman" w:hAnsi="Times New Roman" w:cs="Times New Roman"/>
          <w:bCs/>
          <w:iCs/>
          <w:sz w:val="24"/>
          <w:szCs w:val="24"/>
          <w:lang w:eastAsia="ru-RU"/>
        </w:rPr>
        <w:t xml:space="preserve"> </w:t>
      </w:r>
      <w:r w:rsidR="006364B2" w:rsidRPr="00125FAF">
        <w:rPr>
          <w:rFonts w:ascii="Times New Roman" w:eastAsia="Times New Roman" w:hAnsi="Times New Roman" w:cs="Times New Roman"/>
          <w:bCs/>
          <w:iCs/>
          <w:sz w:val="24"/>
          <w:szCs w:val="24"/>
          <w:lang w:eastAsia="ru-RU"/>
        </w:rPr>
        <w:t>implementarea sistemului de ventilare cu recuperare a c</w:t>
      </w:r>
      <w:r w:rsidR="008F1D2F" w:rsidRPr="00125FAF">
        <w:rPr>
          <w:rFonts w:ascii="Times New Roman" w:eastAsia="Times New Roman" w:hAnsi="Times New Roman" w:cs="Times New Roman"/>
          <w:bCs/>
          <w:iCs/>
          <w:sz w:val="24"/>
          <w:szCs w:val="24"/>
          <w:lang w:eastAsia="ru-RU"/>
        </w:rPr>
        <w:t>ăldurii</w:t>
      </w:r>
      <w:r w:rsidR="00BA3738" w:rsidRPr="00125FAF">
        <w:rPr>
          <w:rFonts w:ascii="Times New Roman" w:eastAsia="Times New Roman" w:hAnsi="Times New Roman" w:cs="Times New Roman"/>
          <w:bCs/>
          <w:iCs/>
          <w:sz w:val="24"/>
          <w:szCs w:val="24"/>
          <w:lang w:eastAsia="ru-RU"/>
        </w:rPr>
        <w:t>;</w:t>
      </w:r>
    </w:p>
    <w:p w14:paraId="75B4414F" w14:textId="4ED638F7" w:rsidR="006364B2" w:rsidRPr="00125FAF" w:rsidRDefault="008F1D2F" w:rsidP="001F2F2D">
      <w:pPr>
        <w:spacing w:after="120" w:line="240" w:lineRule="auto"/>
        <w:ind w:firstLine="720"/>
        <w:jc w:val="both"/>
        <w:rPr>
          <w:rFonts w:ascii="Times New Roman" w:eastAsia="Times New Roman" w:hAnsi="Times New Roman" w:cs="Times New Roman"/>
          <w:iCs/>
          <w:color w:val="000000"/>
          <w:sz w:val="24"/>
          <w:szCs w:val="24"/>
          <w:shd w:val="clear" w:color="auto" w:fill="FFFFFF"/>
          <w:lang w:eastAsia="ru-RU"/>
        </w:rPr>
      </w:pPr>
      <w:r w:rsidRPr="00125FAF">
        <w:rPr>
          <w:rFonts w:ascii="Times New Roman" w:eastAsia="Times New Roman" w:hAnsi="Times New Roman" w:cs="Times New Roman"/>
          <w:iCs/>
          <w:color w:val="000000"/>
          <w:sz w:val="24"/>
          <w:szCs w:val="24"/>
          <w:shd w:val="clear" w:color="auto" w:fill="FFFFFF"/>
          <w:lang w:eastAsia="ru-RU"/>
        </w:rPr>
        <w:t xml:space="preserve">c) </w:t>
      </w:r>
      <w:r w:rsidR="006364B2" w:rsidRPr="00125FAF">
        <w:rPr>
          <w:rFonts w:ascii="Times New Roman" w:eastAsia="Times New Roman" w:hAnsi="Times New Roman" w:cs="Times New Roman"/>
          <w:iCs/>
          <w:color w:val="000000"/>
          <w:sz w:val="24"/>
          <w:szCs w:val="24"/>
          <w:shd w:val="clear" w:color="auto" w:fill="FFFFFF"/>
          <w:lang w:eastAsia="ru-RU"/>
        </w:rPr>
        <w:t xml:space="preserve">promovarea </w:t>
      </w:r>
      <w:r w:rsidRPr="00125FAF">
        <w:rPr>
          <w:rFonts w:ascii="Times New Roman" w:eastAsia="Times New Roman" w:hAnsi="Times New Roman" w:cs="Times New Roman"/>
          <w:iCs/>
          <w:color w:val="000000"/>
          <w:sz w:val="24"/>
          <w:szCs w:val="24"/>
          <w:shd w:val="clear" w:color="auto" w:fill="FFFFFF"/>
          <w:lang w:eastAsia="ru-RU"/>
        </w:rPr>
        <w:t xml:space="preserve">surselor regenerabile de energie </w:t>
      </w:r>
      <w:r w:rsidR="006364B2" w:rsidRPr="00125FAF">
        <w:rPr>
          <w:rFonts w:ascii="Times New Roman" w:eastAsia="Times New Roman" w:hAnsi="Times New Roman" w:cs="Times New Roman"/>
          <w:iCs/>
          <w:color w:val="000000"/>
          <w:sz w:val="24"/>
          <w:szCs w:val="24"/>
          <w:shd w:val="clear" w:color="auto" w:fill="FFFFFF"/>
          <w:lang w:eastAsia="ru-RU"/>
        </w:rPr>
        <w:t>la scară mică, precum:</w:t>
      </w:r>
      <w:r w:rsidRPr="00125FAF">
        <w:rPr>
          <w:rFonts w:ascii="Times New Roman" w:eastAsia="Times New Roman" w:hAnsi="Times New Roman" w:cs="Times New Roman"/>
          <w:iCs/>
          <w:color w:val="000000"/>
          <w:sz w:val="24"/>
          <w:szCs w:val="24"/>
          <w:shd w:val="clear" w:color="auto" w:fill="FFFFFF"/>
          <w:lang w:eastAsia="ru-RU"/>
        </w:rPr>
        <w:t xml:space="preserve"> </w:t>
      </w:r>
      <w:proofErr w:type="spellStart"/>
      <w:r w:rsidR="006364B2" w:rsidRPr="00125FAF">
        <w:rPr>
          <w:rFonts w:ascii="Times New Roman" w:eastAsia="Times New Roman" w:hAnsi="Times New Roman" w:cs="Times New Roman"/>
          <w:iCs/>
          <w:color w:val="000000"/>
          <w:sz w:val="24"/>
          <w:szCs w:val="24"/>
          <w:shd w:val="clear" w:color="auto" w:fill="FFFFFF"/>
          <w:lang w:eastAsia="ru-RU"/>
        </w:rPr>
        <w:t>instalaţiil</w:t>
      </w:r>
      <w:r w:rsidRPr="00125FAF">
        <w:rPr>
          <w:rFonts w:ascii="Times New Roman" w:eastAsia="Times New Roman" w:hAnsi="Times New Roman" w:cs="Times New Roman"/>
          <w:iCs/>
          <w:color w:val="000000"/>
          <w:sz w:val="24"/>
          <w:szCs w:val="24"/>
          <w:shd w:val="clear" w:color="auto" w:fill="FFFFFF"/>
          <w:lang w:eastAsia="ru-RU"/>
        </w:rPr>
        <w:t>or</w:t>
      </w:r>
      <w:proofErr w:type="spellEnd"/>
      <w:r w:rsidR="006364B2" w:rsidRPr="00125FAF">
        <w:rPr>
          <w:rFonts w:ascii="Times New Roman" w:eastAsia="Times New Roman" w:hAnsi="Times New Roman" w:cs="Times New Roman"/>
          <w:iCs/>
          <w:color w:val="000000"/>
          <w:sz w:val="24"/>
          <w:szCs w:val="24"/>
          <w:shd w:val="clear" w:color="auto" w:fill="FFFFFF"/>
          <w:lang w:eastAsia="ru-RU"/>
        </w:rPr>
        <w:t xml:space="preserve"> solare pentru producerea apei calde menajere;</w:t>
      </w:r>
      <w:r w:rsidRPr="00125FAF">
        <w:rPr>
          <w:rFonts w:ascii="Times New Roman" w:eastAsia="Times New Roman" w:hAnsi="Times New Roman" w:cs="Times New Roman"/>
          <w:iCs/>
          <w:color w:val="000000"/>
          <w:sz w:val="24"/>
          <w:szCs w:val="24"/>
          <w:shd w:val="clear" w:color="auto" w:fill="FFFFFF"/>
          <w:lang w:eastAsia="ru-RU"/>
        </w:rPr>
        <w:t xml:space="preserve"> </w:t>
      </w:r>
      <w:proofErr w:type="spellStart"/>
      <w:r w:rsidR="006364B2" w:rsidRPr="00125FAF">
        <w:rPr>
          <w:rFonts w:ascii="Times New Roman" w:eastAsia="Times New Roman" w:hAnsi="Times New Roman" w:cs="Times New Roman"/>
          <w:iCs/>
          <w:color w:val="000000"/>
          <w:sz w:val="24"/>
          <w:szCs w:val="24"/>
          <w:shd w:val="clear" w:color="auto" w:fill="FFFFFF"/>
          <w:lang w:eastAsia="ru-RU"/>
        </w:rPr>
        <w:t>instalaţiil</w:t>
      </w:r>
      <w:r w:rsidRPr="00125FAF">
        <w:rPr>
          <w:rFonts w:ascii="Times New Roman" w:eastAsia="Times New Roman" w:hAnsi="Times New Roman" w:cs="Times New Roman"/>
          <w:iCs/>
          <w:color w:val="000000"/>
          <w:sz w:val="24"/>
          <w:szCs w:val="24"/>
          <w:shd w:val="clear" w:color="auto" w:fill="FFFFFF"/>
          <w:lang w:eastAsia="ru-RU"/>
        </w:rPr>
        <w:t>or</w:t>
      </w:r>
      <w:proofErr w:type="spellEnd"/>
      <w:r w:rsidR="006364B2" w:rsidRPr="00125FAF">
        <w:rPr>
          <w:rFonts w:ascii="Times New Roman" w:eastAsia="Times New Roman" w:hAnsi="Times New Roman" w:cs="Times New Roman"/>
          <w:iCs/>
          <w:color w:val="000000"/>
          <w:sz w:val="24"/>
          <w:szCs w:val="24"/>
          <w:shd w:val="clear" w:color="auto" w:fill="FFFFFF"/>
          <w:lang w:eastAsia="ru-RU"/>
        </w:rPr>
        <w:t xml:space="preserve"> fotovoltaice conectate la </w:t>
      </w:r>
      <w:proofErr w:type="spellStart"/>
      <w:r w:rsidR="006364B2" w:rsidRPr="00125FAF">
        <w:rPr>
          <w:rFonts w:ascii="Times New Roman" w:eastAsia="Times New Roman" w:hAnsi="Times New Roman" w:cs="Times New Roman"/>
          <w:iCs/>
          <w:color w:val="000000"/>
          <w:sz w:val="24"/>
          <w:szCs w:val="24"/>
          <w:shd w:val="clear" w:color="auto" w:fill="FFFFFF"/>
          <w:lang w:eastAsia="ru-RU"/>
        </w:rPr>
        <w:t>reţea</w:t>
      </w:r>
      <w:proofErr w:type="spellEnd"/>
      <w:r w:rsidR="006364B2" w:rsidRPr="00125FAF">
        <w:rPr>
          <w:rFonts w:ascii="Times New Roman" w:eastAsia="Times New Roman" w:hAnsi="Times New Roman" w:cs="Times New Roman"/>
          <w:iCs/>
          <w:color w:val="000000"/>
          <w:sz w:val="24"/>
          <w:szCs w:val="24"/>
          <w:shd w:val="clear" w:color="auto" w:fill="FFFFFF"/>
          <w:lang w:eastAsia="ru-RU"/>
        </w:rPr>
        <w:t xml:space="preserve"> pentru producerea energiei electrice de curent continuu; pompel</w:t>
      </w:r>
      <w:r w:rsidRPr="00125FAF">
        <w:rPr>
          <w:rFonts w:ascii="Times New Roman" w:eastAsia="Times New Roman" w:hAnsi="Times New Roman" w:cs="Times New Roman"/>
          <w:iCs/>
          <w:color w:val="000000"/>
          <w:sz w:val="24"/>
          <w:szCs w:val="24"/>
          <w:shd w:val="clear" w:color="auto" w:fill="FFFFFF"/>
          <w:lang w:eastAsia="ru-RU"/>
        </w:rPr>
        <w:t>or</w:t>
      </w:r>
      <w:r w:rsidR="006364B2" w:rsidRPr="00125FAF">
        <w:rPr>
          <w:rFonts w:ascii="Times New Roman" w:eastAsia="Times New Roman" w:hAnsi="Times New Roman" w:cs="Times New Roman"/>
          <w:iCs/>
          <w:color w:val="000000"/>
          <w:sz w:val="24"/>
          <w:szCs w:val="24"/>
          <w:shd w:val="clear" w:color="auto" w:fill="FFFFFF"/>
          <w:lang w:eastAsia="ru-RU"/>
        </w:rPr>
        <w:t xml:space="preserve"> de căldură de capacitate mică, medie </w:t>
      </w:r>
      <w:proofErr w:type="spellStart"/>
      <w:r w:rsidR="006364B2" w:rsidRPr="00125FAF">
        <w:rPr>
          <w:rFonts w:ascii="Times New Roman" w:eastAsia="Times New Roman" w:hAnsi="Times New Roman" w:cs="Times New Roman"/>
          <w:iCs/>
          <w:color w:val="000000"/>
          <w:sz w:val="24"/>
          <w:szCs w:val="24"/>
          <w:shd w:val="clear" w:color="auto" w:fill="FFFFFF"/>
          <w:lang w:eastAsia="ru-RU"/>
        </w:rPr>
        <w:t>şi</w:t>
      </w:r>
      <w:proofErr w:type="spellEnd"/>
      <w:r w:rsidR="006364B2" w:rsidRPr="00125FAF">
        <w:rPr>
          <w:rFonts w:ascii="Times New Roman" w:eastAsia="Times New Roman" w:hAnsi="Times New Roman" w:cs="Times New Roman"/>
          <w:iCs/>
          <w:color w:val="000000"/>
          <w:sz w:val="24"/>
          <w:szCs w:val="24"/>
          <w:shd w:val="clear" w:color="auto" w:fill="FFFFFF"/>
          <w:lang w:eastAsia="ru-RU"/>
        </w:rPr>
        <w:t xml:space="preserve"> mare</w:t>
      </w:r>
      <w:r w:rsidR="00BA3738" w:rsidRPr="00125FAF">
        <w:rPr>
          <w:rFonts w:ascii="Times New Roman" w:eastAsia="Times New Roman" w:hAnsi="Times New Roman" w:cs="Times New Roman"/>
          <w:iCs/>
          <w:color w:val="000000"/>
          <w:sz w:val="24"/>
          <w:szCs w:val="24"/>
          <w:shd w:val="clear" w:color="auto" w:fill="FFFFFF"/>
          <w:lang w:eastAsia="ru-RU"/>
        </w:rPr>
        <w:t xml:space="preserve">; </w:t>
      </w:r>
      <w:r w:rsidR="009861AB" w:rsidRPr="00125FAF">
        <w:rPr>
          <w:rFonts w:ascii="Times New Roman" w:eastAsia="Times New Roman" w:hAnsi="Times New Roman" w:cs="Times New Roman"/>
          <w:iCs/>
          <w:color w:val="000000"/>
          <w:sz w:val="24"/>
          <w:szCs w:val="24"/>
          <w:shd w:val="clear" w:color="auto" w:fill="FFFFFF"/>
          <w:lang w:eastAsia="ru-RU"/>
        </w:rPr>
        <w:t>cazanelor pe biomasă pentru producerea energiei termice</w:t>
      </w:r>
      <w:r w:rsidR="009D15FB" w:rsidRPr="00125FAF">
        <w:rPr>
          <w:rFonts w:ascii="Times New Roman" w:eastAsia="Times New Roman" w:hAnsi="Times New Roman" w:cs="Times New Roman"/>
          <w:iCs/>
          <w:color w:val="000000"/>
          <w:sz w:val="24"/>
          <w:szCs w:val="24"/>
          <w:shd w:val="clear" w:color="auto" w:fill="FFFFFF"/>
          <w:lang w:eastAsia="ru-RU"/>
        </w:rPr>
        <w:t>.</w:t>
      </w:r>
    </w:p>
    <w:p w14:paraId="6EF3632D" w14:textId="64F6F359" w:rsidR="006364B2" w:rsidRPr="00125FAF" w:rsidRDefault="006364B2" w:rsidP="001F2F2D">
      <w:pPr>
        <w:spacing w:after="120" w:line="240" w:lineRule="auto"/>
        <w:ind w:firstLine="720"/>
        <w:jc w:val="both"/>
        <w:rPr>
          <w:rFonts w:ascii="Times New Roman" w:eastAsia="Times New Roman" w:hAnsi="Times New Roman" w:cs="Times New Roman"/>
          <w:iCs/>
          <w:color w:val="000000"/>
          <w:sz w:val="24"/>
          <w:szCs w:val="24"/>
          <w:shd w:val="clear" w:color="auto" w:fill="FFFFFF"/>
          <w:lang w:eastAsia="ru-RU"/>
        </w:rPr>
      </w:pPr>
      <w:r w:rsidRPr="00125FAF">
        <w:rPr>
          <w:rFonts w:ascii="Times New Roman" w:eastAsia="Times New Roman" w:hAnsi="Times New Roman" w:cs="Times New Roman"/>
          <w:b/>
          <w:iCs/>
          <w:color w:val="000000"/>
          <w:sz w:val="24"/>
          <w:szCs w:val="24"/>
          <w:shd w:val="clear" w:color="auto" w:fill="FFFFFF"/>
          <w:lang w:eastAsia="ru-RU"/>
        </w:rPr>
        <w:t>Indicatori</w:t>
      </w:r>
      <w:r w:rsidR="00C074BC" w:rsidRPr="00125FAF">
        <w:rPr>
          <w:rFonts w:ascii="Times New Roman" w:eastAsia="Times New Roman" w:hAnsi="Times New Roman" w:cs="Times New Roman"/>
          <w:b/>
          <w:iCs/>
          <w:color w:val="000000"/>
          <w:sz w:val="24"/>
          <w:szCs w:val="24"/>
          <w:shd w:val="clear" w:color="auto" w:fill="FFFFFF"/>
          <w:lang w:eastAsia="ru-RU"/>
        </w:rPr>
        <w:t>i</w:t>
      </w:r>
      <w:r w:rsidRPr="00125FAF">
        <w:rPr>
          <w:rFonts w:ascii="Times New Roman" w:eastAsia="Times New Roman" w:hAnsi="Times New Roman" w:cs="Times New Roman"/>
          <w:b/>
          <w:iCs/>
          <w:color w:val="000000"/>
          <w:sz w:val="24"/>
          <w:szCs w:val="24"/>
          <w:shd w:val="clear" w:color="auto" w:fill="FFFFFF"/>
          <w:lang w:eastAsia="ru-RU"/>
        </w:rPr>
        <w:t xml:space="preserve"> de progres</w:t>
      </w:r>
      <w:r w:rsidR="00B614FB" w:rsidRPr="00125FAF">
        <w:rPr>
          <w:rFonts w:ascii="Times New Roman" w:eastAsia="Times New Roman" w:hAnsi="Times New Roman" w:cs="Times New Roman"/>
          <w:b/>
          <w:iCs/>
          <w:color w:val="000000"/>
          <w:sz w:val="24"/>
          <w:szCs w:val="24"/>
          <w:shd w:val="clear" w:color="auto" w:fill="FFFFFF"/>
          <w:lang w:eastAsia="ru-RU"/>
        </w:rPr>
        <w:t xml:space="preserve"> </w:t>
      </w:r>
      <w:r w:rsidR="00B614FB" w:rsidRPr="00125FAF">
        <w:rPr>
          <w:rFonts w:ascii="Times New Roman" w:eastAsia="Times New Roman" w:hAnsi="Times New Roman" w:cs="Times New Roman"/>
          <w:iCs/>
          <w:color w:val="000000"/>
          <w:sz w:val="24"/>
          <w:szCs w:val="24"/>
          <w:shd w:val="clear" w:color="auto" w:fill="FFFFFF"/>
          <w:lang w:eastAsia="ru-RU"/>
        </w:rPr>
        <w:t xml:space="preserve">corespund cu </w:t>
      </w:r>
      <w:proofErr w:type="spellStart"/>
      <w:r w:rsidR="00B614FB" w:rsidRPr="00125FAF">
        <w:rPr>
          <w:rFonts w:ascii="Times New Roman" w:eastAsia="Times New Roman" w:hAnsi="Times New Roman" w:cs="Times New Roman"/>
          <w:iCs/>
          <w:color w:val="000000"/>
          <w:sz w:val="24"/>
          <w:szCs w:val="24"/>
          <w:shd w:val="clear" w:color="auto" w:fill="FFFFFF"/>
          <w:lang w:eastAsia="ru-RU"/>
        </w:rPr>
        <w:t>ţintele</w:t>
      </w:r>
      <w:proofErr w:type="spellEnd"/>
      <w:r w:rsidR="00B614FB" w:rsidRPr="00125FAF">
        <w:rPr>
          <w:rFonts w:ascii="Times New Roman" w:eastAsia="Times New Roman" w:hAnsi="Times New Roman" w:cs="Times New Roman"/>
          <w:iCs/>
          <w:color w:val="000000"/>
          <w:sz w:val="24"/>
          <w:szCs w:val="24"/>
          <w:shd w:val="clear" w:color="auto" w:fill="FFFFFF"/>
          <w:lang w:eastAsia="ru-RU"/>
        </w:rPr>
        <w:t xml:space="preserve"> de reducere a emisiilor de GES către anul 2025 </w:t>
      </w:r>
      <w:proofErr w:type="spellStart"/>
      <w:r w:rsidR="00B614FB" w:rsidRPr="00125FAF">
        <w:rPr>
          <w:rFonts w:ascii="Times New Roman" w:eastAsia="Times New Roman" w:hAnsi="Times New Roman" w:cs="Times New Roman"/>
          <w:iCs/>
          <w:color w:val="000000"/>
          <w:sz w:val="24"/>
          <w:szCs w:val="24"/>
          <w:shd w:val="clear" w:color="auto" w:fill="FFFFFF"/>
          <w:lang w:eastAsia="ru-RU"/>
        </w:rPr>
        <w:t>şi</w:t>
      </w:r>
      <w:proofErr w:type="spellEnd"/>
      <w:r w:rsidR="00B614FB" w:rsidRPr="00125FAF">
        <w:rPr>
          <w:rFonts w:ascii="Times New Roman" w:eastAsia="Times New Roman" w:hAnsi="Times New Roman" w:cs="Times New Roman"/>
          <w:iCs/>
          <w:color w:val="000000"/>
          <w:sz w:val="24"/>
          <w:szCs w:val="24"/>
          <w:shd w:val="clear" w:color="auto" w:fill="FFFFFF"/>
          <w:lang w:eastAsia="ru-RU"/>
        </w:rPr>
        <w:t xml:space="preserve"> 2030 </w:t>
      </w:r>
      <w:proofErr w:type="spellStart"/>
      <w:r w:rsidR="00B614FB" w:rsidRPr="00125FAF">
        <w:rPr>
          <w:rFonts w:ascii="Times New Roman" w:eastAsia="Times New Roman" w:hAnsi="Times New Roman" w:cs="Times New Roman"/>
          <w:iCs/>
          <w:color w:val="000000"/>
          <w:sz w:val="24"/>
          <w:szCs w:val="24"/>
          <w:shd w:val="clear" w:color="auto" w:fill="FFFFFF"/>
          <w:lang w:eastAsia="ru-RU"/>
        </w:rPr>
        <w:t>faţă</w:t>
      </w:r>
      <w:proofErr w:type="spellEnd"/>
      <w:r w:rsidR="00B614FB" w:rsidRPr="00125FAF">
        <w:rPr>
          <w:rFonts w:ascii="Times New Roman" w:eastAsia="Times New Roman" w:hAnsi="Times New Roman" w:cs="Times New Roman"/>
          <w:iCs/>
          <w:color w:val="000000"/>
          <w:sz w:val="24"/>
          <w:szCs w:val="24"/>
          <w:shd w:val="clear" w:color="auto" w:fill="FFFFFF"/>
          <w:lang w:eastAsia="ru-RU"/>
        </w:rPr>
        <w:t xml:space="preserve"> de anul 1990 expuse în Tabelul</w:t>
      </w:r>
      <w:r w:rsidR="00CE464D">
        <w:rPr>
          <w:rFonts w:ascii="Times New Roman" w:eastAsia="Times New Roman" w:hAnsi="Times New Roman" w:cs="Times New Roman"/>
          <w:iCs/>
          <w:color w:val="000000"/>
          <w:sz w:val="24"/>
          <w:szCs w:val="24"/>
          <w:shd w:val="clear" w:color="auto" w:fill="FFFFFF"/>
          <w:lang w:eastAsia="ru-RU"/>
        </w:rPr>
        <w:t>4</w:t>
      </w:r>
      <w:r w:rsidR="00B614FB" w:rsidRPr="00125FAF">
        <w:rPr>
          <w:rFonts w:ascii="Times New Roman" w:eastAsia="Times New Roman" w:hAnsi="Times New Roman" w:cs="Times New Roman"/>
          <w:iCs/>
          <w:color w:val="000000"/>
          <w:sz w:val="24"/>
          <w:szCs w:val="24"/>
          <w:shd w:val="clear" w:color="auto" w:fill="FFFFFF"/>
          <w:lang w:eastAsia="ru-RU"/>
        </w:rPr>
        <w:t>.2 pentru sectorul clădiri.</w:t>
      </w:r>
    </w:p>
    <w:p w14:paraId="05C3A13D" w14:textId="42A37B37" w:rsidR="006364B2" w:rsidRPr="00125FAF" w:rsidRDefault="006364B2" w:rsidP="006364B2">
      <w:pPr>
        <w:spacing w:after="0" w:line="240" w:lineRule="auto"/>
        <w:ind w:firstLine="720"/>
        <w:jc w:val="both"/>
        <w:rPr>
          <w:rFonts w:ascii="Times New Roman" w:eastAsia="Times New Roman" w:hAnsi="Times New Roman" w:cs="Times New Roman"/>
          <w:iCs/>
          <w:sz w:val="24"/>
          <w:szCs w:val="24"/>
          <w:lang w:eastAsia="ru-RU"/>
        </w:rPr>
      </w:pPr>
      <w:r w:rsidRPr="00125FAF">
        <w:rPr>
          <w:rFonts w:ascii="Times New Roman" w:eastAsia="Times New Roman" w:hAnsi="Times New Roman" w:cs="Times New Roman"/>
          <w:iCs/>
          <w:color w:val="000000"/>
          <w:sz w:val="24"/>
          <w:szCs w:val="24"/>
          <w:shd w:val="clear" w:color="auto" w:fill="FFFFFF"/>
          <w:lang w:eastAsia="ru-RU"/>
        </w:rPr>
        <w:t>3</w:t>
      </w:r>
      <w:r w:rsidR="007909C8" w:rsidRPr="00125FAF">
        <w:rPr>
          <w:rFonts w:ascii="Times New Roman" w:eastAsia="Times New Roman" w:hAnsi="Times New Roman" w:cs="Times New Roman"/>
          <w:iCs/>
          <w:color w:val="000000"/>
          <w:sz w:val="24"/>
          <w:szCs w:val="24"/>
          <w:shd w:val="clear" w:color="auto" w:fill="FFFFFF"/>
          <w:lang w:eastAsia="ru-RU"/>
        </w:rPr>
        <w:t>8</w:t>
      </w:r>
      <w:r w:rsidRPr="00125FAF">
        <w:rPr>
          <w:rFonts w:ascii="Times New Roman" w:eastAsia="Times New Roman" w:hAnsi="Times New Roman" w:cs="Times New Roman"/>
          <w:b/>
          <w:bCs/>
          <w:iCs/>
          <w:color w:val="000000"/>
          <w:sz w:val="24"/>
          <w:szCs w:val="24"/>
          <w:shd w:val="clear" w:color="auto" w:fill="FFFFFF"/>
          <w:lang w:eastAsia="ru-RU"/>
        </w:rPr>
        <w:t xml:space="preserve">. </w:t>
      </w:r>
      <w:proofErr w:type="spellStart"/>
      <w:r w:rsidR="004578CD" w:rsidRPr="00125FAF">
        <w:rPr>
          <w:rFonts w:ascii="Times New Roman" w:eastAsia="Times New Roman" w:hAnsi="Times New Roman" w:cs="Times New Roman"/>
          <w:bCs/>
          <w:iCs/>
          <w:color w:val="000000"/>
          <w:sz w:val="24"/>
          <w:szCs w:val="24"/>
          <w:shd w:val="clear" w:color="auto" w:fill="FFFFFF"/>
          <w:lang w:eastAsia="ru-RU"/>
        </w:rPr>
        <w:t>Acţiunile</w:t>
      </w:r>
      <w:proofErr w:type="spellEnd"/>
      <w:r w:rsidR="004578CD" w:rsidRPr="00125FAF">
        <w:rPr>
          <w:rFonts w:ascii="Times New Roman" w:eastAsia="Times New Roman" w:hAnsi="Times New Roman" w:cs="Times New Roman"/>
          <w:bCs/>
          <w:iCs/>
          <w:color w:val="000000"/>
          <w:sz w:val="24"/>
          <w:szCs w:val="24"/>
          <w:shd w:val="clear" w:color="auto" w:fill="FFFFFF"/>
          <w:lang w:eastAsia="ru-RU"/>
        </w:rPr>
        <w:t xml:space="preserve"> prioritare de atenuare a emisiilor de GES în </w:t>
      </w:r>
      <w:r w:rsidR="004578CD" w:rsidRPr="00125FAF">
        <w:rPr>
          <w:rFonts w:ascii="Times New Roman" w:eastAsia="Times New Roman" w:hAnsi="Times New Roman" w:cs="Times New Roman"/>
          <w:b/>
          <w:bCs/>
          <w:iCs/>
          <w:color w:val="000000"/>
          <w:sz w:val="24"/>
          <w:szCs w:val="24"/>
          <w:shd w:val="clear" w:color="auto" w:fill="FFFFFF"/>
          <w:lang w:eastAsia="ru-RU"/>
        </w:rPr>
        <w:t>sectorul industrial</w:t>
      </w:r>
      <w:r w:rsidR="004578CD" w:rsidRPr="00125FAF">
        <w:rPr>
          <w:rFonts w:ascii="Times New Roman" w:eastAsia="Times New Roman" w:hAnsi="Times New Roman" w:cs="Times New Roman"/>
          <w:bCs/>
          <w:iCs/>
          <w:color w:val="000000"/>
          <w:sz w:val="24"/>
          <w:szCs w:val="24"/>
          <w:shd w:val="clear" w:color="auto" w:fill="FFFFFF"/>
          <w:lang w:eastAsia="ru-RU"/>
        </w:rPr>
        <w:t xml:space="preserve"> constau în</w:t>
      </w:r>
      <w:r w:rsidR="004578CD" w:rsidRPr="00125FAF">
        <w:rPr>
          <w:rFonts w:ascii="Times New Roman" w:eastAsia="Times New Roman" w:hAnsi="Times New Roman" w:cs="Times New Roman"/>
          <w:iCs/>
          <w:color w:val="000000"/>
          <w:sz w:val="24"/>
          <w:szCs w:val="24"/>
          <w:shd w:val="clear" w:color="auto" w:fill="FFFFFF"/>
          <w:lang w:eastAsia="ru-RU"/>
        </w:rPr>
        <w:t>:</w:t>
      </w:r>
    </w:p>
    <w:p w14:paraId="3D0D4BB8" w14:textId="77777777" w:rsidR="004578CD" w:rsidRPr="00125FAF" w:rsidRDefault="004578CD" w:rsidP="006364B2">
      <w:pPr>
        <w:spacing w:after="0" w:line="240" w:lineRule="auto"/>
        <w:ind w:firstLine="720"/>
        <w:jc w:val="both"/>
        <w:rPr>
          <w:rFonts w:ascii="Times New Roman" w:eastAsia="Times New Roman" w:hAnsi="Times New Roman" w:cs="Times New Roman"/>
          <w:iCs/>
          <w:color w:val="000000"/>
          <w:sz w:val="24"/>
          <w:szCs w:val="24"/>
          <w:shd w:val="clear" w:color="auto" w:fill="FFFFFF"/>
          <w:lang w:eastAsia="ru-RU"/>
        </w:rPr>
      </w:pPr>
      <w:r w:rsidRPr="00125FAF">
        <w:rPr>
          <w:rFonts w:ascii="Times New Roman" w:eastAsia="Times New Roman" w:hAnsi="Times New Roman" w:cs="Times New Roman"/>
          <w:iCs/>
          <w:color w:val="000000"/>
          <w:sz w:val="24"/>
          <w:szCs w:val="24"/>
          <w:shd w:val="clear" w:color="auto" w:fill="FFFFFF"/>
          <w:lang w:eastAsia="ru-RU"/>
        </w:rPr>
        <w:t>a) transpunerea Directivei 2003/87/CE cu privire la stabilirea unui sistem de comercializare a cotelor de emisii de gaze cu efect de seră în Comunitatea Europeană, în vederea promovării reducerilor de GES într-un mod rentabil și eficient din punct de vedere economic</w:t>
      </w:r>
    </w:p>
    <w:p w14:paraId="421EB247" w14:textId="79AD8190" w:rsidR="009678C3" w:rsidRPr="00125FAF" w:rsidRDefault="009678C3" w:rsidP="006364B2">
      <w:pPr>
        <w:spacing w:after="0" w:line="240" w:lineRule="auto"/>
        <w:ind w:firstLine="720"/>
        <w:jc w:val="both"/>
        <w:rPr>
          <w:rFonts w:ascii="Times New Roman" w:eastAsia="Times New Roman" w:hAnsi="Times New Roman" w:cs="Times New Roman"/>
          <w:iCs/>
          <w:color w:val="000000"/>
          <w:sz w:val="24"/>
          <w:szCs w:val="24"/>
          <w:shd w:val="clear" w:color="auto" w:fill="FFFFFF"/>
          <w:lang w:eastAsia="ru-RU"/>
        </w:rPr>
      </w:pPr>
      <w:r w:rsidRPr="00125FAF">
        <w:rPr>
          <w:rFonts w:ascii="Times New Roman" w:eastAsia="Times New Roman" w:hAnsi="Times New Roman" w:cs="Times New Roman"/>
          <w:iCs/>
          <w:color w:val="000000"/>
          <w:sz w:val="24"/>
          <w:szCs w:val="24"/>
          <w:shd w:val="clear" w:color="auto" w:fill="FFFFFF"/>
          <w:lang w:eastAsia="ru-RU"/>
        </w:rPr>
        <w:t xml:space="preserve">b) finalizarea transpunerii Regulamentului CE </w:t>
      </w:r>
      <w:r w:rsidR="00A13E20" w:rsidRPr="00125FAF">
        <w:rPr>
          <w:rFonts w:ascii="Times New Roman" w:eastAsia="Times New Roman" w:hAnsi="Times New Roman" w:cs="Times New Roman"/>
          <w:iCs/>
          <w:color w:val="000000"/>
          <w:sz w:val="24"/>
          <w:szCs w:val="24"/>
          <w:shd w:val="clear" w:color="auto" w:fill="FFFFFF"/>
          <w:lang w:eastAsia="ru-RU"/>
        </w:rPr>
        <w:t>n</w:t>
      </w:r>
      <w:r w:rsidRPr="00125FAF">
        <w:rPr>
          <w:rFonts w:ascii="Times New Roman" w:eastAsia="Times New Roman" w:hAnsi="Times New Roman" w:cs="Times New Roman"/>
          <w:iCs/>
          <w:color w:val="000000"/>
          <w:sz w:val="24"/>
          <w:szCs w:val="24"/>
          <w:shd w:val="clear" w:color="auto" w:fill="FFFFFF"/>
          <w:lang w:eastAsia="ru-RU"/>
        </w:rPr>
        <w:t xml:space="preserve">r. </w:t>
      </w:r>
      <w:r w:rsidR="00925D14" w:rsidRPr="00125FAF">
        <w:rPr>
          <w:rFonts w:ascii="Times New Roman" w:eastAsia="Times New Roman" w:hAnsi="Times New Roman" w:cs="Times New Roman"/>
          <w:iCs/>
          <w:color w:val="000000"/>
          <w:sz w:val="24"/>
          <w:szCs w:val="24"/>
          <w:shd w:val="clear" w:color="auto" w:fill="FFFFFF"/>
          <w:lang w:eastAsia="ru-RU"/>
        </w:rPr>
        <w:t>517/2014</w:t>
      </w:r>
      <w:r w:rsidRPr="00125FAF">
        <w:rPr>
          <w:rFonts w:ascii="Times New Roman" w:eastAsia="Times New Roman" w:hAnsi="Times New Roman" w:cs="Times New Roman"/>
          <w:iCs/>
          <w:color w:val="000000"/>
          <w:sz w:val="24"/>
          <w:szCs w:val="24"/>
          <w:shd w:val="clear" w:color="auto" w:fill="FFFFFF"/>
          <w:lang w:eastAsia="ru-RU"/>
        </w:rPr>
        <w:t xml:space="preserve"> privind anumite gaze fluorurate cu efect de seră, în vederea suprimării </w:t>
      </w:r>
      <w:proofErr w:type="spellStart"/>
      <w:r w:rsidRPr="00125FAF">
        <w:rPr>
          <w:rFonts w:ascii="Times New Roman" w:eastAsia="Times New Roman" w:hAnsi="Times New Roman" w:cs="Times New Roman"/>
          <w:iCs/>
          <w:color w:val="000000"/>
          <w:sz w:val="24"/>
          <w:szCs w:val="24"/>
          <w:shd w:val="clear" w:color="auto" w:fill="FFFFFF"/>
          <w:lang w:eastAsia="ru-RU"/>
        </w:rPr>
        <w:t>eşalonate</w:t>
      </w:r>
      <w:proofErr w:type="spellEnd"/>
      <w:r w:rsidRPr="00125FAF">
        <w:rPr>
          <w:rFonts w:ascii="Times New Roman" w:eastAsia="Times New Roman" w:hAnsi="Times New Roman" w:cs="Times New Roman"/>
          <w:iCs/>
          <w:color w:val="000000"/>
          <w:sz w:val="24"/>
          <w:szCs w:val="24"/>
          <w:shd w:val="clear" w:color="auto" w:fill="FFFFFF"/>
          <w:lang w:eastAsia="ru-RU"/>
        </w:rPr>
        <w:t xml:space="preserve"> a unor gaze fluorurate cu efect de seră;</w:t>
      </w:r>
    </w:p>
    <w:p w14:paraId="2EAA1EDE" w14:textId="6F6674D7" w:rsidR="009678C3" w:rsidRPr="00125FAF" w:rsidRDefault="009678C3" w:rsidP="006364B2">
      <w:pPr>
        <w:spacing w:after="0" w:line="240" w:lineRule="auto"/>
        <w:ind w:firstLine="720"/>
        <w:jc w:val="both"/>
        <w:rPr>
          <w:rFonts w:ascii="Times New Roman" w:eastAsia="Times New Roman" w:hAnsi="Times New Roman" w:cs="Times New Roman"/>
          <w:iCs/>
          <w:color w:val="000000"/>
          <w:sz w:val="24"/>
          <w:szCs w:val="24"/>
          <w:shd w:val="clear" w:color="auto" w:fill="FFFFFF"/>
          <w:lang w:eastAsia="ru-RU"/>
        </w:rPr>
      </w:pPr>
      <w:r w:rsidRPr="00125FAF">
        <w:rPr>
          <w:rFonts w:ascii="Times New Roman" w:eastAsia="Times New Roman" w:hAnsi="Times New Roman" w:cs="Times New Roman"/>
          <w:iCs/>
          <w:color w:val="000000"/>
          <w:sz w:val="24"/>
          <w:szCs w:val="24"/>
          <w:shd w:val="clear" w:color="auto" w:fill="FFFFFF"/>
          <w:lang w:eastAsia="ru-RU"/>
        </w:rPr>
        <w:t>c) finalizarea transpunerii Regulamentului CE nr. 1005/2009 care stabilește norme privind producția, importul, exportul, introducerea pe piață, utilizarea, recuperarea, reciclarea, recuperarea și distrugerea substanțelor care epuizează stratul de ozon, privind raportarea informațiilor referitoare la aceste substanțe</w:t>
      </w:r>
      <w:r w:rsidR="009D15FB" w:rsidRPr="00125FAF">
        <w:rPr>
          <w:rFonts w:ascii="Times New Roman" w:eastAsia="Times New Roman" w:hAnsi="Times New Roman" w:cs="Times New Roman"/>
          <w:iCs/>
          <w:color w:val="000000"/>
          <w:sz w:val="24"/>
          <w:szCs w:val="24"/>
          <w:shd w:val="clear" w:color="auto" w:fill="FFFFFF"/>
          <w:lang w:eastAsia="ru-RU"/>
        </w:rPr>
        <w:t>;</w:t>
      </w:r>
    </w:p>
    <w:p w14:paraId="1CEE69DC" w14:textId="35348989" w:rsidR="006364B2" w:rsidRPr="00125FAF" w:rsidRDefault="009678C3">
      <w:pPr>
        <w:spacing w:after="0" w:line="240" w:lineRule="auto"/>
        <w:ind w:firstLine="720"/>
        <w:jc w:val="both"/>
        <w:rPr>
          <w:rFonts w:ascii="Times New Roman" w:eastAsia="Times New Roman" w:hAnsi="Times New Roman" w:cs="Times New Roman"/>
          <w:iCs/>
          <w:sz w:val="24"/>
          <w:szCs w:val="24"/>
          <w:lang w:eastAsia="ru-RU"/>
        </w:rPr>
      </w:pPr>
      <w:r w:rsidRPr="00125FAF">
        <w:rPr>
          <w:rFonts w:ascii="Times New Roman" w:eastAsia="Times New Roman" w:hAnsi="Times New Roman" w:cs="Times New Roman"/>
          <w:iCs/>
          <w:color w:val="000000"/>
          <w:sz w:val="24"/>
          <w:szCs w:val="24"/>
          <w:shd w:val="clear" w:color="auto" w:fill="FFFFFF"/>
          <w:lang w:eastAsia="ru-RU"/>
        </w:rPr>
        <w:lastRenderedPageBreak/>
        <w:t>d</w:t>
      </w:r>
      <w:r w:rsidR="006364B2" w:rsidRPr="00125FAF">
        <w:rPr>
          <w:rFonts w:ascii="Times New Roman" w:eastAsia="Times New Roman" w:hAnsi="Times New Roman" w:cs="Times New Roman"/>
          <w:iCs/>
          <w:color w:val="000000"/>
          <w:sz w:val="24"/>
          <w:szCs w:val="24"/>
          <w:shd w:val="clear" w:color="auto" w:fill="FFFFFF"/>
          <w:lang w:eastAsia="ru-RU"/>
        </w:rPr>
        <w:t xml:space="preserve">) </w:t>
      </w:r>
      <w:r w:rsidRPr="00125FAF">
        <w:rPr>
          <w:rFonts w:ascii="Times New Roman" w:eastAsia="Times New Roman" w:hAnsi="Times New Roman" w:cs="Times New Roman"/>
          <w:iCs/>
          <w:color w:val="000000"/>
          <w:sz w:val="24"/>
          <w:szCs w:val="24"/>
          <w:shd w:val="clear" w:color="auto" w:fill="FFFFFF"/>
          <w:lang w:eastAsia="ru-RU"/>
        </w:rPr>
        <w:t xml:space="preserve">elaborarea </w:t>
      </w:r>
      <w:proofErr w:type="spellStart"/>
      <w:r w:rsidRPr="00125FAF">
        <w:rPr>
          <w:rFonts w:ascii="Times New Roman" w:eastAsia="Times New Roman" w:hAnsi="Times New Roman" w:cs="Times New Roman"/>
          <w:iCs/>
          <w:color w:val="000000"/>
          <w:sz w:val="24"/>
          <w:szCs w:val="24"/>
          <w:shd w:val="clear" w:color="auto" w:fill="FFFFFF"/>
          <w:lang w:eastAsia="ru-RU"/>
        </w:rPr>
        <w:t>şi</w:t>
      </w:r>
      <w:proofErr w:type="spellEnd"/>
      <w:r w:rsidRPr="00125FAF">
        <w:rPr>
          <w:rFonts w:ascii="Times New Roman" w:eastAsia="Times New Roman" w:hAnsi="Times New Roman" w:cs="Times New Roman"/>
          <w:iCs/>
          <w:color w:val="000000"/>
          <w:sz w:val="24"/>
          <w:szCs w:val="24"/>
          <w:shd w:val="clear" w:color="auto" w:fill="FFFFFF"/>
          <w:lang w:eastAsia="ru-RU"/>
        </w:rPr>
        <w:t xml:space="preserve"> aprobarea de normative </w:t>
      </w:r>
      <w:r w:rsidR="00925D14" w:rsidRPr="00125FAF">
        <w:rPr>
          <w:rFonts w:ascii="Times New Roman" w:eastAsia="Times New Roman" w:hAnsi="Times New Roman" w:cs="Times New Roman"/>
          <w:iCs/>
          <w:color w:val="000000"/>
          <w:sz w:val="24"/>
          <w:szCs w:val="24"/>
          <w:shd w:val="clear" w:color="auto" w:fill="FFFFFF"/>
          <w:lang w:eastAsia="ru-RU"/>
        </w:rPr>
        <w:t xml:space="preserve">privind </w:t>
      </w:r>
      <w:r w:rsidR="006364B2" w:rsidRPr="00125FAF">
        <w:rPr>
          <w:rFonts w:ascii="Times New Roman" w:eastAsia="Times New Roman" w:hAnsi="Times New Roman" w:cs="Times New Roman"/>
          <w:iCs/>
          <w:color w:val="000000"/>
          <w:sz w:val="24"/>
          <w:szCs w:val="24"/>
          <w:shd w:val="clear" w:color="auto" w:fill="FFFFFF"/>
          <w:lang w:eastAsia="ru-RU"/>
        </w:rPr>
        <w:t xml:space="preserve">sporirea </w:t>
      </w:r>
      <w:proofErr w:type="spellStart"/>
      <w:r w:rsidR="006364B2" w:rsidRPr="00125FAF">
        <w:rPr>
          <w:rFonts w:ascii="Times New Roman" w:eastAsia="Times New Roman" w:hAnsi="Times New Roman" w:cs="Times New Roman"/>
          <w:iCs/>
          <w:color w:val="000000"/>
          <w:sz w:val="24"/>
          <w:szCs w:val="24"/>
          <w:shd w:val="clear" w:color="auto" w:fill="FFFFFF"/>
          <w:lang w:eastAsia="ru-RU"/>
        </w:rPr>
        <w:t>eficienţei</w:t>
      </w:r>
      <w:proofErr w:type="spellEnd"/>
      <w:r w:rsidR="006364B2" w:rsidRPr="00125FAF">
        <w:rPr>
          <w:rFonts w:ascii="Times New Roman" w:eastAsia="Times New Roman" w:hAnsi="Times New Roman" w:cs="Times New Roman"/>
          <w:iCs/>
          <w:color w:val="000000"/>
          <w:sz w:val="24"/>
          <w:szCs w:val="24"/>
          <w:shd w:val="clear" w:color="auto" w:fill="FFFFFF"/>
          <w:lang w:eastAsia="ru-RU"/>
        </w:rPr>
        <w:t xml:space="preserve"> energetice </w:t>
      </w:r>
      <w:proofErr w:type="spellStart"/>
      <w:r w:rsidR="006364B2" w:rsidRPr="00125FAF">
        <w:rPr>
          <w:rFonts w:ascii="Times New Roman" w:eastAsia="Times New Roman" w:hAnsi="Times New Roman" w:cs="Times New Roman"/>
          <w:iCs/>
          <w:color w:val="000000"/>
          <w:sz w:val="24"/>
          <w:szCs w:val="24"/>
          <w:shd w:val="clear" w:color="auto" w:fill="FFFFFF"/>
          <w:lang w:eastAsia="ru-RU"/>
        </w:rPr>
        <w:t>şi</w:t>
      </w:r>
      <w:proofErr w:type="spellEnd"/>
      <w:r w:rsidR="006364B2" w:rsidRPr="00125FAF">
        <w:rPr>
          <w:rFonts w:ascii="Times New Roman" w:eastAsia="Times New Roman" w:hAnsi="Times New Roman" w:cs="Times New Roman"/>
          <w:iCs/>
          <w:color w:val="000000"/>
          <w:sz w:val="24"/>
          <w:szCs w:val="24"/>
          <w:shd w:val="clear" w:color="auto" w:fill="FFFFFF"/>
          <w:lang w:eastAsia="ru-RU"/>
        </w:rPr>
        <w:t xml:space="preserve"> utilizarea surselor de energie regenerabilă;</w:t>
      </w:r>
    </w:p>
    <w:p w14:paraId="16891DCA" w14:textId="1FBDC1CB" w:rsidR="006364B2" w:rsidRPr="00125FAF" w:rsidRDefault="00925D14" w:rsidP="006364B2">
      <w:pPr>
        <w:spacing w:after="0" w:line="240" w:lineRule="auto"/>
        <w:ind w:firstLine="720"/>
        <w:jc w:val="both"/>
        <w:rPr>
          <w:rFonts w:ascii="Times New Roman" w:eastAsia="Times New Roman" w:hAnsi="Times New Roman" w:cs="Times New Roman"/>
          <w:iCs/>
          <w:sz w:val="24"/>
          <w:szCs w:val="24"/>
          <w:lang w:eastAsia="ru-RU"/>
        </w:rPr>
      </w:pPr>
      <w:r w:rsidRPr="00125FAF">
        <w:rPr>
          <w:rFonts w:ascii="Times New Roman" w:eastAsia="Times New Roman" w:hAnsi="Times New Roman" w:cs="Times New Roman"/>
          <w:iCs/>
          <w:color w:val="000000"/>
          <w:sz w:val="24"/>
          <w:szCs w:val="24"/>
          <w:shd w:val="clear" w:color="auto" w:fill="FFFFFF"/>
          <w:lang w:eastAsia="ru-RU"/>
        </w:rPr>
        <w:t>e</w:t>
      </w:r>
      <w:r w:rsidR="006364B2" w:rsidRPr="00125FAF">
        <w:rPr>
          <w:rFonts w:ascii="Times New Roman" w:eastAsia="Times New Roman" w:hAnsi="Times New Roman" w:cs="Times New Roman"/>
          <w:iCs/>
          <w:color w:val="000000"/>
          <w:sz w:val="24"/>
          <w:szCs w:val="24"/>
          <w:shd w:val="clear" w:color="auto" w:fill="FFFFFF"/>
          <w:lang w:eastAsia="ru-RU"/>
        </w:rPr>
        <w:t xml:space="preserve">) implementarea la întreprinderile industriale din </w:t>
      </w:r>
      <w:proofErr w:type="spellStart"/>
      <w:r w:rsidR="006364B2" w:rsidRPr="00125FAF">
        <w:rPr>
          <w:rFonts w:ascii="Times New Roman" w:eastAsia="Times New Roman" w:hAnsi="Times New Roman" w:cs="Times New Roman"/>
          <w:iCs/>
          <w:color w:val="000000"/>
          <w:sz w:val="24"/>
          <w:szCs w:val="24"/>
          <w:shd w:val="clear" w:color="auto" w:fill="FFFFFF"/>
          <w:lang w:eastAsia="ru-RU"/>
        </w:rPr>
        <w:t>ţară</w:t>
      </w:r>
      <w:proofErr w:type="spellEnd"/>
      <w:r w:rsidR="006364B2" w:rsidRPr="00125FAF">
        <w:rPr>
          <w:rFonts w:ascii="Times New Roman" w:eastAsia="Times New Roman" w:hAnsi="Times New Roman" w:cs="Times New Roman"/>
          <w:iCs/>
          <w:color w:val="000000"/>
          <w:sz w:val="24"/>
          <w:szCs w:val="24"/>
          <w:shd w:val="clear" w:color="auto" w:fill="FFFFFF"/>
          <w:lang w:eastAsia="ru-RU"/>
        </w:rPr>
        <w:t xml:space="preserve"> a sistemelor de management al energiei </w:t>
      </w:r>
      <w:proofErr w:type="spellStart"/>
      <w:r w:rsidR="006364B2" w:rsidRPr="00125FAF">
        <w:rPr>
          <w:rFonts w:ascii="Times New Roman" w:eastAsia="Times New Roman" w:hAnsi="Times New Roman" w:cs="Times New Roman"/>
          <w:iCs/>
          <w:color w:val="000000"/>
          <w:sz w:val="24"/>
          <w:szCs w:val="24"/>
          <w:shd w:val="clear" w:color="auto" w:fill="FFFFFF"/>
          <w:lang w:eastAsia="ru-RU"/>
        </w:rPr>
        <w:t>şi</w:t>
      </w:r>
      <w:proofErr w:type="spellEnd"/>
      <w:r w:rsidR="006364B2" w:rsidRPr="00125FAF">
        <w:rPr>
          <w:rFonts w:ascii="Times New Roman" w:eastAsia="Times New Roman" w:hAnsi="Times New Roman" w:cs="Times New Roman"/>
          <w:iCs/>
          <w:color w:val="000000"/>
          <w:sz w:val="24"/>
          <w:szCs w:val="24"/>
          <w:shd w:val="clear" w:color="auto" w:fill="FFFFFF"/>
          <w:lang w:eastAsia="ru-RU"/>
        </w:rPr>
        <w:t xml:space="preserve"> a Standardului </w:t>
      </w:r>
      <w:proofErr w:type="spellStart"/>
      <w:r w:rsidR="006364B2" w:rsidRPr="00125FAF">
        <w:rPr>
          <w:rFonts w:ascii="Times New Roman" w:eastAsia="Times New Roman" w:hAnsi="Times New Roman" w:cs="Times New Roman"/>
          <w:iCs/>
          <w:color w:val="000000"/>
          <w:sz w:val="24"/>
          <w:szCs w:val="24"/>
          <w:shd w:val="clear" w:color="auto" w:fill="FFFFFF"/>
          <w:lang w:eastAsia="ru-RU"/>
        </w:rPr>
        <w:t>Naţional</w:t>
      </w:r>
      <w:proofErr w:type="spellEnd"/>
      <w:r w:rsidR="006364B2" w:rsidRPr="00125FAF">
        <w:rPr>
          <w:rFonts w:ascii="Times New Roman" w:eastAsia="Times New Roman" w:hAnsi="Times New Roman" w:cs="Times New Roman"/>
          <w:iCs/>
          <w:color w:val="000000"/>
          <w:sz w:val="24"/>
          <w:szCs w:val="24"/>
          <w:shd w:val="clear" w:color="auto" w:fill="FFFFFF"/>
          <w:lang w:eastAsia="ru-RU"/>
        </w:rPr>
        <w:t xml:space="preserve"> SM ISO 50001:2012 „Sisteme de management al energiei. </w:t>
      </w:r>
      <w:proofErr w:type="spellStart"/>
      <w:r w:rsidR="006364B2" w:rsidRPr="00125FAF">
        <w:rPr>
          <w:rFonts w:ascii="Times New Roman" w:eastAsia="Times New Roman" w:hAnsi="Times New Roman" w:cs="Times New Roman"/>
          <w:iCs/>
          <w:color w:val="000000"/>
          <w:sz w:val="24"/>
          <w:szCs w:val="24"/>
          <w:shd w:val="clear" w:color="auto" w:fill="FFFFFF"/>
          <w:lang w:eastAsia="ru-RU"/>
        </w:rPr>
        <w:t>Cerinţe</w:t>
      </w:r>
      <w:proofErr w:type="spellEnd"/>
      <w:r w:rsidR="006364B2" w:rsidRPr="00125FAF">
        <w:rPr>
          <w:rFonts w:ascii="Times New Roman" w:eastAsia="Times New Roman" w:hAnsi="Times New Roman" w:cs="Times New Roman"/>
          <w:iCs/>
          <w:color w:val="000000"/>
          <w:sz w:val="24"/>
          <w:szCs w:val="24"/>
          <w:shd w:val="clear" w:color="auto" w:fill="FFFFFF"/>
          <w:lang w:eastAsia="ru-RU"/>
        </w:rPr>
        <w:t xml:space="preserve"> </w:t>
      </w:r>
      <w:proofErr w:type="spellStart"/>
      <w:r w:rsidR="006364B2" w:rsidRPr="00125FAF">
        <w:rPr>
          <w:rFonts w:ascii="Times New Roman" w:eastAsia="Times New Roman" w:hAnsi="Times New Roman" w:cs="Times New Roman"/>
          <w:iCs/>
          <w:color w:val="000000"/>
          <w:sz w:val="24"/>
          <w:szCs w:val="24"/>
          <w:shd w:val="clear" w:color="auto" w:fill="FFFFFF"/>
          <w:lang w:eastAsia="ru-RU"/>
        </w:rPr>
        <w:t>şi</w:t>
      </w:r>
      <w:proofErr w:type="spellEnd"/>
      <w:r w:rsidR="006364B2" w:rsidRPr="00125FAF">
        <w:rPr>
          <w:rFonts w:ascii="Times New Roman" w:eastAsia="Times New Roman" w:hAnsi="Times New Roman" w:cs="Times New Roman"/>
          <w:iCs/>
          <w:color w:val="000000"/>
          <w:sz w:val="24"/>
          <w:szCs w:val="24"/>
          <w:shd w:val="clear" w:color="auto" w:fill="FFFFFF"/>
          <w:lang w:eastAsia="ru-RU"/>
        </w:rPr>
        <w:t xml:space="preserve"> ghid de utilizare”;</w:t>
      </w:r>
    </w:p>
    <w:p w14:paraId="6B7C51A4" w14:textId="351D9A53" w:rsidR="006364B2" w:rsidRPr="00125FAF" w:rsidRDefault="00925D14" w:rsidP="006364B2">
      <w:pPr>
        <w:spacing w:after="0" w:line="240" w:lineRule="auto"/>
        <w:ind w:firstLine="720"/>
        <w:jc w:val="both"/>
        <w:rPr>
          <w:rFonts w:ascii="Times New Roman" w:eastAsia="Times New Roman" w:hAnsi="Times New Roman" w:cs="Times New Roman"/>
          <w:iCs/>
          <w:sz w:val="24"/>
          <w:szCs w:val="24"/>
          <w:lang w:eastAsia="ru-RU"/>
        </w:rPr>
      </w:pPr>
      <w:r w:rsidRPr="00125FAF">
        <w:rPr>
          <w:rFonts w:ascii="Times New Roman" w:eastAsia="Times New Roman" w:hAnsi="Times New Roman" w:cs="Times New Roman"/>
          <w:iCs/>
          <w:color w:val="000000"/>
          <w:sz w:val="24"/>
          <w:szCs w:val="24"/>
          <w:shd w:val="clear" w:color="auto" w:fill="FFFFFF"/>
          <w:lang w:eastAsia="ru-RU"/>
        </w:rPr>
        <w:t>f</w:t>
      </w:r>
      <w:r w:rsidR="006364B2" w:rsidRPr="00125FAF">
        <w:rPr>
          <w:rFonts w:ascii="Times New Roman" w:eastAsia="Times New Roman" w:hAnsi="Times New Roman" w:cs="Times New Roman"/>
          <w:iCs/>
          <w:color w:val="000000"/>
          <w:sz w:val="24"/>
          <w:szCs w:val="24"/>
          <w:shd w:val="clear" w:color="auto" w:fill="FFFFFF"/>
          <w:lang w:eastAsia="ru-RU"/>
        </w:rPr>
        <w:t xml:space="preserve">) elaborarea sistemului electronic de raportare a datelor privind importul </w:t>
      </w:r>
      <w:proofErr w:type="spellStart"/>
      <w:r w:rsidR="006364B2" w:rsidRPr="00125FAF">
        <w:rPr>
          <w:rFonts w:ascii="Times New Roman" w:eastAsia="Times New Roman" w:hAnsi="Times New Roman" w:cs="Times New Roman"/>
          <w:iCs/>
          <w:color w:val="000000"/>
          <w:sz w:val="24"/>
          <w:szCs w:val="24"/>
          <w:shd w:val="clear" w:color="auto" w:fill="FFFFFF"/>
          <w:lang w:eastAsia="ru-RU"/>
        </w:rPr>
        <w:t>hidrofluorcarburilor</w:t>
      </w:r>
      <w:proofErr w:type="spellEnd"/>
      <w:r w:rsidR="006364B2" w:rsidRPr="00125FAF">
        <w:rPr>
          <w:rFonts w:ascii="Times New Roman" w:eastAsia="Times New Roman" w:hAnsi="Times New Roman" w:cs="Times New Roman"/>
          <w:iCs/>
          <w:color w:val="000000"/>
          <w:sz w:val="24"/>
          <w:szCs w:val="24"/>
          <w:shd w:val="clear" w:color="auto" w:fill="FFFFFF"/>
          <w:lang w:eastAsia="ru-RU"/>
        </w:rPr>
        <w:t xml:space="preserve">, </w:t>
      </w:r>
      <w:proofErr w:type="spellStart"/>
      <w:r w:rsidR="006364B2" w:rsidRPr="00125FAF">
        <w:rPr>
          <w:rFonts w:ascii="Times New Roman" w:eastAsia="Times New Roman" w:hAnsi="Times New Roman" w:cs="Times New Roman"/>
          <w:iCs/>
          <w:color w:val="000000"/>
          <w:sz w:val="24"/>
          <w:szCs w:val="24"/>
          <w:shd w:val="clear" w:color="auto" w:fill="FFFFFF"/>
          <w:lang w:eastAsia="ru-RU"/>
        </w:rPr>
        <w:t>perfluorcarburilor</w:t>
      </w:r>
      <w:proofErr w:type="spellEnd"/>
      <w:r w:rsidR="006364B2" w:rsidRPr="00125FAF">
        <w:rPr>
          <w:rFonts w:ascii="Times New Roman" w:eastAsia="Times New Roman" w:hAnsi="Times New Roman" w:cs="Times New Roman"/>
          <w:iCs/>
          <w:color w:val="000000"/>
          <w:sz w:val="24"/>
          <w:szCs w:val="24"/>
          <w:shd w:val="clear" w:color="auto" w:fill="FFFFFF"/>
          <w:lang w:eastAsia="ru-RU"/>
        </w:rPr>
        <w:t xml:space="preserve"> </w:t>
      </w:r>
      <w:proofErr w:type="spellStart"/>
      <w:r w:rsidR="006364B2" w:rsidRPr="00125FAF">
        <w:rPr>
          <w:rFonts w:ascii="Times New Roman" w:eastAsia="Times New Roman" w:hAnsi="Times New Roman" w:cs="Times New Roman"/>
          <w:iCs/>
          <w:color w:val="000000"/>
          <w:sz w:val="24"/>
          <w:szCs w:val="24"/>
          <w:shd w:val="clear" w:color="auto" w:fill="FFFFFF"/>
          <w:lang w:eastAsia="ru-RU"/>
        </w:rPr>
        <w:t>şi</w:t>
      </w:r>
      <w:proofErr w:type="spellEnd"/>
      <w:r w:rsidR="006364B2" w:rsidRPr="00125FAF">
        <w:rPr>
          <w:rFonts w:ascii="Times New Roman" w:eastAsia="Times New Roman" w:hAnsi="Times New Roman" w:cs="Times New Roman"/>
          <w:iCs/>
          <w:color w:val="000000"/>
          <w:sz w:val="24"/>
          <w:szCs w:val="24"/>
          <w:shd w:val="clear" w:color="auto" w:fill="FFFFFF"/>
          <w:lang w:eastAsia="ru-RU"/>
        </w:rPr>
        <w:t xml:space="preserve"> al </w:t>
      </w:r>
      <w:proofErr w:type="spellStart"/>
      <w:r w:rsidR="006364B2" w:rsidRPr="00125FAF">
        <w:rPr>
          <w:rFonts w:ascii="Times New Roman" w:eastAsia="Times New Roman" w:hAnsi="Times New Roman" w:cs="Times New Roman"/>
          <w:iCs/>
          <w:color w:val="000000"/>
          <w:sz w:val="24"/>
          <w:szCs w:val="24"/>
          <w:shd w:val="clear" w:color="auto" w:fill="FFFFFF"/>
          <w:lang w:eastAsia="ru-RU"/>
        </w:rPr>
        <w:t>hexafluoridului</w:t>
      </w:r>
      <w:proofErr w:type="spellEnd"/>
      <w:r w:rsidR="006364B2" w:rsidRPr="00125FAF">
        <w:rPr>
          <w:rFonts w:ascii="Times New Roman" w:eastAsia="Times New Roman" w:hAnsi="Times New Roman" w:cs="Times New Roman"/>
          <w:iCs/>
          <w:color w:val="000000"/>
          <w:sz w:val="24"/>
          <w:szCs w:val="24"/>
          <w:shd w:val="clear" w:color="auto" w:fill="FFFFFF"/>
          <w:lang w:eastAsia="ru-RU"/>
        </w:rPr>
        <w:t xml:space="preserve"> de sulf, precum </w:t>
      </w:r>
      <w:proofErr w:type="spellStart"/>
      <w:r w:rsidR="006364B2" w:rsidRPr="00125FAF">
        <w:rPr>
          <w:rFonts w:ascii="Times New Roman" w:eastAsia="Times New Roman" w:hAnsi="Times New Roman" w:cs="Times New Roman"/>
          <w:iCs/>
          <w:color w:val="000000"/>
          <w:sz w:val="24"/>
          <w:szCs w:val="24"/>
          <w:shd w:val="clear" w:color="auto" w:fill="FFFFFF"/>
          <w:lang w:eastAsia="ru-RU"/>
        </w:rPr>
        <w:t>şi</w:t>
      </w:r>
      <w:proofErr w:type="spellEnd"/>
      <w:r w:rsidR="006364B2" w:rsidRPr="00125FAF">
        <w:rPr>
          <w:rFonts w:ascii="Times New Roman" w:eastAsia="Times New Roman" w:hAnsi="Times New Roman" w:cs="Times New Roman"/>
          <w:iCs/>
          <w:color w:val="000000"/>
          <w:sz w:val="24"/>
          <w:szCs w:val="24"/>
          <w:shd w:val="clear" w:color="auto" w:fill="FFFFFF"/>
          <w:lang w:eastAsia="ru-RU"/>
        </w:rPr>
        <w:t xml:space="preserve"> al produselor </w:t>
      </w:r>
      <w:proofErr w:type="spellStart"/>
      <w:r w:rsidR="006364B2" w:rsidRPr="00125FAF">
        <w:rPr>
          <w:rFonts w:ascii="Times New Roman" w:eastAsia="Times New Roman" w:hAnsi="Times New Roman" w:cs="Times New Roman"/>
          <w:iCs/>
          <w:color w:val="000000"/>
          <w:sz w:val="24"/>
          <w:szCs w:val="24"/>
          <w:shd w:val="clear" w:color="auto" w:fill="FFFFFF"/>
          <w:lang w:eastAsia="ru-RU"/>
        </w:rPr>
        <w:t>şi</w:t>
      </w:r>
      <w:proofErr w:type="spellEnd"/>
      <w:r w:rsidR="006364B2" w:rsidRPr="00125FAF">
        <w:rPr>
          <w:rFonts w:ascii="Times New Roman" w:eastAsia="Times New Roman" w:hAnsi="Times New Roman" w:cs="Times New Roman"/>
          <w:iCs/>
          <w:color w:val="000000"/>
          <w:sz w:val="24"/>
          <w:szCs w:val="24"/>
          <w:shd w:val="clear" w:color="auto" w:fill="FFFFFF"/>
          <w:lang w:eastAsia="ru-RU"/>
        </w:rPr>
        <w:t xml:space="preserve"> echipamentelor cu hidrofluorcarburi, </w:t>
      </w:r>
      <w:proofErr w:type="spellStart"/>
      <w:r w:rsidR="006364B2" w:rsidRPr="00125FAF">
        <w:rPr>
          <w:rFonts w:ascii="Times New Roman" w:eastAsia="Times New Roman" w:hAnsi="Times New Roman" w:cs="Times New Roman"/>
          <w:iCs/>
          <w:color w:val="000000"/>
          <w:sz w:val="24"/>
          <w:szCs w:val="24"/>
          <w:shd w:val="clear" w:color="auto" w:fill="FFFFFF"/>
          <w:lang w:eastAsia="ru-RU"/>
        </w:rPr>
        <w:t>perfluorcarburi</w:t>
      </w:r>
      <w:proofErr w:type="spellEnd"/>
      <w:r w:rsidR="006364B2" w:rsidRPr="00125FAF">
        <w:rPr>
          <w:rFonts w:ascii="Times New Roman" w:eastAsia="Times New Roman" w:hAnsi="Times New Roman" w:cs="Times New Roman"/>
          <w:iCs/>
          <w:color w:val="000000"/>
          <w:sz w:val="24"/>
          <w:szCs w:val="24"/>
          <w:shd w:val="clear" w:color="auto" w:fill="FFFFFF"/>
          <w:lang w:eastAsia="ru-RU"/>
        </w:rPr>
        <w:t xml:space="preserve"> şi </w:t>
      </w:r>
      <w:proofErr w:type="spellStart"/>
      <w:r w:rsidR="006364B2" w:rsidRPr="00125FAF">
        <w:rPr>
          <w:rFonts w:ascii="Times New Roman" w:eastAsia="Times New Roman" w:hAnsi="Times New Roman" w:cs="Times New Roman"/>
          <w:iCs/>
          <w:color w:val="000000"/>
          <w:sz w:val="24"/>
          <w:szCs w:val="24"/>
          <w:shd w:val="clear" w:color="auto" w:fill="FFFFFF"/>
          <w:lang w:eastAsia="ru-RU"/>
        </w:rPr>
        <w:t>hexafluorid</w:t>
      </w:r>
      <w:proofErr w:type="spellEnd"/>
      <w:r w:rsidR="006364B2" w:rsidRPr="00125FAF">
        <w:rPr>
          <w:rFonts w:ascii="Times New Roman" w:eastAsia="Times New Roman" w:hAnsi="Times New Roman" w:cs="Times New Roman"/>
          <w:iCs/>
          <w:color w:val="000000"/>
          <w:sz w:val="24"/>
          <w:szCs w:val="24"/>
          <w:shd w:val="clear" w:color="auto" w:fill="FFFFFF"/>
          <w:lang w:eastAsia="ru-RU"/>
        </w:rPr>
        <w:t xml:space="preserve"> de sulf;</w:t>
      </w:r>
    </w:p>
    <w:p w14:paraId="1B54F0E6" w14:textId="77777777" w:rsidR="006364B2" w:rsidRPr="00125FAF" w:rsidRDefault="006364B2" w:rsidP="006364B2">
      <w:pPr>
        <w:spacing w:after="0" w:line="240" w:lineRule="auto"/>
        <w:ind w:firstLine="720"/>
        <w:jc w:val="both"/>
        <w:rPr>
          <w:rFonts w:ascii="Times New Roman" w:eastAsia="Times New Roman" w:hAnsi="Times New Roman" w:cs="Times New Roman"/>
          <w:iCs/>
          <w:sz w:val="24"/>
          <w:szCs w:val="24"/>
          <w:lang w:eastAsia="ru-RU"/>
        </w:rPr>
      </w:pPr>
      <w:r w:rsidRPr="00125FAF">
        <w:rPr>
          <w:rFonts w:ascii="Times New Roman" w:eastAsia="Times New Roman" w:hAnsi="Times New Roman" w:cs="Times New Roman"/>
          <w:iCs/>
          <w:color w:val="000000"/>
          <w:sz w:val="24"/>
          <w:szCs w:val="24"/>
          <w:shd w:val="clear" w:color="auto" w:fill="FFFFFF"/>
          <w:lang w:eastAsia="ru-RU"/>
        </w:rPr>
        <w:t xml:space="preserve">d) consolidarea </w:t>
      </w:r>
      <w:proofErr w:type="spellStart"/>
      <w:r w:rsidRPr="00125FAF">
        <w:rPr>
          <w:rFonts w:ascii="Times New Roman" w:eastAsia="Times New Roman" w:hAnsi="Times New Roman" w:cs="Times New Roman"/>
          <w:iCs/>
          <w:color w:val="000000"/>
          <w:sz w:val="24"/>
          <w:szCs w:val="24"/>
          <w:shd w:val="clear" w:color="auto" w:fill="FFFFFF"/>
          <w:lang w:eastAsia="ru-RU"/>
        </w:rPr>
        <w:t>capacităţii</w:t>
      </w:r>
      <w:proofErr w:type="spellEnd"/>
      <w:r w:rsidRPr="00125FAF">
        <w:rPr>
          <w:rFonts w:ascii="Times New Roman" w:eastAsia="Times New Roman" w:hAnsi="Times New Roman" w:cs="Times New Roman"/>
          <w:iCs/>
          <w:color w:val="000000"/>
          <w:sz w:val="24"/>
          <w:szCs w:val="24"/>
          <w:shd w:val="clear" w:color="auto" w:fill="FFFFFF"/>
          <w:lang w:eastAsia="ru-RU"/>
        </w:rPr>
        <w:t xml:space="preserve"> Serviciului Vamal al Republicii Moldova în vederea </w:t>
      </w:r>
      <w:proofErr w:type="spellStart"/>
      <w:r w:rsidRPr="00125FAF">
        <w:rPr>
          <w:rFonts w:ascii="Times New Roman" w:eastAsia="Times New Roman" w:hAnsi="Times New Roman" w:cs="Times New Roman"/>
          <w:iCs/>
          <w:color w:val="000000"/>
          <w:sz w:val="24"/>
          <w:szCs w:val="24"/>
          <w:shd w:val="clear" w:color="auto" w:fill="FFFFFF"/>
          <w:lang w:eastAsia="ru-RU"/>
        </w:rPr>
        <w:t>perfecţionării</w:t>
      </w:r>
      <w:proofErr w:type="spellEnd"/>
      <w:r w:rsidRPr="00125FAF">
        <w:rPr>
          <w:rFonts w:ascii="Times New Roman" w:eastAsia="Times New Roman" w:hAnsi="Times New Roman" w:cs="Times New Roman"/>
          <w:iCs/>
          <w:color w:val="000000"/>
          <w:sz w:val="24"/>
          <w:szCs w:val="24"/>
          <w:shd w:val="clear" w:color="auto" w:fill="FFFFFF"/>
          <w:lang w:eastAsia="ru-RU"/>
        </w:rPr>
        <w:t xml:space="preserve"> sistemului de raportare a datelor privind importul </w:t>
      </w:r>
      <w:proofErr w:type="spellStart"/>
      <w:r w:rsidRPr="00125FAF">
        <w:rPr>
          <w:rFonts w:ascii="Times New Roman" w:eastAsia="Times New Roman" w:hAnsi="Times New Roman" w:cs="Times New Roman"/>
          <w:iCs/>
          <w:color w:val="000000"/>
          <w:sz w:val="24"/>
          <w:szCs w:val="24"/>
          <w:shd w:val="clear" w:color="auto" w:fill="FFFFFF"/>
          <w:lang w:eastAsia="ru-RU"/>
        </w:rPr>
        <w:t>hidrofluorcarburilor</w:t>
      </w:r>
      <w:proofErr w:type="spellEnd"/>
      <w:r w:rsidRPr="00125FAF">
        <w:rPr>
          <w:rFonts w:ascii="Times New Roman" w:eastAsia="Times New Roman" w:hAnsi="Times New Roman" w:cs="Times New Roman"/>
          <w:iCs/>
          <w:color w:val="000000"/>
          <w:sz w:val="24"/>
          <w:szCs w:val="24"/>
          <w:shd w:val="clear" w:color="auto" w:fill="FFFFFF"/>
          <w:lang w:eastAsia="ru-RU"/>
        </w:rPr>
        <w:t xml:space="preserve">, </w:t>
      </w:r>
      <w:proofErr w:type="spellStart"/>
      <w:r w:rsidRPr="00125FAF">
        <w:rPr>
          <w:rFonts w:ascii="Times New Roman" w:eastAsia="Times New Roman" w:hAnsi="Times New Roman" w:cs="Times New Roman"/>
          <w:iCs/>
          <w:color w:val="000000"/>
          <w:sz w:val="24"/>
          <w:szCs w:val="24"/>
          <w:shd w:val="clear" w:color="auto" w:fill="FFFFFF"/>
          <w:lang w:eastAsia="ru-RU"/>
        </w:rPr>
        <w:t>perfluorcarburilor</w:t>
      </w:r>
      <w:proofErr w:type="spellEnd"/>
      <w:r w:rsidRPr="00125FAF">
        <w:rPr>
          <w:rFonts w:ascii="Times New Roman" w:eastAsia="Times New Roman" w:hAnsi="Times New Roman" w:cs="Times New Roman"/>
          <w:iCs/>
          <w:color w:val="000000"/>
          <w:sz w:val="24"/>
          <w:szCs w:val="24"/>
          <w:shd w:val="clear" w:color="auto" w:fill="FFFFFF"/>
          <w:lang w:eastAsia="ru-RU"/>
        </w:rPr>
        <w:t xml:space="preserve"> </w:t>
      </w:r>
      <w:proofErr w:type="spellStart"/>
      <w:r w:rsidRPr="00125FAF">
        <w:rPr>
          <w:rFonts w:ascii="Times New Roman" w:eastAsia="Times New Roman" w:hAnsi="Times New Roman" w:cs="Times New Roman"/>
          <w:iCs/>
          <w:color w:val="000000"/>
          <w:sz w:val="24"/>
          <w:szCs w:val="24"/>
          <w:shd w:val="clear" w:color="auto" w:fill="FFFFFF"/>
          <w:lang w:eastAsia="ru-RU"/>
        </w:rPr>
        <w:t>şi</w:t>
      </w:r>
      <w:proofErr w:type="spellEnd"/>
      <w:r w:rsidRPr="00125FAF">
        <w:rPr>
          <w:rFonts w:ascii="Times New Roman" w:eastAsia="Times New Roman" w:hAnsi="Times New Roman" w:cs="Times New Roman"/>
          <w:iCs/>
          <w:color w:val="000000"/>
          <w:sz w:val="24"/>
          <w:szCs w:val="24"/>
          <w:shd w:val="clear" w:color="auto" w:fill="FFFFFF"/>
          <w:lang w:eastAsia="ru-RU"/>
        </w:rPr>
        <w:t xml:space="preserve"> al </w:t>
      </w:r>
      <w:proofErr w:type="spellStart"/>
      <w:r w:rsidRPr="00125FAF">
        <w:rPr>
          <w:rFonts w:ascii="Times New Roman" w:eastAsia="Times New Roman" w:hAnsi="Times New Roman" w:cs="Times New Roman"/>
          <w:iCs/>
          <w:color w:val="000000"/>
          <w:sz w:val="24"/>
          <w:szCs w:val="24"/>
          <w:shd w:val="clear" w:color="auto" w:fill="FFFFFF"/>
          <w:lang w:eastAsia="ru-RU"/>
        </w:rPr>
        <w:t>hexafluoridului</w:t>
      </w:r>
      <w:proofErr w:type="spellEnd"/>
      <w:r w:rsidRPr="00125FAF">
        <w:rPr>
          <w:rFonts w:ascii="Times New Roman" w:eastAsia="Times New Roman" w:hAnsi="Times New Roman" w:cs="Times New Roman"/>
          <w:iCs/>
          <w:color w:val="000000"/>
          <w:sz w:val="24"/>
          <w:szCs w:val="24"/>
          <w:shd w:val="clear" w:color="auto" w:fill="FFFFFF"/>
          <w:lang w:eastAsia="ru-RU"/>
        </w:rPr>
        <w:t xml:space="preserve"> de sulf, precum </w:t>
      </w:r>
      <w:proofErr w:type="spellStart"/>
      <w:r w:rsidRPr="00125FAF">
        <w:rPr>
          <w:rFonts w:ascii="Times New Roman" w:eastAsia="Times New Roman" w:hAnsi="Times New Roman" w:cs="Times New Roman"/>
          <w:iCs/>
          <w:color w:val="000000"/>
          <w:sz w:val="24"/>
          <w:szCs w:val="24"/>
          <w:shd w:val="clear" w:color="auto" w:fill="FFFFFF"/>
          <w:lang w:eastAsia="ru-RU"/>
        </w:rPr>
        <w:t>şi</w:t>
      </w:r>
      <w:proofErr w:type="spellEnd"/>
      <w:r w:rsidRPr="00125FAF">
        <w:rPr>
          <w:rFonts w:ascii="Times New Roman" w:eastAsia="Times New Roman" w:hAnsi="Times New Roman" w:cs="Times New Roman"/>
          <w:iCs/>
          <w:color w:val="000000"/>
          <w:sz w:val="24"/>
          <w:szCs w:val="24"/>
          <w:shd w:val="clear" w:color="auto" w:fill="FFFFFF"/>
          <w:lang w:eastAsia="ru-RU"/>
        </w:rPr>
        <w:t xml:space="preserve"> al produselor </w:t>
      </w:r>
      <w:proofErr w:type="spellStart"/>
      <w:r w:rsidRPr="00125FAF">
        <w:rPr>
          <w:rFonts w:ascii="Times New Roman" w:eastAsia="Times New Roman" w:hAnsi="Times New Roman" w:cs="Times New Roman"/>
          <w:iCs/>
          <w:color w:val="000000"/>
          <w:sz w:val="24"/>
          <w:szCs w:val="24"/>
          <w:shd w:val="clear" w:color="auto" w:fill="FFFFFF"/>
          <w:lang w:eastAsia="ru-RU"/>
        </w:rPr>
        <w:t>şi</w:t>
      </w:r>
      <w:proofErr w:type="spellEnd"/>
      <w:r w:rsidRPr="00125FAF">
        <w:rPr>
          <w:rFonts w:ascii="Times New Roman" w:eastAsia="Times New Roman" w:hAnsi="Times New Roman" w:cs="Times New Roman"/>
          <w:iCs/>
          <w:color w:val="000000"/>
          <w:sz w:val="24"/>
          <w:szCs w:val="24"/>
          <w:shd w:val="clear" w:color="auto" w:fill="FFFFFF"/>
          <w:lang w:eastAsia="ru-RU"/>
        </w:rPr>
        <w:t xml:space="preserve"> echipamentelor cu hidrofluorcarburi, </w:t>
      </w:r>
      <w:proofErr w:type="spellStart"/>
      <w:r w:rsidRPr="00125FAF">
        <w:rPr>
          <w:rFonts w:ascii="Times New Roman" w:eastAsia="Times New Roman" w:hAnsi="Times New Roman" w:cs="Times New Roman"/>
          <w:iCs/>
          <w:color w:val="000000"/>
          <w:sz w:val="24"/>
          <w:szCs w:val="24"/>
          <w:shd w:val="clear" w:color="auto" w:fill="FFFFFF"/>
          <w:lang w:eastAsia="ru-RU"/>
        </w:rPr>
        <w:t>perfluorcarburi</w:t>
      </w:r>
      <w:proofErr w:type="spellEnd"/>
      <w:r w:rsidRPr="00125FAF">
        <w:rPr>
          <w:rFonts w:ascii="Times New Roman" w:eastAsia="Times New Roman" w:hAnsi="Times New Roman" w:cs="Times New Roman"/>
          <w:iCs/>
          <w:color w:val="000000"/>
          <w:sz w:val="24"/>
          <w:szCs w:val="24"/>
          <w:shd w:val="clear" w:color="auto" w:fill="FFFFFF"/>
          <w:lang w:eastAsia="ru-RU"/>
        </w:rPr>
        <w:t xml:space="preserve"> </w:t>
      </w:r>
      <w:proofErr w:type="spellStart"/>
      <w:r w:rsidRPr="00125FAF">
        <w:rPr>
          <w:rFonts w:ascii="Times New Roman" w:eastAsia="Times New Roman" w:hAnsi="Times New Roman" w:cs="Times New Roman"/>
          <w:iCs/>
          <w:color w:val="000000"/>
          <w:sz w:val="24"/>
          <w:szCs w:val="24"/>
          <w:shd w:val="clear" w:color="auto" w:fill="FFFFFF"/>
          <w:lang w:eastAsia="ru-RU"/>
        </w:rPr>
        <w:t>şi</w:t>
      </w:r>
      <w:proofErr w:type="spellEnd"/>
      <w:r w:rsidRPr="00125FAF">
        <w:rPr>
          <w:rFonts w:ascii="Times New Roman" w:eastAsia="Times New Roman" w:hAnsi="Times New Roman" w:cs="Times New Roman"/>
          <w:iCs/>
          <w:color w:val="000000"/>
          <w:sz w:val="24"/>
          <w:szCs w:val="24"/>
          <w:shd w:val="clear" w:color="auto" w:fill="FFFFFF"/>
          <w:lang w:eastAsia="ru-RU"/>
        </w:rPr>
        <w:t xml:space="preserve"> </w:t>
      </w:r>
      <w:proofErr w:type="spellStart"/>
      <w:r w:rsidRPr="00125FAF">
        <w:rPr>
          <w:rFonts w:ascii="Times New Roman" w:eastAsia="Times New Roman" w:hAnsi="Times New Roman" w:cs="Times New Roman"/>
          <w:iCs/>
          <w:color w:val="000000"/>
          <w:sz w:val="24"/>
          <w:szCs w:val="24"/>
          <w:shd w:val="clear" w:color="auto" w:fill="FFFFFF"/>
          <w:lang w:eastAsia="ru-RU"/>
        </w:rPr>
        <w:t>hexafluorid</w:t>
      </w:r>
      <w:proofErr w:type="spellEnd"/>
      <w:r w:rsidRPr="00125FAF">
        <w:rPr>
          <w:rFonts w:ascii="Times New Roman" w:eastAsia="Times New Roman" w:hAnsi="Times New Roman" w:cs="Times New Roman"/>
          <w:iCs/>
          <w:color w:val="000000"/>
          <w:sz w:val="24"/>
          <w:szCs w:val="24"/>
          <w:shd w:val="clear" w:color="auto" w:fill="FFFFFF"/>
          <w:lang w:eastAsia="ru-RU"/>
        </w:rPr>
        <w:t xml:space="preserve"> de sulf;</w:t>
      </w:r>
    </w:p>
    <w:p w14:paraId="381100F5" w14:textId="77777777" w:rsidR="006364B2" w:rsidRPr="00125FAF" w:rsidRDefault="006364B2" w:rsidP="006364B2">
      <w:pPr>
        <w:spacing w:after="0" w:line="240" w:lineRule="auto"/>
        <w:ind w:firstLine="720"/>
        <w:jc w:val="both"/>
        <w:rPr>
          <w:rFonts w:ascii="Times New Roman" w:eastAsia="Times New Roman" w:hAnsi="Times New Roman" w:cs="Times New Roman"/>
          <w:iCs/>
          <w:sz w:val="24"/>
          <w:szCs w:val="24"/>
          <w:lang w:eastAsia="ru-RU"/>
        </w:rPr>
      </w:pPr>
      <w:r w:rsidRPr="00125FAF">
        <w:rPr>
          <w:rFonts w:ascii="Times New Roman" w:eastAsia="Times New Roman" w:hAnsi="Times New Roman" w:cs="Times New Roman"/>
          <w:iCs/>
          <w:color w:val="000000"/>
          <w:sz w:val="24"/>
          <w:szCs w:val="24"/>
          <w:shd w:val="clear" w:color="auto" w:fill="FFFFFF"/>
          <w:lang w:eastAsia="ru-RU"/>
        </w:rPr>
        <w:t xml:space="preserve">f) actualizarea Codului de bune practici în domeniul frigului </w:t>
      </w:r>
      <w:proofErr w:type="spellStart"/>
      <w:r w:rsidRPr="00125FAF">
        <w:rPr>
          <w:rFonts w:ascii="Times New Roman" w:eastAsia="Times New Roman" w:hAnsi="Times New Roman" w:cs="Times New Roman"/>
          <w:iCs/>
          <w:color w:val="000000"/>
          <w:sz w:val="24"/>
          <w:szCs w:val="24"/>
          <w:shd w:val="clear" w:color="auto" w:fill="FFFFFF"/>
          <w:lang w:eastAsia="ru-RU"/>
        </w:rPr>
        <w:t>şi</w:t>
      </w:r>
      <w:proofErr w:type="spellEnd"/>
      <w:r w:rsidRPr="00125FAF">
        <w:rPr>
          <w:rFonts w:ascii="Times New Roman" w:eastAsia="Times New Roman" w:hAnsi="Times New Roman" w:cs="Times New Roman"/>
          <w:iCs/>
          <w:color w:val="000000"/>
          <w:sz w:val="24"/>
          <w:szCs w:val="24"/>
          <w:shd w:val="clear" w:color="auto" w:fill="FFFFFF"/>
          <w:lang w:eastAsia="ru-RU"/>
        </w:rPr>
        <w:t xml:space="preserve"> </w:t>
      </w:r>
      <w:proofErr w:type="spellStart"/>
      <w:r w:rsidRPr="00125FAF">
        <w:rPr>
          <w:rFonts w:ascii="Times New Roman" w:eastAsia="Times New Roman" w:hAnsi="Times New Roman" w:cs="Times New Roman"/>
          <w:iCs/>
          <w:color w:val="000000"/>
          <w:sz w:val="24"/>
          <w:szCs w:val="24"/>
          <w:shd w:val="clear" w:color="auto" w:fill="FFFFFF"/>
          <w:lang w:eastAsia="ru-RU"/>
        </w:rPr>
        <w:t>condiţionării</w:t>
      </w:r>
      <w:proofErr w:type="spellEnd"/>
      <w:r w:rsidRPr="00125FAF">
        <w:rPr>
          <w:rFonts w:ascii="Times New Roman" w:eastAsia="Times New Roman" w:hAnsi="Times New Roman" w:cs="Times New Roman"/>
          <w:iCs/>
          <w:color w:val="000000"/>
          <w:sz w:val="24"/>
          <w:szCs w:val="24"/>
          <w:shd w:val="clear" w:color="auto" w:fill="FFFFFF"/>
          <w:lang w:eastAsia="ru-RU"/>
        </w:rPr>
        <w:t xml:space="preserve"> aerului, instruirea obligatorie </w:t>
      </w:r>
      <w:proofErr w:type="spellStart"/>
      <w:r w:rsidRPr="00125FAF">
        <w:rPr>
          <w:rFonts w:ascii="Times New Roman" w:eastAsia="Times New Roman" w:hAnsi="Times New Roman" w:cs="Times New Roman"/>
          <w:iCs/>
          <w:color w:val="000000"/>
          <w:sz w:val="24"/>
          <w:szCs w:val="24"/>
          <w:shd w:val="clear" w:color="auto" w:fill="FFFFFF"/>
          <w:lang w:eastAsia="ru-RU"/>
        </w:rPr>
        <w:t>şi</w:t>
      </w:r>
      <w:proofErr w:type="spellEnd"/>
      <w:r w:rsidRPr="00125FAF">
        <w:rPr>
          <w:rFonts w:ascii="Times New Roman" w:eastAsia="Times New Roman" w:hAnsi="Times New Roman" w:cs="Times New Roman"/>
          <w:iCs/>
          <w:color w:val="000000"/>
          <w:sz w:val="24"/>
          <w:szCs w:val="24"/>
          <w:shd w:val="clear" w:color="auto" w:fill="FFFFFF"/>
          <w:lang w:eastAsia="ru-RU"/>
        </w:rPr>
        <w:t xml:space="preserve"> certificarea tehnicienilor din sectorul frigorific </w:t>
      </w:r>
      <w:proofErr w:type="spellStart"/>
      <w:r w:rsidRPr="00125FAF">
        <w:rPr>
          <w:rFonts w:ascii="Times New Roman" w:eastAsia="Times New Roman" w:hAnsi="Times New Roman" w:cs="Times New Roman"/>
          <w:iCs/>
          <w:color w:val="000000"/>
          <w:sz w:val="24"/>
          <w:szCs w:val="24"/>
          <w:shd w:val="clear" w:color="auto" w:fill="FFFFFF"/>
          <w:lang w:eastAsia="ru-RU"/>
        </w:rPr>
        <w:t>şi</w:t>
      </w:r>
      <w:proofErr w:type="spellEnd"/>
      <w:r w:rsidRPr="00125FAF">
        <w:rPr>
          <w:rFonts w:ascii="Times New Roman" w:eastAsia="Times New Roman" w:hAnsi="Times New Roman" w:cs="Times New Roman"/>
          <w:iCs/>
          <w:color w:val="000000"/>
          <w:sz w:val="24"/>
          <w:szCs w:val="24"/>
          <w:shd w:val="clear" w:color="auto" w:fill="FFFFFF"/>
          <w:lang w:eastAsia="ru-RU"/>
        </w:rPr>
        <w:t xml:space="preserve"> de aer </w:t>
      </w:r>
      <w:proofErr w:type="spellStart"/>
      <w:r w:rsidRPr="00125FAF">
        <w:rPr>
          <w:rFonts w:ascii="Times New Roman" w:eastAsia="Times New Roman" w:hAnsi="Times New Roman" w:cs="Times New Roman"/>
          <w:iCs/>
          <w:color w:val="000000"/>
          <w:sz w:val="24"/>
          <w:szCs w:val="24"/>
          <w:shd w:val="clear" w:color="auto" w:fill="FFFFFF"/>
          <w:lang w:eastAsia="ru-RU"/>
        </w:rPr>
        <w:t>condiţionat</w:t>
      </w:r>
      <w:proofErr w:type="spellEnd"/>
      <w:r w:rsidRPr="00125FAF">
        <w:rPr>
          <w:rFonts w:ascii="Times New Roman" w:eastAsia="Times New Roman" w:hAnsi="Times New Roman" w:cs="Times New Roman"/>
          <w:iCs/>
          <w:color w:val="000000"/>
          <w:sz w:val="24"/>
          <w:szCs w:val="24"/>
          <w:shd w:val="clear" w:color="auto" w:fill="FFFFFF"/>
          <w:lang w:eastAsia="ru-RU"/>
        </w:rPr>
        <w:t>;</w:t>
      </w:r>
    </w:p>
    <w:p w14:paraId="7F5E7E68" w14:textId="77777777" w:rsidR="006364B2" w:rsidRPr="00125FAF" w:rsidRDefault="006364B2" w:rsidP="001F2F2D">
      <w:pPr>
        <w:spacing w:after="120" w:line="240" w:lineRule="auto"/>
        <w:ind w:firstLine="720"/>
        <w:jc w:val="both"/>
        <w:rPr>
          <w:rFonts w:ascii="Times New Roman" w:eastAsia="Times New Roman" w:hAnsi="Times New Roman" w:cs="Times New Roman"/>
          <w:iCs/>
          <w:sz w:val="24"/>
          <w:szCs w:val="24"/>
          <w:lang w:eastAsia="ru-RU"/>
        </w:rPr>
      </w:pPr>
      <w:r w:rsidRPr="00125FAF">
        <w:rPr>
          <w:rFonts w:ascii="Times New Roman" w:eastAsia="Times New Roman" w:hAnsi="Times New Roman" w:cs="Times New Roman"/>
          <w:iCs/>
          <w:color w:val="000000"/>
          <w:sz w:val="24"/>
          <w:szCs w:val="24"/>
          <w:shd w:val="clear" w:color="auto" w:fill="FFFFFF"/>
          <w:lang w:eastAsia="ru-RU"/>
        </w:rPr>
        <w:t xml:space="preserve">g) reducerea </w:t>
      </w:r>
      <w:proofErr w:type="spellStart"/>
      <w:r w:rsidRPr="00125FAF">
        <w:rPr>
          <w:rFonts w:ascii="Times New Roman" w:eastAsia="Times New Roman" w:hAnsi="Times New Roman" w:cs="Times New Roman"/>
          <w:iCs/>
          <w:color w:val="000000"/>
          <w:sz w:val="24"/>
          <w:szCs w:val="24"/>
          <w:shd w:val="clear" w:color="auto" w:fill="FFFFFF"/>
          <w:lang w:eastAsia="ru-RU"/>
        </w:rPr>
        <w:t>eşalonată</w:t>
      </w:r>
      <w:proofErr w:type="spellEnd"/>
      <w:r w:rsidRPr="00125FAF">
        <w:rPr>
          <w:rFonts w:ascii="Times New Roman" w:eastAsia="Times New Roman" w:hAnsi="Times New Roman" w:cs="Times New Roman"/>
          <w:iCs/>
          <w:color w:val="000000"/>
          <w:sz w:val="24"/>
          <w:szCs w:val="24"/>
          <w:shd w:val="clear" w:color="auto" w:fill="FFFFFF"/>
          <w:lang w:eastAsia="ru-RU"/>
        </w:rPr>
        <w:t xml:space="preserve"> a consumului de hidrofluorcarburi prin </w:t>
      </w:r>
      <w:proofErr w:type="spellStart"/>
      <w:r w:rsidRPr="00125FAF">
        <w:rPr>
          <w:rFonts w:ascii="Times New Roman" w:eastAsia="Times New Roman" w:hAnsi="Times New Roman" w:cs="Times New Roman"/>
          <w:iCs/>
          <w:color w:val="000000"/>
          <w:sz w:val="24"/>
          <w:szCs w:val="24"/>
          <w:shd w:val="clear" w:color="auto" w:fill="FFFFFF"/>
          <w:lang w:eastAsia="ru-RU"/>
        </w:rPr>
        <w:t>retrofitul</w:t>
      </w:r>
      <w:proofErr w:type="spellEnd"/>
      <w:r w:rsidRPr="00125FAF">
        <w:rPr>
          <w:rFonts w:ascii="Times New Roman" w:eastAsia="Times New Roman" w:hAnsi="Times New Roman" w:cs="Times New Roman"/>
          <w:iCs/>
          <w:color w:val="000000"/>
          <w:sz w:val="24"/>
          <w:szCs w:val="24"/>
          <w:shd w:val="clear" w:color="auto" w:fill="FFFFFF"/>
          <w:lang w:eastAsia="ru-RU"/>
        </w:rPr>
        <w:t xml:space="preserve"> </w:t>
      </w:r>
      <w:proofErr w:type="spellStart"/>
      <w:r w:rsidRPr="00125FAF">
        <w:rPr>
          <w:rFonts w:ascii="Times New Roman" w:eastAsia="Times New Roman" w:hAnsi="Times New Roman" w:cs="Times New Roman"/>
          <w:iCs/>
          <w:color w:val="000000"/>
          <w:sz w:val="24"/>
          <w:szCs w:val="24"/>
          <w:shd w:val="clear" w:color="auto" w:fill="FFFFFF"/>
          <w:lang w:eastAsia="ru-RU"/>
        </w:rPr>
        <w:t>şi</w:t>
      </w:r>
      <w:proofErr w:type="spellEnd"/>
      <w:r w:rsidRPr="00125FAF">
        <w:rPr>
          <w:rFonts w:ascii="Times New Roman" w:eastAsia="Times New Roman" w:hAnsi="Times New Roman" w:cs="Times New Roman"/>
          <w:iCs/>
          <w:color w:val="000000"/>
          <w:sz w:val="24"/>
          <w:szCs w:val="24"/>
          <w:shd w:val="clear" w:color="auto" w:fill="FFFFFF"/>
          <w:lang w:eastAsia="ru-RU"/>
        </w:rPr>
        <w:t xml:space="preserve"> reutilarea echipamentelor frigorifice </w:t>
      </w:r>
      <w:proofErr w:type="spellStart"/>
      <w:r w:rsidRPr="00125FAF">
        <w:rPr>
          <w:rFonts w:ascii="Times New Roman" w:eastAsia="Times New Roman" w:hAnsi="Times New Roman" w:cs="Times New Roman"/>
          <w:iCs/>
          <w:color w:val="000000"/>
          <w:sz w:val="24"/>
          <w:szCs w:val="24"/>
          <w:shd w:val="clear" w:color="auto" w:fill="FFFFFF"/>
          <w:lang w:eastAsia="ru-RU"/>
        </w:rPr>
        <w:t>şi</w:t>
      </w:r>
      <w:proofErr w:type="spellEnd"/>
      <w:r w:rsidRPr="00125FAF">
        <w:rPr>
          <w:rFonts w:ascii="Times New Roman" w:eastAsia="Times New Roman" w:hAnsi="Times New Roman" w:cs="Times New Roman"/>
          <w:iCs/>
          <w:color w:val="000000"/>
          <w:sz w:val="24"/>
          <w:szCs w:val="24"/>
          <w:shd w:val="clear" w:color="auto" w:fill="FFFFFF"/>
          <w:lang w:eastAsia="ru-RU"/>
        </w:rPr>
        <w:t xml:space="preserve"> de </w:t>
      </w:r>
      <w:proofErr w:type="spellStart"/>
      <w:r w:rsidRPr="00125FAF">
        <w:rPr>
          <w:rFonts w:ascii="Times New Roman" w:eastAsia="Times New Roman" w:hAnsi="Times New Roman" w:cs="Times New Roman"/>
          <w:iCs/>
          <w:color w:val="000000"/>
          <w:sz w:val="24"/>
          <w:szCs w:val="24"/>
          <w:shd w:val="clear" w:color="auto" w:fill="FFFFFF"/>
          <w:lang w:eastAsia="ru-RU"/>
        </w:rPr>
        <w:t>condiţionare</w:t>
      </w:r>
      <w:proofErr w:type="spellEnd"/>
      <w:r w:rsidRPr="00125FAF">
        <w:rPr>
          <w:rFonts w:ascii="Times New Roman" w:eastAsia="Times New Roman" w:hAnsi="Times New Roman" w:cs="Times New Roman"/>
          <w:iCs/>
          <w:color w:val="000000"/>
          <w:sz w:val="24"/>
          <w:szCs w:val="24"/>
          <w:shd w:val="clear" w:color="auto" w:fill="FFFFFF"/>
          <w:lang w:eastAsia="ru-RU"/>
        </w:rPr>
        <w:t xml:space="preserve"> a aerului cu freoni alternativi de </w:t>
      </w:r>
      <w:proofErr w:type="spellStart"/>
      <w:r w:rsidRPr="00125FAF">
        <w:rPr>
          <w:rFonts w:ascii="Times New Roman" w:eastAsia="Times New Roman" w:hAnsi="Times New Roman" w:cs="Times New Roman"/>
          <w:iCs/>
          <w:color w:val="000000"/>
          <w:sz w:val="24"/>
          <w:szCs w:val="24"/>
          <w:shd w:val="clear" w:color="auto" w:fill="FFFFFF"/>
          <w:lang w:eastAsia="ru-RU"/>
        </w:rPr>
        <w:t>generaţie</w:t>
      </w:r>
      <w:proofErr w:type="spellEnd"/>
      <w:r w:rsidRPr="00125FAF">
        <w:rPr>
          <w:rFonts w:ascii="Times New Roman" w:eastAsia="Times New Roman" w:hAnsi="Times New Roman" w:cs="Times New Roman"/>
          <w:iCs/>
          <w:color w:val="000000"/>
          <w:sz w:val="24"/>
          <w:szCs w:val="24"/>
          <w:shd w:val="clear" w:color="auto" w:fill="FFFFFF"/>
          <w:lang w:eastAsia="ru-RU"/>
        </w:rPr>
        <w:t xml:space="preserve"> nouă.</w:t>
      </w:r>
    </w:p>
    <w:p w14:paraId="72D821BA" w14:textId="70E27EA9" w:rsidR="00925D14" w:rsidRPr="00125FAF" w:rsidRDefault="006364B2" w:rsidP="001F2F2D">
      <w:pPr>
        <w:spacing w:after="120" w:line="240" w:lineRule="auto"/>
        <w:ind w:firstLine="720"/>
        <w:jc w:val="both"/>
        <w:rPr>
          <w:rFonts w:ascii="Times New Roman" w:eastAsia="Times New Roman" w:hAnsi="Times New Roman" w:cs="Times New Roman"/>
          <w:iCs/>
          <w:color w:val="000000"/>
          <w:sz w:val="24"/>
          <w:szCs w:val="24"/>
          <w:shd w:val="clear" w:color="auto" w:fill="FFFFFF"/>
          <w:lang w:eastAsia="ru-RU"/>
        </w:rPr>
      </w:pPr>
      <w:r w:rsidRPr="00125FAF">
        <w:rPr>
          <w:rFonts w:ascii="Times New Roman" w:eastAsia="Times New Roman" w:hAnsi="Times New Roman" w:cs="Times New Roman"/>
          <w:b/>
          <w:iCs/>
          <w:color w:val="000000"/>
          <w:sz w:val="24"/>
          <w:szCs w:val="24"/>
          <w:shd w:val="clear" w:color="auto" w:fill="FFFFFF"/>
          <w:lang w:eastAsia="ru-RU"/>
        </w:rPr>
        <w:t>Indicatori</w:t>
      </w:r>
      <w:r w:rsidR="00C074BC" w:rsidRPr="00125FAF">
        <w:rPr>
          <w:rFonts w:ascii="Times New Roman" w:eastAsia="Times New Roman" w:hAnsi="Times New Roman" w:cs="Times New Roman"/>
          <w:b/>
          <w:iCs/>
          <w:color w:val="000000"/>
          <w:sz w:val="24"/>
          <w:szCs w:val="24"/>
          <w:shd w:val="clear" w:color="auto" w:fill="FFFFFF"/>
          <w:lang w:eastAsia="ru-RU"/>
        </w:rPr>
        <w:t>i</w:t>
      </w:r>
      <w:r w:rsidRPr="00125FAF">
        <w:rPr>
          <w:rFonts w:ascii="Times New Roman" w:eastAsia="Times New Roman" w:hAnsi="Times New Roman" w:cs="Times New Roman"/>
          <w:b/>
          <w:iCs/>
          <w:color w:val="000000"/>
          <w:sz w:val="24"/>
          <w:szCs w:val="24"/>
          <w:shd w:val="clear" w:color="auto" w:fill="FFFFFF"/>
          <w:lang w:eastAsia="ru-RU"/>
        </w:rPr>
        <w:t xml:space="preserve"> de progres</w:t>
      </w:r>
      <w:r w:rsidR="00B614FB" w:rsidRPr="00125FAF">
        <w:rPr>
          <w:rFonts w:ascii="Times New Roman" w:eastAsia="Times New Roman" w:hAnsi="Times New Roman" w:cs="Times New Roman"/>
          <w:b/>
          <w:iCs/>
          <w:color w:val="000000"/>
          <w:sz w:val="24"/>
          <w:szCs w:val="24"/>
          <w:shd w:val="clear" w:color="auto" w:fill="FFFFFF"/>
          <w:lang w:eastAsia="ru-RU"/>
        </w:rPr>
        <w:t xml:space="preserve"> </w:t>
      </w:r>
      <w:r w:rsidR="00B614FB" w:rsidRPr="00125FAF">
        <w:rPr>
          <w:rFonts w:ascii="Times New Roman" w:eastAsia="Times New Roman" w:hAnsi="Times New Roman" w:cs="Times New Roman"/>
          <w:iCs/>
          <w:color w:val="000000"/>
          <w:sz w:val="24"/>
          <w:szCs w:val="24"/>
          <w:shd w:val="clear" w:color="auto" w:fill="FFFFFF"/>
          <w:lang w:eastAsia="ru-RU"/>
        </w:rPr>
        <w:t xml:space="preserve">corespund cu </w:t>
      </w:r>
      <w:proofErr w:type="spellStart"/>
      <w:r w:rsidR="00B614FB" w:rsidRPr="00125FAF">
        <w:rPr>
          <w:rFonts w:ascii="Times New Roman" w:eastAsia="Times New Roman" w:hAnsi="Times New Roman" w:cs="Times New Roman"/>
          <w:iCs/>
          <w:color w:val="000000"/>
          <w:sz w:val="24"/>
          <w:szCs w:val="24"/>
          <w:shd w:val="clear" w:color="auto" w:fill="FFFFFF"/>
          <w:lang w:eastAsia="ru-RU"/>
        </w:rPr>
        <w:t>ţintele</w:t>
      </w:r>
      <w:proofErr w:type="spellEnd"/>
      <w:r w:rsidR="00B614FB" w:rsidRPr="00125FAF">
        <w:rPr>
          <w:rFonts w:ascii="Times New Roman" w:eastAsia="Times New Roman" w:hAnsi="Times New Roman" w:cs="Times New Roman"/>
          <w:iCs/>
          <w:color w:val="000000"/>
          <w:sz w:val="24"/>
          <w:szCs w:val="24"/>
          <w:shd w:val="clear" w:color="auto" w:fill="FFFFFF"/>
          <w:lang w:eastAsia="ru-RU"/>
        </w:rPr>
        <w:t xml:space="preserve"> de reducere a emisiilor de GES către anul 2025 </w:t>
      </w:r>
      <w:proofErr w:type="spellStart"/>
      <w:r w:rsidR="00B614FB" w:rsidRPr="00125FAF">
        <w:rPr>
          <w:rFonts w:ascii="Times New Roman" w:eastAsia="Times New Roman" w:hAnsi="Times New Roman" w:cs="Times New Roman"/>
          <w:iCs/>
          <w:color w:val="000000"/>
          <w:sz w:val="24"/>
          <w:szCs w:val="24"/>
          <w:shd w:val="clear" w:color="auto" w:fill="FFFFFF"/>
          <w:lang w:eastAsia="ru-RU"/>
        </w:rPr>
        <w:t>şi</w:t>
      </w:r>
      <w:proofErr w:type="spellEnd"/>
      <w:r w:rsidR="00B614FB" w:rsidRPr="00125FAF">
        <w:rPr>
          <w:rFonts w:ascii="Times New Roman" w:eastAsia="Times New Roman" w:hAnsi="Times New Roman" w:cs="Times New Roman"/>
          <w:iCs/>
          <w:color w:val="000000"/>
          <w:sz w:val="24"/>
          <w:szCs w:val="24"/>
          <w:shd w:val="clear" w:color="auto" w:fill="FFFFFF"/>
          <w:lang w:eastAsia="ru-RU"/>
        </w:rPr>
        <w:t xml:space="preserve"> 2030 </w:t>
      </w:r>
      <w:proofErr w:type="spellStart"/>
      <w:r w:rsidR="00B614FB" w:rsidRPr="00125FAF">
        <w:rPr>
          <w:rFonts w:ascii="Times New Roman" w:eastAsia="Times New Roman" w:hAnsi="Times New Roman" w:cs="Times New Roman"/>
          <w:iCs/>
          <w:color w:val="000000"/>
          <w:sz w:val="24"/>
          <w:szCs w:val="24"/>
          <w:shd w:val="clear" w:color="auto" w:fill="FFFFFF"/>
          <w:lang w:eastAsia="ru-RU"/>
        </w:rPr>
        <w:t>faţă</w:t>
      </w:r>
      <w:proofErr w:type="spellEnd"/>
      <w:r w:rsidR="00B614FB" w:rsidRPr="00125FAF">
        <w:rPr>
          <w:rFonts w:ascii="Times New Roman" w:eastAsia="Times New Roman" w:hAnsi="Times New Roman" w:cs="Times New Roman"/>
          <w:iCs/>
          <w:color w:val="000000"/>
          <w:sz w:val="24"/>
          <w:szCs w:val="24"/>
          <w:shd w:val="clear" w:color="auto" w:fill="FFFFFF"/>
          <w:lang w:eastAsia="ru-RU"/>
        </w:rPr>
        <w:t xml:space="preserve"> de anul 1990 expuse în Tabelul</w:t>
      </w:r>
      <w:r w:rsidR="00CE464D">
        <w:rPr>
          <w:rFonts w:ascii="Times New Roman" w:eastAsia="Times New Roman" w:hAnsi="Times New Roman" w:cs="Times New Roman"/>
          <w:iCs/>
          <w:color w:val="000000"/>
          <w:sz w:val="24"/>
          <w:szCs w:val="24"/>
          <w:shd w:val="clear" w:color="auto" w:fill="FFFFFF"/>
          <w:lang w:eastAsia="ru-RU"/>
        </w:rPr>
        <w:t>4</w:t>
      </w:r>
      <w:r w:rsidR="00B614FB" w:rsidRPr="00125FAF">
        <w:rPr>
          <w:rFonts w:ascii="Times New Roman" w:eastAsia="Times New Roman" w:hAnsi="Times New Roman" w:cs="Times New Roman"/>
          <w:iCs/>
          <w:color w:val="000000"/>
          <w:sz w:val="24"/>
          <w:szCs w:val="24"/>
          <w:shd w:val="clear" w:color="auto" w:fill="FFFFFF"/>
          <w:lang w:eastAsia="ru-RU"/>
        </w:rPr>
        <w:t>.2 pentru sectorul industrial.</w:t>
      </w:r>
    </w:p>
    <w:p w14:paraId="14480482" w14:textId="061D95F2" w:rsidR="005D2FA7" w:rsidRPr="00125FAF" w:rsidRDefault="00726442" w:rsidP="00E70219">
      <w:pPr>
        <w:spacing w:after="120" w:line="240" w:lineRule="auto"/>
        <w:ind w:firstLine="810"/>
        <w:jc w:val="both"/>
        <w:rPr>
          <w:rFonts w:ascii="Times New Roman" w:eastAsia="Times New Roman" w:hAnsi="Times New Roman" w:cs="Times New Roman"/>
          <w:iCs/>
          <w:color w:val="000000"/>
          <w:sz w:val="24"/>
          <w:szCs w:val="24"/>
          <w:shd w:val="clear" w:color="auto" w:fill="FFFFFF"/>
          <w:lang w:eastAsia="ru-RU"/>
        </w:rPr>
      </w:pPr>
      <w:r w:rsidRPr="00125FAF">
        <w:rPr>
          <w:rFonts w:ascii="Times New Roman" w:eastAsia="Times New Roman" w:hAnsi="Times New Roman" w:cs="Times New Roman"/>
          <w:iCs/>
          <w:color w:val="000000"/>
          <w:sz w:val="24"/>
          <w:szCs w:val="24"/>
          <w:shd w:val="clear" w:color="auto" w:fill="FFFFFF"/>
          <w:lang w:eastAsia="ru-RU"/>
        </w:rPr>
        <w:t>3</w:t>
      </w:r>
      <w:r w:rsidR="007909C8" w:rsidRPr="00125FAF">
        <w:rPr>
          <w:rFonts w:ascii="Times New Roman" w:eastAsia="Times New Roman" w:hAnsi="Times New Roman" w:cs="Times New Roman"/>
          <w:iCs/>
          <w:color w:val="000000"/>
          <w:sz w:val="24"/>
          <w:szCs w:val="24"/>
          <w:shd w:val="clear" w:color="auto" w:fill="FFFFFF"/>
          <w:lang w:eastAsia="ru-RU"/>
        </w:rPr>
        <w:t>9</w:t>
      </w:r>
      <w:r w:rsidR="00A879FE" w:rsidRPr="00125FAF">
        <w:rPr>
          <w:rFonts w:ascii="Times New Roman" w:eastAsia="Times New Roman" w:hAnsi="Times New Roman" w:cs="Times New Roman"/>
          <w:iCs/>
          <w:color w:val="000000"/>
          <w:sz w:val="24"/>
          <w:szCs w:val="24"/>
          <w:shd w:val="clear" w:color="auto" w:fill="FFFFFF"/>
          <w:lang w:eastAsia="ru-RU"/>
        </w:rPr>
        <w:t xml:space="preserve">. </w:t>
      </w:r>
      <w:proofErr w:type="spellStart"/>
      <w:r w:rsidR="005D2FA7" w:rsidRPr="00125FAF">
        <w:rPr>
          <w:rFonts w:ascii="Times New Roman" w:eastAsia="Times New Roman" w:hAnsi="Times New Roman" w:cs="Times New Roman"/>
          <w:iCs/>
          <w:color w:val="000000"/>
          <w:sz w:val="24"/>
          <w:szCs w:val="24"/>
          <w:shd w:val="clear" w:color="auto" w:fill="FFFFFF"/>
          <w:lang w:eastAsia="ru-RU"/>
        </w:rPr>
        <w:t>Acţiunile</w:t>
      </w:r>
      <w:proofErr w:type="spellEnd"/>
      <w:r w:rsidR="005D2FA7" w:rsidRPr="00125FAF">
        <w:rPr>
          <w:rFonts w:ascii="Times New Roman" w:eastAsia="Times New Roman" w:hAnsi="Times New Roman" w:cs="Times New Roman"/>
          <w:iCs/>
          <w:color w:val="000000"/>
          <w:sz w:val="24"/>
          <w:szCs w:val="24"/>
          <w:shd w:val="clear" w:color="auto" w:fill="FFFFFF"/>
          <w:lang w:eastAsia="ru-RU"/>
        </w:rPr>
        <w:t xml:space="preserve"> prioritare de atenuare a emisiilor de GES în </w:t>
      </w:r>
      <w:r w:rsidR="005D2FA7" w:rsidRPr="00125FAF">
        <w:rPr>
          <w:rFonts w:ascii="Times New Roman" w:eastAsia="Times New Roman" w:hAnsi="Times New Roman" w:cs="Times New Roman"/>
          <w:b/>
          <w:bCs/>
          <w:iCs/>
          <w:color w:val="000000"/>
          <w:sz w:val="24"/>
          <w:szCs w:val="24"/>
          <w:shd w:val="clear" w:color="auto" w:fill="FFFFFF"/>
          <w:lang w:eastAsia="ru-RU"/>
        </w:rPr>
        <w:t>sectorul agricol</w:t>
      </w:r>
      <w:r w:rsidR="005D2FA7" w:rsidRPr="00125FAF">
        <w:rPr>
          <w:rFonts w:ascii="Times New Roman" w:eastAsia="Times New Roman" w:hAnsi="Times New Roman" w:cs="Times New Roman"/>
          <w:iCs/>
          <w:color w:val="000000"/>
          <w:sz w:val="24"/>
          <w:szCs w:val="24"/>
          <w:shd w:val="clear" w:color="auto" w:fill="FFFFFF"/>
          <w:lang w:eastAsia="ru-RU"/>
        </w:rPr>
        <w:t xml:space="preserve"> </w:t>
      </w:r>
      <w:r w:rsidR="00240049" w:rsidRPr="00125FAF">
        <w:rPr>
          <w:rFonts w:ascii="Times New Roman" w:eastAsia="Times New Roman" w:hAnsi="Times New Roman" w:cs="Times New Roman"/>
          <w:iCs/>
          <w:color w:val="000000"/>
          <w:sz w:val="24"/>
          <w:szCs w:val="24"/>
          <w:shd w:val="clear" w:color="auto" w:fill="FFFFFF"/>
          <w:lang w:eastAsia="ru-RU"/>
        </w:rPr>
        <w:t xml:space="preserve">rezidă în crearea unui bilanț cât mai favorabil al carbonului în sol și menținerea fertilității solurilor pe termen lung, astfel încât producția secundară a culturilor agricole (paiele și alte reziduuri vegetale) să fie încorporate în sol </w:t>
      </w:r>
      <w:proofErr w:type="spellStart"/>
      <w:r w:rsidR="00240049" w:rsidRPr="00125FAF">
        <w:rPr>
          <w:rFonts w:ascii="Times New Roman" w:eastAsia="Times New Roman" w:hAnsi="Times New Roman" w:cs="Times New Roman"/>
          <w:iCs/>
          <w:color w:val="000000"/>
          <w:sz w:val="24"/>
          <w:szCs w:val="24"/>
          <w:shd w:val="clear" w:color="auto" w:fill="FFFFFF"/>
          <w:lang w:eastAsia="ru-RU"/>
        </w:rPr>
        <w:t>şi</w:t>
      </w:r>
      <w:proofErr w:type="spellEnd"/>
      <w:r w:rsidR="00240049" w:rsidRPr="00125FAF">
        <w:rPr>
          <w:rFonts w:ascii="Times New Roman" w:eastAsia="Times New Roman" w:hAnsi="Times New Roman" w:cs="Times New Roman"/>
          <w:iCs/>
          <w:color w:val="000000"/>
          <w:sz w:val="24"/>
          <w:szCs w:val="24"/>
          <w:shd w:val="clear" w:color="auto" w:fill="FFFFFF"/>
          <w:lang w:eastAsia="ru-RU"/>
        </w:rPr>
        <w:t xml:space="preserve"> nu utilizate ca sursă de energie, inclusiv prin</w:t>
      </w:r>
      <w:r w:rsidR="005D2FA7" w:rsidRPr="00125FAF">
        <w:rPr>
          <w:rFonts w:ascii="Times New Roman" w:eastAsia="Times New Roman" w:hAnsi="Times New Roman" w:cs="Times New Roman"/>
          <w:iCs/>
          <w:color w:val="000000"/>
          <w:sz w:val="24"/>
          <w:szCs w:val="24"/>
          <w:shd w:val="clear" w:color="auto" w:fill="FFFFFF"/>
          <w:lang w:eastAsia="ru-RU"/>
        </w:rPr>
        <w:t>:</w:t>
      </w:r>
    </w:p>
    <w:p w14:paraId="29E1B79C" w14:textId="77777777" w:rsidR="005D2FA7" w:rsidRPr="00125FAF" w:rsidRDefault="005D2FA7" w:rsidP="001F2F2D">
      <w:pPr>
        <w:spacing w:after="0" w:line="240" w:lineRule="auto"/>
        <w:ind w:firstLine="720"/>
        <w:jc w:val="both"/>
        <w:rPr>
          <w:rFonts w:ascii="Times New Roman" w:eastAsia="Times New Roman" w:hAnsi="Times New Roman" w:cs="Times New Roman"/>
          <w:iCs/>
          <w:color w:val="000000"/>
          <w:sz w:val="24"/>
          <w:szCs w:val="24"/>
          <w:shd w:val="clear" w:color="auto" w:fill="FFFFFF"/>
          <w:lang w:eastAsia="ru-RU"/>
        </w:rPr>
      </w:pPr>
      <w:r w:rsidRPr="00125FAF">
        <w:rPr>
          <w:rFonts w:ascii="Times New Roman" w:eastAsia="Times New Roman" w:hAnsi="Times New Roman" w:cs="Times New Roman"/>
          <w:iCs/>
          <w:color w:val="000000"/>
          <w:sz w:val="24"/>
          <w:szCs w:val="24"/>
          <w:shd w:val="clear" w:color="auto" w:fill="FFFFFF"/>
          <w:lang w:eastAsia="ru-RU"/>
        </w:rPr>
        <w:t>a) elaborarea, aprobarea și implementarea Programului Național privind Dezvoltarea Agriculturii Conservative.</w:t>
      </w:r>
    </w:p>
    <w:p w14:paraId="534DB7FC" w14:textId="77777777" w:rsidR="005D2FA7" w:rsidRPr="00125FAF" w:rsidRDefault="005D2FA7" w:rsidP="001F2F2D">
      <w:pPr>
        <w:spacing w:after="0" w:line="240" w:lineRule="auto"/>
        <w:ind w:firstLine="720"/>
        <w:jc w:val="both"/>
        <w:rPr>
          <w:rFonts w:ascii="Times New Roman" w:eastAsia="Times New Roman" w:hAnsi="Times New Roman" w:cs="Times New Roman"/>
          <w:iCs/>
          <w:sz w:val="24"/>
          <w:szCs w:val="24"/>
          <w:lang w:eastAsia="ru-RU"/>
        </w:rPr>
      </w:pPr>
      <w:r w:rsidRPr="00125FAF">
        <w:rPr>
          <w:rFonts w:ascii="Times New Roman" w:eastAsia="Times New Roman" w:hAnsi="Times New Roman" w:cs="Times New Roman"/>
          <w:iCs/>
          <w:color w:val="000000"/>
          <w:sz w:val="24"/>
          <w:szCs w:val="24"/>
          <w:shd w:val="clear" w:color="auto" w:fill="FFFFFF"/>
          <w:lang w:eastAsia="ru-RU"/>
        </w:rPr>
        <w:t>c) înlocuirea plugului cu grapă cu discuri grele la lucrarea de bază a solului la adâncimea de până la 20 cm;</w:t>
      </w:r>
    </w:p>
    <w:p w14:paraId="67980FFE" w14:textId="77777777" w:rsidR="005D2FA7" w:rsidRPr="00125FAF" w:rsidRDefault="005D2FA7" w:rsidP="001F2F2D">
      <w:pPr>
        <w:spacing w:after="0" w:line="240" w:lineRule="auto"/>
        <w:ind w:firstLine="720"/>
        <w:jc w:val="both"/>
        <w:rPr>
          <w:rFonts w:ascii="Times New Roman" w:eastAsia="Times New Roman" w:hAnsi="Times New Roman" w:cs="Times New Roman"/>
          <w:iCs/>
          <w:color w:val="000000"/>
          <w:sz w:val="24"/>
          <w:szCs w:val="24"/>
          <w:shd w:val="clear" w:color="auto" w:fill="FFFFFF"/>
          <w:lang w:eastAsia="ru-RU"/>
        </w:rPr>
      </w:pPr>
      <w:r w:rsidRPr="00125FAF">
        <w:rPr>
          <w:rFonts w:ascii="Times New Roman" w:eastAsia="Times New Roman" w:hAnsi="Times New Roman" w:cs="Times New Roman"/>
          <w:iCs/>
          <w:color w:val="000000"/>
          <w:sz w:val="24"/>
          <w:szCs w:val="24"/>
          <w:shd w:val="clear" w:color="auto" w:fill="FFFFFF"/>
          <w:lang w:eastAsia="ru-RU"/>
        </w:rPr>
        <w:t xml:space="preserve">d) </w:t>
      </w:r>
      <w:r w:rsidR="00240049" w:rsidRPr="00125FAF">
        <w:rPr>
          <w:rFonts w:ascii="Times New Roman" w:eastAsia="Times New Roman" w:hAnsi="Times New Roman" w:cs="Times New Roman"/>
          <w:iCs/>
          <w:color w:val="000000"/>
          <w:sz w:val="24"/>
          <w:szCs w:val="24"/>
          <w:shd w:val="clear" w:color="auto" w:fill="FFFFFF"/>
          <w:lang w:eastAsia="ru-RU"/>
        </w:rPr>
        <w:t xml:space="preserve">promovarea </w:t>
      </w:r>
      <w:r w:rsidRPr="00125FAF">
        <w:rPr>
          <w:rFonts w:ascii="Times New Roman" w:eastAsia="Times New Roman" w:hAnsi="Times New Roman" w:cs="Times New Roman"/>
          <w:iCs/>
          <w:color w:val="000000"/>
          <w:sz w:val="24"/>
          <w:szCs w:val="24"/>
          <w:shd w:val="clear" w:color="auto" w:fill="FFFFFF"/>
          <w:lang w:eastAsia="ru-RU"/>
        </w:rPr>
        <w:t>lucr</w:t>
      </w:r>
      <w:r w:rsidR="00240049" w:rsidRPr="00125FAF">
        <w:rPr>
          <w:rFonts w:ascii="Times New Roman" w:eastAsia="Times New Roman" w:hAnsi="Times New Roman" w:cs="Times New Roman"/>
          <w:iCs/>
          <w:color w:val="000000"/>
          <w:sz w:val="24"/>
          <w:szCs w:val="24"/>
          <w:shd w:val="clear" w:color="auto" w:fill="FFFFFF"/>
          <w:lang w:eastAsia="ru-RU"/>
        </w:rPr>
        <w:t xml:space="preserve">ărilor </w:t>
      </w:r>
      <w:r w:rsidRPr="00125FAF">
        <w:rPr>
          <w:rFonts w:ascii="Times New Roman" w:eastAsia="Times New Roman" w:hAnsi="Times New Roman" w:cs="Times New Roman"/>
          <w:iCs/>
          <w:color w:val="000000"/>
          <w:sz w:val="24"/>
          <w:szCs w:val="24"/>
          <w:shd w:val="clear" w:color="auto" w:fill="FFFFFF"/>
          <w:lang w:eastAsia="ru-RU"/>
        </w:rPr>
        <w:t>de bază a solului, prin utilizarea asolamentul</w:t>
      </w:r>
      <w:r w:rsidR="00240049" w:rsidRPr="00125FAF">
        <w:rPr>
          <w:rFonts w:ascii="Times New Roman" w:eastAsia="Times New Roman" w:hAnsi="Times New Roman" w:cs="Times New Roman"/>
          <w:iCs/>
          <w:color w:val="000000"/>
          <w:sz w:val="24"/>
          <w:szCs w:val="24"/>
          <w:shd w:val="clear" w:color="auto" w:fill="FFFFFF"/>
          <w:lang w:eastAsia="ru-RU"/>
        </w:rPr>
        <w:t>ui</w:t>
      </w:r>
      <w:r w:rsidRPr="00125FAF">
        <w:rPr>
          <w:rFonts w:ascii="Times New Roman" w:eastAsia="Times New Roman" w:hAnsi="Times New Roman" w:cs="Times New Roman"/>
          <w:iCs/>
          <w:color w:val="000000"/>
          <w:sz w:val="24"/>
          <w:szCs w:val="24"/>
          <w:shd w:val="clear" w:color="auto" w:fill="FFFFFF"/>
          <w:lang w:eastAsia="ru-RU"/>
        </w:rPr>
        <w:t xml:space="preserve">, </w:t>
      </w:r>
      <w:r w:rsidRPr="00125FAF">
        <w:rPr>
          <w:rFonts w:ascii="Times New Roman" w:eastAsia="Times New Roman" w:hAnsi="Times New Roman" w:cs="Times New Roman"/>
          <w:iCs/>
          <w:sz w:val="24"/>
          <w:szCs w:val="24"/>
          <w:lang w:eastAsia="ru-RU"/>
        </w:rPr>
        <w:t>în vederea acumulării în sol a azotului biologic și reducerii aplicări îngrășămintelor chimice azotoase, cuplate cu incorporarea anuală în sol a resturilor vegetale și aplicarea îngrășămintelor organice</w:t>
      </w:r>
      <w:r w:rsidRPr="00125FAF">
        <w:rPr>
          <w:rFonts w:ascii="Times New Roman" w:eastAsia="Times New Roman" w:hAnsi="Times New Roman" w:cs="Times New Roman"/>
          <w:iCs/>
          <w:color w:val="000000"/>
          <w:sz w:val="24"/>
          <w:szCs w:val="24"/>
          <w:shd w:val="clear" w:color="auto" w:fill="FFFFFF"/>
          <w:lang w:eastAsia="ru-RU"/>
        </w:rPr>
        <w:t>;</w:t>
      </w:r>
    </w:p>
    <w:p w14:paraId="4FAA6E1F" w14:textId="77777777" w:rsidR="005D2FA7" w:rsidRPr="00125FAF" w:rsidRDefault="005D2FA7" w:rsidP="001F2F2D">
      <w:pPr>
        <w:spacing w:after="0" w:line="240" w:lineRule="auto"/>
        <w:ind w:firstLine="720"/>
        <w:jc w:val="both"/>
        <w:rPr>
          <w:rFonts w:ascii="Times New Roman" w:eastAsia="Times New Roman" w:hAnsi="Times New Roman" w:cs="Times New Roman"/>
          <w:iCs/>
          <w:sz w:val="24"/>
          <w:szCs w:val="24"/>
          <w:lang w:eastAsia="ru-RU"/>
        </w:rPr>
      </w:pPr>
      <w:r w:rsidRPr="00125FAF">
        <w:rPr>
          <w:rFonts w:ascii="Times New Roman" w:eastAsia="Times New Roman" w:hAnsi="Times New Roman" w:cs="Times New Roman"/>
          <w:iCs/>
          <w:color w:val="000000"/>
          <w:sz w:val="24"/>
          <w:szCs w:val="24"/>
          <w:shd w:val="clear" w:color="auto" w:fill="FFFFFF"/>
          <w:lang w:eastAsia="ru-RU"/>
        </w:rPr>
        <w:t xml:space="preserve">e) utilizarea tehnologiei de alimentație a taurinelor prin folosirea rațiilor calculate conform unei structuri științific argumentate </w:t>
      </w:r>
      <w:proofErr w:type="spellStart"/>
      <w:r w:rsidRPr="00125FAF">
        <w:rPr>
          <w:rFonts w:ascii="Times New Roman" w:eastAsia="Times New Roman" w:hAnsi="Times New Roman" w:cs="Times New Roman"/>
          <w:iCs/>
          <w:color w:val="000000"/>
          <w:sz w:val="24"/>
          <w:szCs w:val="24"/>
          <w:shd w:val="clear" w:color="auto" w:fill="FFFFFF"/>
          <w:lang w:eastAsia="ru-RU"/>
        </w:rPr>
        <w:t>şi</w:t>
      </w:r>
      <w:proofErr w:type="spellEnd"/>
      <w:r w:rsidRPr="00125FAF">
        <w:rPr>
          <w:rFonts w:ascii="Times New Roman" w:eastAsia="Times New Roman" w:hAnsi="Times New Roman" w:cs="Times New Roman"/>
          <w:iCs/>
          <w:color w:val="000000"/>
          <w:sz w:val="24"/>
          <w:szCs w:val="24"/>
          <w:shd w:val="clear" w:color="auto" w:fill="FFFFFF"/>
          <w:lang w:eastAsia="ru-RU"/>
        </w:rPr>
        <w:t xml:space="preserve"> constituite din nutrețuri separate (fân, siloz, plante verzi, concentrate etc.), precum </w:t>
      </w:r>
      <w:proofErr w:type="spellStart"/>
      <w:r w:rsidRPr="00125FAF">
        <w:rPr>
          <w:rFonts w:ascii="Times New Roman" w:eastAsia="Times New Roman" w:hAnsi="Times New Roman" w:cs="Times New Roman"/>
          <w:iCs/>
          <w:color w:val="000000"/>
          <w:sz w:val="24"/>
          <w:szCs w:val="24"/>
          <w:shd w:val="clear" w:color="auto" w:fill="FFFFFF"/>
          <w:lang w:eastAsia="ru-RU"/>
        </w:rPr>
        <w:t>şi</w:t>
      </w:r>
      <w:proofErr w:type="spellEnd"/>
      <w:r w:rsidRPr="00125FAF">
        <w:rPr>
          <w:rFonts w:ascii="Times New Roman" w:eastAsia="Times New Roman" w:hAnsi="Times New Roman" w:cs="Times New Roman"/>
          <w:iCs/>
          <w:color w:val="000000"/>
          <w:sz w:val="24"/>
          <w:szCs w:val="24"/>
          <w:shd w:val="clear" w:color="auto" w:fill="FFFFFF"/>
          <w:lang w:eastAsia="ru-RU"/>
        </w:rPr>
        <w:t xml:space="preserve"> a unor aditivi furajeri care micșorează nivelul de formare a metanului în procesul de digestie;</w:t>
      </w:r>
    </w:p>
    <w:p w14:paraId="584F75D9" w14:textId="6F9E0D07" w:rsidR="005D2FA7" w:rsidRPr="00125FAF" w:rsidRDefault="005D2FA7" w:rsidP="001F2F2D">
      <w:pPr>
        <w:spacing w:after="0" w:line="240" w:lineRule="auto"/>
        <w:ind w:firstLine="720"/>
        <w:jc w:val="both"/>
        <w:rPr>
          <w:rFonts w:ascii="Times New Roman" w:eastAsia="Times New Roman" w:hAnsi="Times New Roman" w:cs="Times New Roman"/>
          <w:iCs/>
          <w:sz w:val="24"/>
          <w:szCs w:val="24"/>
          <w:lang w:eastAsia="ru-RU"/>
        </w:rPr>
      </w:pPr>
      <w:r w:rsidRPr="00125FAF">
        <w:rPr>
          <w:rFonts w:ascii="Times New Roman" w:eastAsia="Times New Roman" w:hAnsi="Times New Roman" w:cs="Times New Roman"/>
          <w:iCs/>
          <w:color w:val="000000"/>
          <w:sz w:val="24"/>
          <w:szCs w:val="24"/>
          <w:shd w:val="clear" w:color="auto" w:fill="FFFFFF"/>
          <w:lang w:eastAsia="ru-RU"/>
        </w:rPr>
        <w:t>f) utilizarea tehnologiei de alimentație a taurinelor prin folosirea rațiilor constituite din furaje în formă de amestecuri unice etc.</w:t>
      </w:r>
    </w:p>
    <w:p w14:paraId="7B68F6D2" w14:textId="77777777" w:rsidR="005D2FA7" w:rsidRPr="00125FAF" w:rsidRDefault="00240049" w:rsidP="001F2F2D">
      <w:pPr>
        <w:spacing w:after="0" w:line="240" w:lineRule="auto"/>
        <w:ind w:firstLine="720"/>
        <w:jc w:val="both"/>
        <w:rPr>
          <w:rFonts w:ascii="Times New Roman" w:eastAsia="Times New Roman" w:hAnsi="Times New Roman" w:cs="Times New Roman"/>
          <w:iCs/>
          <w:color w:val="000000"/>
          <w:sz w:val="24"/>
          <w:szCs w:val="24"/>
          <w:shd w:val="clear" w:color="auto" w:fill="FFFFFF"/>
          <w:lang w:eastAsia="ru-RU"/>
        </w:rPr>
      </w:pPr>
      <w:r w:rsidRPr="00125FAF">
        <w:rPr>
          <w:rFonts w:ascii="Times New Roman" w:eastAsia="Times New Roman" w:hAnsi="Times New Roman" w:cs="Times New Roman"/>
          <w:iCs/>
          <w:color w:val="000000"/>
          <w:sz w:val="24"/>
          <w:szCs w:val="24"/>
          <w:shd w:val="clear" w:color="auto" w:fill="FFFFFF"/>
          <w:lang w:eastAsia="ru-RU"/>
        </w:rPr>
        <w:t>g</w:t>
      </w:r>
      <w:r w:rsidR="005D2FA7" w:rsidRPr="00125FAF">
        <w:rPr>
          <w:rFonts w:ascii="Times New Roman" w:eastAsia="Times New Roman" w:hAnsi="Times New Roman" w:cs="Times New Roman"/>
          <w:iCs/>
          <w:color w:val="000000"/>
          <w:sz w:val="24"/>
          <w:szCs w:val="24"/>
          <w:shd w:val="clear" w:color="auto" w:fill="FFFFFF"/>
          <w:lang w:eastAsia="ru-RU"/>
        </w:rPr>
        <w:t xml:space="preserve">) implementarea în continuare a tehnologiilor conservative de prelucrare a solului, inclusiv </w:t>
      </w:r>
      <w:proofErr w:type="spellStart"/>
      <w:r w:rsidR="005D2FA7" w:rsidRPr="00125FAF">
        <w:rPr>
          <w:rFonts w:ascii="Times New Roman" w:eastAsia="Times New Roman" w:hAnsi="Times New Roman" w:cs="Times New Roman"/>
          <w:iCs/>
          <w:color w:val="000000"/>
          <w:sz w:val="24"/>
          <w:szCs w:val="24"/>
          <w:shd w:val="clear" w:color="auto" w:fill="FFFFFF"/>
          <w:lang w:eastAsia="ru-RU"/>
        </w:rPr>
        <w:t>no-till</w:t>
      </w:r>
      <w:proofErr w:type="spellEnd"/>
      <w:r w:rsidR="005D2FA7" w:rsidRPr="00125FAF">
        <w:rPr>
          <w:rFonts w:ascii="Times New Roman" w:eastAsia="Times New Roman" w:hAnsi="Times New Roman" w:cs="Times New Roman"/>
          <w:iCs/>
          <w:color w:val="000000"/>
          <w:sz w:val="24"/>
          <w:szCs w:val="24"/>
          <w:shd w:val="clear" w:color="auto" w:fill="FFFFFF"/>
          <w:lang w:eastAsia="ru-RU"/>
        </w:rPr>
        <w:t>, mini-</w:t>
      </w:r>
      <w:proofErr w:type="spellStart"/>
      <w:r w:rsidR="005D2FA7" w:rsidRPr="00125FAF">
        <w:rPr>
          <w:rFonts w:ascii="Times New Roman" w:eastAsia="Times New Roman" w:hAnsi="Times New Roman" w:cs="Times New Roman"/>
          <w:iCs/>
          <w:color w:val="000000"/>
          <w:sz w:val="24"/>
          <w:szCs w:val="24"/>
          <w:shd w:val="clear" w:color="auto" w:fill="FFFFFF"/>
          <w:lang w:eastAsia="ru-RU"/>
        </w:rPr>
        <w:t>till</w:t>
      </w:r>
      <w:proofErr w:type="spellEnd"/>
      <w:r w:rsidR="005D2FA7" w:rsidRPr="00125FAF">
        <w:rPr>
          <w:rFonts w:ascii="Times New Roman" w:eastAsia="Times New Roman" w:hAnsi="Times New Roman" w:cs="Times New Roman"/>
          <w:iCs/>
          <w:color w:val="000000"/>
          <w:sz w:val="24"/>
          <w:szCs w:val="24"/>
          <w:shd w:val="clear" w:color="auto" w:fill="FFFFFF"/>
          <w:lang w:eastAsia="ru-RU"/>
        </w:rPr>
        <w:t xml:space="preserve">, </w:t>
      </w:r>
      <w:proofErr w:type="spellStart"/>
      <w:r w:rsidR="005D2FA7" w:rsidRPr="00125FAF">
        <w:rPr>
          <w:rFonts w:ascii="Times New Roman" w:eastAsia="Times New Roman" w:hAnsi="Times New Roman" w:cs="Times New Roman"/>
          <w:iCs/>
          <w:color w:val="000000"/>
          <w:sz w:val="24"/>
          <w:szCs w:val="24"/>
          <w:shd w:val="clear" w:color="auto" w:fill="FFFFFF"/>
          <w:lang w:eastAsia="ru-RU"/>
        </w:rPr>
        <w:t>strip-till</w:t>
      </w:r>
      <w:proofErr w:type="spellEnd"/>
      <w:r w:rsidR="005D2FA7" w:rsidRPr="00125FAF">
        <w:rPr>
          <w:rFonts w:ascii="Times New Roman" w:eastAsia="Times New Roman" w:hAnsi="Times New Roman" w:cs="Times New Roman"/>
          <w:iCs/>
          <w:color w:val="000000"/>
          <w:sz w:val="24"/>
          <w:szCs w:val="24"/>
          <w:shd w:val="clear" w:color="auto" w:fill="FFFFFF"/>
          <w:lang w:eastAsia="ru-RU"/>
        </w:rPr>
        <w:t>, zone-</w:t>
      </w:r>
      <w:proofErr w:type="spellStart"/>
      <w:r w:rsidR="005D2FA7" w:rsidRPr="00125FAF">
        <w:rPr>
          <w:rFonts w:ascii="Times New Roman" w:eastAsia="Times New Roman" w:hAnsi="Times New Roman" w:cs="Times New Roman"/>
          <w:iCs/>
          <w:color w:val="000000"/>
          <w:sz w:val="24"/>
          <w:szCs w:val="24"/>
          <w:shd w:val="clear" w:color="auto" w:fill="FFFFFF"/>
          <w:lang w:eastAsia="ru-RU"/>
        </w:rPr>
        <w:t>till</w:t>
      </w:r>
      <w:proofErr w:type="spellEnd"/>
      <w:r w:rsidR="005D2FA7" w:rsidRPr="00125FAF">
        <w:rPr>
          <w:rFonts w:ascii="Times New Roman" w:eastAsia="Times New Roman" w:hAnsi="Times New Roman" w:cs="Times New Roman"/>
          <w:iCs/>
          <w:color w:val="000000"/>
          <w:sz w:val="24"/>
          <w:szCs w:val="24"/>
          <w:shd w:val="clear" w:color="auto" w:fill="FFFFFF"/>
          <w:lang w:eastAsia="ru-RU"/>
        </w:rPr>
        <w:t>;</w:t>
      </w:r>
    </w:p>
    <w:p w14:paraId="04D1D333" w14:textId="77777777" w:rsidR="005D2FA7" w:rsidRPr="00125FAF" w:rsidRDefault="00240049" w:rsidP="001F2F2D">
      <w:pPr>
        <w:spacing w:after="0" w:line="240" w:lineRule="auto"/>
        <w:ind w:firstLine="720"/>
        <w:jc w:val="both"/>
        <w:rPr>
          <w:rFonts w:ascii="Times New Roman" w:eastAsia="Times New Roman" w:hAnsi="Times New Roman" w:cs="Times New Roman"/>
          <w:iCs/>
          <w:sz w:val="24"/>
          <w:szCs w:val="24"/>
          <w:lang w:eastAsia="ru-RU"/>
        </w:rPr>
      </w:pPr>
      <w:r w:rsidRPr="00125FAF">
        <w:rPr>
          <w:rFonts w:ascii="Times New Roman" w:eastAsia="Times New Roman" w:hAnsi="Times New Roman" w:cs="Times New Roman"/>
          <w:iCs/>
          <w:color w:val="000000"/>
          <w:sz w:val="24"/>
          <w:szCs w:val="24"/>
          <w:shd w:val="clear" w:color="auto" w:fill="FFFFFF"/>
          <w:lang w:eastAsia="ru-RU"/>
        </w:rPr>
        <w:t>h</w:t>
      </w:r>
      <w:r w:rsidR="005D2FA7" w:rsidRPr="00125FAF">
        <w:rPr>
          <w:rFonts w:ascii="Times New Roman" w:eastAsia="Times New Roman" w:hAnsi="Times New Roman" w:cs="Times New Roman"/>
          <w:iCs/>
          <w:color w:val="000000"/>
          <w:sz w:val="24"/>
          <w:szCs w:val="24"/>
          <w:shd w:val="clear" w:color="auto" w:fill="FFFFFF"/>
          <w:lang w:eastAsia="ru-RU"/>
        </w:rPr>
        <w:t>) depozitarea gunoiului de grajd în platforme</w:t>
      </w:r>
      <w:r w:rsidRPr="00125FAF">
        <w:rPr>
          <w:rFonts w:ascii="Times New Roman" w:eastAsia="Times New Roman" w:hAnsi="Times New Roman" w:cs="Times New Roman"/>
          <w:iCs/>
          <w:color w:val="000000"/>
          <w:sz w:val="24"/>
          <w:szCs w:val="24"/>
          <w:shd w:val="clear" w:color="auto" w:fill="FFFFFF"/>
          <w:lang w:eastAsia="ru-RU"/>
        </w:rPr>
        <w:t xml:space="preserve">, </w:t>
      </w:r>
      <w:r w:rsidR="005D2FA7" w:rsidRPr="00125FAF">
        <w:rPr>
          <w:rFonts w:ascii="Times New Roman" w:eastAsia="Times New Roman" w:hAnsi="Times New Roman" w:cs="Times New Roman"/>
          <w:iCs/>
          <w:color w:val="000000"/>
          <w:sz w:val="24"/>
          <w:szCs w:val="24"/>
          <w:shd w:val="clear" w:color="auto" w:fill="FFFFFF"/>
          <w:lang w:eastAsia="ru-RU"/>
        </w:rPr>
        <w:t>compostarea gunoiului de grajd</w:t>
      </w:r>
      <w:r w:rsidRPr="00125FAF">
        <w:rPr>
          <w:rFonts w:ascii="Times New Roman" w:eastAsia="Times New Roman" w:hAnsi="Times New Roman" w:cs="Times New Roman"/>
          <w:iCs/>
          <w:color w:val="000000"/>
          <w:sz w:val="24"/>
          <w:szCs w:val="24"/>
          <w:shd w:val="clear" w:color="auto" w:fill="FFFFFF"/>
          <w:lang w:eastAsia="ru-RU"/>
        </w:rPr>
        <w:t xml:space="preserve">, precum </w:t>
      </w:r>
      <w:proofErr w:type="spellStart"/>
      <w:r w:rsidRPr="00125FAF">
        <w:rPr>
          <w:rFonts w:ascii="Times New Roman" w:eastAsia="Times New Roman" w:hAnsi="Times New Roman" w:cs="Times New Roman"/>
          <w:iCs/>
          <w:color w:val="000000"/>
          <w:sz w:val="24"/>
          <w:szCs w:val="24"/>
          <w:shd w:val="clear" w:color="auto" w:fill="FFFFFF"/>
          <w:lang w:eastAsia="ru-RU"/>
        </w:rPr>
        <w:t>şi</w:t>
      </w:r>
      <w:proofErr w:type="spellEnd"/>
      <w:r w:rsidRPr="00125FAF">
        <w:rPr>
          <w:rFonts w:ascii="Times New Roman" w:eastAsia="Times New Roman" w:hAnsi="Times New Roman" w:cs="Times New Roman"/>
          <w:iCs/>
          <w:color w:val="000000"/>
          <w:sz w:val="24"/>
          <w:szCs w:val="24"/>
          <w:shd w:val="clear" w:color="auto" w:fill="FFFFFF"/>
          <w:lang w:eastAsia="ru-RU"/>
        </w:rPr>
        <w:t xml:space="preserve"> </w:t>
      </w:r>
      <w:r w:rsidR="005D2FA7" w:rsidRPr="00125FAF">
        <w:rPr>
          <w:rFonts w:ascii="Times New Roman" w:eastAsia="Times New Roman" w:hAnsi="Times New Roman" w:cs="Times New Roman"/>
          <w:iCs/>
          <w:color w:val="000000"/>
          <w:sz w:val="24"/>
          <w:szCs w:val="24"/>
          <w:shd w:val="clear" w:color="auto" w:fill="FFFFFF"/>
          <w:lang w:eastAsia="ru-RU"/>
        </w:rPr>
        <w:t>prelucrarea gunoiului de grajd pentru obținerea biogazului.</w:t>
      </w:r>
    </w:p>
    <w:p w14:paraId="226C7A0C" w14:textId="3C2217B9" w:rsidR="006364B2" w:rsidRPr="00125FAF" w:rsidRDefault="006364B2" w:rsidP="001F2F2D">
      <w:pPr>
        <w:spacing w:before="120" w:after="0" w:line="240" w:lineRule="auto"/>
        <w:ind w:firstLine="720"/>
        <w:jc w:val="both"/>
        <w:rPr>
          <w:rFonts w:ascii="Times New Roman" w:eastAsia="Times New Roman" w:hAnsi="Times New Roman" w:cs="Times New Roman"/>
          <w:iCs/>
          <w:color w:val="000000"/>
          <w:sz w:val="24"/>
          <w:szCs w:val="24"/>
          <w:shd w:val="clear" w:color="auto" w:fill="FFFFFF"/>
          <w:lang w:eastAsia="ru-RU"/>
        </w:rPr>
      </w:pPr>
      <w:r w:rsidRPr="00125FAF">
        <w:rPr>
          <w:rFonts w:ascii="Times New Roman" w:eastAsia="Times New Roman" w:hAnsi="Times New Roman" w:cs="Times New Roman"/>
          <w:b/>
          <w:iCs/>
          <w:color w:val="000000"/>
          <w:sz w:val="24"/>
          <w:szCs w:val="24"/>
          <w:shd w:val="clear" w:color="auto" w:fill="FFFFFF"/>
          <w:lang w:eastAsia="ru-RU"/>
        </w:rPr>
        <w:t>Indicatori</w:t>
      </w:r>
      <w:r w:rsidR="00C074BC" w:rsidRPr="00125FAF">
        <w:rPr>
          <w:rFonts w:ascii="Times New Roman" w:eastAsia="Times New Roman" w:hAnsi="Times New Roman" w:cs="Times New Roman"/>
          <w:b/>
          <w:iCs/>
          <w:color w:val="000000"/>
          <w:sz w:val="24"/>
          <w:szCs w:val="24"/>
          <w:shd w:val="clear" w:color="auto" w:fill="FFFFFF"/>
          <w:lang w:eastAsia="ru-RU"/>
        </w:rPr>
        <w:t>i</w:t>
      </w:r>
      <w:r w:rsidRPr="00125FAF">
        <w:rPr>
          <w:rFonts w:ascii="Times New Roman" w:eastAsia="Times New Roman" w:hAnsi="Times New Roman" w:cs="Times New Roman"/>
          <w:b/>
          <w:iCs/>
          <w:color w:val="000000"/>
          <w:sz w:val="24"/>
          <w:szCs w:val="24"/>
          <w:shd w:val="clear" w:color="auto" w:fill="FFFFFF"/>
          <w:lang w:eastAsia="ru-RU"/>
        </w:rPr>
        <w:t xml:space="preserve"> de progres</w:t>
      </w:r>
      <w:r w:rsidR="00B614FB" w:rsidRPr="00125FAF">
        <w:rPr>
          <w:rFonts w:ascii="Times New Roman" w:eastAsia="Times New Roman" w:hAnsi="Times New Roman" w:cs="Times New Roman"/>
          <w:b/>
          <w:iCs/>
          <w:color w:val="000000"/>
          <w:sz w:val="24"/>
          <w:szCs w:val="24"/>
          <w:shd w:val="clear" w:color="auto" w:fill="FFFFFF"/>
          <w:lang w:eastAsia="ru-RU"/>
        </w:rPr>
        <w:t xml:space="preserve"> </w:t>
      </w:r>
      <w:r w:rsidR="00B614FB" w:rsidRPr="00125FAF">
        <w:rPr>
          <w:rFonts w:ascii="Times New Roman" w:eastAsia="Times New Roman" w:hAnsi="Times New Roman" w:cs="Times New Roman"/>
          <w:iCs/>
          <w:color w:val="000000"/>
          <w:sz w:val="24"/>
          <w:szCs w:val="24"/>
          <w:shd w:val="clear" w:color="auto" w:fill="FFFFFF"/>
          <w:lang w:eastAsia="ru-RU"/>
        </w:rPr>
        <w:t xml:space="preserve">corespund cu </w:t>
      </w:r>
      <w:proofErr w:type="spellStart"/>
      <w:r w:rsidR="00B614FB" w:rsidRPr="00125FAF">
        <w:rPr>
          <w:rFonts w:ascii="Times New Roman" w:eastAsia="Times New Roman" w:hAnsi="Times New Roman" w:cs="Times New Roman"/>
          <w:iCs/>
          <w:color w:val="000000"/>
          <w:sz w:val="24"/>
          <w:szCs w:val="24"/>
          <w:shd w:val="clear" w:color="auto" w:fill="FFFFFF"/>
          <w:lang w:eastAsia="ru-RU"/>
        </w:rPr>
        <w:t>ţintele</w:t>
      </w:r>
      <w:proofErr w:type="spellEnd"/>
      <w:r w:rsidR="00B614FB" w:rsidRPr="00125FAF">
        <w:rPr>
          <w:rFonts w:ascii="Times New Roman" w:eastAsia="Times New Roman" w:hAnsi="Times New Roman" w:cs="Times New Roman"/>
          <w:iCs/>
          <w:color w:val="000000"/>
          <w:sz w:val="24"/>
          <w:szCs w:val="24"/>
          <w:shd w:val="clear" w:color="auto" w:fill="FFFFFF"/>
          <w:lang w:eastAsia="ru-RU"/>
        </w:rPr>
        <w:t xml:space="preserve"> de reducere a emisiilor de GES către anul 2025 </w:t>
      </w:r>
      <w:proofErr w:type="spellStart"/>
      <w:r w:rsidR="00B614FB" w:rsidRPr="00125FAF">
        <w:rPr>
          <w:rFonts w:ascii="Times New Roman" w:eastAsia="Times New Roman" w:hAnsi="Times New Roman" w:cs="Times New Roman"/>
          <w:iCs/>
          <w:color w:val="000000"/>
          <w:sz w:val="24"/>
          <w:szCs w:val="24"/>
          <w:shd w:val="clear" w:color="auto" w:fill="FFFFFF"/>
          <w:lang w:eastAsia="ru-RU"/>
        </w:rPr>
        <w:t>şi</w:t>
      </w:r>
      <w:proofErr w:type="spellEnd"/>
      <w:r w:rsidR="00B614FB" w:rsidRPr="00125FAF">
        <w:rPr>
          <w:rFonts w:ascii="Times New Roman" w:eastAsia="Times New Roman" w:hAnsi="Times New Roman" w:cs="Times New Roman"/>
          <w:iCs/>
          <w:color w:val="000000"/>
          <w:sz w:val="24"/>
          <w:szCs w:val="24"/>
          <w:shd w:val="clear" w:color="auto" w:fill="FFFFFF"/>
          <w:lang w:eastAsia="ru-RU"/>
        </w:rPr>
        <w:t xml:space="preserve"> 2030 </w:t>
      </w:r>
      <w:proofErr w:type="spellStart"/>
      <w:r w:rsidR="00B614FB" w:rsidRPr="00125FAF">
        <w:rPr>
          <w:rFonts w:ascii="Times New Roman" w:eastAsia="Times New Roman" w:hAnsi="Times New Roman" w:cs="Times New Roman"/>
          <w:iCs/>
          <w:color w:val="000000"/>
          <w:sz w:val="24"/>
          <w:szCs w:val="24"/>
          <w:shd w:val="clear" w:color="auto" w:fill="FFFFFF"/>
          <w:lang w:eastAsia="ru-RU"/>
        </w:rPr>
        <w:t>faţă</w:t>
      </w:r>
      <w:proofErr w:type="spellEnd"/>
      <w:r w:rsidR="00B614FB" w:rsidRPr="00125FAF">
        <w:rPr>
          <w:rFonts w:ascii="Times New Roman" w:eastAsia="Times New Roman" w:hAnsi="Times New Roman" w:cs="Times New Roman"/>
          <w:iCs/>
          <w:color w:val="000000"/>
          <w:sz w:val="24"/>
          <w:szCs w:val="24"/>
          <w:shd w:val="clear" w:color="auto" w:fill="FFFFFF"/>
          <w:lang w:eastAsia="ru-RU"/>
        </w:rPr>
        <w:t xml:space="preserve"> de anul 1990 expuse în Tabelul </w:t>
      </w:r>
      <w:r w:rsidR="00CE464D">
        <w:rPr>
          <w:rFonts w:ascii="Times New Roman" w:eastAsia="Times New Roman" w:hAnsi="Times New Roman" w:cs="Times New Roman"/>
          <w:iCs/>
          <w:color w:val="000000"/>
          <w:sz w:val="24"/>
          <w:szCs w:val="24"/>
          <w:shd w:val="clear" w:color="auto" w:fill="FFFFFF"/>
          <w:lang w:eastAsia="ru-RU"/>
        </w:rPr>
        <w:t>4</w:t>
      </w:r>
      <w:r w:rsidR="00B614FB" w:rsidRPr="00125FAF">
        <w:rPr>
          <w:rFonts w:ascii="Times New Roman" w:eastAsia="Times New Roman" w:hAnsi="Times New Roman" w:cs="Times New Roman"/>
          <w:iCs/>
          <w:color w:val="000000"/>
          <w:sz w:val="24"/>
          <w:szCs w:val="24"/>
          <w:shd w:val="clear" w:color="auto" w:fill="FFFFFF"/>
          <w:lang w:eastAsia="ru-RU"/>
        </w:rPr>
        <w:t>.2 pentru sectorul agricol.</w:t>
      </w:r>
    </w:p>
    <w:p w14:paraId="3692EC10" w14:textId="77777777" w:rsidR="00240049" w:rsidRPr="00125FAF" w:rsidRDefault="00240049" w:rsidP="00B614FB">
      <w:pPr>
        <w:spacing w:after="0" w:line="240" w:lineRule="auto"/>
        <w:ind w:firstLine="720"/>
        <w:jc w:val="both"/>
        <w:rPr>
          <w:rFonts w:ascii="Times New Roman" w:eastAsia="Times New Roman" w:hAnsi="Times New Roman" w:cs="Times New Roman"/>
          <w:iCs/>
          <w:color w:val="000000"/>
          <w:sz w:val="24"/>
          <w:szCs w:val="24"/>
          <w:shd w:val="clear" w:color="auto" w:fill="FFFFFF"/>
          <w:lang w:eastAsia="ru-RU"/>
        </w:rPr>
      </w:pPr>
    </w:p>
    <w:p w14:paraId="14F511A2" w14:textId="6269283A" w:rsidR="006364B2" w:rsidRPr="00125FAF" w:rsidRDefault="007909C8" w:rsidP="001F2F2D">
      <w:pPr>
        <w:spacing w:after="120" w:line="240" w:lineRule="auto"/>
        <w:ind w:firstLine="720"/>
        <w:jc w:val="both"/>
        <w:rPr>
          <w:rFonts w:ascii="Times New Roman" w:eastAsia="Times New Roman" w:hAnsi="Times New Roman" w:cs="Times New Roman"/>
          <w:iCs/>
          <w:sz w:val="24"/>
          <w:szCs w:val="24"/>
          <w:lang w:eastAsia="ru-RU"/>
        </w:rPr>
      </w:pPr>
      <w:r w:rsidRPr="00125FAF">
        <w:rPr>
          <w:rFonts w:ascii="Times New Roman" w:eastAsia="Times New Roman" w:hAnsi="Times New Roman" w:cs="Times New Roman"/>
          <w:bCs/>
          <w:iCs/>
          <w:color w:val="000000"/>
          <w:sz w:val="24"/>
          <w:szCs w:val="24"/>
          <w:shd w:val="clear" w:color="auto" w:fill="FFFFFF"/>
          <w:lang w:eastAsia="ru-RU"/>
        </w:rPr>
        <w:t>40</w:t>
      </w:r>
      <w:r w:rsidR="006364B2" w:rsidRPr="00125FAF">
        <w:rPr>
          <w:rFonts w:ascii="Times New Roman" w:eastAsia="Times New Roman" w:hAnsi="Times New Roman" w:cs="Times New Roman"/>
          <w:b/>
          <w:bCs/>
          <w:iCs/>
          <w:color w:val="000000"/>
          <w:sz w:val="24"/>
          <w:szCs w:val="24"/>
          <w:shd w:val="clear" w:color="auto" w:fill="FFFFFF"/>
          <w:lang w:eastAsia="ru-RU"/>
        </w:rPr>
        <w:t xml:space="preserve">. </w:t>
      </w:r>
      <w:proofErr w:type="spellStart"/>
      <w:r w:rsidR="00A879FE" w:rsidRPr="00125FAF">
        <w:rPr>
          <w:rFonts w:ascii="Times New Roman" w:eastAsia="Times New Roman" w:hAnsi="Times New Roman" w:cs="Times New Roman"/>
          <w:iCs/>
          <w:color w:val="000000"/>
          <w:sz w:val="24"/>
          <w:szCs w:val="24"/>
          <w:shd w:val="clear" w:color="auto" w:fill="FFFFFF"/>
          <w:lang w:eastAsia="ru-RU"/>
        </w:rPr>
        <w:t>Acţiunile</w:t>
      </w:r>
      <w:proofErr w:type="spellEnd"/>
      <w:r w:rsidR="00A879FE" w:rsidRPr="00125FAF">
        <w:rPr>
          <w:rFonts w:ascii="Times New Roman" w:eastAsia="Times New Roman" w:hAnsi="Times New Roman" w:cs="Times New Roman"/>
          <w:iCs/>
          <w:color w:val="000000"/>
          <w:sz w:val="24"/>
          <w:szCs w:val="24"/>
          <w:shd w:val="clear" w:color="auto" w:fill="FFFFFF"/>
          <w:lang w:eastAsia="ru-RU"/>
        </w:rPr>
        <w:t xml:space="preserve"> prioritare de atenuare a emisiilor de GES în </w:t>
      </w:r>
      <w:r w:rsidR="00A879FE" w:rsidRPr="00125FAF">
        <w:rPr>
          <w:rFonts w:ascii="Times New Roman" w:eastAsia="Times New Roman" w:hAnsi="Times New Roman" w:cs="Times New Roman"/>
          <w:b/>
          <w:iCs/>
          <w:color w:val="000000"/>
          <w:sz w:val="24"/>
          <w:szCs w:val="24"/>
          <w:shd w:val="clear" w:color="auto" w:fill="FFFFFF"/>
          <w:lang w:eastAsia="ru-RU"/>
        </w:rPr>
        <w:t>sectorul</w:t>
      </w:r>
      <w:r w:rsidR="00E70219" w:rsidRPr="00125FAF">
        <w:rPr>
          <w:rFonts w:ascii="Times New Roman" w:eastAsia="Times New Roman" w:hAnsi="Times New Roman" w:cs="Times New Roman"/>
          <w:b/>
          <w:iCs/>
          <w:color w:val="000000"/>
          <w:sz w:val="24"/>
          <w:szCs w:val="24"/>
          <w:shd w:val="clear" w:color="auto" w:fill="FFFFFF"/>
          <w:lang w:eastAsia="ru-RU"/>
        </w:rPr>
        <w:t xml:space="preserve"> </w:t>
      </w:r>
      <w:r w:rsidR="00D7776F" w:rsidRPr="00125FAF">
        <w:rPr>
          <w:rFonts w:ascii="Times New Roman" w:eastAsia="Times New Roman" w:hAnsi="Times New Roman" w:cs="Times New Roman"/>
          <w:b/>
          <w:iCs/>
          <w:color w:val="000000"/>
          <w:sz w:val="24"/>
          <w:szCs w:val="24"/>
          <w:shd w:val="clear" w:color="auto" w:fill="FFFFFF"/>
          <w:lang w:eastAsia="ru-RU"/>
        </w:rPr>
        <w:t>folosința terenurilor, schimbarea categoriei de folosință a terenurilor și silvicultură</w:t>
      </w:r>
      <w:r w:rsidR="006364B2" w:rsidRPr="00125FAF">
        <w:rPr>
          <w:rFonts w:ascii="Times New Roman" w:eastAsia="Times New Roman" w:hAnsi="Times New Roman" w:cs="Times New Roman"/>
          <w:iCs/>
          <w:color w:val="000000"/>
          <w:sz w:val="24"/>
          <w:szCs w:val="24"/>
          <w:shd w:val="clear" w:color="auto" w:fill="FFFFFF"/>
          <w:lang w:eastAsia="ru-RU"/>
        </w:rPr>
        <w:t xml:space="preserve"> vor include:</w:t>
      </w:r>
    </w:p>
    <w:p w14:paraId="06452B90" w14:textId="55740126" w:rsidR="006364B2" w:rsidRPr="00125FAF" w:rsidRDefault="00C473B4" w:rsidP="006364B2">
      <w:pPr>
        <w:spacing w:after="0" w:line="240" w:lineRule="auto"/>
        <w:ind w:firstLine="720"/>
        <w:jc w:val="both"/>
        <w:rPr>
          <w:rFonts w:ascii="Times New Roman" w:eastAsia="Times New Roman" w:hAnsi="Times New Roman" w:cs="Times New Roman"/>
          <w:iCs/>
          <w:sz w:val="24"/>
          <w:szCs w:val="24"/>
          <w:lang w:eastAsia="ru-RU"/>
        </w:rPr>
      </w:pPr>
      <w:r w:rsidRPr="00125FAF">
        <w:rPr>
          <w:rFonts w:ascii="Times New Roman" w:eastAsia="Times New Roman" w:hAnsi="Times New Roman" w:cs="Times New Roman"/>
          <w:iCs/>
          <w:color w:val="000000"/>
          <w:sz w:val="24"/>
          <w:szCs w:val="24"/>
          <w:shd w:val="clear" w:color="auto" w:fill="FFFFFF"/>
          <w:lang w:eastAsia="ru-RU"/>
        </w:rPr>
        <w:t>a</w:t>
      </w:r>
      <w:r w:rsidR="006364B2" w:rsidRPr="00125FAF">
        <w:rPr>
          <w:rFonts w:ascii="Times New Roman" w:eastAsia="Times New Roman" w:hAnsi="Times New Roman" w:cs="Times New Roman"/>
          <w:iCs/>
          <w:color w:val="000000"/>
          <w:sz w:val="24"/>
          <w:szCs w:val="24"/>
          <w:shd w:val="clear" w:color="auto" w:fill="FFFFFF"/>
          <w:lang w:eastAsia="ru-RU"/>
        </w:rPr>
        <w:t xml:space="preserve">) descentralizarea </w:t>
      </w:r>
      <w:proofErr w:type="spellStart"/>
      <w:r w:rsidR="006364B2" w:rsidRPr="00125FAF">
        <w:rPr>
          <w:rFonts w:ascii="Times New Roman" w:eastAsia="Times New Roman" w:hAnsi="Times New Roman" w:cs="Times New Roman"/>
          <w:iCs/>
          <w:color w:val="000000"/>
          <w:sz w:val="24"/>
          <w:szCs w:val="24"/>
          <w:shd w:val="clear" w:color="auto" w:fill="FFFFFF"/>
          <w:lang w:eastAsia="ru-RU"/>
        </w:rPr>
        <w:t>activităţii</w:t>
      </w:r>
      <w:proofErr w:type="spellEnd"/>
      <w:r w:rsidR="006364B2" w:rsidRPr="00125FAF">
        <w:rPr>
          <w:rFonts w:ascii="Times New Roman" w:eastAsia="Times New Roman" w:hAnsi="Times New Roman" w:cs="Times New Roman"/>
          <w:iCs/>
          <w:color w:val="000000"/>
          <w:sz w:val="24"/>
          <w:szCs w:val="24"/>
          <w:shd w:val="clear" w:color="auto" w:fill="FFFFFF"/>
          <w:lang w:eastAsia="ru-RU"/>
        </w:rPr>
        <w:t xml:space="preserve"> </w:t>
      </w:r>
      <w:proofErr w:type="spellStart"/>
      <w:r w:rsidR="006364B2" w:rsidRPr="00125FAF">
        <w:rPr>
          <w:rFonts w:ascii="Times New Roman" w:eastAsia="Times New Roman" w:hAnsi="Times New Roman" w:cs="Times New Roman"/>
          <w:iCs/>
          <w:color w:val="000000"/>
          <w:sz w:val="24"/>
          <w:szCs w:val="24"/>
          <w:shd w:val="clear" w:color="auto" w:fill="FFFFFF"/>
          <w:lang w:eastAsia="ru-RU"/>
        </w:rPr>
        <w:t>autorităţilor</w:t>
      </w:r>
      <w:proofErr w:type="spellEnd"/>
      <w:r w:rsidR="006364B2" w:rsidRPr="00125FAF">
        <w:rPr>
          <w:rFonts w:ascii="Times New Roman" w:eastAsia="Times New Roman" w:hAnsi="Times New Roman" w:cs="Times New Roman"/>
          <w:iCs/>
          <w:color w:val="000000"/>
          <w:sz w:val="24"/>
          <w:szCs w:val="24"/>
          <w:shd w:val="clear" w:color="auto" w:fill="FFFFFF"/>
          <w:lang w:eastAsia="ru-RU"/>
        </w:rPr>
        <w:t xml:space="preserve"> publice pentru </w:t>
      </w:r>
      <w:proofErr w:type="spellStart"/>
      <w:r w:rsidR="006364B2" w:rsidRPr="00125FAF">
        <w:rPr>
          <w:rFonts w:ascii="Times New Roman" w:eastAsia="Times New Roman" w:hAnsi="Times New Roman" w:cs="Times New Roman"/>
          <w:iCs/>
          <w:color w:val="000000"/>
          <w:sz w:val="24"/>
          <w:szCs w:val="24"/>
          <w:shd w:val="clear" w:color="auto" w:fill="FFFFFF"/>
          <w:lang w:eastAsia="ru-RU"/>
        </w:rPr>
        <w:t>îmbunătăţirea</w:t>
      </w:r>
      <w:proofErr w:type="spellEnd"/>
      <w:r w:rsidR="006364B2" w:rsidRPr="00125FAF">
        <w:rPr>
          <w:rFonts w:ascii="Times New Roman" w:eastAsia="Times New Roman" w:hAnsi="Times New Roman" w:cs="Times New Roman"/>
          <w:iCs/>
          <w:color w:val="000000"/>
          <w:sz w:val="24"/>
          <w:szCs w:val="24"/>
          <w:shd w:val="clear" w:color="auto" w:fill="FFFFFF"/>
          <w:lang w:eastAsia="ru-RU"/>
        </w:rPr>
        <w:t xml:space="preserve"> în continuare a gradului de gestionare a resurselor forestiere </w:t>
      </w:r>
      <w:proofErr w:type="spellStart"/>
      <w:r w:rsidR="006364B2" w:rsidRPr="00125FAF">
        <w:rPr>
          <w:rFonts w:ascii="Times New Roman" w:eastAsia="Times New Roman" w:hAnsi="Times New Roman" w:cs="Times New Roman"/>
          <w:iCs/>
          <w:color w:val="000000"/>
          <w:sz w:val="24"/>
          <w:szCs w:val="24"/>
          <w:shd w:val="clear" w:color="auto" w:fill="FFFFFF"/>
          <w:lang w:eastAsia="ru-RU"/>
        </w:rPr>
        <w:t>şi</w:t>
      </w:r>
      <w:proofErr w:type="spellEnd"/>
      <w:r w:rsidR="006364B2" w:rsidRPr="00125FAF">
        <w:rPr>
          <w:rFonts w:ascii="Times New Roman" w:eastAsia="Times New Roman" w:hAnsi="Times New Roman" w:cs="Times New Roman"/>
          <w:iCs/>
          <w:color w:val="000000"/>
          <w:sz w:val="24"/>
          <w:szCs w:val="24"/>
          <w:shd w:val="clear" w:color="auto" w:fill="FFFFFF"/>
          <w:lang w:eastAsia="ru-RU"/>
        </w:rPr>
        <w:t xml:space="preserve"> sprijinirea reală a diferitor forme de proprietate asupra pădurilor </w:t>
      </w:r>
      <w:proofErr w:type="spellStart"/>
      <w:r w:rsidR="006364B2" w:rsidRPr="00125FAF">
        <w:rPr>
          <w:rFonts w:ascii="Times New Roman" w:eastAsia="Times New Roman" w:hAnsi="Times New Roman" w:cs="Times New Roman"/>
          <w:iCs/>
          <w:color w:val="000000"/>
          <w:sz w:val="24"/>
          <w:szCs w:val="24"/>
          <w:shd w:val="clear" w:color="auto" w:fill="FFFFFF"/>
          <w:lang w:eastAsia="ru-RU"/>
        </w:rPr>
        <w:t>şi</w:t>
      </w:r>
      <w:proofErr w:type="spellEnd"/>
      <w:r w:rsidR="006364B2" w:rsidRPr="00125FAF">
        <w:rPr>
          <w:rFonts w:ascii="Times New Roman" w:eastAsia="Times New Roman" w:hAnsi="Times New Roman" w:cs="Times New Roman"/>
          <w:iCs/>
          <w:color w:val="000000"/>
          <w:sz w:val="24"/>
          <w:szCs w:val="24"/>
          <w:shd w:val="clear" w:color="auto" w:fill="FFFFFF"/>
          <w:lang w:eastAsia="ru-RU"/>
        </w:rPr>
        <w:t xml:space="preserve"> </w:t>
      </w:r>
      <w:proofErr w:type="spellStart"/>
      <w:r w:rsidR="006364B2" w:rsidRPr="00125FAF">
        <w:rPr>
          <w:rFonts w:ascii="Times New Roman" w:eastAsia="Times New Roman" w:hAnsi="Times New Roman" w:cs="Times New Roman"/>
          <w:iCs/>
          <w:color w:val="000000"/>
          <w:sz w:val="24"/>
          <w:szCs w:val="24"/>
          <w:shd w:val="clear" w:color="auto" w:fill="FFFFFF"/>
          <w:lang w:eastAsia="ru-RU"/>
        </w:rPr>
        <w:t>vegetaţiei</w:t>
      </w:r>
      <w:proofErr w:type="spellEnd"/>
      <w:r w:rsidR="006364B2" w:rsidRPr="00125FAF">
        <w:rPr>
          <w:rFonts w:ascii="Times New Roman" w:eastAsia="Times New Roman" w:hAnsi="Times New Roman" w:cs="Times New Roman"/>
          <w:iCs/>
          <w:color w:val="000000"/>
          <w:sz w:val="24"/>
          <w:szCs w:val="24"/>
          <w:shd w:val="clear" w:color="auto" w:fill="FFFFFF"/>
          <w:lang w:eastAsia="ru-RU"/>
        </w:rPr>
        <w:t xml:space="preserve"> forestiere;</w:t>
      </w:r>
    </w:p>
    <w:p w14:paraId="4DD57940" w14:textId="3868EAFA" w:rsidR="006364B2" w:rsidRPr="00125FAF" w:rsidRDefault="00C473B4" w:rsidP="006364B2">
      <w:pPr>
        <w:spacing w:after="0" w:line="240" w:lineRule="auto"/>
        <w:ind w:firstLine="720"/>
        <w:jc w:val="both"/>
        <w:rPr>
          <w:rFonts w:ascii="Times New Roman" w:eastAsia="Times New Roman" w:hAnsi="Times New Roman" w:cs="Times New Roman"/>
          <w:sz w:val="24"/>
          <w:szCs w:val="24"/>
          <w:lang w:eastAsia="ru-RU"/>
        </w:rPr>
      </w:pPr>
      <w:r w:rsidRPr="00125FAF">
        <w:rPr>
          <w:rFonts w:ascii="Times New Roman" w:eastAsia="Times New Roman" w:hAnsi="Times New Roman" w:cs="Times New Roman"/>
          <w:iCs/>
          <w:color w:val="000000"/>
          <w:sz w:val="24"/>
          <w:szCs w:val="24"/>
          <w:shd w:val="clear" w:color="auto" w:fill="FFFFFF"/>
          <w:lang w:eastAsia="ru-RU"/>
        </w:rPr>
        <w:t>b</w:t>
      </w:r>
      <w:r w:rsidR="006364B2" w:rsidRPr="00125FAF">
        <w:rPr>
          <w:rFonts w:ascii="Times New Roman" w:eastAsia="Times New Roman" w:hAnsi="Times New Roman" w:cs="Times New Roman"/>
          <w:iCs/>
          <w:color w:val="000000"/>
          <w:sz w:val="24"/>
          <w:szCs w:val="24"/>
          <w:shd w:val="clear" w:color="auto" w:fill="FFFFFF"/>
          <w:lang w:eastAsia="ru-RU"/>
        </w:rPr>
        <w:t xml:space="preserve">) implementarea unui set de </w:t>
      </w:r>
      <w:proofErr w:type="spellStart"/>
      <w:r w:rsidR="006364B2" w:rsidRPr="00125FAF">
        <w:rPr>
          <w:rFonts w:ascii="Times New Roman" w:eastAsia="Times New Roman" w:hAnsi="Times New Roman" w:cs="Times New Roman"/>
          <w:iCs/>
          <w:color w:val="000000"/>
          <w:sz w:val="24"/>
          <w:szCs w:val="24"/>
          <w:shd w:val="clear" w:color="auto" w:fill="FFFFFF"/>
          <w:lang w:eastAsia="ru-RU"/>
        </w:rPr>
        <w:t>activităţi</w:t>
      </w:r>
      <w:proofErr w:type="spellEnd"/>
      <w:r w:rsidR="006364B2" w:rsidRPr="00125FAF">
        <w:rPr>
          <w:rFonts w:ascii="Times New Roman" w:eastAsia="Times New Roman" w:hAnsi="Times New Roman" w:cs="Times New Roman"/>
          <w:iCs/>
          <w:color w:val="000000"/>
          <w:sz w:val="24"/>
          <w:szCs w:val="24"/>
          <w:shd w:val="clear" w:color="auto" w:fill="FFFFFF"/>
          <w:lang w:eastAsia="ru-RU"/>
        </w:rPr>
        <w:t xml:space="preserve"> de ameliorare cantitativă </w:t>
      </w:r>
      <w:proofErr w:type="spellStart"/>
      <w:r w:rsidR="006364B2" w:rsidRPr="00125FAF">
        <w:rPr>
          <w:rFonts w:ascii="Times New Roman" w:eastAsia="Times New Roman" w:hAnsi="Times New Roman" w:cs="Times New Roman"/>
          <w:iCs/>
          <w:color w:val="000000"/>
          <w:sz w:val="24"/>
          <w:szCs w:val="24"/>
          <w:shd w:val="clear" w:color="auto" w:fill="FFFFFF"/>
          <w:lang w:eastAsia="ru-RU"/>
        </w:rPr>
        <w:t>şi</w:t>
      </w:r>
      <w:proofErr w:type="spellEnd"/>
      <w:r w:rsidR="006364B2" w:rsidRPr="00125FAF">
        <w:rPr>
          <w:rFonts w:ascii="Times New Roman" w:eastAsia="Times New Roman" w:hAnsi="Times New Roman" w:cs="Times New Roman"/>
          <w:iCs/>
          <w:color w:val="000000"/>
          <w:sz w:val="24"/>
          <w:szCs w:val="24"/>
          <w:shd w:val="clear" w:color="auto" w:fill="FFFFFF"/>
          <w:lang w:eastAsia="ru-RU"/>
        </w:rPr>
        <w:t xml:space="preserve"> calitativă, axat pe extinderea terenurilor acoperite cu </w:t>
      </w:r>
      <w:proofErr w:type="spellStart"/>
      <w:r w:rsidR="006364B2" w:rsidRPr="00125FAF">
        <w:rPr>
          <w:rFonts w:ascii="Times New Roman" w:eastAsia="Times New Roman" w:hAnsi="Times New Roman" w:cs="Times New Roman"/>
          <w:iCs/>
          <w:color w:val="000000"/>
          <w:sz w:val="24"/>
          <w:szCs w:val="24"/>
          <w:shd w:val="clear" w:color="auto" w:fill="FFFFFF"/>
          <w:lang w:eastAsia="ru-RU"/>
        </w:rPr>
        <w:t>vegetaţie</w:t>
      </w:r>
      <w:proofErr w:type="spellEnd"/>
      <w:r w:rsidR="006364B2" w:rsidRPr="00125FAF">
        <w:rPr>
          <w:rFonts w:ascii="Times New Roman" w:eastAsia="Times New Roman" w:hAnsi="Times New Roman" w:cs="Times New Roman"/>
          <w:iCs/>
          <w:color w:val="000000"/>
          <w:sz w:val="24"/>
          <w:szCs w:val="24"/>
          <w:shd w:val="clear" w:color="auto" w:fill="FFFFFF"/>
          <w:lang w:eastAsia="ru-RU"/>
        </w:rPr>
        <w:t xml:space="preserve"> forestieră, </w:t>
      </w:r>
      <w:proofErr w:type="spellStart"/>
      <w:r w:rsidR="006364B2" w:rsidRPr="00125FAF">
        <w:rPr>
          <w:rFonts w:ascii="Times New Roman" w:eastAsia="Times New Roman" w:hAnsi="Times New Roman" w:cs="Times New Roman"/>
          <w:iCs/>
          <w:color w:val="000000"/>
          <w:sz w:val="24"/>
          <w:szCs w:val="24"/>
          <w:shd w:val="clear" w:color="auto" w:fill="FFFFFF"/>
          <w:lang w:eastAsia="ru-RU"/>
        </w:rPr>
        <w:t>creşterea</w:t>
      </w:r>
      <w:proofErr w:type="spellEnd"/>
      <w:r w:rsidR="006364B2" w:rsidRPr="00125FAF">
        <w:rPr>
          <w:rFonts w:ascii="Times New Roman" w:eastAsia="Times New Roman" w:hAnsi="Times New Roman" w:cs="Times New Roman"/>
          <w:iCs/>
          <w:color w:val="000000"/>
          <w:sz w:val="24"/>
          <w:szCs w:val="24"/>
          <w:shd w:val="clear" w:color="auto" w:fill="FFFFFF"/>
          <w:lang w:eastAsia="ru-RU"/>
        </w:rPr>
        <w:t xml:space="preserve"> </w:t>
      </w:r>
      <w:proofErr w:type="spellStart"/>
      <w:r w:rsidR="006364B2" w:rsidRPr="00125FAF">
        <w:rPr>
          <w:rFonts w:ascii="Times New Roman" w:eastAsia="Times New Roman" w:hAnsi="Times New Roman" w:cs="Times New Roman"/>
          <w:iCs/>
          <w:color w:val="000000"/>
          <w:sz w:val="24"/>
          <w:szCs w:val="24"/>
          <w:shd w:val="clear" w:color="auto" w:fill="FFFFFF"/>
          <w:lang w:eastAsia="ru-RU"/>
        </w:rPr>
        <w:t>capacităţilor</w:t>
      </w:r>
      <w:proofErr w:type="spellEnd"/>
      <w:r w:rsidR="006364B2" w:rsidRPr="00125FAF">
        <w:rPr>
          <w:rFonts w:ascii="Times New Roman" w:eastAsia="Times New Roman" w:hAnsi="Times New Roman" w:cs="Times New Roman"/>
          <w:iCs/>
          <w:color w:val="000000"/>
          <w:sz w:val="24"/>
          <w:szCs w:val="24"/>
          <w:shd w:val="clear" w:color="auto" w:fill="FFFFFF"/>
          <w:lang w:eastAsia="ru-RU"/>
        </w:rPr>
        <w:t xml:space="preserve"> de captare a carbonu</w:t>
      </w:r>
      <w:r w:rsidR="006364B2" w:rsidRPr="00125FAF">
        <w:rPr>
          <w:rFonts w:ascii="Times New Roman" w:eastAsia="Times New Roman" w:hAnsi="Times New Roman" w:cs="Times New Roman"/>
          <w:color w:val="000000"/>
          <w:sz w:val="24"/>
          <w:szCs w:val="24"/>
          <w:shd w:val="clear" w:color="auto" w:fill="FFFFFF"/>
          <w:lang w:eastAsia="ru-RU"/>
        </w:rPr>
        <w:t xml:space="preserve">lui </w:t>
      </w:r>
      <w:proofErr w:type="spellStart"/>
      <w:r w:rsidR="006364B2" w:rsidRPr="00125FAF">
        <w:rPr>
          <w:rFonts w:ascii="Times New Roman" w:eastAsia="Times New Roman" w:hAnsi="Times New Roman" w:cs="Times New Roman"/>
          <w:color w:val="000000"/>
          <w:sz w:val="24"/>
          <w:szCs w:val="24"/>
          <w:shd w:val="clear" w:color="auto" w:fill="FFFFFF"/>
          <w:lang w:eastAsia="ru-RU"/>
        </w:rPr>
        <w:t>şi</w:t>
      </w:r>
      <w:proofErr w:type="spellEnd"/>
      <w:r w:rsidR="006364B2" w:rsidRPr="00125FAF">
        <w:rPr>
          <w:rFonts w:ascii="Times New Roman" w:eastAsia="Times New Roman" w:hAnsi="Times New Roman" w:cs="Times New Roman"/>
          <w:color w:val="000000"/>
          <w:sz w:val="24"/>
          <w:szCs w:val="24"/>
          <w:shd w:val="clear" w:color="auto" w:fill="FFFFFF"/>
          <w:lang w:eastAsia="ru-RU"/>
        </w:rPr>
        <w:t xml:space="preserve"> consolidarea </w:t>
      </w:r>
      <w:proofErr w:type="spellStart"/>
      <w:r w:rsidR="006364B2" w:rsidRPr="00125FAF">
        <w:rPr>
          <w:rFonts w:ascii="Times New Roman" w:eastAsia="Times New Roman" w:hAnsi="Times New Roman" w:cs="Times New Roman"/>
          <w:color w:val="000000"/>
          <w:sz w:val="24"/>
          <w:szCs w:val="24"/>
          <w:shd w:val="clear" w:color="auto" w:fill="FFFFFF"/>
          <w:lang w:eastAsia="ru-RU"/>
        </w:rPr>
        <w:t>potenţialului</w:t>
      </w:r>
      <w:proofErr w:type="spellEnd"/>
      <w:r w:rsidR="006364B2" w:rsidRPr="00125FAF">
        <w:rPr>
          <w:rFonts w:ascii="Times New Roman" w:eastAsia="Times New Roman" w:hAnsi="Times New Roman" w:cs="Times New Roman"/>
          <w:color w:val="000000"/>
          <w:sz w:val="24"/>
          <w:szCs w:val="24"/>
          <w:shd w:val="clear" w:color="auto" w:fill="FFFFFF"/>
          <w:lang w:eastAsia="ru-RU"/>
        </w:rPr>
        <w:t xml:space="preserve"> </w:t>
      </w:r>
      <w:proofErr w:type="spellStart"/>
      <w:r w:rsidR="006364B2" w:rsidRPr="00125FAF">
        <w:rPr>
          <w:rFonts w:ascii="Times New Roman" w:eastAsia="Times New Roman" w:hAnsi="Times New Roman" w:cs="Times New Roman"/>
          <w:color w:val="000000"/>
          <w:sz w:val="24"/>
          <w:szCs w:val="24"/>
          <w:shd w:val="clear" w:color="auto" w:fill="FFFFFF"/>
          <w:lang w:eastAsia="ru-RU"/>
        </w:rPr>
        <w:t>ecoprotectiv</w:t>
      </w:r>
      <w:proofErr w:type="spellEnd"/>
      <w:r w:rsidR="006364B2" w:rsidRPr="00125FAF">
        <w:rPr>
          <w:rFonts w:ascii="Times New Roman" w:eastAsia="Times New Roman" w:hAnsi="Times New Roman" w:cs="Times New Roman"/>
          <w:color w:val="000000"/>
          <w:sz w:val="24"/>
          <w:szCs w:val="24"/>
          <w:shd w:val="clear" w:color="auto" w:fill="FFFFFF"/>
          <w:lang w:eastAsia="ru-RU"/>
        </w:rPr>
        <w:t xml:space="preserve"> </w:t>
      </w:r>
      <w:proofErr w:type="spellStart"/>
      <w:r w:rsidR="006364B2" w:rsidRPr="00125FAF">
        <w:rPr>
          <w:rFonts w:ascii="Times New Roman" w:eastAsia="Times New Roman" w:hAnsi="Times New Roman" w:cs="Times New Roman"/>
          <w:color w:val="000000"/>
          <w:sz w:val="24"/>
          <w:szCs w:val="24"/>
          <w:shd w:val="clear" w:color="auto" w:fill="FFFFFF"/>
          <w:lang w:eastAsia="ru-RU"/>
        </w:rPr>
        <w:t>şi</w:t>
      </w:r>
      <w:proofErr w:type="spellEnd"/>
      <w:r w:rsidR="006364B2" w:rsidRPr="00125FAF">
        <w:rPr>
          <w:rFonts w:ascii="Times New Roman" w:eastAsia="Times New Roman" w:hAnsi="Times New Roman" w:cs="Times New Roman"/>
          <w:color w:val="000000"/>
          <w:sz w:val="24"/>
          <w:szCs w:val="24"/>
          <w:shd w:val="clear" w:color="auto" w:fill="FFFFFF"/>
          <w:lang w:eastAsia="ru-RU"/>
        </w:rPr>
        <w:t xml:space="preserve"> </w:t>
      </w:r>
      <w:proofErr w:type="spellStart"/>
      <w:r w:rsidR="006364B2" w:rsidRPr="00125FAF">
        <w:rPr>
          <w:rFonts w:ascii="Times New Roman" w:eastAsia="Times New Roman" w:hAnsi="Times New Roman" w:cs="Times New Roman"/>
          <w:color w:val="000000"/>
          <w:sz w:val="24"/>
          <w:szCs w:val="24"/>
          <w:shd w:val="clear" w:color="auto" w:fill="FFFFFF"/>
          <w:lang w:eastAsia="ru-RU"/>
        </w:rPr>
        <w:t>bioproductiv</w:t>
      </w:r>
      <w:proofErr w:type="spellEnd"/>
      <w:r w:rsidR="006364B2" w:rsidRPr="00125FAF">
        <w:rPr>
          <w:rFonts w:ascii="Times New Roman" w:eastAsia="Times New Roman" w:hAnsi="Times New Roman" w:cs="Times New Roman"/>
          <w:color w:val="000000"/>
          <w:sz w:val="24"/>
          <w:szCs w:val="24"/>
          <w:shd w:val="clear" w:color="auto" w:fill="FFFFFF"/>
          <w:lang w:eastAsia="ru-RU"/>
        </w:rPr>
        <w:t xml:space="preserve"> al pădurilor existente, </w:t>
      </w:r>
      <w:r w:rsidR="006364B2" w:rsidRPr="00125FAF">
        <w:rPr>
          <w:rFonts w:ascii="Times New Roman" w:eastAsia="Times New Roman" w:hAnsi="Times New Roman" w:cs="Times New Roman"/>
          <w:color w:val="000000"/>
          <w:sz w:val="24"/>
          <w:szCs w:val="24"/>
          <w:shd w:val="clear" w:color="auto" w:fill="FFFFFF"/>
          <w:lang w:eastAsia="ru-RU"/>
        </w:rPr>
        <w:lastRenderedPageBreak/>
        <w:t xml:space="preserve">inclusiv împădurirea zonelor </w:t>
      </w:r>
      <w:proofErr w:type="spellStart"/>
      <w:r w:rsidR="006364B2" w:rsidRPr="00125FAF">
        <w:rPr>
          <w:rFonts w:ascii="Times New Roman" w:eastAsia="Times New Roman" w:hAnsi="Times New Roman" w:cs="Times New Roman"/>
          <w:color w:val="000000"/>
          <w:sz w:val="24"/>
          <w:szCs w:val="24"/>
          <w:shd w:val="clear" w:color="auto" w:fill="FFFFFF"/>
          <w:lang w:eastAsia="ru-RU"/>
        </w:rPr>
        <w:t>şi</w:t>
      </w:r>
      <w:proofErr w:type="spellEnd"/>
      <w:r w:rsidR="006364B2" w:rsidRPr="00125FAF">
        <w:rPr>
          <w:rFonts w:ascii="Times New Roman" w:eastAsia="Times New Roman" w:hAnsi="Times New Roman" w:cs="Times New Roman"/>
          <w:color w:val="000000"/>
          <w:sz w:val="24"/>
          <w:szCs w:val="24"/>
          <w:shd w:val="clear" w:color="auto" w:fill="FFFFFF"/>
          <w:lang w:eastAsia="ru-RU"/>
        </w:rPr>
        <w:t xml:space="preserve"> </w:t>
      </w:r>
      <w:proofErr w:type="spellStart"/>
      <w:r w:rsidR="006364B2" w:rsidRPr="00125FAF">
        <w:rPr>
          <w:rFonts w:ascii="Times New Roman" w:eastAsia="Times New Roman" w:hAnsi="Times New Roman" w:cs="Times New Roman"/>
          <w:color w:val="000000"/>
          <w:sz w:val="24"/>
          <w:szCs w:val="24"/>
          <w:shd w:val="clear" w:color="auto" w:fill="FFFFFF"/>
          <w:lang w:eastAsia="ru-RU"/>
        </w:rPr>
        <w:t>fîşiilor</w:t>
      </w:r>
      <w:proofErr w:type="spellEnd"/>
      <w:r w:rsidR="006364B2" w:rsidRPr="00125FAF">
        <w:rPr>
          <w:rFonts w:ascii="Times New Roman" w:eastAsia="Times New Roman" w:hAnsi="Times New Roman" w:cs="Times New Roman"/>
          <w:color w:val="000000"/>
          <w:sz w:val="24"/>
          <w:szCs w:val="24"/>
          <w:shd w:val="clear" w:color="auto" w:fill="FFFFFF"/>
          <w:lang w:eastAsia="ru-RU"/>
        </w:rPr>
        <w:t xml:space="preserve"> de </w:t>
      </w:r>
      <w:proofErr w:type="spellStart"/>
      <w:r w:rsidR="006364B2" w:rsidRPr="00125FAF">
        <w:rPr>
          <w:rFonts w:ascii="Times New Roman" w:eastAsia="Times New Roman" w:hAnsi="Times New Roman" w:cs="Times New Roman"/>
          <w:color w:val="000000"/>
          <w:sz w:val="24"/>
          <w:szCs w:val="24"/>
          <w:shd w:val="clear" w:color="auto" w:fill="FFFFFF"/>
          <w:lang w:eastAsia="ru-RU"/>
        </w:rPr>
        <w:t>protecţie</w:t>
      </w:r>
      <w:proofErr w:type="spellEnd"/>
      <w:r w:rsidR="006364B2" w:rsidRPr="00125FAF">
        <w:rPr>
          <w:rFonts w:ascii="Times New Roman" w:eastAsia="Times New Roman" w:hAnsi="Times New Roman" w:cs="Times New Roman"/>
          <w:color w:val="000000"/>
          <w:sz w:val="24"/>
          <w:szCs w:val="24"/>
          <w:shd w:val="clear" w:color="auto" w:fill="FFFFFF"/>
          <w:lang w:eastAsia="ru-RU"/>
        </w:rPr>
        <w:t xml:space="preserve"> a apelor </w:t>
      </w:r>
      <w:proofErr w:type="spellStart"/>
      <w:r w:rsidR="006364B2" w:rsidRPr="00125FAF">
        <w:rPr>
          <w:rFonts w:ascii="Times New Roman" w:eastAsia="Times New Roman" w:hAnsi="Times New Roman" w:cs="Times New Roman"/>
          <w:color w:val="000000"/>
          <w:sz w:val="24"/>
          <w:szCs w:val="24"/>
          <w:shd w:val="clear" w:color="auto" w:fill="FFFFFF"/>
          <w:lang w:eastAsia="ru-RU"/>
        </w:rPr>
        <w:t>rîurilor</w:t>
      </w:r>
      <w:proofErr w:type="spellEnd"/>
      <w:r w:rsidR="006364B2" w:rsidRPr="00125FAF">
        <w:rPr>
          <w:rFonts w:ascii="Times New Roman" w:eastAsia="Times New Roman" w:hAnsi="Times New Roman" w:cs="Times New Roman"/>
          <w:color w:val="000000"/>
          <w:sz w:val="24"/>
          <w:szCs w:val="24"/>
          <w:shd w:val="clear" w:color="auto" w:fill="FFFFFF"/>
          <w:lang w:eastAsia="ru-RU"/>
        </w:rPr>
        <w:t xml:space="preserve"> </w:t>
      </w:r>
      <w:proofErr w:type="spellStart"/>
      <w:r w:rsidR="006364B2" w:rsidRPr="00125FAF">
        <w:rPr>
          <w:rFonts w:ascii="Times New Roman" w:eastAsia="Times New Roman" w:hAnsi="Times New Roman" w:cs="Times New Roman"/>
          <w:color w:val="000000"/>
          <w:sz w:val="24"/>
          <w:szCs w:val="24"/>
          <w:shd w:val="clear" w:color="auto" w:fill="FFFFFF"/>
          <w:lang w:eastAsia="ru-RU"/>
        </w:rPr>
        <w:t>şi</w:t>
      </w:r>
      <w:proofErr w:type="spellEnd"/>
      <w:r w:rsidR="006364B2" w:rsidRPr="00125FAF">
        <w:rPr>
          <w:rFonts w:ascii="Times New Roman" w:eastAsia="Times New Roman" w:hAnsi="Times New Roman" w:cs="Times New Roman"/>
          <w:color w:val="000000"/>
          <w:sz w:val="24"/>
          <w:szCs w:val="24"/>
          <w:shd w:val="clear" w:color="auto" w:fill="FFFFFF"/>
          <w:lang w:eastAsia="ru-RU"/>
        </w:rPr>
        <w:t xml:space="preserve"> bazinelor acvatice</w:t>
      </w:r>
      <w:r w:rsidR="00BF6330" w:rsidRPr="00125FAF">
        <w:rPr>
          <w:rFonts w:ascii="Times New Roman" w:eastAsia="Times New Roman" w:hAnsi="Times New Roman" w:cs="Times New Roman"/>
          <w:color w:val="000000"/>
          <w:sz w:val="24"/>
          <w:szCs w:val="24"/>
          <w:shd w:val="clear" w:color="auto" w:fill="FFFFFF"/>
          <w:lang w:eastAsia="ru-RU"/>
        </w:rPr>
        <w:t xml:space="preserve"> (conform normativelor, </w:t>
      </w:r>
      <w:proofErr w:type="spellStart"/>
      <w:r w:rsidR="00BF6330" w:rsidRPr="00125FAF">
        <w:rPr>
          <w:rFonts w:ascii="Times New Roman" w:eastAsia="Times New Roman" w:hAnsi="Times New Roman" w:cs="Times New Roman"/>
          <w:color w:val="000000"/>
          <w:sz w:val="24"/>
          <w:szCs w:val="24"/>
          <w:shd w:val="clear" w:color="auto" w:fill="FFFFFF"/>
          <w:lang w:eastAsia="ru-RU"/>
        </w:rPr>
        <w:t>suprafaţa</w:t>
      </w:r>
      <w:proofErr w:type="spellEnd"/>
      <w:r w:rsidR="00BF6330" w:rsidRPr="00125FAF">
        <w:rPr>
          <w:rFonts w:ascii="Times New Roman" w:eastAsia="Times New Roman" w:hAnsi="Times New Roman" w:cs="Times New Roman"/>
          <w:color w:val="000000"/>
          <w:sz w:val="24"/>
          <w:szCs w:val="24"/>
          <w:shd w:val="clear" w:color="auto" w:fill="FFFFFF"/>
          <w:lang w:eastAsia="ru-RU"/>
        </w:rPr>
        <w:t xml:space="preserve"> perdelelor forestiere de </w:t>
      </w:r>
      <w:proofErr w:type="spellStart"/>
      <w:r w:rsidR="00BF6330" w:rsidRPr="00125FAF">
        <w:rPr>
          <w:rFonts w:ascii="Times New Roman" w:eastAsia="Times New Roman" w:hAnsi="Times New Roman" w:cs="Times New Roman"/>
          <w:color w:val="000000"/>
          <w:sz w:val="24"/>
          <w:szCs w:val="24"/>
          <w:shd w:val="clear" w:color="auto" w:fill="FFFFFF"/>
          <w:lang w:eastAsia="ru-RU"/>
        </w:rPr>
        <w:t>protecţie</w:t>
      </w:r>
      <w:proofErr w:type="spellEnd"/>
      <w:r w:rsidR="00BF6330" w:rsidRPr="00125FAF">
        <w:rPr>
          <w:rFonts w:ascii="Times New Roman" w:eastAsia="Times New Roman" w:hAnsi="Times New Roman" w:cs="Times New Roman"/>
          <w:color w:val="000000"/>
          <w:sz w:val="24"/>
          <w:szCs w:val="24"/>
          <w:shd w:val="clear" w:color="auto" w:fill="FFFFFF"/>
          <w:lang w:eastAsia="ru-RU"/>
        </w:rPr>
        <w:t xml:space="preserve"> trebuie să constituie 4% din </w:t>
      </w:r>
      <w:proofErr w:type="spellStart"/>
      <w:r w:rsidR="00BF6330" w:rsidRPr="00125FAF">
        <w:rPr>
          <w:rFonts w:ascii="Times New Roman" w:eastAsia="Times New Roman" w:hAnsi="Times New Roman" w:cs="Times New Roman"/>
          <w:color w:val="000000"/>
          <w:sz w:val="24"/>
          <w:szCs w:val="24"/>
          <w:shd w:val="clear" w:color="auto" w:fill="FFFFFF"/>
          <w:lang w:eastAsia="ru-RU"/>
        </w:rPr>
        <w:t>suprafaţa</w:t>
      </w:r>
      <w:proofErr w:type="spellEnd"/>
      <w:r w:rsidR="00BF6330" w:rsidRPr="00125FAF">
        <w:rPr>
          <w:rFonts w:ascii="Times New Roman" w:eastAsia="Times New Roman" w:hAnsi="Times New Roman" w:cs="Times New Roman"/>
          <w:color w:val="000000"/>
          <w:sz w:val="24"/>
          <w:szCs w:val="24"/>
          <w:shd w:val="clear" w:color="auto" w:fill="FFFFFF"/>
          <w:lang w:eastAsia="ru-RU"/>
        </w:rPr>
        <w:t xml:space="preserve"> terenurilor arabile)</w:t>
      </w:r>
      <w:r w:rsidR="006364B2" w:rsidRPr="00125FAF">
        <w:rPr>
          <w:rFonts w:ascii="Times New Roman" w:eastAsia="Times New Roman" w:hAnsi="Times New Roman" w:cs="Times New Roman"/>
          <w:color w:val="000000"/>
          <w:sz w:val="24"/>
          <w:szCs w:val="24"/>
          <w:shd w:val="clear" w:color="auto" w:fill="FFFFFF"/>
          <w:lang w:eastAsia="ru-RU"/>
        </w:rPr>
        <w:t xml:space="preserve">; extinderea </w:t>
      </w:r>
      <w:proofErr w:type="spellStart"/>
      <w:r w:rsidR="006364B2" w:rsidRPr="00125FAF">
        <w:rPr>
          <w:rFonts w:ascii="Times New Roman" w:eastAsia="Times New Roman" w:hAnsi="Times New Roman" w:cs="Times New Roman"/>
          <w:color w:val="000000"/>
          <w:sz w:val="24"/>
          <w:szCs w:val="24"/>
          <w:shd w:val="clear" w:color="auto" w:fill="FFFFFF"/>
          <w:lang w:eastAsia="ru-RU"/>
        </w:rPr>
        <w:t>suprafeţelor</w:t>
      </w:r>
      <w:proofErr w:type="spellEnd"/>
      <w:r w:rsidR="006364B2" w:rsidRPr="00125FAF">
        <w:rPr>
          <w:rFonts w:ascii="Times New Roman" w:eastAsia="Times New Roman" w:hAnsi="Times New Roman" w:cs="Times New Roman"/>
          <w:color w:val="000000"/>
          <w:sz w:val="24"/>
          <w:szCs w:val="24"/>
          <w:shd w:val="clear" w:color="auto" w:fill="FFFFFF"/>
          <w:lang w:eastAsia="ru-RU"/>
        </w:rPr>
        <w:t xml:space="preserve"> împădurite din contul terenurilor degradate, impracticabile pentru agricultură din contul terenurilor degradate din proprietate publică </w:t>
      </w:r>
      <w:proofErr w:type="spellStart"/>
      <w:r w:rsidR="006364B2" w:rsidRPr="00125FAF">
        <w:rPr>
          <w:rFonts w:ascii="Times New Roman" w:eastAsia="Times New Roman" w:hAnsi="Times New Roman" w:cs="Times New Roman"/>
          <w:color w:val="000000"/>
          <w:sz w:val="24"/>
          <w:szCs w:val="24"/>
          <w:shd w:val="clear" w:color="auto" w:fill="FFFFFF"/>
          <w:lang w:eastAsia="ru-RU"/>
        </w:rPr>
        <w:t>şi</w:t>
      </w:r>
      <w:proofErr w:type="spellEnd"/>
      <w:r w:rsidR="006364B2" w:rsidRPr="00125FAF">
        <w:rPr>
          <w:rFonts w:ascii="Times New Roman" w:eastAsia="Times New Roman" w:hAnsi="Times New Roman" w:cs="Times New Roman"/>
          <w:color w:val="000000"/>
          <w:sz w:val="24"/>
          <w:szCs w:val="24"/>
          <w:shd w:val="clear" w:color="auto" w:fill="FFFFFF"/>
          <w:lang w:eastAsia="ru-RU"/>
        </w:rPr>
        <w:t xml:space="preserve"> privată; extinderea </w:t>
      </w:r>
      <w:proofErr w:type="spellStart"/>
      <w:r w:rsidR="006364B2" w:rsidRPr="00125FAF">
        <w:rPr>
          <w:rFonts w:ascii="Times New Roman" w:eastAsia="Times New Roman" w:hAnsi="Times New Roman" w:cs="Times New Roman"/>
          <w:color w:val="000000"/>
          <w:sz w:val="24"/>
          <w:szCs w:val="24"/>
          <w:shd w:val="clear" w:color="auto" w:fill="FFFFFF"/>
          <w:lang w:eastAsia="ru-RU"/>
        </w:rPr>
        <w:t>suprafeţelor</w:t>
      </w:r>
      <w:proofErr w:type="spellEnd"/>
      <w:r w:rsidR="006364B2" w:rsidRPr="00125FAF">
        <w:rPr>
          <w:rFonts w:ascii="Times New Roman" w:eastAsia="Times New Roman" w:hAnsi="Times New Roman" w:cs="Times New Roman"/>
          <w:color w:val="000000"/>
          <w:sz w:val="24"/>
          <w:szCs w:val="24"/>
          <w:shd w:val="clear" w:color="auto" w:fill="FFFFFF"/>
          <w:lang w:eastAsia="ru-RU"/>
        </w:rPr>
        <w:t xml:space="preserve"> acoperite cu </w:t>
      </w:r>
      <w:proofErr w:type="spellStart"/>
      <w:r w:rsidR="006364B2" w:rsidRPr="00125FAF">
        <w:rPr>
          <w:rFonts w:ascii="Times New Roman" w:eastAsia="Times New Roman" w:hAnsi="Times New Roman" w:cs="Times New Roman"/>
          <w:color w:val="000000"/>
          <w:sz w:val="24"/>
          <w:szCs w:val="24"/>
          <w:shd w:val="clear" w:color="auto" w:fill="FFFFFF"/>
          <w:lang w:eastAsia="ru-RU"/>
        </w:rPr>
        <w:t>vegetaţie</w:t>
      </w:r>
      <w:proofErr w:type="spellEnd"/>
      <w:r w:rsidR="006364B2" w:rsidRPr="00125FAF">
        <w:rPr>
          <w:rFonts w:ascii="Times New Roman" w:eastAsia="Times New Roman" w:hAnsi="Times New Roman" w:cs="Times New Roman"/>
          <w:color w:val="000000"/>
          <w:sz w:val="24"/>
          <w:szCs w:val="24"/>
          <w:shd w:val="clear" w:color="auto" w:fill="FFFFFF"/>
          <w:lang w:eastAsia="ru-RU"/>
        </w:rPr>
        <w:t xml:space="preserve"> forestieră din afara fondului forestier, inclusiv în contextul promovării într-o măsura mai mare a practicilor </w:t>
      </w:r>
      <w:proofErr w:type="spellStart"/>
      <w:r w:rsidR="006364B2" w:rsidRPr="00125FAF">
        <w:rPr>
          <w:rFonts w:ascii="Times New Roman" w:eastAsia="Times New Roman" w:hAnsi="Times New Roman" w:cs="Times New Roman"/>
          <w:color w:val="000000"/>
          <w:sz w:val="24"/>
          <w:szCs w:val="24"/>
          <w:shd w:val="clear" w:color="auto" w:fill="FFFFFF"/>
          <w:lang w:eastAsia="ru-RU"/>
        </w:rPr>
        <w:t>agroforestiere</w:t>
      </w:r>
      <w:proofErr w:type="spellEnd"/>
      <w:r w:rsidR="006364B2" w:rsidRPr="00125FAF">
        <w:rPr>
          <w:rFonts w:ascii="Times New Roman" w:eastAsia="Times New Roman" w:hAnsi="Times New Roman" w:cs="Times New Roman"/>
          <w:color w:val="000000"/>
          <w:sz w:val="24"/>
          <w:szCs w:val="24"/>
          <w:shd w:val="clear" w:color="auto" w:fill="FFFFFF"/>
          <w:lang w:eastAsia="ru-RU"/>
        </w:rPr>
        <w:t xml:space="preserve"> </w:t>
      </w:r>
      <w:proofErr w:type="spellStart"/>
      <w:r w:rsidR="006364B2" w:rsidRPr="00125FAF">
        <w:rPr>
          <w:rFonts w:ascii="Times New Roman" w:eastAsia="Times New Roman" w:hAnsi="Times New Roman" w:cs="Times New Roman"/>
          <w:color w:val="000000"/>
          <w:sz w:val="24"/>
          <w:szCs w:val="24"/>
          <w:shd w:val="clear" w:color="auto" w:fill="FFFFFF"/>
          <w:lang w:eastAsia="ru-RU"/>
        </w:rPr>
        <w:t>şi</w:t>
      </w:r>
      <w:proofErr w:type="spellEnd"/>
      <w:r w:rsidR="006364B2" w:rsidRPr="00125FAF">
        <w:rPr>
          <w:rFonts w:ascii="Times New Roman" w:eastAsia="Times New Roman" w:hAnsi="Times New Roman" w:cs="Times New Roman"/>
          <w:color w:val="000000"/>
          <w:sz w:val="24"/>
          <w:szCs w:val="24"/>
          <w:shd w:val="clear" w:color="auto" w:fill="FFFFFF"/>
          <w:lang w:eastAsia="ru-RU"/>
        </w:rPr>
        <w:t xml:space="preserve"> </w:t>
      </w:r>
      <w:proofErr w:type="spellStart"/>
      <w:r w:rsidR="006364B2" w:rsidRPr="00125FAF">
        <w:rPr>
          <w:rFonts w:ascii="Times New Roman" w:eastAsia="Times New Roman" w:hAnsi="Times New Roman" w:cs="Times New Roman"/>
          <w:color w:val="000000"/>
          <w:sz w:val="24"/>
          <w:szCs w:val="24"/>
          <w:shd w:val="clear" w:color="auto" w:fill="FFFFFF"/>
          <w:lang w:eastAsia="ru-RU"/>
        </w:rPr>
        <w:t>silvopastorale</w:t>
      </w:r>
      <w:proofErr w:type="spellEnd"/>
      <w:r w:rsidR="006364B2" w:rsidRPr="00125FAF">
        <w:rPr>
          <w:rFonts w:ascii="Times New Roman" w:eastAsia="Times New Roman" w:hAnsi="Times New Roman" w:cs="Times New Roman"/>
          <w:color w:val="000000"/>
          <w:sz w:val="24"/>
          <w:szCs w:val="24"/>
          <w:shd w:val="clear" w:color="auto" w:fill="FFFFFF"/>
          <w:lang w:eastAsia="ru-RU"/>
        </w:rPr>
        <w:t xml:space="preserve">: de exemplu, prin </w:t>
      </w:r>
      <w:proofErr w:type="spellStart"/>
      <w:r w:rsidR="006364B2" w:rsidRPr="00125FAF">
        <w:rPr>
          <w:rFonts w:ascii="Times New Roman" w:eastAsia="Times New Roman" w:hAnsi="Times New Roman" w:cs="Times New Roman"/>
          <w:color w:val="000000"/>
          <w:sz w:val="24"/>
          <w:szCs w:val="24"/>
          <w:shd w:val="clear" w:color="auto" w:fill="FFFFFF"/>
          <w:lang w:eastAsia="ru-RU"/>
        </w:rPr>
        <w:t>îmbunătăţirea</w:t>
      </w:r>
      <w:proofErr w:type="spellEnd"/>
      <w:r w:rsidR="006364B2" w:rsidRPr="00125FAF">
        <w:rPr>
          <w:rFonts w:ascii="Times New Roman" w:eastAsia="Times New Roman" w:hAnsi="Times New Roman" w:cs="Times New Roman"/>
          <w:color w:val="000000"/>
          <w:sz w:val="24"/>
          <w:szCs w:val="24"/>
          <w:shd w:val="clear" w:color="auto" w:fill="FFFFFF"/>
          <w:lang w:eastAsia="ru-RU"/>
        </w:rPr>
        <w:t xml:space="preserve"> </w:t>
      </w:r>
      <w:proofErr w:type="spellStart"/>
      <w:r w:rsidR="006364B2" w:rsidRPr="00125FAF">
        <w:rPr>
          <w:rFonts w:ascii="Times New Roman" w:eastAsia="Times New Roman" w:hAnsi="Times New Roman" w:cs="Times New Roman"/>
          <w:color w:val="000000"/>
          <w:sz w:val="24"/>
          <w:szCs w:val="24"/>
          <w:shd w:val="clear" w:color="auto" w:fill="FFFFFF"/>
          <w:lang w:eastAsia="ru-RU"/>
        </w:rPr>
        <w:t>calităţii</w:t>
      </w:r>
      <w:proofErr w:type="spellEnd"/>
      <w:r w:rsidR="006364B2" w:rsidRPr="00125FAF">
        <w:rPr>
          <w:rFonts w:ascii="Times New Roman" w:eastAsia="Times New Roman" w:hAnsi="Times New Roman" w:cs="Times New Roman"/>
          <w:color w:val="000000"/>
          <w:sz w:val="24"/>
          <w:szCs w:val="24"/>
          <w:shd w:val="clear" w:color="auto" w:fill="FFFFFF"/>
          <w:lang w:eastAsia="ru-RU"/>
        </w:rPr>
        <w:t xml:space="preserve"> </w:t>
      </w:r>
      <w:proofErr w:type="spellStart"/>
      <w:r w:rsidR="006364B2" w:rsidRPr="00125FAF">
        <w:rPr>
          <w:rFonts w:ascii="Times New Roman" w:eastAsia="Times New Roman" w:hAnsi="Times New Roman" w:cs="Times New Roman"/>
          <w:color w:val="000000"/>
          <w:sz w:val="24"/>
          <w:szCs w:val="24"/>
          <w:shd w:val="clear" w:color="auto" w:fill="FFFFFF"/>
          <w:lang w:eastAsia="ru-RU"/>
        </w:rPr>
        <w:t>pajiştilor</w:t>
      </w:r>
      <w:proofErr w:type="spellEnd"/>
      <w:r w:rsidR="006364B2" w:rsidRPr="00125FAF">
        <w:rPr>
          <w:rFonts w:ascii="Times New Roman" w:eastAsia="Times New Roman" w:hAnsi="Times New Roman" w:cs="Times New Roman"/>
          <w:color w:val="000000"/>
          <w:sz w:val="24"/>
          <w:szCs w:val="24"/>
          <w:shd w:val="clear" w:color="auto" w:fill="FFFFFF"/>
          <w:lang w:eastAsia="ru-RU"/>
        </w:rPr>
        <w:t>;</w:t>
      </w:r>
      <w:r w:rsidR="006364B2" w:rsidRPr="00125FAF">
        <w:rPr>
          <w:rFonts w:ascii="Times New Roman" w:eastAsia="Times New Roman" w:hAnsi="Times New Roman" w:cs="Times New Roman"/>
          <w:color w:val="000000"/>
          <w:sz w:val="24"/>
          <w:szCs w:val="24"/>
          <w:lang w:eastAsia="ru-RU"/>
        </w:rPr>
        <w:t xml:space="preserve"> </w:t>
      </w:r>
      <w:proofErr w:type="spellStart"/>
      <w:r w:rsidR="006364B2" w:rsidRPr="00125FAF">
        <w:rPr>
          <w:rFonts w:ascii="Times New Roman" w:eastAsia="Times New Roman" w:hAnsi="Times New Roman" w:cs="Times New Roman"/>
          <w:color w:val="000000"/>
          <w:sz w:val="24"/>
          <w:szCs w:val="24"/>
          <w:shd w:val="clear" w:color="auto" w:fill="FFFFFF"/>
          <w:lang w:eastAsia="ru-RU"/>
        </w:rPr>
        <w:t>reconstrucţia</w:t>
      </w:r>
      <w:proofErr w:type="spellEnd"/>
      <w:r w:rsidR="006364B2" w:rsidRPr="00125FAF">
        <w:rPr>
          <w:rFonts w:ascii="Times New Roman" w:eastAsia="Times New Roman" w:hAnsi="Times New Roman" w:cs="Times New Roman"/>
          <w:color w:val="000000"/>
          <w:sz w:val="24"/>
          <w:szCs w:val="24"/>
          <w:shd w:val="clear" w:color="auto" w:fill="FFFFFF"/>
          <w:lang w:eastAsia="ru-RU"/>
        </w:rPr>
        <w:t xml:space="preserve"> </w:t>
      </w:r>
      <w:proofErr w:type="spellStart"/>
      <w:r w:rsidR="006364B2" w:rsidRPr="00125FAF">
        <w:rPr>
          <w:rFonts w:ascii="Times New Roman" w:eastAsia="Times New Roman" w:hAnsi="Times New Roman" w:cs="Times New Roman"/>
          <w:color w:val="000000"/>
          <w:sz w:val="24"/>
          <w:szCs w:val="24"/>
          <w:shd w:val="clear" w:color="auto" w:fill="FFFFFF"/>
          <w:lang w:eastAsia="ru-RU"/>
        </w:rPr>
        <w:t>arboretelor</w:t>
      </w:r>
      <w:proofErr w:type="spellEnd"/>
      <w:r w:rsidR="006364B2" w:rsidRPr="00125FAF">
        <w:rPr>
          <w:rFonts w:ascii="Times New Roman" w:eastAsia="Times New Roman" w:hAnsi="Times New Roman" w:cs="Times New Roman"/>
          <w:color w:val="000000"/>
          <w:sz w:val="24"/>
          <w:szCs w:val="24"/>
          <w:shd w:val="clear" w:color="auto" w:fill="FFFFFF"/>
          <w:lang w:eastAsia="ru-RU"/>
        </w:rPr>
        <w:t xml:space="preserve"> degradate </w:t>
      </w:r>
      <w:proofErr w:type="spellStart"/>
      <w:r w:rsidR="006364B2" w:rsidRPr="00125FAF">
        <w:rPr>
          <w:rFonts w:ascii="Times New Roman" w:eastAsia="Times New Roman" w:hAnsi="Times New Roman" w:cs="Times New Roman"/>
          <w:color w:val="000000"/>
          <w:sz w:val="24"/>
          <w:szCs w:val="24"/>
          <w:shd w:val="clear" w:color="auto" w:fill="FFFFFF"/>
          <w:lang w:eastAsia="ru-RU"/>
        </w:rPr>
        <w:t>şi</w:t>
      </w:r>
      <w:proofErr w:type="spellEnd"/>
      <w:r w:rsidR="006364B2" w:rsidRPr="00125FAF">
        <w:rPr>
          <w:rFonts w:ascii="Times New Roman" w:eastAsia="Times New Roman" w:hAnsi="Times New Roman" w:cs="Times New Roman"/>
          <w:color w:val="000000"/>
          <w:sz w:val="24"/>
          <w:szCs w:val="24"/>
          <w:shd w:val="clear" w:color="auto" w:fill="FFFFFF"/>
          <w:lang w:eastAsia="ru-RU"/>
        </w:rPr>
        <w:t xml:space="preserve"> întreprinderea măsurilor active de combatere a dăunătorilor forestieri</w:t>
      </w:r>
      <w:r w:rsidRPr="00125FAF">
        <w:rPr>
          <w:rFonts w:ascii="Times New Roman" w:eastAsia="Times New Roman" w:hAnsi="Times New Roman" w:cs="Times New Roman"/>
          <w:color w:val="000000"/>
          <w:sz w:val="24"/>
          <w:szCs w:val="24"/>
          <w:shd w:val="clear" w:color="auto" w:fill="FFFFFF"/>
          <w:lang w:eastAsia="ru-RU"/>
        </w:rPr>
        <w:t>;</w:t>
      </w:r>
    </w:p>
    <w:p w14:paraId="119968A4" w14:textId="0EF5FB1A" w:rsidR="006364B2" w:rsidRPr="00125FAF" w:rsidRDefault="006364B2" w:rsidP="006364B2">
      <w:pPr>
        <w:spacing w:after="0" w:line="240" w:lineRule="auto"/>
        <w:ind w:firstLine="720"/>
        <w:jc w:val="both"/>
        <w:rPr>
          <w:rFonts w:ascii="Times New Roman" w:eastAsia="Times New Roman" w:hAnsi="Times New Roman" w:cs="Times New Roman"/>
          <w:sz w:val="24"/>
          <w:szCs w:val="24"/>
          <w:lang w:eastAsia="ru-RU"/>
        </w:rPr>
      </w:pPr>
      <w:r w:rsidRPr="00125FAF">
        <w:rPr>
          <w:rFonts w:ascii="Times New Roman" w:eastAsia="Times New Roman" w:hAnsi="Times New Roman" w:cs="Times New Roman"/>
          <w:color w:val="000000"/>
          <w:sz w:val="24"/>
          <w:szCs w:val="24"/>
          <w:shd w:val="clear" w:color="auto" w:fill="FFFFFF"/>
          <w:lang w:eastAsia="ru-RU"/>
        </w:rPr>
        <w:t xml:space="preserve">c) </w:t>
      </w:r>
      <w:proofErr w:type="spellStart"/>
      <w:r w:rsidRPr="00125FAF">
        <w:rPr>
          <w:rFonts w:ascii="Times New Roman" w:eastAsia="Times New Roman" w:hAnsi="Times New Roman" w:cs="Times New Roman"/>
          <w:color w:val="000000"/>
          <w:sz w:val="24"/>
          <w:szCs w:val="24"/>
          <w:shd w:val="clear" w:color="auto" w:fill="FFFFFF"/>
          <w:lang w:eastAsia="ru-RU"/>
        </w:rPr>
        <w:t>susţinerea</w:t>
      </w:r>
      <w:proofErr w:type="spellEnd"/>
      <w:r w:rsidRPr="00125FAF">
        <w:rPr>
          <w:rFonts w:ascii="Times New Roman" w:eastAsia="Times New Roman" w:hAnsi="Times New Roman" w:cs="Times New Roman"/>
          <w:color w:val="000000"/>
          <w:sz w:val="24"/>
          <w:szCs w:val="24"/>
          <w:shd w:val="clear" w:color="auto" w:fill="FFFFFF"/>
          <w:lang w:eastAsia="ru-RU"/>
        </w:rPr>
        <w:t xml:space="preserve"> </w:t>
      </w:r>
      <w:proofErr w:type="spellStart"/>
      <w:r w:rsidRPr="00125FAF">
        <w:rPr>
          <w:rFonts w:ascii="Times New Roman" w:eastAsia="Times New Roman" w:hAnsi="Times New Roman" w:cs="Times New Roman"/>
          <w:color w:val="000000"/>
          <w:sz w:val="24"/>
          <w:szCs w:val="24"/>
          <w:shd w:val="clear" w:color="auto" w:fill="FFFFFF"/>
          <w:lang w:eastAsia="ru-RU"/>
        </w:rPr>
        <w:t>comunităţilor</w:t>
      </w:r>
      <w:proofErr w:type="spellEnd"/>
      <w:r w:rsidRPr="00125FAF">
        <w:rPr>
          <w:rFonts w:ascii="Times New Roman" w:eastAsia="Times New Roman" w:hAnsi="Times New Roman" w:cs="Times New Roman"/>
          <w:color w:val="000000"/>
          <w:sz w:val="24"/>
          <w:szCs w:val="24"/>
          <w:shd w:val="clear" w:color="auto" w:fill="FFFFFF"/>
          <w:lang w:eastAsia="ru-RU"/>
        </w:rPr>
        <w:t xml:space="preserve"> pentru managementul durabil </w:t>
      </w:r>
      <w:proofErr w:type="spellStart"/>
      <w:r w:rsidRPr="00125FAF">
        <w:rPr>
          <w:rFonts w:ascii="Times New Roman" w:eastAsia="Times New Roman" w:hAnsi="Times New Roman" w:cs="Times New Roman"/>
          <w:color w:val="000000"/>
          <w:sz w:val="24"/>
          <w:szCs w:val="24"/>
          <w:shd w:val="clear" w:color="auto" w:fill="FFFFFF"/>
          <w:lang w:eastAsia="ru-RU"/>
        </w:rPr>
        <w:t>şi</w:t>
      </w:r>
      <w:proofErr w:type="spellEnd"/>
      <w:r w:rsidRPr="00125FAF">
        <w:rPr>
          <w:rFonts w:ascii="Times New Roman" w:eastAsia="Times New Roman" w:hAnsi="Times New Roman" w:cs="Times New Roman"/>
          <w:color w:val="000000"/>
          <w:sz w:val="24"/>
          <w:szCs w:val="24"/>
          <w:shd w:val="clear" w:color="auto" w:fill="FFFFFF"/>
          <w:lang w:eastAsia="ru-RU"/>
        </w:rPr>
        <w:t xml:space="preserve"> integrat al pădurilor, inclusiv prin: ameliorarea </w:t>
      </w:r>
      <w:proofErr w:type="spellStart"/>
      <w:r w:rsidRPr="00125FAF">
        <w:rPr>
          <w:rFonts w:ascii="Times New Roman" w:eastAsia="Times New Roman" w:hAnsi="Times New Roman" w:cs="Times New Roman"/>
          <w:color w:val="000000"/>
          <w:sz w:val="24"/>
          <w:szCs w:val="24"/>
          <w:shd w:val="clear" w:color="auto" w:fill="FFFFFF"/>
          <w:lang w:eastAsia="ru-RU"/>
        </w:rPr>
        <w:t>productivităţii</w:t>
      </w:r>
      <w:proofErr w:type="spellEnd"/>
      <w:r w:rsidRPr="00125FAF">
        <w:rPr>
          <w:rFonts w:ascii="Times New Roman" w:eastAsia="Times New Roman" w:hAnsi="Times New Roman" w:cs="Times New Roman"/>
          <w:color w:val="000000"/>
          <w:sz w:val="24"/>
          <w:szCs w:val="24"/>
          <w:shd w:val="clear" w:color="auto" w:fill="FFFFFF"/>
          <w:lang w:eastAsia="ru-RU"/>
        </w:rPr>
        <w:t xml:space="preserve"> </w:t>
      </w:r>
      <w:proofErr w:type="spellStart"/>
      <w:r w:rsidRPr="00125FAF">
        <w:rPr>
          <w:rFonts w:ascii="Times New Roman" w:eastAsia="Times New Roman" w:hAnsi="Times New Roman" w:cs="Times New Roman"/>
          <w:color w:val="000000"/>
          <w:sz w:val="24"/>
          <w:szCs w:val="24"/>
          <w:shd w:val="clear" w:color="auto" w:fill="FFFFFF"/>
          <w:lang w:eastAsia="ru-RU"/>
        </w:rPr>
        <w:t>pajişti</w:t>
      </w:r>
      <w:r w:rsidR="00BF6330" w:rsidRPr="00125FAF">
        <w:rPr>
          <w:rFonts w:ascii="Times New Roman" w:eastAsia="Times New Roman" w:hAnsi="Times New Roman" w:cs="Times New Roman"/>
          <w:color w:val="000000"/>
          <w:sz w:val="24"/>
          <w:szCs w:val="24"/>
          <w:shd w:val="clear" w:color="auto" w:fill="FFFFFF"/>
          <w:lang w:eastAsia="ru-RU"/>
        </w:rPr>
        <w:t>lor</w:t>
      </w:r>
      <w:proofErr w:type="spellEnd"/>
      <w:r w:rsidRPr="00125FAF">
        <w:rPr>
          <w:rFonts w:ascii="Times New Roman" w:eastAsia="Times New Roman" w:hAnsi="Times New Roman" w:cs="Times New Roman"/>
          <w:color w:val="000000"/>
          <w:sz w:val="24"/>
          <w:szCs w:val="24"/>
          <w:shd w:val="clear" w:color="auto" w:fill="FFFFFF"/>
          <w:lang w:eastAsia="ru-RU"/>
        </w:rPr>
        <w:t xml:space="preserve"> comunale; </w:t>
      </w:r>
      <w:proofErr w:type="spellStart"/>
      <w:r w:rsidRPr="00125FAF">
        <w:rPr>
          <w:rFonts w:ascii="Times New Roman" w:eastAsia="Times New Roman" w:hAnsi="Times New Roman" w:cs="Times New Roman"/>
          <w:color w:val="000000"/>
          <w:sz w:val="24"/>
          <w:szCs w:val="24"/>
          <w:shd w:val="clear" w:color="auto" w:fill="FFFFFF"/>
          <w:lang w:eastAsia="ru-RU"/>
        </w:rPr>
        <w:t>reconstrucţia</w:t>
      </w:r>
      <w:proofErr w:type="spellEnd"/>
      <w:r w:rsidRPr="00125FAF">
        <w:rPr>
          <w:rFonts w:ascii="Times New Roman" w:eastAsia="Times New Roman" w:hAnsi="Times New Roman" w:cs="Times New Roman"/>
          <w:color w:val="000000"/>
          <w:sz w:val="24"/>
          <w:szCs w:val="24"/>
          <w:shd w:val="clear" w:color="auto" w:fill="FFFFFF"/>
          <w:lang w:eastAsia="ru-RU"/>
        </w:rPr>
        <w:t xml:space="preserve"> </w:t>
      </w:r>
      <w:proofErr w:type="spellStart"/>
      <w:r w:rsidRPr="00125FAF">
        <w:rPr>
          <w:rFonts w:ascii="Times New Roman" w:eastAsia="Times New Roman" w:hAnsi="Times New Roman" w:cs="Times New Roman"/>
          <w:color w:val="000000"/>
          <w:sz w:val="24"/>
          <w:szCs w:val="24"/>
          <w:shd w:val="clear" w:color="auto" w:fill="FFFFFF"/>
          <w:lang w:eastAsia="ru-RU"/>
        </w:rPr>
        <w:t>şi</w:t>
      </w:r>
      <w:proofErr w:type="spellEnd"/>
      <w:r w:rsidRPr="00125FAF">
        <w:rPr>
          <w:rFonts w:ascii="Times New Roman" w:eastAsia="Times New Roman" w:hAnsi="Times New Roman" w:cs="Times New Roman"/>
          <w:color w:val="000000"/>
          <w:sz w:val="24"/>
          <w:szCs w:val="24"/>
          <w:shd w:val="clear" w:color="auto" w:fill="FFFFFF"/>
          <w:lang w:eastAsia="ru-RU"/>
        </w:rPr>
        <w:t>/sau restabilirea păduri</w:t>
      </w:r>
      <w:r w:rsidR="00A879FE" w:rsidRPr="00125FAF">
        <w:rPr>
          <w:rFonts w:ascii="Times New Roman" w:eastAsia="Times New Roman" w:hAnsi="Times New Roman" w:cs="Times New Roman"/>
          <w:color w:val="000000"/>
          <w:sz w:val="24"/>
          <w:szCs w:val="24"/>
          <w:shd w:val="clear" w:color="auto" w:fill="FFFFFF"/>
          <w:lang w:eastAsia="ru-RU"/>
        </w:rPr>
        <w:t>lor</w:t>
      </w:r>
      <w:r w:rsidRPr="00125FAF">
        <w:rPr>
          <w:rFonts w:ascii="Times New Roman" w:eastAsia="Times New Roman" w:hAnsi="Times New Roman" w:cs="Times New Roman"/>
          <w:color w:val="000000"/>
          <w:sz w:val="24"/>
          <w:szCs w:val="24"/>
          <w:shd w:val="clear" w:color="auto" w:fill="FFFFFF"/>
          <w:lang w:eastAsia="ru-RU"/>
        </w:rPr>
        <w:t xml:space="preserve"> </w:t>
      </w:r>
      <w:proofErr w:type="spellStart"/>
      <w:r w:rsidRPr="00125FAF">
        <w:rPr>
          <w:rFonts w:ascii="Times New Roman" w:eastAsia="Times New Roman" w:hAnsi="Times New Roman" w:cs="Times New Roman"/>
          <w:color w:val="000000"/>
          <w:sz w:val="24"/>
          <w:szCs w:val="24"/>
          <w:shd w:val="clear" w:color="auto" w:fill="FFFFFF"/>
          <w:lang w:eastAsia="ru-RU"/>
        </w:rPr>
        <w:t>şi</w:t>
      </w:r>
      <w:proofErr w:type="spellEnd"/>
      <w:r w:rsidRPr="00125FAF">
        <w:rPr>
          <w:rFonts w:ascii="Times New Roman" w:eastAsia="Times New Roman" w:hAnsi="Times New Roman" w:cs="Times New Roman"/>
          <w:color w:val="000000"/>
          <w:sz w:val="24"/>
          <w:szCs w:val="24"/>
          <w:shd w:val="clear" w:color="auto" w:fill="FFFFFF"/>
          <w:lang w:eastAsia="ru-RU"/>
        </w:rPr>
        <w:t xml:space="preserve"> alt</w:t>
      </w:r>
      <w:r w:rsidR="00A879FE" w:rsidRPr="00125FAF">
        <w:rPr>
          <w:rFonts w:ascii="Times New Roman" w:eastAsia="Times New Roman" w:hAnsi="Times New Roman" w:cs="Times New Roman"/>
          <w:color w:val="000000"/>
          <w:sz w:val="24"/>
          <w:szCs w:val="24"/>
          <w:shd w:val="clear" w:color="auto" w:fill="FFFFFF"/>
          <w:lang w:eastAsia="ru-RU"/>
        </w:rPr>
        <w:t>or</w:t>
      </w:r>
      <w:r w:rsidRPr="00125FAF">
        <w:rPr>
          <w:rFonts w:ascii="Times New Roman" w:eastAsia="Times New Roman" w:hAnsi="Times New Roman" w:cs="Times New Roman"/>
          <w:color w:val="000000"/>
          <w:sz w:val="24"/>
          <w:szCs w:val="24"/>
          <w:shd w:val="clear" w:color="auto" w:fill="FFFFFF"/>
          <w:lang w:eastAsia="ru-RU"/>
        </w:rPr>
        <w:t xml:space="preserve"> tipuri de </w:t>
      </w:r>
      <w:proofErr w:type="spellStart"/>
      <w:r w:rsidRPr="00125FAF">
        <w:rPr>
          <w:rFonts w:ascii="Times New Roman" w:eastAsia="Times New Roman" w:hAnsi="Times New Roman" w:cs="Times New Roman"/>
          <w:color w:val="000000"/>
          <w:sz w:val="24"/>
          <w:szCs w:val="24"/>
          <w:shd w:val="clear" w:color="auto" w:fill="FFFFFF"/>
          <w:lang w:eastAsia="ru-RU"/>
        </w:rPr>
        <w:t>vegetaţie</w:t>
      </w:r>
      <w:proofErr w:type="spellEnd"/>
      <w:r w:rsidRPr="00125FAF">
        <w:rPr>
          <w:rFonts w:ascii="Times New Roman" w:eastAsia="Times New Roman" w:hAnsi="Times New Roman" w:cs="Times New Roman"/>
          <w:color w:val="000000"/>
          <w:sz w:val="24"/>
          <w:szCs w:val="24"/>
          <w:shd w:val="clear" w:color="auto" w:fill="FFFFFF"/>
          <w:lang w:eastAsia="ru-RU"/>
        </w:rPr>
        <w:t xml:space="preserve"> forestieră </w:t>
      </w:r>
      <w:proofErr w:type="spellStart"/>
      <w:r w:rsidRPr="00125FAF">
        <w:rPr>
          <w:rFonts w:ascii="Times New Roman" w:eastAsia="Times New Roman" w:hAnsi="Times New Roman" w:cs="Times New Roman"/>
          <w:color w:val="000000"/>
          <w:sz w:val="24"/>
          <w:szCs w:val="24"/>
          <w:shd w:val="clear" w:color="auto" w:fill="FFFFFF"/>
          <w:lang w:eastAsia="ru-RU"/>
        </w:rPr>
        <w:t>deţinute</w:t>
      </w:r>
      <w:proofErr w:type="spellEnd"/>
      <w:r w:rsidRPr="00125FAF">
        <w:rPr>
          <w:rFonts w:ascii="Times New Roman" w:eastAsia="Times New Roman" w:hAnsi="Times New Roman" w:cs="Times New Roman"/>
          <w:color w:val="000000"/>
          <w:sz w:val="24"/>
          <w:szCs w:val="24"/>
          <w:shd w:val="clear" w:color="auto" w:fill="FFFFFF"/>
          <w:lang w:eastAsia="ru-RU"/>
        </w:rPr>
        <w:t xml:space="preserve"> de primării; elaborarea amenajamentelor silvice pentru păduri </w:t>
      </w:r>
      <w:proofErr w:type="spellStart"/>
      <w:r w:rsidRPr="00125FAF">
        <w:rPr>
          <w:rFonts w:ascii="Times New Roman" w:eastAsia="Times New Roman" w:hAnsi="Times New Roman" w:cs="Times New Roman"/>
          <w:color w:val="000000"/>
          <w:sz w:val="24"/>
          <w:szCs w:val="24"/>
          <w:shd w:val="clear" w:color="auto" w:fill="FFFFFF"/>
          <w:lang w:eastAsia="ru-RU"/>
        </w:rPr>
        <w:t>şi</w:t>
      </w:r>
      <w:proofErr w:type="spellEnd"/>
      <w:r w:rsidRPr="00125FAF">
        <w:rPr>
          <w:rFonts w:ascii="Times New Roman" w:eastAsia="Times New Roman" w:hAnsi="Times New Roman" w:cs="Times New Roman"/>
          <w:color w:val="000000"/>
          <w:sz w:val="24"/>
          <w:szCs w:val="24"/>
          <w:shd w:val="clear" w:color="auto" w:fill="FFFFFF"/>
          <w:lang w:eastAsia="ru-RU"/>
        </w:rPr>
        <w:t xml:space="preserve"> alte tipuri de </w:t>
      </w:r>
      <w:proofErr w:type="spellStart"/>
      <w:r w:rsidRPr="00125FAF">
        <w:rPr>
          <w:rFonts w:ascii="Times New Roman" w:eastAsia="Times New Roman" w:hAnsi="Times New Roman" w:cs="Times New Roman"/>
          <w:color w:val="000000"/>
          <w:sz w:val="24"/>
          <w:szCs w:val="24"/>
          <w:shd w:val="clear" w:color="auto" w:fill="FFFFFF"/>
          <w:lang w:eastAsia="ru-RU"/>
        </w:rPr>
        <w:t>vegetaţie</w:t>
      </w:r>
      <w:proofErr w:type="spellEnd"/>
      <w:r w:rsidRPr="00125FAF">
        <w:rPr>
          <w:rFonts w:ascii="Times New Roman" w:eastAsia="Times New Roman" w:hAnsi="Times New Roman" w:cs="Times New Roman"/>
          <w:color w:val="000000"/>
          <w:sz w:val="24"/>
          <w:szCs w:val="24"/>
          <w:shd w:val="clear" w:color="auto" w:fill="FFFFFF"/>
          <w:lang w:eastAsia="ru-RU"/>
        </w:rPr>
        <w:t xml:space="preserve"> forestieră </w:t>
      </w:r>
      <w:proofErr w:type="spellStart"/>
      <w:r w:rsidRPr="00125FAF">
        <w:rPr>
          <w:rFonts w:ascii="Times New Roman" w:eastAsia="Times New Roman" w:hAnsi="Times New Roman" w:cs="Times New Roman"/>
          <w:color w:val="000000"/>
          <w:sz w:val="24"/>
          <w:szCs w:val="24"/>
          <w:shd w:val="clear" w:color="auto" w:fill="FFFFFF"/>
          <w:lang w:eastAsia="ru-RU"/>
        </w:rPr>
        <w:t>deţinute</w:t>
      </w:r>
      <w:proofErr w:type="spellEnd"/>
      <w:r w:rsidRPr="00125FAF">
        <w:rPr>
          <w:rFonts w:ascii="Times New Roman" w:eastAsia="Times New Roman" w:hAnsi="Times New Roman" w:cs="Times New Roman"/>
          <w:color w:val="000000"/>
          <w:sz w:val="24"/>
          <w:szCs w:val="24"/>
          <w:shd w:val="clear" w:color="auto" w:fill="FFFFFF"/>
          <w:lang w:eastAsia="ru-RU"/>
        </w:rPr>
        <w:t xml:space="preserve"> de primării;</w:t>
      </w:r>
    </w:p>
    <w:p w14:paraId="45500DA1" w14:textId="0DAEC06E" w:rsidR="006364B2" w:rsidRPr="00125FAF" w:rsidRDefault="006364B2" w:rsidP="001F2F2D">
      <w:pPr>
        <w:spacing w:after="120" w:line="240" w:lineRule="auto"/>
        <w:ind w:firstLine="720"/>
        <w:jc w:val="both"/>
        <w:rPr>
          <w:rFonts w:ascii="Times New Roman" w:eastAsia="Times New Roman" w:hAnsi="Times New Roman" w:cs="Times New Roman"/>
          <w:sz w:val="24"/>
          <w:szCs w:val="24"/>
          <w:lang w:eastAsia="ru-RU"/>
        </w:rPr>
      </w:pPr>
      <w:r w:rsidRPr="00125FAF">
        <w:rPr>
          <w:rFonts w:ascii="Times New Roman" w:eastAsia="Times New Roman" w:hAnsi="Times New Roman" w:cs="Times New Roman"/>
          <w:color w:val="000000"/>
          <w:sz w:val="24"/>
          <w:szCs w:val="24"/>
          <w:shd w:val="clear" w:color="auto" w:fill="FFFFFF"/>
          <w:lang w:eastAsia="ru-RU"/>
        </w:rPr>
        <w:t xml:space="preserve">d) plantarea culturilor silvice energetice din specii cu ritm sporit de </w:t>
      </w:r>
      <w:proofErr w:type="spellStart"/>
      <w:r w:rsidRPr="00125FAF">
        <w:rPr>
          <w:rFonts w:ascii="Times New Roman" w:eastAsia="Times New Roman" w:hAnsi="Times New Roman" w:cs="Times New Roman"/>
          <w:color w:val="000000"/>
          <w:sz w:val="24"/>
          <w:szCs w:val="24"/>
          <w:shd w:val="clear" w:color="auto" w:fill="FFFFFF"/>
          <w:lang w:eastAsia="ru-RU"/>
        </w:rPr>
        <w:t>creştere</w:t>
      </w:r>
      <w:proofErr w:type="spellEnd"/>
      <w:r w:rsidRPr="00125FAF">
        <w:rPr>
          <w:rFonts w:ascii="Times New Roman" w:eastAsia="Times New Roman" w:hAnsi="Times New Roman" w:cs="Times New Roman"/>
          <w:color w:val="000000"/>
          <w:sz w:val="24"/>
          <w:szCs w:val="24"/>
          <w:shd w:val="clear" w:color="auto" w:fill="FFFFFF"/>
          <w:lang w:eastAsia="ru-RU"/>
        </w:rPr>
        <w:t xml:space="preserve">, gospodărite la cicluri mici de </w:t>
      </w:r>
      <w:proofErr w:type="spellStart"/>
      <w:r w:rsidRPr="00125FAF">
        <w:rPr>
          <w:rFonts w:ascii="Times New Roman" w:eastAsia="Times New Roman" w:hAnsi="Times New Roman" w:cs="Times New Roman"/>
          <w:color w:val="000000"/>
          <w:sz w:val="24"/>
          <w:szCs w:val="24"/>
          <w:shd w:val="clear" w:color="auto" w:fill="FFFFFF"/>
          <w:lang w:eastAsia="ru-RU"/>
        </w:rPr>
        <w:t>producţie</w:t>
      </w:r>
      <w:proofErr w:type="spellEnd"/>
      <w:r w:rsidRPr="00125FAF">
        <w:rPr>
          <w:rFonts w:ascii="Times New Roman" w:eastAsia="Times New Roman" w:hAnsi="Times New Roman" w:cs="Times New Roman"/>
          <w:color w:val="000000"/>
          <w:sz w:val="24"/>
          <w:szCs w:val="24"/>
          <w:shd w:val="clear" w:color="auto" w:fill="FFFFFF"/>
          <w:lang w:eastAsia="ru-RU"/>
        </w:rPr>
        <w:t xml:space="preserve"> (10-15 ani).</w:t>
      </w:r>
    </w:p>
    <w:p w14:paraId="3D7535BE" w14:textId="02F4F7A4" w:rsidR="006364B2" w:rsidRPr="00125FAF" w:rsidRDefault="006364B2" w:rsidP="001F2F2D">
      <w:pPr>
        <w:spacing w:after="120"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125FAF">
        <w:rPr>
          <w:rFonts w:ascii="Times New Roman" w:eastAsia="Times New Roman" w:hAnsi="Times New Roman" w:cs="Times New Roman"/>
          <w:b/>
          <w:color w:val="000000"/>
          <w:sz w:val="24"/>
          <w:szCs w:val="24"/>
          <w:shd w:val="clear" w:color="auto" w:fill="FFFFFF"/>
          <w:lang w:eastAsia="ru-RU"/>
        </w:rPr>
        <w:t>Indicatori</w:t>
      </w:r>
      <w:r w:rsidR="00C074BC" w:rsidRPr="00125FAF">
        <w:rPr>
          <w:rFonts w:ascii="Times New Roman" w:eastAsia="Times New Roman" w:hAnsi="Times New Roman" w:cs="Times New Roman"/>
          <w:b/>
          <w:color w:val="000000"/>
          <w:sz w:val="24"/>
          <w:szCs w:val="24"/>
          <w:shd w:val="clear" w:color="auto" w:fill="FFFFFF"/>
          <w:lang w:eastAsia="ru-RU"/>
        </w:rPr>
        <w:t>i</w:t>
      </w:r>
      <w:r w:rsidRPr="00125FAF">
        <w:rPr>
          <w:rFonts w:ascii="Times New Roman" w:eastAsia="Times New Roman" w:hAnsi="Times New Roman" w:cs="Times New Roman"/>
          <w:b/>
          <w:color w:val="000000"/>
          <w:sz w:val="24"/>
          <w:szCs w:val="24"/>
          <w:shd w:val="clear" w:color="auto" w:fill="FFFFFF"/>
          <w:lang w:eastAsia="ru-RU"/>
        </w:rPr>
        <w:t xml:space="preserve"> de progres</w:t>
      </w:r>
      <w:r w:rsidR="00B614FB" w:rsidRPr="00125FAF">
        <w:rPr>
          <w:rFonts w:ascii="Times New Roman" w:eastAsia="Times New Roman" w:hAnsi="Times New Roman" w:cs="Times New Roman"/>
          <w:b/>
          <w:color w:val="000000"/>
          <w:sz w:val="24"/>
          <w:szCs w:val="24"/>
          <w:shd w:val="clear" w:color="auto" w:fill="FFFFFF"/>
          <w:lang w:eastAsia="ru-RU"/>
        </w:rPr>
        <w:t xml:space="preserve"> </w:t>
      </w:r>
      <w:r w:rsidR="00B614FB" w:rsidRPr="00125FAF">
        <w:rPr>
          <w:rFonts w:ascii="Times New Roman" w:eastAsia="Times New Roman" w:hAnsi="Times New Roman" w:cs="Times New Roman"/>
          <w:color w:val="000000"/>
          <w:sz w:val="24"/>
          <w:szCs w:val="24"/>
          <w:shd w:val="clear" w:color="auto" w:fill="FFFFFF"/>
          <w:lang w:eastAsia="ru-RU"/>
        </w:rPr>
        <w:t xml:space="preserve">corespund cu </w:t>
      </w:r>
      <w:proofErr w:type="spellStart"/>
      <w:r w:rsidR="00B614FB" w:rsidRPr="00125FAF">
        <w:rPr>
          <w:rFonts w:ascii="Times New Roman" w:eastAsia="Times New Roman" w:hAnsi="Times New Roman" w:cs="Times New Roman"/>
          <w:color w:val="000000"/>
          <w:sz w:val="24"/>
          <w:szCs w:val="24"/>
          <w:shd w:val="clear" w:color="auto" w:fill="FFFFFF"/>
          <w:lang w:eastAsia="ru-RU"/>
        </w:rPr>
        <w:t>ţintele</w:t>
      </w:r>
      <w:proofErr w:type="spellEnd"/>
      <w:r w:rsidR="00B614FB" w:rsidRPr="00125FAF">
        <w:rPr>
          <w:rFonts w:ascii="Times New Roman" w:eastAsia="Times New Roman" w:hAnsi="Times New Roman" w:cs="Times New Roman"/>
          <w:color w:val="000000"/>
          <w:sz w:val="24"/>
          <w:szCs w:val="24"/>
          <w:shd w:val="clear" w:color="auto" w:fill="FFFFFF"/>
          <w:lang w:eastAsia="ru-RU"/>
        </w:rPr>
        <w:t xml:space="preserve"> de reducere a emisiilor de GES către anul 2025 </w:t>
      </w:r>
      <w:proofErr w:type="spellStart"/>
      <w:r w:rsidR="00B614FB" w:rsidRPr="00125FAF">
        <w:rPr>
          <w:rFonts w:ascii="Times New Roman" w:eastAsia="Times New Roman" w:hAnsi="Times New Roman" w:cs="Times New Roman"/>
          <w:color w:val="000000"/>
          <w:sz w:val="24"/>
          <w:szCs w:val="24"/>
          <w:shd w:val="clear" w:color="auto" w:fill="FFFFFF"/>
          <w:lang w:eastAsia="ru-RU"/>
        </w:rPr>
        <w:t>şi</w:t>
      </w:r>
      <w:proofErr w:type="spellEnd"/>
      <w:r w:rsidR="00B614FB" w:rsidRPr="00125FAF">
        <w:rPr>
          <w:rFonts w:ascii="Times New Roman" w:eastAsia="Times New Roman" w:hAnsi="Times New Roman" w:cs="Times New Roman"/>
          <w:color w:val="000000"/>
          <w:sz w:val="24"/>
          <w:szCs w:val="24"/>
          <w:shd w:val="clear" w:color="auto" w:fill="FFFFFF"/>
          <w:lang w:eastAsia="ru-RU"/>
        </w:rPr>
        <w:t xml:space="preserve"> 2030 </w:t>
      </w:r>
      <w:proofErr w:type="spellStart"/>
      <w:r w:rsidR="00B614FB" w:rsidRPr="00125FAF">
        <w:rPr>
          <w:rFonts w:ascii="Times New Roman" w:eastAsia="Times New Roman" w:hAnsi="Times New Roman" w:cs="Times New Roman"/>
          <w:color w:val="000000"/>
          <w:sz w:val="24"/>
          <w:szCs w:val="24"/>
          <w:shd w:val="clear" w:color="auto" w:fill="FFFFFF"/>
          <w:lang w:eastAsia="ru-RU"/>
        </w:rPr>
        <w:t>faţă</w:t>
      </w:r>
      <w:proofErr w:type="spellEnd"/>
      <w:r w:rsidR="00B614FB" w:rsidRPr="00125FAF">
        <w:rPr>
          <w:rFonts w:ascii="Times New Roman" w:eastAsia="Times New Roman" w:hAnsi="Times New Roman" w:cs="Times New Roman"/>
          <w:color w:val="000000"/>
          <w:sz w:val="24"/>
          <w:szCs w:val="24"/>
          <w:shd w:val="clear" w:color="auto" w:fill="FFFFFF"/>
          <w:lang w:eastAsia="ru-RU"/>
        </w:rPr>
        <w:t xml:space="preserve"> de anul 1990 expuse în Tabelul </w:t>
      </w:r>
      <w:r w:rsidR="00CE464D">
        <w:rPr>
          <w:rFonts w:ascii="Times New Roman" w:eastAsia="Times New Roman" w:hAnsi="Times New Roman" w:cs="Times New Roman"/>
          <w:color w:val="000000"/>
          <w:sz w:val="24"/>
          <w:szCs w:val="24"/>
          <w:shd w:val="clear" w:color="auto" w:fill="FFFFFF"/>
          <w:lang w:eastAsia="ru-RU"/>
        </w:rPr>
        <w:t>4</w:t>
      </w:r>
      <w:r w:rsidR="00B614FB" w:rsidRPr="00125FAF">
        <w:rPr>
          <w:rFonts w:ascii="Times New Roman" w:eastAsia="Times New Roman" w:hAnsi="Times New Roman" w:cs="Times New Roman"/>
          <w:color w:val="000000"/>
          <w:sz w:val="24"/>
          <w:szCs w:val="24"/>
          <w:shd w:val="clear" w:color="auto" w:fill="FFFFFF"/>
          <w:lang w:eastAsia="ru-RU"/>
        </w:rPr>
        <w:t>.2 pentru sectorul folosința terenurilor, schimbarea categoriei de folosință a terenurilor și silvicultură</w:t>
      </w:r>
      <w:r w:rsidR="00B614FB" w:rsidRPr="00125FAF">
        <w:rPr>
          <w:rFonts w:ascii="Times New Roman" w:eastAsia="Times New Roman" w:hAnsi="Times New Roman" w:cs="Times New Roman"/>
          <w:b/>
          <w:color w:val="000000"/>
          <w:sz w:val="24"/>
          <w:szCs w:val="24"/>
          <w:shd w:val="clear" w:color="auto" w:fill="FFFFFF"/>
          <w:lang w:eastAsia="ru-RU"/>
        </w:rPr>
        <w:t>.</w:t>
      </w:r>
    </w:p>
    <w:p w14:paraId="3110FE12" w14:textId="651874FC" w:rsidR="006364B2" w:rsidRPr="00125FAF" w:rsidRDefault="007909C8" w:rsidP="001F2F2D">
      <w:pPr>
        <w:spacing w:after="120" w:line="240" w:lineRule="auto"/>
        <w:ind w:firstLine="720"/>
        <w:jc w:val="both"/>
        <w:rPr>
          <w:rFonts w:ascii="Times New Roman" w:eastAsia="Times New Roman" w:hAnsi="Times New Roman" w:cs="Times New Roman"/>
          <w:sz w:val="24"/>
          <w:szCs w:val="24"/>
          <w:lang w:eastAsia="ru-RU"/>
        </w:rPr>
      </w:pPr>
      <w:r w:rsidRPr="00125FAF">
        <w:rPr>
          <w:rFonts w:ascii="Times New Roman" w:eastAsia="Times New Roman" w:hAnsi="Times New Roman" w:cs="Times New Roman"/>
          <w:color w:val="000000"/>
          <w:sz w:val="24"/>
          <w:szCs w:val="24"/>
          <w:shd w:val="clear" w:color="auto" w:fill="FFFFFF"/>
          <w:lang w:eastAsia="ru-RU"/>
        </w:rPr>
        <w:t>41</w:t>
      </w:r>
      <w:r w:rsidR="006364B2" w:rsidRPr="00125FAF">
        <w:rPr>
          <w:rFonts w:ascii="Times New Roman" w:eastAsia="Times New Roman" w:hAnsi="Times New Roman" w:cs="Times New Roman"/>
          <w:color w:val="000000"/>
          <w:sz w:val="24"/>
          <w:szCs w:val="24"/>
          <w:shd w:val="clear" w:color="auto" w:fill="FFFFFF"/>
          <w:lang w:eastAsia="ru-RU"/>
        </w:rPr>
        <w:t>.</w:t>
      </w:r>
      <w:r w:rsidR="00C473B4" w:rsidRPr="00125FAF">
        <w:rPr>
          <w:rFonts w:ascii="Times New Roman" w:eastAsia="Times New Roman" w:hAnsi="Times New Roman" w:cs="Times New Roman"/>
          <w:color w:val="000000"/>
          <w:sz w:val="24"/>
          <w:szCs w:val="24"/>
          <w:shd w:val="clear" w:color="auto" w:fill="FFFFFF"/>
          <w:lang w:eastAsia="ru-RU"/>
        </w:rPr>
        <w:t xml:space="preserve"> </w:t>
      </w:r>
      <w:proofErr w:type="spellStart"/>
      <w:r w:rsidR="00BF6330" w:rsidRPr="00125FAF">
        <w:rPr>
          <w:rFonts w:ascii="Times New Roman" w:eastAsia="Times New Roman" w:hAnsi="Times New Roman" w:cs="Times New Roman"/>
          <w:color w:val="000000"/>
          <w:sz w:val="24"/>
          <w:szCs w:val="24"/>
          <w:shd w:val="clear" w:color="auto" w:fill="FFFFFF"/>
          <w:lang w:eastAsia="ru-RU"/>
        </w:rPr>
        <w:t>Acţiunile</w:t>
      </w:r>
      <w:proofErr w:type="spellEnd"/>
      <w:r w:rsidR="00BF6330" w:rsidRPr="00125FAF">
        <w:rPr>
          <w:rFonts w:ascii="Times New Roman" w:eastAsia="Times New Roman" w:hAnsi="Times New Roman" w:cs="Times New Roman"/>
          <w:color w:val="000000"/>
          <w:sz w:val="24"/>
          <w:szCs w:val="24"/>
          <w:shd w:val="clear" w:color="auto" w:fill="FFFFFF"/>
          <w:lang w:eastAsia="ru-RU"/>
        </w:rPr>
        <w:t xml:space="preserve"> prioritare de atenuare a emisiilor de GES în </w:t>
      </w:r>
      <w:r w:rsidR="00BF6330" w:rsidRPr="00125FAF">
        <w:rPr>
          <w:rFonts w:ascii="Times New Roman" w:eastAsia="Times New Roman" w:hAnsi="Times New Roman" w:cs="Times New Roman"/>
          <w:b/>
          <w:color w:val="000000"/>
          <w:sz w:val="24"/>
          <w:szCs w:val="24"/>
          <w:shd w:val="clear" w:color="auto" w:fill="FFFFFF"/>
          <w:lang w:eastAsia="ru-RU"/>
        </w:rPr>
        <w:t>sectorul</w:t>
      </w:r>
      <w:r w:rsidR="00BF6330" w:rsidRPr="00125FAF">
        <w:rPr>
          <w:rFonts w:ascii="Times New Roman" w:eastAsia="Times New Roman" w:hAnsi="Times New Roman" w:cs="Times New Roman"/>
          <w:color w:val="000000"/>
          <w:sz w:val="24"/>
          <w:szCs w:val="24"/>
          <w:shd w:val="clear" w:color="auto" w:fill="FFFFFF"/>
          <w:lang w:eastAsia="ru-RU"/>
        </w:rPr>
        <w:t xml:space="preserve"> </w:t>
      </w:r>
      <w:proofErr w:type="spellStart"/>
      <w:r w:rsidR="006364B2" w:rsidRPr="00125FAF">
        <w:rPr>
          <w:rFonts w:ascii="Times New Roman" w:eastAsia="Times New Roman" w:hAnsi="Times New Roman" w:cs="Times New Roman"/>
          <w:b/>
          <w:color w:val="000000"/>
          <w:sz w:val="24"/>
          <w:szCs w:val="24"/>
          <w:shd w:val="clear" w:color="auto" w:fill="FFFFFF"/>
          <w:lang w:eastAsia="ru-RU"/>
        </w:rPr>
        <w:t>deşeuri</w:t>
      </w:r>
      <w:proofErr w:type="spellEnd"/>
      <w:r w:rsidR="006364B2" w:rsidRPr="00125FAF">
        <w:rPr>
          <w:rFonts w:ascii="Times New Roman" w:eastAsia="Times New Roman" w:hAnsi="Times New Roman" w:cs="Times New Roman"/>
          <w:color w:val="000000"/>
          <w:sz w:val="24"/>
          <w:szCs w:val="24"/>
          <w:shd w:val="clear" w:color="auto" w:fill="FFFFFF"/>
          <w:lang w:eastAsia="ru-RU"/>
        </w:rPr>
        <w:t xml:space="preserve"> </w:t>
      </w:r>
      <w:proofErr w:type="spellStart"/>
      <w:r w:rsidR="006364B2" w:rsidRPr="00125FAF">
        <w:rPr>
          <w:rFonts w:ascii="Times New Roman" w:eastAsia="Times New Roman" w:hAnsi="Times New Roman" w:cs="Times New Roman"/>
          <w:color w:val="000000"/>
          <w:sz w:val="24"/>
          <w:szCs w:val="24"/>
          <w:shd w:val="clear" w:color="auto" w:fill="FFFFFF"/>
          <w:lang w:eastAsia="ru-RU"/>
        </w:rPr>
        <w:t>sînt</w:t>
      </w:r>
      <w:proofErr w:type="spellEnd"/>
      <w:r w:rsidR="006364B2" w:rsidRPr="00125FAF">
        <w:rPr>
          <w:rFonts w:ascii="Times New Roman" w:eastAsia="Times New Roman" w:hAnsi="Times New Roman" w:cs="Times New Roman"/>
          <w:color w:val="000000"/>
          <w:sz w:val="24"/>
          <w:szCs w:val="24"/>
          <w:shd w:val="clear" w:color="auto" w:fill="FFFFFF"/>
          <w:lang w:eastAsia="ru-RU"/>
        </w:rPr>
        <w:t xml:space="preserve"> asociate, în primul </w:t>
      </w:r>
      <w:proofErr w:type="spellStart"/>
      <w:r w:rsidR="006364B2" w:rsidRPr="00125FAF">
        <w:rPr>
          <w:rFonts w:ascii="Times New Roman" w:eastAsia="Times New Roman" w:hAnsi="Times New Roman" w:cs="Times New Roman"/>
          <w:color w:val="000000"/>
          <w:sz w:val="24"/>
          <w:szCs w:val="24"/>
          <w:shd w:val="clear" w:color="auto" w:fill="FFFFFF"/>
          <w:lang w:eastAsia="ru-RU"/>
        </w:rPr>
        <w:t>rînd</w:t>
      </w:r>
      <w:proofErr w:type="spellEnd"/>
      <w:r w:rsidR="006364B2" w:rsidRPr="00125FAF">
        <w:rPr>
          <w:rFonts w:ascii="Times New Roman" w:eastAsia="Times New Roman" w:hAnsi="Times New Roman" w:cs="Times New Roman"/>
          <w:color w:val="000000"/>
          <w:sz w:val="24"/>
          <w:szCs w:val="24"/>
          <w:shd w:val="clear" w:color="auto" w:fill="FFFFFF"/>
          <w:lang w:eastAsia="ru-RU"/>
        </w:rPr>
        <w:t xml:space="preserve">, cu modernizarea cadrului legal </w:t>
      </w:r>
      <w:proofErr w:type="spellStart"/>
      <w:r w:rsidR="006364B2" w:rsidRPr="00125FAF">
        <w:rPr>
          <w:rFonts w:ascii="Times New Roman" w:eastAsia="Times New Roman" w:hAnsi="Times New Roman" w:cs="Times New Roman"/>
          <w:color w:val="000000"/>
          <w:sz w:val="24"/>
          <w:szCs w:val="24"/>
          <w:shd w:val="clear" w:color="auto" w:fill="FFFFFF"/>
          <w:lang w:eastAsia="ru-RU"/>
        </w:rPr>
        <w:t>şi</w:t>
      </w:r>
      <w:proofErr w:type="spellEnd"/>
      <w:r w:rsidR="006364B2" w:rsidRPr="00125FAF">
        <w:rPr>
          <w:rFonts w:ascii="Times New Roman" w:eastAsia="Times New Roman" w:hAnsi="Times New Roman" w:cs="Times New Roman"/>
          <w:color w:val="000000"/>
          <w:sz w:val="24"/>
          <w:szCs w:val="24"/>
          <w:shd w:val="clear" w:color="auto" w:fill="FFFFFF"/>
          <w:lang w:eastAsia="ru-RU"/>
        </w:rPr>
        <w:t xml:space="preserve"> normativ pentru gestionarea </w:t>
      </w:r>
      <w:proofErr w:type="spellStart"/>
      <w:r w:rsidR="006364B2" w:rsidRPr="00125FAF">
        <w:rPr>
          <w:rFonts w:ascii="Times New Roman" w:eastAsia="Times New Roman" w:hAnsi="Times New Roman" w:cs="Times New Roman"/>
          <w:color w:val="000000"/>
          <w:sz w:val="24"/>
          <w:szCs w:val="24"/>
          <w:shd w:val="clear" w:color="auto" w:fill="FFFFFF"/>
          <w:lang w:eastAsia="ru-RU"/>
        </w:rPr>
        <w:t>deşeurilor</w:t>
      </w:r>
      <w:proofErr w:type="spellEnd"/>
      <w:r w:rsidR="006364B2" w:rsidRPr="00125FAF">
        <w:rPr>
          <w:rFonts w:ascii="Times New Roman" w:eastAsia="Times New Roman" w:hAnsi="Times New Roman" w:cs="Times New Roman"/>
          <w:color w:val="000000"/>
          <w:sz w:val="24"/>
          <w:szCs w:val="24"/>
          <w:shd w:val="clear" w:color="auto" w:fill="FFFFFF"/>
          <w:lang w:eastAsia="ru-RU"/>
        </w:rPr>
        <w:t>,</w:t>
      </w:r>
      <w:r w:rsidR="00B12233" w:rsidRPr="00125FAF">
        <w:t xml:space="preserve"> </w:t>
      </w:r>
      <w:r w:rsidR="00B12233" w:rsidRPr="00125FAF">
        <w:rPr>
          <w:rFonts w:ascii="Times New Roman" w:eastAsia="Times New Roman" w:hAnsi="Times New Roman" w:cs="Times New Roman"/>
          <w:color w:val="000000"/>
          <w:sz w:val="24"/>
          <w:szCs w:val="24"/>
          <w:shd w:val="clear" w:color="auto" w:fill="FFFFFF"/>
          <w:lang w:eastAsia="ru-RU"/>
        </w:rPr>
        <w:t>armonizat la standardele Uniunii Europene, bazat pe abordarea regională (</w:t>
      </w:r>
      <w:proofErr w:type="spellStart"/>
      <w:r w:rsidR="00B12233" w:rsidRPr="00125FAF">
        <w:rPr>
          <w:rFonts w:ascii="Times New Roman" w:eastAsia="Times New Roman" w:hAnsi="Times New Roman" w:cs="Times New Roman"/>
          <w:color w:val="000000"/>
          <w:sz w:val="24"/>
          <w:szCs w:val="24"/>
          <w:shd w:val="clear" w:color="auto" w:fill="FFFFFF"/>
          <w:lang w:eastAsia="ru-RU"/>
        </w:rPr>
        <w:t>aşezarea</w:t>
      </w:r>
      <w:proofErr w:type="spellEnd"/>
      <w:r w:rsidR="00B12233" w:rsidRPr="00125FAF">
        <w:rPr>
          <w:rFonts w:ascii="Times New Roman" w:eastAsia="Times New Roman" w:hAnsi="Times New Roman" w:cs="Times New Roman"/>
          <w:color w:val="000000"/>
          <w:sz w:val="24"/>
          <w:szCs w:val="24"/>
          <w:shd w:val="clear" w:color="auto" w:fill="FFFFFF"/>
          <w:lang w:eastAsia="ru-RU"/>
        </w:rPr>
        <w:t xml:space="preserve"> geografică, dezvoltarea economică, </w:t>
      </w:r>
      <w:proofErr w:type="spellStart"/>
      <w:r w:rsidR="00B12233" w:rsidRPr="00125FAF">
        <w:rPr>
          <w:rFonts w:ascii="Times New Roman" w:eastAsia="Times New Roman" w:hAnsi="Times New Roman" w:cs="Times New Roman"/>
          <w:color w:val="000000"/>
          <w:sz w:val="24"/>
          <w:szCs w:val="24"/>
          <w:shd w:val="clear" w:color="auto" w:fill="FFFFFF"/>
          <w:lang w:eastAsia="ru-RU"/>
        </w:rPr>
        <w:t>existenţa</w:t>
      </w:r>
      <w:proofErr w:type="spellEnd"/>
      <w:r w:rsidR="00B12233" w:rsidRPr="00125FAF">
        <w:rPr>
          <w:rFonts w:ascii="Times New Roman" w:eastAsia="Times New Roman" w:hAnsi="Times New Roman" w:cs="Times New Roman"/>
          <w:color w:val="000000"/>
          <w:sz w:val="24"/>
          <w:szCs w:val="24"/>
          <w:shd w:val="clear" w:color="auto" w:fill="FFFFFF"/>
          <w:lang w:eastAsia="ru-RU"/>
        </w:rPr>
        <w:t xml:space="preserve"> drumurilor de acces, </w:t>
      </w:r>
      <w:proofErr w:type="spellStart"/>
      <w:r w:rsidR="00B12233" w:rsidRPr="00125FAF">
        <w:rPr>
          <w:rFonts w:ascii="Times New Roman" w:eastAsia="Times New Roman" w:hAnsi="Times New Roman" w:cs="Times New Roman"/>
          <w:color w:val="000000"/>
          <w:sz w:val="24"/>
          <w:szCs w:val="24"/>
          <w:shd w:val="clear" w:color="auto" w:fill="FFFFFF"/>
          <w:lang w:eastAsia="ru-RU"/>
        </w:rPr>
        <w:t>condiţiile</w:t>
      </w:r>
      <w:proofErr w:type="spellEnd"/>
      <w:r w:rsidR="00B12233" w:rsidRPr="00125FAF">
        <w:rPr>
          <w:rFonts w:ascii="Times New Roman" w:eastAsia="Times New Roman" w:hAnsi="Times New Roman" w:cs="Times New Roman"/>
          <w:color w:val="000000"/>
          <w:sz w:val="24"/>
          <w:szCs w:val="24"/>
          <w:shd w:val="clear" w:color="auto" w:fill="FFFFFF"/>
          <w:lang w:eastAsia="ru-RU"/>
        </w:rPr>
        <w:t xml:space="preserve"> pedologice </w:t>
      </w:r>
      <w:proofErr w:type="spellStart"/>
      <w:r w:rsidR="00B12233" w:rsidRPr="00125FAF">
        <w:rPr>
          <w:rFonts w:ascii="Times New Roman" w:eastAsia="Times New Roman" w:hAnsi="Times New Roman" w:cs="Times New Roman"/>
          <w:color w:val="000000"/>
          <w:sz w:val="24"/>
          <w:szCs w:val="24"/>
          <w:shd w:val="clear" w:color="auto" w:fill="FFFFFF"/>
          <w:lang w:eastAsia="ru-RU"/>
        </w:rPr>
        <w:t>şi</w:t>
      </w:r>
      <w:proofErr w:type="spellEnd"/>
      <w:r w:rsidR="00B12233" w:rsidRPr="00125FAF">
        <w:rPr>
          <w:rFonts w:ascii="Times New Roman" w:eastAsia="Times New Roman" w:hAnsi="Times New Roman" w:cs="Times New Roman"/>
          <w:color w:val="000000"/>
          <w:sz w:val="24"/>
          <w:szCs w:val="24"/>
          <w:shd w:val="clear" w:color="auto" w:fill="FFFFFF"/>
          <w:lang w:eastAsia="ru-RU"/>
        </w:rPr>
        <w:t xml:space="preserve"> hidrogeologice, numărul de </w:t>
      </w:r>
      <w:proofErr w:type="spellStart"/>
      <w:r w:rsidR="00B12233" w:rsidRPr="00125FAF">
        <w:rPr>
          <w:rFonts w:ascii="Times New Roman" w:eastAsia="Times New Roman" w:hAnsi="Times New Roman" w:cs="Times New Roman"/>
          <w:color w:val="000000"/>
          <w:sz w:val="24"/>
          <w:szCs w:val="24"/>
          <w:shd w:val="clear" w:color="auto" w:fill="FFFFFF"/>
          <w:lang w:eastAsia="ru-RU"/>
        </w:rPr>
        <w:t>populaţie</w:t>
      </w:r>
      <w:proofErr w:type="spellEnd"/>
      <w:r w:rsidR="00B12233" w:rsidRPr="00125FAF">
        <w:rPr>
          <w:rFonts w:ascii="Times New Roman" w:eastAsia="Times New Roman" w:hAnsi="Times New Roman" w:cs="Times New Roman"/>
          <w:color w:val="000000"/>
          <w:sz w:val="24"/>
          <w:szCs w:val="24"/>
          <w:shd w:val="clear" w:color="auto" w:fill="FFFFFF"/>
          <w:lang w:eastAsia="ru-RU"/>
        </w:rPr>
        <w:t xml:space="preserve"> etc.),</w:t>
      </w:r>
      <w:r w:rsidR="00C473B4" w:rsidRPr="00125FAF">
        <w:rPr>
          <w:rFonts w:ascii="Times New Roman" w:eastAsia="Times New Roman" w:hAnsi="Times New Roman" w:cs="Times New Roman"/>
          <w:color w:val="000000"/>
          <w:sz w:val="24"/>
          <w:szCs w:val="24"/>
          <w:shd w:val="clear" w:color="auto" w:fill="FFFFFF"/>
          <w:lang w:eastAsia="ru-RU"/>
        </w:rPr>
        <w:t xml:space="preserve"> -</w:t>
      </w:r>
      <w:r w:rsidR="006364B2" w:rsidRPr="00125FAF">
        <w:rPr>
          <w:rFonts w:ascii="Times New Roman" w:eastAsia="Times New Roman" w:hAnsi="Times New Roman" w:cs="Times New Roman"/>
          <w:color w:val="000000"/>
          <w:sz w:val="24"/>
          <w:szCs w:val="24"/>
          <w:shd w:val="clear" w:color="auto" w:fill="FFFFFF"/>
          <w:lang w:eastAsia="ru-RU"/>
        </w:rPr>
        <w:t xml:space="preserve"> măsură principală</w:t>
      </w:r>
      <w:r w:rsidR="00E70219" w:rsidRPr="00125FAF">
        <w:rPr>
          <w:rFonts w:ascii="Times New Roman" w:eastAsia="Times New Roman" w:hAnsi="Times New Roman" w:cs="Times New Roman"/>
          <w:color w:val="000000"/>
          <w:sz w:val="24"/>
          <w:szCs w:val="24"/>
          <w:shd w:val="clear" w:color="auto" w:fill="FFFFFF"/>
          <w:lang w:eastAsia="ru-RU"/>
        </w:rPr>
        <w:t xml:space="preserve"> </w:t>
      </w:r>
      <w:r w:rsidR="006364B2" w:rsidRPr="00125FAF">
        <w:rPr>
          <w:rFonts w:ascii="Times New Roman" w:eastAsia="Times New Roman" w:hAnsi="Times New Roman" w:cs="Times New Roman"/>
          <w:color w:val="000000"/>
          <w:sz w:val="24"/>
          <w:szCs w:val="24"/>
          <w:shd w:val="clear" w:color="auto" w:fill="FFFFFF"/>
          <w:lang w:eastAsia="ru-RU"/>
        </w:rPr>
        <w:t>pentru</w:t>
      </w:r>
      <w:r w:rsidR="00C473B4" w:rsidRPr="00125FAF">
        <w:rPr>
          <w:rFonts w:ascii="Times New Roman" w:eastAsia="Times New Roman" w:hAnsi="Times New Roman" w:cs="Times New Roman"/>
          <w:color w:val="000000"/>
          <w:sz w:val="24"/>
          <w:szCs w:val="24"/>
          <w:shd w:val="clear" w:color="auto" w:fill="FFFFFF"/>
          <w:lang w:eastAsia="ru-RU"/>
        </w:rPr>
        <w:t xml:space="preserve"> </w:t>
      </w:r>
      <w:proofErr w:type="spellStart"/>
      <w:r w:rsidR="00C473B4" w:rsidRPr="00125FAF">
        <w:rPr>
          <w:rFonts w:ascii="Times New Roman" w:eastAsia="Times New Roman" w:hAnsi="Times New Roman" w:cs="Times New Roman"/>
          <w:color w:val="000000"/>
          <w:sz w:val="24"/>
          <w:szCs w:val="24"/>
          <w:shd w:val="clear" w:color="auto" w:fill="FFFFFF"/>
          <w:lang w:eastAsia="ru-RU"/>
        </w:rPr>
        <w:t>obţinerea</w:t>
      </w:r>
      <w:proofErr w:type="spellEnd"/>
      <w:r w:rsidR="006364B2" w:rsidRPr="00125FAF">
        <w:rPr>
          <w:rFonts w:ascii="Times New Roman" w:eastAsia="Times New Roman" w:hAnsi="Times New Roman" w:cs="Times New Roman"/>
          <w:color w:val="000000"/>
          <w:sz w:val="24"/>
          <w:szCs w:val="24"/>
          <w:shd w:val="clear" w:color="auto" w:fill="FFFFFF"/>
          <w:lang w:eastAsia="ru-RU"/>
        </w:rPr>
        <w:t xml:space="preserve"> </w:t>
      </w:r>
      <w:proofErr w:type="spellStart"/>
      <w:r w:rsidR="006364B2" w:rsidRPr="00125FAF">
        <w:rPr>
          <w:rFonts w:ascii="Times New Roman" w:eastAsia="Times New Roman" w:hAnsi="Times New Roman" w:cs="Times New Roman"/>
          <w:color w:val="000000"/>
          <w:sz w:val="24"/>
          <w:szCs w:val="24"/>
          <w:shd w:val="clear" w:color="auto" w:fill="FFFFFF"/>
          <w:lang w:eastAsia="ru-RU"/>
        </w:rPr>
        <w:t>investiţii</w:t>
      </w:r>
      <w:r w:rsidR="00C473B4" w:rsidRPr="00125FAF">
        <w:rPr>
          <w:rFonts w:ascii="Times New Roman" w:eastAsia="Times New Roman" w:hAnsi="Times New Roman" w:cs="Times New Roman"/>
          <w:color w:val="000000"/>
          <w:sz w:val="24"/>
          <w:szCs w:val="24"/>
          <w:shd w:val="clear" w:color="auto" w:fill="FFFFFF"/>
          <w:lang w:eastAsia="ru-RU"/>
        </w:rPr>
        <w:t>lor</w:t>
      </w:r>
      <w:proofErr w:type="spellEnd"/>
      <w:r w:rsidR="006364B2" w:rsidRPr="00125FAF">
        <w:rPr>
          <w:rFonts w:ascii="Times New Roman" w:eastAsia="Times New Roman" w:hAnsi="Times New Roman" w:cs="Times New Roman"/>
          <w:color w:val="000000"/>
          <w:sz w:val="24"/>
          <w:szCs w:val="24"/>
          <w:shd w:val="clear" w:color="auto" w:fill="FFFFFF"/>
          <w:lang w:eastAsia="ru-RU"/>
        </w:rPr>
        <w:t xml:space="preserve"> în infrastructura nouă de gestionare a </w:t>
      </w:r>
      <w:proofErr w:type="spellStart"/>
      <w:r w:rsidR="006364B2" w:rsidRPr="00125FAF">
        <w:rPr>
          <w:rFonts w:ascii="Times New Roman" w:eastAsia="Times New Roman" w:hAnsi="Times New Roman" w:cs="Times New Roman"/>
          <w:color w:val="000000"/>
          <w:sz w:val="24"/>
          <w:szCs w:val="24"/>
          <w:shd w:val="clear" w:color="auto" w:fill="FFFFFF"/>
          <w:lang w:eastAsia="ru-RU"/>
        </w:rPr>
        <w:t>deşeurilor</w:t>
      </w:r>
      <w:proofErr w:type="spellEnd"/>
      <w:r w:rsidR="006364B2" w:rsidRPr="00125FAF">
        <w:rPr>
          <w:rFonts w:ascii="Times New Roman" w:eastAsia="Times New Roman" w:hAnsi="Times New Roman" w:cs="Times New Roman"/>
          <w:color w:val="000000"/>
          <w:sz w:val="24"/>
          <w:szCs w:val="24"/>
          <w:shd w:val="clear" w:color="auto" w:fill="FFFFFF"/>
          <w:lang w:eastAsia="ru-RU"/>
        </w:rPr>
        <w:t xml:space="preserve">. </w:t>
      </w:r>
      <w:proofErr w:type="spellStart"/>
      <w:r w:rsidR="00B12233" w:rsidRPr="00125FAF">
        <w:rPr>
          <w:rFonts w:ascii="Times New Roman" w:eastAsia="Times New Roman" w:hAnsi="Times New Roman" w:cs="Times New Roman"/>
          <w:color w:val="000000"/>
          <w:sz w:val="24"/>
          <w:szCs w:val="24"/>
          <w:lang w:eastAsia="ru-RU"/>
        </w:rPr>
        <w:t>Acţiunile</w:t>
      </w:r>
      <w:proofErr w:type="spellEnd"/>
      <w:r w:rsidR="00B12233" w:rsidRPr="00125FAF">
        <w:rPr>
          <w:rFonts w:ascii="Times New Roman" w:eastAsia="Times New Roman" w:hAnsi="Times New Roman" w:cs="Times New Roman"/>
          <w:color w:val="000000"/>
          <w:sz w:val="24"/>
          <w:szCs w:val="24"/>
          <w:lang w:eastAsia="ru-RU"/>
        </w:rPr>
        <w:t xml:space="preserve"> </w:t>
      </w:r>
      <w:r w:rsidR="006364B2" w:rsidRPr="00125FAF">
        <w:rPr>
          <w:rFonts w:ascii="Times New Roman" w:eastAsia="Times New Roman" w:hAnsi="Times New Roman" w:cs="Times New Roman"/>
          <w:color w:val="000000"/>
          <w:sz w:val="24"/>
          <w:szCs w:val="24"/>
          <w:lang w:eastAsia="ru-RU"/>
        </w:rPr>
        <w:t xml:space="preserve">de atenuare </w:t>
      </w:r>
      <w:r w:rsidR="00B12233" w:rsidRPr="00125FAF">
        <w:rPr>
          <w:rFonts w:ascii="Times New Roman" w:eastAsia="Times New Roman" w:hAnsi="Times New Roman" w:cs="Times New Roman"/>
          <w:color w:val="000000"/>
          <w:sz w:val="24"/>
          <w:szCs w:val="24"/>
          <w:lang w:eastAsia="ru-RU"/>
        </w:rPr>
        <w:t>cuprind, în primul rând</w:t>
      </w:r>
      <w:r w:rsidR="006364B2" w:rsidRPr="00125FAF">
        <w:rPr>
          <w:rFonts w:ascii="Times New Roman" w:eastAsia="Times New Roman" w:hAnsi="Times New Roman" w:cs="Times New Roman"/>
          <w:color w:val="000000"/>
          <w:sz w:val="24"/>
          <w:szCs w:val="24"/>
          <w:lang w:eastAsia="ru-RU"/>
        </w:rPr>
        <w:t>:</w:t>
      </w:r>
    </w:p>
    <w:p w14:paraId="52442676" w14:textId="51636A53" w:rsidR="006364B2" w:rsidRPr="00125FAF" w:rsidRDefault="006364B2" w:rsidP="006364B2">
      <w:pPr>
        <w:spacing w:after="0" w:line="240" w:lineRule="auto"/>
        <w:ind w:firstLine="720"/>
        <w:jc w:val="both"/>
        <w:rPr>
          <w:rFonts w:ascii="Times New Roman" w:eastAsia="Times New Roman" w:hAnsi="Times New Roman" w:cs="Times New Roman"/>
          <w:sz w:val="24"/>
          <w:szCs w:val="24"/>
          <w:lang w:eastAsia="ru-RU"/>
        </w:rPr>
      </w:pPr>
      <w:r w:rsidRPr="00125FAF">
        <w:rPr>
          <w:rFonts w:ascii="Times New Roman" w:eastAsia="Times New Roman" w:hAnsi="Times New Roman" w:cs="Times New Roman"/>
          <w:color w:val="000000"/>
          <w:sz w:val="24"/>
          <w:szCs w:val="24"/>
          <w:shd w:val="clear" w:color="auto" w:fill="FFFFFF"/>
          <w:lang w:eastAsia="ru-RU"/>
        </w:rPr>
        <w:t xml:space="preserve">b) </w:t>
      </w:r>
      <w:proofErr w:type="spellStart"/>
      <w:r w:rsidRPr="00125FAF">
        <w:rPr>
          <w:rFonts w:ascii="Times New Roman" w:eastAsia="Times New Roman" w:hAnsi="Times New Roman" w:cs="Times New Roman"/>
          <w:color w:val="000000"/>
          <w:sz w:val="24"/>
          <w:szCs w:val="24"/>
          <w:shd w:val="clear" w:color="auto" w:fill="FFFFFF"/>
          <w:lang w:eastAsia="ru-RU"/>
        </w:rPr>
        <w:t>creşterea</w:t>
      </w:r>
      <w:proofErr w:type="spellEnd"/>
      <w:r w:rsidRPr="00125FAF">
        <w:rPr>
          <w:rFonts w:ascii="Times New Roman" w:eastAsia="Times New Roman" w:hAnsi="Times New Roman" w:cs="Times New Roman"/>
          <w:color w:val="000000"/>
          <w:sz w:val="24"/>
          <w:szCs w:val="24"/>
          <w:shd w:val="clear" w:color="auto" w:fill="FFFFFF"/>
          <w:lang w:eastAsia="ru-RU"/>
        </w:rPr>
        <w:t xml:space="preserve"> </w:t>
      </w:r>
      <w:r w:rsidR="00C473B4" w:rsidRPr="00125FAF">
        <w:rPr>
          <w:rFonts w:ascii="Times New Roman" w:eastAsia="Times New Roman" w:hAnsi="Times New Roman" w:cs="Times New Roman"/>
          <w:color w:val="000000"/>
          <w:sz w:val="24"/>
          <w:szCs w:val="24"/>
          <w:shd w:val="clear" w:color="auto" w:fill="FFFFFF"/>
          <w:lang w:eastAsia="ru-RU"/>
        </w:rPr>
        <w:t xml:space="preserve">cu 20-30% a </w:t>
      </w:r>
      <w:proofErr w:type="spellStart"/>
      <w:r w:rsidRPr="00125FAF">
        <w:rPr>
          <w:rFonts w:ascii="Times New Roman" w:eastAsia="Times New Roman" w:hAnsi="Times New Roman" w:cs="Times New Roman"/>
          <w:color w:val="000000"/>
          <w:sz w:val="24"/>
          <w:szCs w:val="24"/>
          <w:shd w:val="clear" w:color="auto" w:fill="FFFFFF"/>
          <w:lang w:eastAsia="ru-RU"/>
        </w:rPr>
        <w:t>cantităţii</w:t>
      </w:r>
      <w:proofErr w:type="spellEnd"/>
      <w:r w:rsidRPr="00125FAF">
        <w:rPr>
          <w:rFonts w:ascii="Times New Roman" w:eastAsia="Times New Roman" w:hAnsi="Times New Roman" w:cs="Times New Roman"/>
          <w:color w:val="000000"/>
          <w:sz w:val="24"/>
          <w:szCs w:val="24"/>
          <w:shd w:val="clear" w:color="auto" w:fill="FFFFFF"/>
          <w:lang w:eastAsia="ru-RU"/>
        </w:rPr>
        <w:t xml:space="preserve"> de </w:t>
      </w:r>
      <w:proofErr w:type="spellStart"/>
      <w:r w:rsidRPr="00125FAF">
        <w:rPr>
          <w:rFonts w:ascii="Times New Roman" w:eastAsia="Times New Roman" w:hAnsi="Times New Roman" w:cs="Times New Roman"/>
          <w:color w:val="000000"/>
          <w:sz w:val="24"/>
          <w:szCs w:val="24"/>
          <w:shd w:val="clear" w:color="auto" w:fill="FFFFFF"/>
          <w:lang w:eastAsia="ru-RU"/>
        </w:rPr>
        <w:t>deşeuri</w:t>
      </w:r>
      <w:proofErr w:type="spellEnd"/>
      <w:r w:rsidRPr="00125FAF">
        <w:rPr>
          <w:rFonts w:ascii="Times New Roman" w:eastAsia="Times New Roman" w:hAnsi="Times New Roman" w:cs="Times New Roman"/>
          <w:color w:val="000000"/>
          <w:sz w:val="24"/>
          <w:szCs w:val="24"/>
          <w:shd w:val="clear" w:color="auto" w:fill="FFFFFF"/>
          <w:lang w:eastAsia="ru-RU"/>
        </w:rPr>
        <w:t xml:space="preserve"> reciclate </w:t>
      </w:r>
      <w:proofErr w:type="spellStart"/>
      <w:r w:rsidRPr="00125FAF">
        <w:rPr>
          <w:rFonts w:ascii="Times New Roman" w:eastAsia="Times New Roman" w:hAnsi="Times New Roman" w:cs="Times New Roman"/>
          <w:color w:val="000000"/>
          <w:sz w:val="24"/>
          <w:szCs w:val="24"/>
          <w:shd w:val="clear" w:color="auto" w:fill="FFFFFF"/>
          <w:lang w:eastAsia="ru-RU"/>
        </w:rPr>
        <w:t>şi</w:t>
      </w:r>
      <w:proofErr w:type="spellEnd"/>
      <w:r w:rsidRPr="00125FAF">
        <w:rPr>
          <w:rFonts w:ascii="Times New Roman" w:eastAsia="Times New Roman" w:hAnsi="Times New Roman" w:cs="Times New Roman"/>
          <w:color w:val="000000"/>
          <w:sz w:val="24"/>
          <w:szCs w:val="24"/>
          <w:shd w:val="clear" w:color="auto" w:fill="FFFFFF"/>
          <w:lang w:eastAsia="ru-RU"/>
        </w:rPr>
        <w:t xml:space="preserve"> valorificate, prin promovarea colectării separate a </w:t>
      </w:r>
      <w:proofErr w:type="spellStart"/>
      <w:r w:rsidRPr="00125FAF">
        <w:rPr>
          <w:rFonts w:ascii="Times New Roman" w:eastAsia="Times New Roman" w:hAnsi="Times New Roman" w:cs="Times New Roman"/>
          <w:color w:val="000000"/>
          <w:sz w:val="24"/>
          <w:szCs w:val="24"/>
          <w:shd w:val="clear" w:color="auto" w:fill="FFFFFF"/>
          <w:lang w:eastAsia="ru-RU"/>
        </w:rPr>
        <w:t>deşeurilor</w:t>
      </w:r>
      <w:proofErr w:type="spellEnd"/>
      <w:r w:rsidRPr="00125FAF">
        <w:rPr>
          <w:rFonts w:ascii="Times New Roman" w:eastAsia="Times New Roman" w:hAnsi="Times New Roman" w:cs="Times New Roman"/>
          <w:color w:val="000000"/>
          <w:sz w:val="24"/>
          <w:szCs w:val="24"/>
          <w:shd w:val="clear" w:color="auto" w:fill="FFFFFF"/>
          <w:lang w:eastAsia="ru-RU"/>
        </w:rPr>
        <w:t xml:space="preserve"> menajere solide </w:t>
      </w:r>
      <w:proofErr w:type="spellStart"/>
      <w:r w:rsidRPr="00125FAF">
        <w:rPr>
          <w:rFonts w:ascii="Times New Roman" w:eastAsia="Times New Roman" w:hAnsi="Times New Roman" w:cs="Times New Roman"/>
          <w:color w:val="000000"/>
          <w:sz w:val="24"/>
          <w:szCs w:val="24"/>
          <w:shd w:val="clear" w:color="auto" w:fill="FFFFFF"/>
          <w:lang w:eastAsia="ru-RU"/>
        </w:rPr>
        <w:t>şi</w:t>
      </w:r>
      <w:proofErr w:type="spellEnd"/>
      <w:r w:rsidRPr="00125FAF">
        <w:rPr>
          <w:rFonts w:ascii="Times New Roman" w:eastAsia="Times New Roman" w:hAnsi="Times New Roman" w:cs="Times New Roman"/>
          <w:color w:val="000000"/>
          <w:sz w:val="24"/>
          <w:szCs w:val="24"/>
          <w:shd w:val="clear" w:color="auto" w:fill="FFFFFF"/>
          <w:lang w:eastAsia="ru-RU"/>
        </w:rPr>
        <w:t xml:space="preserve"> crearea </w:t>
      </w:r>
      <w:proofErr w:type="spellStart"/>
      <w:r w:rsidRPr="00125FAF">
        <w:rPr>
          <w:rFonts w:ascii="Times New Roman" w:eastAsia="Times New Roman" w:hAnsi="Times New Roman" w:cs="Times New Roman"/>
          <w:color w:val="000000"/>
          <w:sz w:val="24"/>
          <w:szCs w:val="24"/>
          <w:shd w:val="clear" w:color="auto" w:fill="FFFFFF"/>
          <w:lang w:eastAsia="ru-RU"/>
        </w:rPr>
        <w:t>capacităţilor</w:t>
      </w:r>
      <w:proofErr w:type="spellEnd"/>
      <w:r w:rsidRPr="00125FAF">
        <w:rPr>
          <w:rFonts w:ascii="Times New Roman" w:eastAsia="Times New Roman" w:hAnsi="Times New Roman" w:cs="Times New Roman"/>
          <w:color w:val="000000"/>
          <w:sz w:val="24"/>
          <w:szCs w:val="24"/>
          <w:shd w:val="clear" w:color="auto" w:fill="FFFFFF"/>
          <w:lang w:eastAsia="ru-RU"/>
        </w:rPr>
        <w:t xml:space="preserve"> de valorificare energetică;</w:t>
      </w:r>
    </w:p>
    <w:p w14:paraId="1B846180" w14:textId="77777777" w:rsidR="006364B2" w:rsidRPr="00125FAF" w:rsidRDefault="006364B2" w:rsidP="006364B2">
      <w:pPr>
        <w:spacing w:after="0" w:line="240" w:lineRule="auto"/>
        <w:ind w:firstLine="720"/>
        <w:jc w:val="both"/>
        <w:rPr>
          <w:rFonts w:ascii="Times New Roman" w:eastAsia="Times New Roman" w:hAnsi="Times New Roman" w:cs="Times New Roman"/>
          <w:sz w:val="24"/>
          <w:szCs w:val="24"/>
          <w:lang w:eastAsia="ru-RU"/>
        </w:rPr>
      </w:pPr>
      <w:r w:rsidRPr="00125FAF">
        <w:rPr>
          <w:rFonts w:ascii="Times New Roman" w:eastAsia="Times New Roman" w:hAnsi="Times New Roman" w:cs="Times New Roman"/>
          <w:color w:val="000000"/>
          <w:sz w:val="24"/>
          <w:szCs w:val="24"/>
          <w:shd w:val="clear" w:color="auto" w:fill="FFFFFF"/>
          <w:lang w:eastAsia="ru-RU"/>
        </w:rPr>
        <w:t xml:space="preserve">c) reducerea </w:t>
      </w:r>
      <w:proofErr w:type="spellStart"/>
      <w:r w:rsidRPr="00125FAF">
        <w:rPr>
          <w:rFonts w:ascii="Times New Roman" w:eastAsia="Times New Roman" w:hAnsi="Times New Roman" w:cs="Times New Roman"/>
          <w:color w:val="000000"/>
          <w:sz w:val="24"/>
          <w:szCs w:val="24"/>
          <w:shd w:val="clear" w:color="auto" w:fill="FFFFFF"/>
          <w:lang w:eastAsia="ru-RU"/>
        </w:rPr>
        <w:t>cantităţii</w:t>
      </w:r>
      <w:proofErr w:type="spellEnd"/>
      <w:r w:rsidRPr="00125FAF">
        <w:rPr>
          <w:rFonts w:ascii="Times New Roman" w:eastAsia="Times New Roman" w:hAnsi="Times New Roman" w:cs="Times New Roman"/>
          <w:color w:val="000000"/>
          <w:sz w:val="24"/>
          <w:szCs w:val="24"/>
          <w:shd w:val="clear" w:color="auto" w:fill="FFFFFF"/>
          <w:lang w:eastAsia="ru-RU"/>
        </w:rPr>
        <w:t xml:space="preserve"> de </w:t>
      </w:r>
      <w:proofErr w:type="spellStart"/>
      <w:r w:rsidRPr="00125FAF">
        <w:rPr>
          <w:rFonts w:ascii="Times New Roman" w:eastAsia="Times New Roman" w:hAnsi="Times New Roman" w:cs="Times New Roman"/>
          <w:color w:val="000000"/>
          <w:sz w:val="24"/>
          <w:szCs w:val="24"/>
          <w:shd w:val="clear" w:color="auto" w:fill="FFFFFF"/>
          <w:lang w:eastAsia="ru-RU"/>
        </w:rPr>
        <w:t>deşeuri</w:t>
      </w:r>
      <w:proofErr w:type="spellEnd"/>
      <w:r w:rsidRPr="00125FAF">
        <w:rPr>
          <w:rFonts w:ascii="Times New Roman" w:eastAsia="Times New Roman" w:hAnsi="Times New Roman" w:cs="Times New Roman"/>
          <w:color w:val="000000"/>
          <w:sz w:val="24"/>
          <w:szCs w:val="24"/>
          <w:shd w:val="clear" w:color="auto" w:fill="FFFFFF"/>
          <w:lang w:eastAsia="ru-RU"/>
        </w:rPr>
        <w:t xml:space="preserve"> biodegradabile depozitate prin crearea </w:t>
      </w:r>
      <w:proofErr w:type="spellStart"/>
      <w:r w:rsidRPr="00125FAF">
        <w:rPr>
          <w:rFonts w:ascii="Times New Roman" w:eastAsia="Times New Roman" w:hAnsi="Times New Roman" w:cs="Times New Roman"/>
          <w:color w:val="000000"/>
          <w:sz w:val="24"/>
          <w:szCs w:val="24"/>
          <w:shd w:val="clear" w:color="auto" w:fill="FFFFFF"/>
          <w:lang w:eastAsia="ru-RU"/>
        </w:rPr>
        <w:t>capacităţilor</w:t>
      </w:r>
      <w:proofErr w:type="spellEnd"/>
      <w:r w:rsidRPr="00125FAF">
        <w:rPr>
          <w:rFonts w:ascii="Times New Roman" w:eastAsia="Times New Roman" w:hAnsi="Times New Roman" w:cs="Times New Roman"/>
          <w:color w:val="000000"/>
          <w:sz w:val="24"/>
          <w:szCs w:val="24"/>
          <w:shd w:val="clear" w:color="auto" w:fill="FFFFFF"/>
          <w:lang w:eastAsia="ru-RU"/>
        </w:rPr>
        <w:t xml:space="preserve"> de compostare a acestora în cadrul </w:t>
      </w:r>
      <w:proofErr w:type="spellStart"/>
      <w:r w:rsidRPr="00125FAF">
        <w:rPr>
          <w:rFonts w:ascii="Times New Roman" w:eastAsia="Times New Roman" w:hAnsi="Times New Roman" w:cs="Times New Roman"/>
          <w:color w:val="000000"/>
          <w:sz w:val="24"/>
          <w:szCs w:val="24"/>
          <w:shd w:val="clear" w:color="auto" w:fill="FFFFFF"/>
          <w:lang w:eastAsia="ru-RU"/>
        </w:rPr>
        <w:t>staţiilor</w:t>
      </w:r>
      <w:proofErr w:type="spellEnd"/>
      <w:r w:rsidRPr="00125FAF">
        <w:rPr>
          <w:rFonts w:ascii="Times New Roman" w:eastAsia="Times New Roman" w:hAnsi="Times New Roman" w:cs="Times New Roman"/>
          <w:color w:val="000000"/>
          <w:sz w:val="24"/>
          <w:szCs w:val="24"/>
          <w:shd w:val="clear" w:color="auto" w:fill="FFFFFF"/>
          <w:lang w:eastAsia="ru-RU"/>
        </w:rPr>
        <w:t xml:space="preserve"> de transfer sau centrelor de prelucrare a </w:t>
      </w:r>
      <w:proofErr w:type="spellStart"/>
      <w:r w:rsidRPr="00125FAF">
        <w:rPr>
          <w:rFonts w:ascii="Times New Roman" w:eastAsia="Times New Roman" w:hAnsi="Times New Roman" w:cs="Times New Roman"/>
          <w:color w:val="000000"/>
          <w:sz w:val="24"/>
          <w:szCs w:val="24"/>
          <w:shd w:val="clear" w:color="auto" w:fill="FFFFFF"/>
          <w:lang w:eastAsia="ru-RU"/>
        </w:rPr>
        <w:t>deşeurilor</w:t>
      </w:r>
      <w:proofErr w:type="spellEnd"/>
      <w:r w:rsidRPr="00125FAF">
        <w:rPr>
          <w:rFonts w:ascii="Times New Roman" w:eastAsia="Times New Roman" w:hAnsi="Times New Roman" w:cs="Times New Roman"/>
          <w:color w:val="000000"/>
          <w:sz w:val="24"/>
          <w:szCs w:val="24"/>
          <w:shd w:val="clear" w:color="auto" w:fill="FFFFFF"/>
          <w:lang w:eastAsia="ru-RU"/>
        </w:rPr>
        <w:t xml:space="preserve">, inclusiv la întreprinderile din sectorul agroindustrial, în </w:t>
      </w:r>
      <w:proofErr w:type="spellStart"/>
      <w:r w:rsidRPr="00125FAF">
        <w:rPr>
          <w:rFonts w:ascii="Times New Roman" w:eastAsia="Times New Roman" w:hAnsi="Times New Roman" w:cs="Times New Roman"/>
          <w:color w:val="000000"/>
          <w:sz w:val="24"/>
          <w:szCs w:val="24"/>
          <w:shd w:val="clear" w:color="auto" w:fill="FFFFFF"/>
          <w:lang w:eastAsia="ru-RU"/>
        </w:rPr>
        <w:t>funcţie</w:t>
      </w:r>
      <w:proofErr w:type="spellEnd"/>
      <w:r w:rsidRPr="00125FAF">
        <w:rPr>
          <w:rFonts w:ascii="Times New Roman" w:eastAsia="Times New Roman" w:hAnsi="Times New Roman" w:cs="Times New Roman"/>
          <w:color w:val="000000"/>
          <w:sz w:val="24"/>
          <w:szCs w:val="24"/>
          <w:shd w:val="clear" w:color="auto" w:fill="FFFFFF"/>
          <w:lang w:eastAsia="ru-RU"/>
        </w:rPr>
        <w:t xml:space="preserve"> de volumul </w:t>
      </w:r>
      <w:proofErr w:type="spellStart"/>
      <w:r w:rsidRPr="00125FAF">
        <w:rPr>
          <w:rFonts w:ascii="Times New Roman" w:eastAsia="Times New Roman" w:hAnsi="Times New Roman" w:cs="Times New Roman"/>
          <w:color w:val="000000"/>
          <w:sz w:val="24"/>
          <w:szCs w:val="24"/>
          <w:shd w:val="clear" w:color="auto" w:fill="FFFFFF"/>
          <w:lang w:eastAsia="ru-RU"/>
        </w:rPr>
        <w:t>deşeurilor</w:t>
      </w:r>
      <w:proofErr w:type="spellEnd"/>
      <w:r w:rsidRPr="00125FAF">
        <w:rPr>
          <w:rFonts w:ascii="Times New Roman" w:eastAsia="Times New Roman" w:hAnsi="Times New Roman" w:cs="Times New Roman"/>
          <w:color w:val="000000"/>
          <w:sz w:val="24"/>
          <w:szCs w:val="24"/>
          <w:shd w:val="clear" w:color="auto" w:fill="FFFFFF"/>
          <w:lang w:eastAsia="ru-RU"/>
        </w:rPr>
        <w:t xml:space="preserve"> biodegradabile generate;</w:t>
      </w:r>
    </w:p>
    <w:p w14:paraId="409D1CCE" w14:textId="1737F90F" w:rsidR="006364B2" w:rsidRPr="00125FAF" w:rsidRDefault="006364B2" w:rsidP="006364B2">
      <w:pPr>
        <w:spacing w:after="0" w:line="240" w:lineRule="auto"/>
        <w:ind w:firstLine="720"/>
        <w:jc w:val="both"/>
        <w:rPr>
          <w:rFonts w:ascii="Times New Roman" w:eastAsia="Times New Roman" w:hAnsi="Times New Roman" w:cs="Times New Roman"/>
          <w:sz w:val="24"/>
          <w:szCs w:val="24"/>
          <w:lang w:eastAsia="ru-RU"/>
        </w:rPr>
      </w:pPr>
      <w:r w:rsidRPr="00125FAF">
        <w:rPr>
          <w:rFonts w:ascii="Times New Roman" w:eastAsia="Times New Roman" w:hAnsi="Times New Roman" w:cs="Times New Roman"/>
          <w:color w:val="000000"/>
          <w:sz w:val="24"/>
          <w:szCs w:val="24"/>
          <w:shd w:val="clear" w:color="auto" w:fill="FFFFFF"/>
          <w:lang w:eastAsia="ru-RU"/>
        </w:rPr>
        <w:t xml:space="preserve">d) recultivarea a cel </w:t>
      </w:r>
      <w:proofErr w:type="spellStart"/>
      <w:r w:rsidRPr="00125FAF">
        <w:rPr>
          <w:rFonts w:ascii="Times New Roman" w:eastAsia="Times New Roman" w:hAnsi="Times New Roman" w:cs="Times New Roman"/>
          <w:color w:val="000000"/>
          <w:sz w:val="24"/>
          <w:szCs w:val="24"/>
          <w:shd w:val="clear" w:color="auto" w:fill="FFFFFF"/>
          <w:lang w:eastAsia="ru-RU"/>
        </w:rPr>
        <w:t>puţin</w:t>
      </w:r>
      <w:proofErr w:type="spellEnd"/>
      <w:r w:rsidRPr="00125FAF">
        <w:rPr>
          <w:rFonts w:ascii="Times New Roman" w:eastAsia="Times New Roman" w:hAnsi="Times New Roman" w:cs="Times New Roman"/>
          <w:color w:val="000000"/>
          <w:sz w:val="24"/>
          <w:szCs w:val="24"/>
          <w:shd w:val="clear" w:color="auto" w:fill="FFFFFF"/>
          <w:lang w:eastAsia="ru-RU"/>
        </w:rPr>
        <w:t xml:space="preserve"> 50% din numărul de depozite de </w:t>
      </w:r>
      <w:proofErr w:type="spellStart"/>
      <w:r w:rsidRPr="00125FAF">
        <w:rPr>
          <w:rFonts w:ascii="Times New Roman" w:eastAsia="Times New Roman" w:hAnsi="Times New Roman" w:cs="Times New Roman"/>
          <w:color w:val="000000"/>
          <w:sz w:val="24"/>
          <w:szCs w:val="24"/>
          <w:shd w:val="clear" w:color="auto" w:fill="FFFFFF"/>
          <w:lang w:eastAsia="ru-RU"/>
        </w:rPr>
        <w:t>deşeuri</w:t>
      </w:r>
      <w:proofErr w:type="spellEnd"/>
      <w:r w:rsidRPr="00125FAF">
        <w:rPr>
          <w:rFonts w:ascii="Times New Roman" w:eastAsia="Times New Roman" w:hAnsi="Times New Roman" w:cs="Times New Roman"/>
          <w:color w:val="000000"/>
          <w:sz w:val="24"/>
          <w:szCs w:val="24"/>
          <w:shd w:val="clear" w:color="auto" w:fill="FFFFFF"/>
          <w:lang w:eastAsia="ru-RU"/>
        </w:rPr>
        <w:t xml:space="preserve"> menajere solide neconforme</w:t>
      </w:r>
      <w:r w:rsidR="00C473B4" w:rsidRPr="00125FAF">
        <w:rPr>
          <w:rFonts w:ascii="Times New Roman" w:eastAsia="Times New Roman" w:hAnsi="Times New Roman" w:cs="Times New Roman"/>
          <w:color w:val="000000"/>
          <w:sz w:val="24"/>
          <w:szCs w:val="24"/>
          <w:shd w:val="clear" w:color="auto" w:fill="FFFFFF"/>
          <w:lang w:eastAsia="ru-RU"/>
        </w:rPr>
        <w:t>;</w:t>
      </w:r>
    </w:p>
    <w:p w14:paraId="119C7256" w14:textId="6BD2D4B6" w:rsidR="006364B2" w:rsidRPr="00125FAF" w:rsidRDefault="00B12233" w:rsidP="006364B2">
      <w:pPr>
        <w:spacing w:after="0" w:line="240" w:lineRule="auto"/>
        <w:ind w:firstLine="720"/>
        <w:jc w:val="both"/>
        <w:rPr>
          <w:rFonts w:ascii="Times New Roman" w:eastAsia="Times New Roman" w:hAnsi="Times New Roman" w:cs="Times New Roman"/>
          <w:sz w:val="24"/>
          <w:szCs w:val="24"/>
          <w:lang w:eastAsia="ru-RU"/>
        </w:rPr>
      </w:pPr>
      <w:r w:rsidRPr="00125FAF">
        <w:rPr>
          <w:rFonts w:ascii="Times New Roman" w:eastAsia="Times New Roman" w:hAnsi="Times New Roman" w:cs="Times New Roman"/>
          <w:color w:val="000000"/>
          <w:sz w:val="24"/>
          <w:szCs w:val="24"/>
          <w:shd w:val="clear" w:color="auto" w:fill="FFFFFF"/>
          <w:lang w:eastAsia="ru-RU"/>
        </w:rPr>
        <w:t>e</w:t>
      </w:r>
      <w:r w:rsidR="006364B2" w:rsidRPr="00125FAF">
        <w:rPr>
          <w:rFonts w:ascii="Times New Roman" w:eastAsia="Times New Roman" w:hAnsi="Times New Roman" w:cs="Times New Roman"/>
          <w:color w:val="000000"/>
          <w:sz w:val="24"/>
          <w:szCs w:val="24"/>
          <w:shd w:val="clear" w:color="auto" w:fill="FFFFFF"/>
          <w:lang w:eastAsia="ru-RU"/>
        </w:rPr>
        <w:t xml:space="preserve">) </w:t>
      </w:r>
      <w:r w:rsidRPr="00125FAF">
        <w:rPr>
          <w:rFonts w:ascii="Times New Roman" w:eastAsia="Times New Roman" w:hAnsi="Times New Roman" w:cs="Times New Roman"/>
          <w:color w:val="000000"/>
          <w:sz w:val="24"/>
          <w:szCs w:val="24"/>
          <w:shd w:val="clear" w:color="auto" w:fill="FFFFFF"/>
          <w:lang w:eastAsia="ru-RU"/>
        </w:rPr>
        <w:t xml:space="preserve">digestia anaerobă a </w:t>
      </w:r>
      <w:proofErr w:type="spellStart"/>
      <w:r w:rsidRPr="00125FAF">
        <w:rPr>
          <w:rFonts w:ascii="Times New Roman" w:eastAsia="Times New Roman" w:hAnsi="Times New Roman" w:cs="Times New Roman"/>
          <w:color w:val="000000"/>
          <w:sz w:val="24"/>
          <w:szCs w:val="24"/>
          <w:shd w:val="clear" w:color="auto" w:fill="FFFFFF"/>
          <w:lang w:eastAsia="ru-RU"/>
        </w:rPr>
        <w:t>deşeurilor</w:t>
      </w:r>
      <w:proofErr w:type="spellEnd"/>
      <w:r w:rsidRPr="00125FAF">
        <w:rPr>
          <w:rFonts w:ascii="Times New Roman" w:eastAsia="Times New Roman" w:hAnsi="Times New Roman" w:cs="Times New Roman"/>
          <w:color w:val="000000"/>
          <w:sz w:val="24"/>
          <w:szCs w:val="24"/>
          <w:shd w:val="clear" w:color="auto" w:fill="FFFFFF"/>
          <w:lang w:eastAsia="ru-RU"/>
        </w:rPr>
        <w:t xml:space="preserve"> </w:t>
      </w:r>
      <w:proofErr w:type="spellStart"/>
      <w:r w:rsidRPr="00125FAF">
        <w:rPr>
          <w:rFonts w:ascii="Times New Roman" w:eastAsia="Times New Roman" w:hAnsi="Times New Roman" w:cs="Times New Roman"/>
          <w:color w:val="000000"/>
          <w:sz w:val="24"/>
          <w:szCs w:val="24"/>
          <w:shd w:val="clear" w:color="auto" w:fill="FFFFFF"/>
          <w:lang w:eastAsia="ru-RU"/>
        </w:rPr>
        <w:t>şi</w:t>
      </w:r>
      <w:proofErr w:type="spellEnd"/>
      <w:r w:rsidRPr="00125FAF">
        <w:rPr>
          <w:rFonts w:ascii="Times New Roman" w:eastAsia="Times New Roman" w:hAnsi="Times New Roman" w:cs="Times New Roman"/>
          <w:color w:val="000000"/>
          <w:sz w:val="24"/>
          <w:szCs w:val="24"/>
          <w:shd w:val="clear" w:color="auto" w:fill="FFFFFF"/>
          <w:lang w:eastAsia="ru-RU"/>
        </w:rPr>
        <w:t xml:space="preserve"> </w:t>
      </w:r>
      <w:r w:rsidR="006364B2" w:rsidRPr="00125FAF">
        <w:rPr>
          <w:rFonts w:ascii="Times New Roman" w:eastAsia="Times New Roman" w:hAnsi="Times New Roman" w:cs="Times New Roman"/>
          <w:color w:val="000000"/>
          <w:sz w:val="24"/>
          <w:szCs w:val="24"/>
          <w:shd w:val="clear" w:color="auto" w:fill="FFFFFF"/>
          <w:lang w:eastAsia="ru-RU"/>
        </w:rPr>
        <w:t xml:space="preserve">recuperarea biogazului de la depozitele de </w:t>
      </w:r>
      <w:proofErr w:type="spellStart"/>
      <w:r w:rsidR="006364B2" w:rsidRPr="00125FAF">
        <w:rPr>
          <w:rFonts w:ascii="Times New Roman" w:eastAsia="Times New Roman" w:hAnsi="Times New Roman" w:cs="Times New Roman"/>
          <w:color w:val="000000"/>
          <w:sz w:val="24"/>
          <w:szCs w:val="24"/>
          <w:shd w:val="clear" w:color="auto" w:fill="FFFFFF"/>
          <w:lang w:eastAsia="ru-RU"/>
        </w:rPr>
        <w:t>deşeuri</w:t>
      </w:r>
      <w:proofErr w:type="spellEnd"/>
      <w:r w:rsidR="006364B2" w:rsidRPr="00125FAF">
        <w:rPr>
          <w:rFonts w:ascii="Times New Roman" w:eastAsia="Times New Roman" w:hAnsi="Times New Roman" w:cs="Times New Roman"/>
          <w:color w:val="000000"/>
          <w:sz w:val="24"/>
          <w:szCs w:val="24"/>
          <w:shd w:val="clear" w:color="auto" w:fill="FFFFFF"/>
          <w:lang w:eastAsia="ru-RU"/>
        </w:rPr>
        <w:t xml:space="preserve"> menajere solide;</w:t>
      </w:r>
    </w:p>
    <w:p w14:paraId="39DB109A" w14:textId="12372C5A" w:rsidR="006364B2" w:rsidRPr="00125FAF" w:rsidRDefault="00B12233" w:rsidP="006364B2">
      <w:pPr>
        <w:spacing w:after="0" w:line="240" w:lineRule="auto"/>
        <w:ind w:firstLine="720"/>
        <w:jc w:val="both"/>
        <w:rPr>
          <w:rFonts w:ascii="Times New Roman" w:eastAsia="Times New Roman" w:hAnsi="Times New Roman" w:cs="Times New Roman"/>
          <w:sz w:val="24"/>
          <w:szCs w:val="24"/>
          <w:lang w:eastAsia="ru-RU"/>
        </w:rPr>
      </w:pPr>
      <w:r w:rsidRPr="00125FAF">
        <w:rPr>
          <w:rFonts w:ascii="Times New Roman" w:eastAsia="Times New Roman" w:hAnsi="Times New Roman" w:cs="Times New Roman"/>
          <w:color w:val="000000"/>
          <w:sz w:val="24"/>
          <w:szCs w:val="24"/>
          <w:shd w:val="clear" w:color="auto" w:fill="FFFFFF"/>
          <w:lang w:eastAsia="ru-RU"/>
        </w:rPr>
        <w:t>f</w:t>
      </w:r>
      <w:r w:rsidR="006364B2" w:rsidRPr="00125FAF">
        <w:rPr>
          <w:rFonts w:ascii="Times New Roman" w:eastAsia="Times New Roman" w:hAnsi="Times New Roman" w:cs="Times New Roman"/>
          <w:color w:val="000000"/>
          <w:sz w:val="24"/>
          <w:szCs w:val="24"/>
          <w:shd w:val="clear" w:color="auto" w:fill="FFFFFF"/>
          <w:lang w:eastAsia="ru-RU"/>
        </w:rPr>
        <w:t xml:space="preserve">) compostarea </w:t>
      </w:r>
      <w:proofErr w:type="spellStart"/>
      <w:r w:rsidR="006364B2" w:rsidRPr="00125FAF">
        <w:rPr>
          <w:rFonts w:ascii="Times New Roman" w:eastAsia="Times New Roman" w:hAnsi="Times New Roman" w:cs="Times New Roman"/>
          <w:color w:val="000000"/>
          <w:sz w:val="24"/>
          <w:szCs w:val="24"/>
          <w:shd w:val="clear" w:color="auto" w:fill="FFFFFF"/>
          <w:lang w:eastAsia="ru-RU"/>
        </w:rPr>
        <w:t>deşeurilor</w:t>
      </w:r>
      <w:proofErr w:type="spellEnd"/>
      <w:r w:rsidR="006364B2" w:rsidRPr="00125FAF">
        <w:rPr>
          <w:rFonts w:ascii="Times New Roman" w:eastAsia="Times New Roman" w:hAnsi="Times New Roman" w:cs="Times New Roman"/>
          <w:color w:val="000000"/>
          <w:sz w:val="24"/>
          <w:szCs w:val="24"/>
          <w:shd w:val="clear" w:color="auto" w:fill="FFFFFF"/>
          <w:lang w:eastAsia="ru-RU"/>
        </w:rPr>
        <w:t>;</w:t>
      </w:r>
    </w:p>
    <w:p w14:paraId="65E7A629" w14:textId="11B447B7" w:rsidR="006364B2" w:rsidRPr="00125FAF" w:rsidRDefault="00B12233" w:rsidP="006364B2">
      <w:pPr>
        <w:spacing w:after="0" w:line="240" w:lineRule="auto"/>
        <w:ind w:firstLine="720"/>
        <w:jc w:val="both"/>
        <w:rPr>
          <w:rFonts w:ascii="Times New Roman" w:eastAsia="Times New Roman" w:hAnsi="Times New Roman" w:cs="Times New Roman"/>
          <w:sz w:val="24"/>
          <w:szCs w:val="24"/>
          <w:lang w:eastAsia="ru-RU"/>
        </w:rPr>
      </w:pPr>
      <w:r w:rsidRPr="00125FAF">
        <w:rPr>
          <w:rFonts w:ascii="Times New Roman" w:eastAsia="Times New Roman" w:hAnsi="Times New Roman" w:cs="Times New Roman"/>
          <w:color w:val="000000"/>
          <w:sz w:val="24"/>
          <w:szCs w:val="24"/>
          <w:shd w:val="clear" w:color="auto" w:fill="FFFFFF"/>
          <w:lang w:eastAsia="ru-RU"/>
        </w:rPr>
        <w:t>g</w:t>
      </w:r>
      <w:r w:rsidR="006364B2" w:rsidRPr="00125FAF">
        <w:rPr>
          <w:rFonts w:ascii="Times New Roman" w:eastAsia="Times New Roman" w:hAnsi="Times New Roman" w:cs="Times New Roman"/>
          <w:color w:val="000000"/>
          <w:sz w:val="24"/>
          <w:szCs w:val="24"/>
          <w:shd w:val="clear" w:color="auto" w:fill="FFFFFF"/>
          <w:lang w:eastAsia="ru-RU"/>
        </w:rPr>
        <w:t xml:space="preserve">) tratarea </w:t>
      </w:r>
      <w:proofErr w:type="spellStart"/>
      <w:r w:rsidR="006364B2" w:rsidRPr="00125FAF">
        <w:rPr>
          <w:rFonts w:ascii="Times New Roman" w:eastAsia="Times New Roman" w:hAnsi="Times New Roman" w:cs="Times New Roman"/>
          <w:color w:val="000000"/>
          <w:sz w:val="24"/>
          <w:szCs w:val="24"/>
          <w:shd w:val="clear" w:color="auto" w:fill="FFFFFF"/>
          <w:lang w:eastAsia="ru-RU"/>
        </w:rPr>
        <w:t>mecanico</w:t>
      </w:r>
      <w:proofErr w:type="spellEnd"/>
      <w:r w:rsidR="006364B2" w:rsidRPr="00125FAF">
        <w:rPr>
          <w:rFonts w:ascii="Times New Roman" w:eastAsia="Times New Roman" w:hAnsi="Times New Roman" w:cs="Times New Roman"/>
          <w:color w:val="000000"/>
          <w:sz w:val="24"/>
          <w:szCs w:val="24"/>
          <w:shd w:val="clear" w:color="auto" w:fill="FFFFFF"/>
          <w:lang w:eastAsia="ru-RU"/>
        </w:rPr>
        <w:t xml:space="preserve">-biologică a </w:t>
      </w:r>
      <w:proofErr w:type="spellStart"/>
      <w:r w:rsidR="006364B2" w:rsidRPr="00125FAF">
        <w:rPr>
          <w:rFonts w:ascii="Times New Roman" w:eastAsia="Times New Roman" w:hAnsi="Times New Roman" w:cs="Times New Roman"/>
          <w:color w:val="000000"/>
          <w:sz w:val="24"/>
          <w:szCs w:val="24"/>
          <w:shd w:val="clear" w:color="auto" w:fill="FFFFFF"/>
          <w:lang w:eastAsia="ru-RU"/>
        </w:rPr>
        <w:t>deşeurilor</w:t>
      </w:r>
      <w:proofErr w:type="spellEnd"/>
      <w:r w:rsidR="006364B2" w:rsidRPr="00125FAF">
        <w:rPr>
          <w:rFonts w:ascii="Times New Roman" w:eastAsia="Times New Roman" w:hAnsi="Times New Roman" w:cs="Times New Roman"/>
          <w:color w:val="000000"/>
          <w:sz w:val="24"/>
          <w:szCs w:val="24"/>
          <w:shd w:val="clear" w:color="auto" w:fill="FFFFFF"/>
          <w:lang w:eastAsia="ru-RU"/>
        </w:rPr>
        <w:t>, cu eliminarea ulterioară a reziduurilor prin depozitare</w:t>
      </w:r>
      <w:r w:rsidR="00C473B4" w:rsidRPr="00125FAF">
        <w:rPr>
          <w:rFonts w:ascii="Times New Roman" w:eastAsia="Times New Roman" w:hAnsi="Times New Roman" w:cs="Times New Roman"/>
          <w:color w:val="000000"/>
          <w:sz w:val="24"/>
          <w:szCs w:val="24"/>
          <w:shd w:val="clear" w:color="auto" w:fill="FFFFFF"/>
          <w:lang w:eastAsia="ru-RU"/>
        </w:rPr>
        <w:t>;</w:t>
      </w:r>
    </w:p>
    <w:p w14:paraId="6B622784" w14:textId="677FC8D6" w:rsidR="006364B2" w:rsidRPr="00125FAF" w:rsidRDefault="00B12233" w:rsidP="006364B2">
      <w:pPr>
        <w:spacing w:after="0" w:line="240" w:lineRule="auto"/>
        <w:ind w:firstLine="720"/>
        <w:jc w:val="both"/>
        <w:rPr>
          <w:rFonts w:ascii="Times New Roman" w:eastAsia="Times New Roman" w:hAnsi="Times New Roman" w:cs="Times New Roman"/>
          <w:sz w:val="24"/>
          <w:szCs w:val="24"/>
          <w:lang w:eastAsia="ru-RU"/>
        </w:rPr>
      </w:pPr>
      <w:r w:rsidRPr="00125FAF">
        <w:rPr>
          <w:rFonts w:ascii="Times New Roman" w:eastAsia="Times New Roman" w:hAnsi="Times New Roman" w:cs="Times New Roman"/>
          <w:color w:val="000000"/>
          <w:sz w:val="24"/>
          <w:szCs w:val="24"/>
          <w:shd w:val="clear" w:color="auto" w:fill="FFFFFF"/>
          <w:lang w:eastAsia="ru-RU"/>
        </w:rPr>
        <w:t>h</w:t>
      </w:r>
      <w:r w:rsidR="006364B2" w:rsidRPr="00125FAF">
        <w:rPr>
          <w:rFonts w:ascii="Times New Roman" w:eastAsia="Times New Roman" w:hAnsi="Times New Roman" w:cs="Times New Roman"/>
          <w:color w:val="000000"/>
          <w:sz w:val="24"/>
          <w:szCs w:val="24"/>
          <w:shd w:val="clear" w:color="auto" w:fill="FFFFFF"/>
          <w:lang w:eastAsia="ru-RU"/>
        </w:rPr>
        <w:t xml:space="preserve">) dezvoltarea infrastructurii regionale de eliminare a </w:t>
      </w:r>
      <w:proofErr w:type="spellStart"/>
      <w:r w:rsidR="006364B2" w:rsidRPr="00125FAF">
        <w:rPr>
          <w:rFonts w:ascii="Times New Roman" w:eastAsia="Times New Roman" w:hAnsi="Times New Roman" w:cs="Times New Roman"/>
          <w:color w:val="000000"/>
          <w:sz w:val="24"/>
          <w:szCs w:val="24"/>
          <w:shd w:val="clear" w:color="auto" w:fill="FFFFFF"/>
          <w:lang w:eastAsia="ru-RU"/>
        </w:rPr>
        <w:t>deşeurilor</w:t>
      </w:r>
      <w:proofErr w:type="spellEnd"/>
      <w:r w:rsidR="006364B2" w:rsidRPr="00125FAF">
        <w:rPr>
          <w:rFonts w:ascii="Times New Roman" w:eastAsia="Times New Roman" w:hAnsi="Times New Roman" w:cs="Times New Roman"/>
          <w:color w:val="000000"/>
          <w:sz w:val="24"/>
          <w:szCs w:val="24"/>
          <w:shd w:val="clear" w:color="auto" w:fill="FFFFFF"/>
          <w:lang w:eastAsia="ru-RU"/>
        </w:rPr>
        <w:t xml:space="preserve"> prin </w:t>
      </w:r>
      <w:proofErr w:type="spellStart"/>
      <w:r w:rsidR="006364B2" w:rsidRPr="00125FAF">
        <w:rPr>
          <w:rFonts w:ascii="Times New Roman" w:eastAsia="Times New Roman" w:hAnsi="Times New Roman" w:cs="Times New Roman"/>
          <w:color w:val="000000"/>
          <w:sz w:val="24"/>
          <w:szCs w:val="24"/>
          <w:shd w:val="clear" w:color="auto" w:fill="FFFFFF"/>
          <w:lang w:eastAsia="ru-RU"/>
        </w:rPr>
        <w:t>construcţia</w:t>
      </w:r>
      <w:proofErr w:type="spellEnd"/>
      <w:r w:rsidR="006364B2" w:rsidRPr="00125FAF">
        <w:rPr>
          <w:rFonts w:ascii="Times New Roman" w:eastAsia="Times New Roman" w:hAnsi="Times New Roman" w:cs="Times New Roman"/>
          <w:color w:val="000000"/>
          <w:sz w:val="24"/>
          <w:szCs w:val="24"/>
          <w:shd w:val="clear" w:color="auto" w:fill="FFFFFF"/>
          <w:lang w:eastAsia="ru-RU"/>
        </w:rPr>
        <w:t xml:space="preserve"> a </w:t>
      </w:r>
      <w:proofErr w:type="spellStart"/>
      <w:r w:rsidR="006364B2" w:rsidRPr="00125FAF">
        <w:rPr>
          <w:rFonts w:ascii="Times New Roman" w:eastAsia="Times New Roman" w:hAnsi="Times New Roman" w:cs="Times New Roman"/>
          <w:color w:val="000000"/>
          <w:sz w:val="24"/>
          <w:szCs w:val="24"/>
          <w:shd w:val="clear" w:color="auto" w:fill="FFFFFF"/>
          <w:lang w:eastAsia="ru-RU"/>
        </w:rPr>
        <w:t>şapte</w:t>
      </w:r>
      <w:proofErr w:type="spellEnd"/>
      <w:r w:rsidR="006364B2" w:rsidRPr="00125FAF">
        <w:rPr>
          <w:rFonts w:ascii="Times New Roman" w:eastAsia="Times New Roman" w:hAnsi="Times New Roman" w:cs="Times New Roman"/>
          <w:color w:val="000000"/>
          <w:sz w:val="24"/>
          <w:szCs w:val="24"/>
          <w:shd w:val="clear" w:color="auto" w:fill="FFFFFF"/>
          <w:lang w:eastAsia="ru-RU"/>
        </w:rPr>
        <w:t xml:space="preserve"> depozite de </w:t>
      </w:r>
      <w:proofErr w:type="spellStart"/>
      <w:r w:rsidR="006364B2" w:rsidRPr="00125FAF">
        <w:rPr>
          <w:rFonts w:ascii="Times New Roman" w:eastAsia="Times New Roman" w:hAnsi="Times New Roman" w:cs="Times New Roman"/>
          <w:color w:val="000000"/>
          <w:sz w:val="24"/>
          <w:szCs w:val="24"/>
          <w:shd w:val="clear" w:color="auto" w:fill="FFFFFF"/>
          <w:lang w:eastAsia="ru-RU"/>
        </w:rPr>
        <w:t>deşeuri</w:t>
      </w:r>
      <w:proofErr w:type="spellEnd"/>
      <w:r w:rsidR="006364B2" w:rsidRPr="00125FAF">
        <w:rPr>
          <w:rFonts w:ascii="Times New Roman" w:eastAsia="Times New Roman" w:hAnsi="Times New Roman" w:cs="Times New Roman"/>
          <w:color w:val="000000"/>
          <w:sz w:val="24"/>
          <w:szCs w:val="24"/>
          <w:shd w:val="clear" w:color="auto" w:fill="FFFFFF"/>
          <w:lang w:eastAsia="ru-RU"/>
        </w:rPr>
        <w:t xml:space="preserve"> menajere solide, 34 de </w:t>
      </w:r>
      <w:proofErr w:type="spellStart"/>
      <w:r w:rsidR="006364B2" w:rsidRPr="00125FAF">
        <w:rPr>
          <w:rFonts w:ascii="Times New Roman" w:eastAsia="Times New Roman" w:hAnsi="Times New Roman" w:cs="Times New Roman"/>
          <w:color w:val="000000"/>
          <w:sz w:val="24"/>
          <w:szCs w:val="24"/>
          <w:shd w:val="clear" w:color="auto" w:fill="FFFFFF"/>
          <w:lang w:eastAsia="ru-RU"/>
        </w:rPr>
        <w:t>staţii</w:t>
      </w:r>
      <w:proofErr w:type="spellEnd"/>
      <w:r w:rsidR="006364B2" w:rsidRPr="00125FAF">
        <w:rPr>
          <w:rFonts w:ascii="Times New Roman" w:eastAsia="Times New Roman" w:hAnsi="Times New Roman" w:cs="Times New Roman"/>
          <w:color w:val="000000"/>
          <w:sz w:val="24"/>
          <w:szCs w:val="24"/>
          <w:shd w:val="clear" w:color="auto" w:fill="FFFFFF"/>
          <w:lang w:eastAsia="ru-RU"/>
        </w:rPr>
        <w:t xml:space="preserve"> de transfer </w:t>
      </w:r>
      <w:proofErr w:type="spellStart"/>
      <w:r w:rsidR="006364B2" w:rsidRPr="00125FAF">
        <w:rPr>
          <w:rFonts w:ascii="Times New Roman" w:eastAsia="Times New Roman" w:hAnsi="Times New Roman" w:cs="Times New Roman"/>
          <w:color w:val="000000"/>
          <w:sz w:val="24"/>
          <w:szCs w:val="24"/>
          <w:shd w:val="clear" w:color="auto" w:fill="FFFFFF"/>
          <w:lang w:eastAsia="ru-RU"/>
        </w:rPr>
        <w:t>şi</w:t>
      </w:r>
      <w:proofErr w:type="spellEnd"/>
      <w:r w:rsidR="006364B2" w:rsidRPr="00125FAF">
        <w:rPr>
          <w:rFonts w:ascii="Times New Roman" w:eastAsia="Times New Roman" w:hAnsi="Times New Roman" w:cs="Times New Roman"/>
          <w:color w:val="000000"/>
          <w:sz w:val="24"/>
          <w:szCs w:val="24"/>
          <w:shd w:val="clear" w:color="auto" w:fill="FFFFFF"/>
          <w:lang w:eastAsia="ru-RU"/>
        </w:rPr>
        <w:t xml:space="preserve"> două uzine de tratare </w:t>
      </w:r>
      <w:proofErr w:type="spellStart"/>
      <w:r w:rsidR="006364B2" w:rsidRPr="00125FAF">
        <w:rPr>
          <w:rFonts w:ascii="Times New Roman" w:eastAsia="Times New Roman" w:hAnsi="Times New Roman" w:cs="Times New Roman"/>
          <w:color w:val="000000"/>
          <w:sz w:val="24"/>
          <w:szCs w:val="24"/>
          <w:shd w:val="clear" w:color="auto" w:fill="FFFFFF"/>
          <w:lang w:eastAsia="ru-RU"/>
        </w:rPr>
        <w:t>mecanico</w:t>
      </w:r>
      <w:proofErr w:type="spellEnd"/>
      <w:r w:rsidR="006364B2" w:rsidRPr="00125FAF">
        <w:rPr>
          <w:rFonts w:ascii="Times New Roman" w:eastAsia="Times New Roman" w:hAnsi="Times New Roman" w:cs="Times New Roman"/>
          <w:color w:val="000000"/>
          <w:sz w:val="24"/>
          <w:szCs w:val="24"/>
          <w:shd w:val="clear" w:color="auto" w:fill="FFFFFF"/>
          <w:lang w:eastAsia="ru-RU"/>
        </w:rPr>
        <w:t xml:space="preserve">-biologică în municipiile </w:t>
      </w:r>
      <w:proofErr w:type="spellStart"/>
      <w:r w:rsidR="006364B2" w:rsidRPr="00125FAF">
        <w:rPr>
          <w:rFonts w:ascii="Times New Roman" w:eastAsia="Times New Roman" w:hAnsi="Times New Roman" w:cs="Times New Roman"/>
          <w:color w:val="000000"/>
          <w:sz w:val="24"/>
          <w:szCs w:val="24"/>
          <w:shd w:val="clear" w:color="auto" w:fill="FFFFFF"/>
          <w:lang w:eastAsia="ru-RU"/>
        </w:rPr>
        <w:t>Chişinău</w:t>
      </w:r>
      <w:proofErr w:type="spellEnd"/>
      <w:r w:rsidR="006364B2" w:rsidRPr="00125FAF">
        <w:rPr>
          <w:rFonts w:ascii="Times New Roman" w:eastAsia="Times New Roman" w:hAnsi="Times New Roman" w:cs="Times New Roman"/>
          <w:color w:val="000000"/>
          <w:sz w:val="24"/>
          <w:szCs w:val="24"/>
          <w:shd w:val="clear" w:color="auto" w:fill="FFFFFF"/>
          <w:lang w:eastAsia="ru-RU"/>
        </w:rPr>
        <w:t xml:space="preserve"> </w:t>
      </w:r>
      <w:proofErr w:type="spellStart"/>
      <w:r w:rsidR="006364B2" w:rsidRPr="00125FAF">
        <w:rPr>
          <w:rFonts w:ascii="Times New Roman" w:eastAsia="Times New Roman" w:hAnsi="Times New Roman" w:cs="Times New Roman"/>
          <w:color w:val="000000"/>
          <w:sz w:val="24"/>
          <w:szCs w:val="24"/>
          <w:shd w:val="clear" w:color="auto" w:fill="FFFFFF"/>
          <w:lang w:eastAsia="ru-RU"/>
        </w:rPr>
        <w:t>şi</w:t>
      </w:r>
      <w:proofErr w:type="spellEnd"/>
      <w:r w:rsidR="006364B2" w:rsidRPr="00125FAF">
        <w:rPr>
          <w:rFonts w:ascii="Times New Roman" w:eastAsia="Times New Roman" w:hAnsi="Times New Roman" w:cs="Times New Roman"/>
          <w:color w:val="000000"/>
          <w:sz w:val="24"/>
          <w:szCs w:val="24"/>
          <w:shd w:val="clear" w:color="auto" w:fill="FFFFFF"/>
          <w:lang w:eastAsia="ru-RU"/>
        </w:rPr>
        <w:t xml:space="preserve"> </w:t>
      </w:r>
      <w:proofErr w:type="spellStart"/>
      <w:r w:rsidR="006364B2" w:rsidRPr="00125FAF">
        <w:rPr>
          <w:rFonts w:ascii="Times New Roman" w:eastAsia="Times New Roman" w:hAnsi="Times New Roman" w:cs="Times New Roman"/>
          <w:color w:val="000000"/>
          <w:sz w:val="24"/>
          <w:szCs w:val="24"/>
          <w:shd w:val="clear" w:color="auto" w:fill="FFFFFF"/>
          <w:lang w:eastAsia="ru-RU"/>
        </w:rPr>
        <w:t>Bălţi</w:t>
      </w:r>
      <w:proofErr w:type="spellEnd"/>
      <w:r w:rsidR="006364B2" w:rsidRPr="00125FAF">
        <w:rPr>
          <w:rFonts w:ascii="Times New Roman" w:eastAsia="Times New Roman" w:hAnsi="Times New Roman" w:cs="Times New Roman"/>
          <w:color w:val="000000"/>
          <w:sz w:val="24"/>
          <w:szCs w:val="24"/>
          <w:shd w:val="clear" w:color="auto" w:fill="FFFFFF"/>
          <w:lang w:eastAsia="ru-RU"/>
        </w:rPr>
        <w:t>;</w:t>
      </w:r>
    </w:p>
    <w:p w14:paraId="2F92D1F7" w14:textId="2C48A078" w:rsidR="006364B2" w:rsidRPr="00125FAF" w:rsidRDefault="00B12233" w:rsidP="001F2F2D">
      <w:pPr>
        <w:spacing w:after="120" w:line="240" w:lineRule="auto"/>
        <w:ind w:firstLine="720"/>
        <w:jc w:val="both"/>
        <w:rPr>
          <w:rFonts w:ascii="Times New Roman" w:eastAsia="Times New Roman" w:hAnsi="Times New Roman" w:cs="Times New Roman"/>
          <w:sz w:val="24"/>
          <w:szCs w:val="24"/>
          <w:lang w:eastAsia="ru-RU"/>
        </w:rPr>
      </w:pPr>
      <w:r w:rsidRPr="00125FAF">
        <w:rPr>
          <w:rFonts w:ascii="Times New Roman" w:eastAsia="Times New Roman" w:hAnsi="Times New Roman" w:cs="Times New Roman"/>
          <w:color w:val="000000"/>
          <w:sz w:val="24"/>
          <w:szCs w:val="24"/>
          <w:shd w:val="clear" w:color="auto" w:fill="FFFFFF"/>
          <w:lang w:eastAsia="ru-RU"/>
        </w:rPr>
        <w:t>i</w:t>
      </w:r>
      <w:r w:rsidR="006364B2" w:rsidRPr="00125FAF">
        <w:rPr>
          <w:rFonts w:ascii="Times New Roman" w:eastAsia="Times New Roman" w:hAnsi="Times New Roman" w:cs="Times New Roman"/>
          <w:color w:val="000000"/>
          <w:sz w:val="24"/>
          <w:szCs w:val="24"/>
          <w:shd w:val="clear" w:color="auto" w:fill="FFFFFF"/>
          <w:lang w:eastAsia="ru-RU"/>
        </w:rPr>
        <w:t xml:space="preserve">) dotarea schemei tehnologice de epurare a apelor uzate aferente </w:t>
      </w:r>
      <w:proofErr w:type="spellStart"/>
      <w:r w:rsidR="006364B2" w:rsidRPr="00125FAF">
        <w:rPr>
          <w:rFonts w:ascii="Times New Roman" w:eastAsia="Times New Roman" w:hAnsi="Times New Roman" w:cs="Times New Roman"/>
          <w:color w:val="000000"/>
          <w:sz w:val="24"/>
          <w:szCs w:val="24"/>
          <w:shd w:val="clear" w:color="auto" w:fill="FFFFFF"/>
          <w:lang w:eastAsia="ru-RU"/>
        </w:rPr>
        <w:t>staţiilor</w:t>
      </w:r>
      <w:proofErr w:type="spellEnd"/>
      <w:r w:rsidR="006364B2" w:rsidRPr="00125FAF">
        <w:rPr>
          <w:rFonts w:ascii="Times New Roman" w:eastAsia="Times New Roman" w:hAnsi="Times New Roman" w:cs="Times New Roman"/>
          <w:color w:val="000000"/>
          <w:sz w:val="24"/>
          <w:szCs w:val="24"/>
          <w:shd w:val="clear" w:color="auto" w:fill="FFFFFF"/>
          <w:lang w:eastAsia="ru-RU"/>
        </w:rPr>
        <w:t xml:space="preserve"> apă-canal din municipiile </w:t>
      </w:r>
      <w:proofErr w:type="spellStart"/>
      <w:r w:rsidR="006364B2" w:rsidRPr="00125FAF">
        <w:rPr>
          <w:rFonts w:ascii="Times New Roman" w:eastAsia="Times New Roman" w:hAnsi="Times New Roman" w:cs="Times New Roman"/>
          <w:color w:val="000000"/>
          <w:sz w:val="24"/>
          <w:szCs w:val="24"/>
          <w:shd w:val="clear" w:color="auto" w:fill="FFFFFF"/>
          <w:lang w:eastAsia="ru-RU"/>
        </w:rPr>
        <w:t>Chişinău</w:t>
      </w:r>
      <w:proofErr w:type="spellEnd"/>
      <w:r w:rsidR="006364B2" w:rsidRPr="00125FAF">
        <w:rPr>
          <w:rFonts w:ascii="Times New Roman" w:eastAsia="Times New Roman" w:hAnsi="Times New Roman" w:cs="Times New Roman"/>
          <w:color w:val="000000"/>
          <w:sz w:val="24"/>
          <w:szCs w:val="24"/>
          <w:shd w:val="clear" w:color="auto" w:fill="FFFFFF"/>
          <w:lang w:eastAsia="ru-RU"/>
        </w:rPr>
        <w:t xml:space="preserve">, </w:t>
      </w:r>
      <w:proofErr w:type="spellStart"/>
      <w:r w:rsidR="006364B2" w:rsidRPr="00125FAF">
        <w:rPr>
          <w:rFonts w:ascii="Times New Roman" w:eastAsia="Times New Roman" w:hAnsi="Times New Roman" w:cs="Times New Roman"/>
          <w:color w:val="000000"/>
          <w:sz w:val="24"/>
          <w:szCs w:val="24"/>
          <w:shd w:val="clear" w:color="auto" w:fill="FFFFFF"/>
          <w:lang w:eastAsia="ru-RU"/>
        </w:rPr>
        <w:t>Bălţi</w:t>
      </w:r>
      <w:proofErr w:type="spellEnd"/>
      <w:r w:rsidR="006364B2" w:rsidRPr="00125FAF">
        <w:rPr>
          <w:rFonts w:ascii="Times New Roman" w:eastAsia="Times New Roman" w:hAnsi="Times New Roman" w:cs="Times New Roman"/>
          <w:color w:val="000000"/>
          <w:sz w:val="24"/>
          <w:szCs w:val="24"/>
          <w:shd w:val="clear" w:color="auto" w:fill="FFFFFF"/>
          <w:lang w:eastAsia="ru-RU"/>
        </w:rPr>
        <w:t xml:space="preserve"> </w:t>
      </w:r>
      <w:proofErr w:type="spellStart"/>
      <w:r w:rsidR="006364B2" w:rsidRPr="00125FAF">
        <w:rPr>
          <w:rFonts w:ascii="Times New Roman" w:eastAsia="Times New Roman" w:hAnsi="Times New Roman" w:cs="Times New Roman"/>
          <w:color w:val="000000"/>
          <w:sz w:val="24"/>
          <w:szCs w:val="24"/>
          <w:shd w:val="clear" w:color="auto" w:fill="FFFFFF"/>
          <w:lang w:eastAsia="ru-RU"/>
        </w:rPr>
        <w:t>şi</w:t>
      </w:r>
      <w:proofErr w:type="spellEnd"/>
      <w:r w:rsidR="006364B2" w:rsidRPr="00125FAF">
        <w:rPr>
          <w:rFonts w:ascii="Times New Roman" w:eastAsia="Times New Roman" w:hAnsi="Times New Roman" w:cs="Times New Roman"/>
          <w:color w:val="000000"/>
          <w:sz w:val="24"/>
          <w:szCs w:val="24"/>
          <w:shd w:val="clear" w:color="auto" w:fill="FFFFFF"/>
          <w:lang w:eastAsia="ru-RU"/>
        </w:rPr>
        <w:t xml:space="preserve"> </w:t>
      </w:r>
      <w:proofErr w:type="spellStart"/>
      <w:r w:rsidR="006364B2" w:rsidRPr="00125FAF">
        <w:rPr>
          <w:rFonts w:ascii="Times New Roman" w:eastAsia="Times New Roman" w:hAnsi="Times New Roman" w:cs="Times New Roman"/>
          <w:color w:val="000000"/>
          <w:sz w:val="24"/>
          <w:szCs w:val="24"/>
          <w:shd w:val="clear" w:color="auto" w:fill="FFFFFF"/>
          <w:lang w:eastAsia="ru-RU"/>
        </w:rPr>
        <w:t>oraşul</w:t>
      </w:r>
      <w:proofErr w:type="spellEnd"/>
      <w:r w:rsidR="006364B2" w:rsidRPr="00125FAF">
        <w:rPr>
          <w:rFonts w:ascii="Times New Roman" w:eastAsia="Times New Roman" w:hAnsi="Times New Roman" w:cs="Times New Roman"/>
          <w:color w:val="000000"/>
          <w:sz w:val="24"/>
          <w:szCs w:val="24"/>
          <w:shd w:val="clear" w:color="auto" w:fill="FFFFFF"/>
          <w:lang w:eastAsia="ru-RU"/>
        </w:rPr>
        <w:t xml:space="preserve"> Cahul cu tehnologii de tratare a nămolului în </w:t>
      </w:r>
      <w:proofErr w:type="spellStart"/>
      <w:r w:rsidR="006364B2" w:rsidRPr="00125FAF">
        <w:rPr>
          <w:rFonts w:ascii="Times New Roman" w:eastAsia="Times New Roman" w:hAnsi="Times New Roman" w:cs="Times New Roman"/>
          <w:color w:val="000000"/>
          <w:sz w:val="24"/>
          <w:szCs w:val="24"/>
          <w:shd w:val="clear" w:color="auto" w:fill="FFFFFF"/>
          <w:lang w:eastAsia="ru-RU"/>
        </w:rPr>
        <w:t>condiţii</w:t>
      </w:r>
      <w:proofErr w:type="spellEnd"/>
      <w:r w:rsidR="006364B2" w:rsidRPr="00125FAF">
        <w:rPr>
          <w:rFonts w:ascii="Times New Roman" w:eastAsia="Times New Roman" w:hAnsi="Times New Roman" w:cs="Times New Roman"/>
          <w:color w:val="000000"/>
          <w:sz w:val="24"/>
          <w:szCs w:val="24"/>
          <w:shd w:val="clear" w:color="auto" w:fill="FFFFFF"/>
          <w:lang w:eastAsia="ru-RU"/>
        </w:rPr>
        <w:t xml:space="preserve"> anaerobe.</w:t>
      </w:r>
    </w:p>
    <w:p w14:paraId="6D9CC2BA" w14:textId="0ACD037B" w:rsidR="006364B2" w:rsidRPr="00125FAF" w:rsidRDefault="006364B2" w:rsidP="00D632D2">
      <w:pPr>
        <w:spacing w:after="120"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125FAF">
        <w:rPr>
          <w:rFonts w:ascii="Times New Roman" w:eastAsia="Times New Roman" w:hAnsi="Times New Roman" w:cs="Times New Roman"/>
          <w:b/>
          <w:color w:val="000000"/>
          <w:sz w:val="24"/>
          <w:szCs w:val="24"/>
          <w:shd w:val="clear" w:color="auto" w:fill="FFFFFF"/>
          <w:lang w:eastAsia="ru-RU"/>
        </w:rPr>
        <w:t>Indicatori</w:t>
      </w:r>
      <w:r w:rsidR="00C074BC" w:rsidRPr="00125FAF">
        <w:rPr>
          <w:rFonts w:ascii="Times New Roman" w:eastAsia="Times New Roman" w:hAnsi="Times New Roman" w:cs="Times New Roman"/>
          <w:b/>
          <w:color w:val="000000"/>
          <w:sz w:val="24"/>
          <w:szCs w:val="24"/>
          <w:shd w:val="clear" w:color="auto" w:fill="FFFFFF"/>
          <w:lang w:eastAsia="ru-RU"/>
        </w:rPr>
        <w:t>i</w:t>
      </w:r>
      <w:r w:rsidRPr="00125FAF">
        <w:rPr>
          <w:rFonts w:ascii="Times New Roman" w:eastAsia="Times New Roman" w:hAnsi="Times New Roman" w:cs="Times New Roman"/>
          <w:b/>
          <w:color w:val="000000"/>
          <w:sz w:val="24"/>
          <w:szCs w:val="24"/>
          <w:shd w:val="clear" w:color="auto" w:fill="FFFFFF"/>
          <w:lang w:eastAsia="ru-RU"/>
        </w:rPr>
        <w:t xml:space="preserve"> de progres</w:t>
      </w:r>
      <w:r w:rsidR="00B614FB" w:rsidRPr="00125FAF">
        <w:rPr>
          <w:rFonts w:ascii="Times New Roman" w:eastAsia="Times New Roman" w:hAnsi="Times New Roman" w:cs="Times New Roman"/>
          <w:b/>
          <w:color w:val="000000"/>
          <w:sz w:val="24"/>
          <w:szCs w:val="24"/>
          <w:shd w:val="clear" w:color="auto" w:fill="FFFFFF"/>
          <w:lang w:eastAsia="ru-RU"/>
        </w:rPr>
        <w:t xml:space="preserve"> </w:t>
      </w:r>
      <w:r w:rsidR="00B614FB" w:rsidRPr="00125FAF">
        <w:rPr>
          <w:rFonts w:ascii="Times New Roman" w:eastAsia="Times New Roman" w:hAnsi="Times New Roman" w:cs="Times New Roman"/>
          <w:color w:val="000000"/>
          <w:sz w:val="24"/>
          <w:szCs w:val="24"/>
          <w:shd w:val="clear" w:color="auto" w:fill="FFFFFF"/>
          <w:lang w:eastAsia="ru-RU"/>
        </w:rPr>
        <w:t xml:space="preserve">corespund cu </w:t>
      </w:r>
      <w:proofErr w:type="spellStart"/>
      <w:r w:rsidR="00B614FB" w:rsidRPr="00125FAF">
        <w:rPr>
          <w:rFonts w:ascii="Times New Roman" w:eastAsia="Times New Roman" w:hAnsi="Times New Roman" w:cs="Times New Roman"/>
          <w:color w:val="000000"/>
          <w:sz w:val="24"/>
          <w:szCs w:val="24"/>
          <w:shd w:val="clear" w:color="auto" w:fill="FFFFFF"/>
          <w:lang w:eastAsia="ru-RU"/>
        </w:rPr>
        <w:t>ţintele</w:t>
      </w:r>
      <w:proofErr w:type="spellEnd"/>
      <w:r w:rsidR="00B614FB" w:rsidRPr="00125FAF">
        <w:rPr>
          <w:rFonts w:ascii="Times New Roman" w:eastAsia="Times New Roman" w:hAnsi="Times New Roman" w:cs="Times New Roman"/>
          <w:color w:val="000000"/>
          <w:sz w:val="24"/>
          <w:szCs w:val="24"/>
          <w:shd w:val="clear" w:color="auto" w:fill="FFFFFF"/>
          <w:lang w:eastAsia="ru-RU"/>
        </w:rPr>
        <w:t xml:space="preserve"> de reducere a emisiilor de GES către anul 2025 </w:t>
      </w:r>
      <w:proofErr w:type="spellStart"/>
      <w:r w:rsidR="00B614FB" w:rsidRPr="00125FAF">
        <w:rPr>
          <w:rFonts w:ascii="Times New Roman" w:eastAsia="Times New Roman" w:hAnsi="Times New Roman" w:cs="Times New Roman"/>
          <w:color w:val="000000"/>
          <w:sz w:val="24"/>
          <w:szCs w:val="24"/>
          <w:shd w:val="clear" w:color="auto" w:fill="FFFFFF"/>
          <w:lang w:eastAsia="ru-RU"/>
        </w:rPr>
        <w:t>şi</w:t>
      </w:r>
      <w:proofErr w:type="spellEnd"/>
      <w:r w:rsidR="00B614FB" w:rsidRPr="00125FAF">
        <w:rPr>
          <w:rFonts w:ascii="Times New Roman" w:eastAsia="Times New Roman" w:hAnsi="Times New Roman" w:cs="Times New Roman"/>
          <w:color w:val="000000"/>
          <w:sz w:val="24"/>
          <w:szCs w:val="24"/>
          <w:shd w:val="clear" w:color="auto" w:fill="FFFFFF"/>
          <w:lang w:eastAsia="ru-RU"/>
        </w:rPr>
        <w:t xml:space="preserve"> 2030 </w:t>
      </w:r>
      <w:proofErr w:type="spellStart"/>
      <w:r w:rsidR="00B614FB" w:rsidRPr="00125FAF">
        <w:rPr>
          <w:rFonts w:ascii="Times New Roman" w:eastAsia="Times New Roman" w:hAnsi="Times New Roman" w:cs="Times New Roman"/>
          <w:color w:val="000000"/>
          <w:sz w:val="24"/>
          <w:szCs w:val="24"/>
          <w:shd w:val="clear" w:color="auto" w:fill="FFFFFF"/>
          <w:lang w:eastAsia="ru-RU"/>
        </w:rPr>
        <w:t>faţă</w:t>
      </w:r>
      <w:proofErr w:type="spellEnd"/>
      <w:r w:rsidR="00B614FB" w:rsidRPr="00125FAF">
        <w:rPr>
          <w:rFonts w:ascii="Times New Roman" w:eastAsia="Times New Roman" w:hAnsi="Times New Roman" w:cs="Times New Roman"/>
          <w:color w:val="000000"/>
          <w:sz w:val="24"/>
          <w:szCs w:val="24"/>
          <w:shd w:val="clear" w:color="auto" w:fill="FFFFFF"/>
          <w:lang w:eastAsia="ru-RU"/>
        </w:rPr>
        <w:t xml:space="preserve"> de anul 1990 expuse în Tabelul </w:t>
      </w:r>
      <w:r w:rsidR="00CE464D">
        <w:rPr>
          <w:rFonts w:ascii="Times New Roman" w:eastAsia="Times New Roman" w:hAnsi="Times New Roman" w:cs="Times New Roman"/>
          <w:color w:val="000000"/>
          <w:sz w:val="24"/>
          <w:szCs w:val="24"/>
          <w:shd w:val="clear" w:color="auto" w:fill="FFFFFF"/>
          <w:lang w:eastAsia="ru-RU"/>
        </w:rPr>
        <w:t>4</w:t>
      </w:r>
      <w:r w:rsidR="00B614FB" w:rsidRPr="00125FAF">
        <w:rPr>
          <w:rFonts w:ascii="Times New Roman" w:eastAsia="Times New Roman" w:hAnsi="Times New Roman" w:cs="Times New Roman"/>
          <w:color w:val="000000"/>
          <w:sz w:val="24"/>
          <w:szCs w:val="24"/>
          <w:shd w:val="clear" w:color="auto" w:fill="FFFFFF"/>
          <w:lang w:eastAsia="ru-RU"/>
        </w:rPr>
        <w:t xml:space="preserve">.2 pentru sectorul </w:t>
      </w:r>
      <w:proofErr w:type="spellStart"/>
      <w:r w:rsidR="00B614FB" w:rsidRPr="00125FAF">
        <w:rPr>
          <w:rFonts w:ascii="Times New Roman" w:eastAsia="Times New Roman" w:hAnsi="Times New Roman" w:cs="Times New Roman"/>
          <w:color w:val="000000"/>
          <w:sz w:val="24"/>
          <w:szCs w:val="24"/>
          <w:shd w:val="clear" w:color="auto" w:fill="FFFFFF"/>
          <w:lang w:eastAsia="ru-RU"/>
        </w:rPr>
        <w:t>deşeuri</w:t>
      </w:r>
      <w:proofErr w:type="spellEnd"/>
      <w:r w:rsidR="00B614FB" w:rsidRPr="00125FAF">
        <w:rPr>
          <w:rFonts w:ascii="Times New Roman" w:eastAsia="Times New Roman" w:hAnsi="Times New Roman" w:cs="Times New Roman"/>
          <w:color w:val="000000"/>
          <w:sz w:val="24"/>
          <w:szCs w:val="24"/>
          <w:shd w:val="clear" w:color="auto" w:fill="FFFFFF"/>
          <w:lang w:eastAsia="ru-RU"/>
        </w:rPr>
        <w:t>.</w:t>
      </w:r>
    </w:p>
    <w:p w14:paraId="5CE26AE7" w14:textId="5F77484B" w:rsidR="00C100F3" w:rsidRPr="00125FAF" w:rsidRDefault="00651D46" w:rsidP="00651D46">
      <w:pPr>
        <w:spacing w:after="0" w:line="240" w:lineRule="auto"/>
        <w:ind w:firstLine="708"/>
        <w:jc w:val="both"/>
        <w:rPr>
          <w:rFonts w:ascii="Times New Roman" w:eastAsia="Times New Roman" w:hAnsi="Times New Roman" w:cs="Times New Roman"/>
          <w:color w:val="000000"/>
          <w:sz w:val="24"/>
          <w:szCs w:val="24"/>
          <w:shd w:val="clear" w:color="auto" w:fill="FFFFFF"/>
          <w:lang w:eastAsia="ru-RU"/>
        </w:rPr>
      </w:pPr>
      <w:r w:rsidRPr="00125FAF">
        <w:rPr>
          <w:rFonts w:ascii="Times New Roman" w:eastAsia="Times New Roman" w:hAnsi="Times New Roman" w:cs="Times New Roman"/>
          <w:color w:val="000000"/>
          <w:sz w:val="24"/>
          <w:szCs w:val="24"/>
          <w:shd w:val="clear" w:color="auto" w:fill="FFFFFF"/>
          <w:lang w:eastAsia="ru-RU"/>
        </w:rPr>
        <w:t>În contextul standardelor internaționale, având în vedere că egalitatea de gen poate contribui la strategii de dezvoltare cu emisii reduse (LEDS) și</w:t>
      </w:r>
      <w:r w:rsidR="00C100F3" w:rsidRPr="00125FAF">
        <w:rPr>
          <w:rFonts w:ascii="Times New Roman" w:eastAsia="Times New Roman" w:hAnsi="Times New Roman" w:cs="Times New Roman"/>
          <w:color w:val="000000"/>
          <w:sz w:val="24"/>
          <w:szCs w:val="24"/>
          <w:shd w:val="clear" w:color="auto" w:fill="FFFFFF"/>
          <w:lang w:eastAsia="ru-RU"/>
        </w:rPr>
        <w:t>, respectiv,</w:t>
      </w:r>
      <w:r w:rsidRPr="00125FAF">
        <w:rPr>
          <w:rFonts w:ascii="Times New Roman" w:eastAsia="Times New Roman" w:hAnsi="Times New Roman" w:cs="Times New Roman"/>
          <w:color w:val="000000"/>
          <w:sz w:val="24"/>
          <w:szCs w:val="24"/>
          <w:shd w:val="clear" w:color="auto" w:fill="FFFFFF"/>
          <w:lang w:eastAsia="ru-RU"/>
        </w:rPr>
        <w:t xml:space="preserve"> la creșterea eficienț</w:t>
      </w:r>
      <w:r w:rsidR="00C100F3" w:rsidRPr="00125FAF">
        <w:rPr>
          <w:rFonts w:ascii="Times New Roman" w:eastAsia="Times New Roman" w:hAnsi="Times New Roman" w:cs="Times New Roman"/>
          <w:color w:val="000000"/>
          <w:sz w:val="24"/>
          <w:szCs w:val="24"/>
          <w:shd w:val="clear" w:color="auto" w:fill="FFFFFF"/>
          <w:lang w:eastAsia="ru-RU"/>
        </w:rPr>
        <w:t>ei</w:t>
      </w:r>
      <w:r w:rsidRPr="00125FAF">
        <w:rPr>
          <w:rFonts w:ascii="Times New Roman" w:eastAsia="Times New Roman" w:hAnsi="Times New Roman" w:cs="Times New Roman"/>
          <w:color w:val="000000"/>
          <w:sz w:val="24"/>
          <w:szCs w:val="24"/>
          <w:shd w:val="clear" w:color="auto" w:fill="FFFFFF"/>
          <w:lang w:eastAsia="ru-RU"/>
        </w:rPr>
        <w:t xml:space="preserve"> inițiativelor privind schimbările climatice</w:t>
      </w:r>
      <w:r w:rsidR="00C100F3" w:rsidRPr="00125FAF">
        <w:rPr>
          <w:rStyle w:val="Referinnotdesubsol"/>
          <w:rFonts w:ascii="Times New Roman" w:eastAsia="Times New Roman" w:hAnsi="Times New Roman" w:cs="Times New Roman"/>
          <w:color w:val="000000"/>
          <w:sz w:val="24"/>
          <w:szCs w:val="24"/>
          <w:shd w:val="clear" w:color="auto" w:fill="FFFFFF"/>
          <w:lang w:eastAsia="ru-RU"/>
        </w:rPr>
        <w:footnoteReference w:id="9"/>
      </w:r>
      <w:r w:rsidR="00C100F3" w:rsidRPr="00125FAF">
        <w:rPr>
          <w:rFonts w:ascii="Times New Roman" w:eastAsia="Times New Roman" w:hAnsi="Times New Roman" w:cs="Times New Roman"/>
          <w:color w:val="000000"/>
          <w:sz w:val="24"/>
          <w:szCs w:val="24"/>
          <w:shd w:val="clear" w:color="auto" w:fill="FFFFFF"/>
          <w:lang w:eastAsia="ru-RU"/>
        </w:rPr>
        <w:t>, se recomandă</w:t>
      </w:r>
      <w:r w:rsidRPr="00125FAF">
        <w:rPr>
          <w:rFonts w:ascii="Times New Roman" w:eastAsia="Times New Roman" w:hAnsi="Times New Roman" w:cs="Times New Roman"/>
          <w:color w:val="000000"/>
          <w:sz w:val="24"/>
          <w:szCs w:val="24"/>
          <w:shd w:val="clear" w:color="auto" w:fill="FFFFFF"/>
          <w:lang w:eastAsia="ru-RU"/>
        </w:rPr>
        <w:t xml:space="preserve">: </w:t>
      </w:r>
    </w:p>
    <w:p w14:paraId="421EAE55" w14:textId="0B6143BD" w:rsidR="00310C1D" w:rsidRPr="00125FAF" w:rsidRDefault="00651D46" w:rsidP="00310C1D">
      <w:pPr>
        <w:pStyle w:val="Listparagraf"/>
        <w:numPr>
          <w:ilvl w:val="1"/>
          <w:numId w:val="20"/>
        </w:num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125FAF">
        <w:rPr>
          <w:rFonts w:ascii="Times New Roman" w:eastAsia="Times New Roman" w:hAnsi="Times New Roman" w:cs="Times New Roman"/>
          <w:color w:val="000000"/>
          <w:sz w:val="24"/>
          <w:szCs w:val="24"/>
          <w:shd w:val="clear" w:color="auto" w:fill="FFFFFF"/>
          <w:lang w:eastAsia="ru-RU"/>
        </w:rPr>
        <w:lastRenderedPageBreak/>
        <w:t>îmbunătățirea durabilității proiectării și implementării LED</w:t>
      </w:r>
      <w:r w:rsidR="00A24E9B" w:rsidRPr="00125FAF">
        <w:rPr>
          <w:rFonts w:ascii="Times New Roman" w:eastAsia="Times New Roman" w:hAnsi="Times New Roman" w:cs="Times New Roman"/>
          <w:color w:val="000000"/>
          <w:sz w:val="24"/>
          <w:szCs w:val="24"/>
          <w:shd w:val="clear" w:color="auto" w:fill="FFFFFF"/>
          <w:lang w:eastAsia="ru-RU"/>
        </w:rPr>
        <w:t>S</w:t>
      </w:r>
      <w:r w:rsidRPr="00125FAF">
        <w:rPr>
          <w:rFonts w:ascii="Times New Roman" w:eastAsia="Times New Roman" w:hAnsi="Times New Roman" w:cs="Times New Roman"/>
          <w:color w:val="000000"/>
          <w:sz w:val="24"/>
          <w:szCs w:val="24"/>
          <w:shd w:val="clear" w:color="auto" w:fill="FFFFFF"/>
          <w:lang w:eastAsia="ru-RU"/>
        </w:rPr>
        <w:t>-urilor</w:t>
      </w:r>
      <w:r w:rsidR="00A24E9B" w:rsidRPr="00125FAF">
        <w:rPr>
          <w:rFonts w:ascii="Times New Roman" w:eastAsia="Times New Roman" w:hAnsi="Times New Roman" w:cs="Times New Roman"/>
          <w:color w:val="000000"/>
          <w:sz w:val="24"/>
          <w:szCs w:val="24"/>
          <w:shd w:val="clear" w:color="auto" w:fill="FFFFFF"/>
          <w:lang w:eastAsia="ru-RU"/>
        </w:rPr>
        <w:t xml:space="preserve">, inclusiv prin intermediul Programului de </w:t>
      </w:r>
      <w:proofErr w:type="spellStart"/>
      <w:r w:rsidR="00A24E9B" w:rsidRPr="00125FAF">
        <w:rPr>
          <w:rFonts w:ascii="Times New Roman" w:eastAsia="Times New Roman" w:hAnsi="Times New Roman" w:cs="Times New Roman"/>
          <w:color w:val="000000"/>
          <w:sz w:val="24"/>
          <w:szCs w:val="24"/>
          <w:shd w:val="clear" w:color="auto" w:fill="FFFFFF"/>
          <w:lang w:eastAsia="ru-RU"/>
        </w:rPr>
        <w:t>faţă</w:t>
      </w:r>
      <w:proofErr w:type="spellEnd"/>
      <w:r w:rsidR="00DE452D" w:rsidRPr="00125FAF">
        <w:rPr>
          <w:rFonts w:ascii="Times New Roman" w:eastAsia="Times New Roman" w:hAnsi="Times New Roman" w:cs="Times New Roman"/>
          <w:color w:val="000000"/>
          <w:sz w:val="24"/>
          <w:szCs w:val="24"/>
          <w:shd w:val="clear" w:color="auto" w:fill="FFFFFF"/>
          <w:lang w:eastAsia="ru-RU"/>
        </w:rPr>
        <w:t>,</w:t>
      </w:r>
      <w:r w:rsidRPr="00125FAF">
        <w:rPr>
          <w:rFonts w:ascii="Times New Roman" w:eastAsia="Times New Roman" w:hAnsi="Times New Roman" w:cs="Times New Roman"/>
          <w:color w:val="000000"/>
          <w:sz w:val="24"/>
          <w:szCs w:val="24"/>
          <w:shd w:val="clear" w:color="auto" w:fill="FFFFFF"/>
          <w:lang w:eastAsia="ru-RU"/>
        </w:rPr>
        <w:t xml:space="preserve"> prin asigurarea participării depline și active a femeilor și bărbaților</w:t>
      </w:r>
      <w:r w:rsidR="00B37CC5" w:rsidRPr="00125FAF">
        <w:rPr>
          <w:rFonts w:ascii="Times New Roman" w:eastAsia="Times New Roman" w:hAnsi="Times New Roman" w:cs="Times New Roman"/>
          <w:color w:val="000000"/>
          <w:sz w:val="24"/>
          <w:szCs w:val="24"/>
          <w:shd w:val="clear" w:color="auto" w:fill="FFFFFF"/>
          <w:lang w:eastAsia="ru-RU"/>
        </w:rPr>
        <w:t>, inclusiv la luarea deciziilor în domeniu</w:t>
      </w:r>
      <w:r w:rsidR="006C059B" w:rsidRPr="00125FAF">
        <w:rPr>
          <w:rFonts w:ascii="Times New Roman" w:eastAsia="Times New Roman" w:hAnsi="Times New Roman" w:cs="Times New Roman"/>
          <w:color w:val="000000"/>
          <w:sz w:val="24"/>
          <w:szCs w:val="24"/>
          <w:shd w:val="clear" w:color="auto" w:fill="FFFFFF"/>
          <w:lang w:eastAsia="ru-RU"/>
        </w:rPr>
        <w:t>;</w:t>
      </w:r>
    </w:p>
    <w:p w14:paraId="22402761" w14:textId="3A4963A5" w:rsidR="00DB0C8B" w:rsidRPr="00125FAF" w:rsidRDefault="00DB0C8B" w:rsidP="00310C1D">
      <w:pPr>
        <w:pStyle w:val="Listparagraf"/>
        <w:numPr>
          <w:ilvl w:val="1"/>
          <w:numId w:val="20"/>
        </w:num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125FAF">
        <w:rPr>
          <w:rFonts w:ascii="Times New Roman" w:eastAsia="Times New Roman" w:hAnsi="Times New Roman" w:cs="Times New Roman"/>
          <w:color w:val="000000"/>
          <w:sz w:val="24"/>
          <w:szCs w:val="24"/>
          <w:shd w:val="clear" w:color="auto" w:fill="FFFFFF"/>
          <w:lang w:eastAsia="ru-RU"/>
        </w:rPr>
        <w:t xml:space="preserve">includerea dimensiunii de gen în acțiunile ce vizează sectoarele de bază ale prezentului Program; </w:t>
      </w:r>
    </w:p>
    <w:p w14:paraId="08466B55" w14:textId="77777777" w:rsidR="00DB0C8B" w:rsidRPr="00125FAF" w:rsidRDefault="00651D46" w:rsidP="00310C1D">
      <w:pPr>
        <w:pStyle w:val="Listparagraf"/>
        <w:numPr>
          <w:ilvl w:val="1"/>
          <w:numId w:val="20"/>
        </w:num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125FAF">
        <w:rPr>
          <w:rFonts w:ascii="Times New Roman" w:eastAsia="Times New Roman" w:hAnsi="Times New Roman" w:cs="Times New Roman"/>
          <w:color w:val="000000"/>
          <w:sz w:val="24"/>
          <w:szCs w:val="24"/>
          <w:shd w:val="clear" w:color="auto" w:fill="FFFFFF"/>
          <w:lang w:eastAsia="ru-RU"/>
        </w:rPr>
        <w:t>identificarea și furnizarea de soluții pentru a scoate femeile și bărbații din sărăcie</w:t>
      </w:r>
      <w:r w:rsidR="00DB0C8B" w:rsidRPr="00125FAF">
        <w:rPr>
          <w:rFonts w:ascii="Times New Roman" w:eastAsia="Times New Roman" w:hAnsi="Times New Roman" w:cs="Times New Roman"/>
          <w:color w:val="000000"/>
          <w:sz w:val="24"/>
          <w:szCs w:val="24"/>
          <w:shd w:val="clear" w:color="auto" w:fill="FFFFFF"/>
          <w:lang w:eastAsia="ru-RU"/>
        </w:rPr>
        <w:t>;</w:t>
      </w:r>
    </w:p>
    <w:p w14:paraId="045B0FAC" w14:textId="760D4B8E" w:rsidR="006C059B" w:rsidRPr="00125FAF" w:rsidRDefault="00651D46" w:rsidP="006C059B">
      <w:pPr>
        <w:pStyle w:val="Listparagraf"/>
        <w:numPr>
          <w:ilvl w:val="1"/>
          <w:numId w:val="20"/>
        </w:num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125FAF">
        <w:rPr>
          <w:rFonts w:ascii="Times New Roman" w:eastAsia="Times New Roman" w:hAnsi="Times New Roman" w:cs="Times New Roman"/>
          <w:color w:val="000000"/>
          <w:sz w:val="24"/>
          <w:szCs w:val="24"/>
          <w:shd w:val="clear" w:color="auto" w:fill="FFFFFF"/>
          <w:lang w:eastAsia="ru-RU"/>
        </w:rPr>
        <w:t xml:space="preserve">înțelegerea modului în care modelele de consum diferențiate ale femeilor și bărbaților afectează amprenta </w:t>
      </w:r>
      <w:r w:rsidR="00C100F3" w:rsidRPr="00125FAF">
        <w:rPr>
          <w:rFonts w:ascii="Times New Roman" w:eastAsia="Times New Roman" w:hAnsi="Times New Roman" w:cs="Times New Roman"/>
          <w:color w:val="000000"/>
          <w:sz w:val="24"/>
          <w:szCs w:val="24"/>
          <w:shd w:val="clear" w:color="auto" w:fill="FFFFFF"/>
          <w:lang w:eastAsia="ru-RU"/>
        </w:rPr>
        <w:t xml:space="preserve">lor </w:t>
      </w:r>
      <w:r w:rsidRPr="00125FAF">
        <w:rPr>
          <w:rFonts w:ascii="Times New Roman" w:eastAsia="Times New Roman" w:hAnsi="Times New Roman" w:cs="Times New Roman"/>
          <w:color w:val="000000"/>
          <w:sz w:val="24"/>
          <w:szCs w:val="24"/>
          <w:shd w:val="clear" w:color="auto" w:fill="FFFFFF"/>
          <w:lang w:eastAsia="ru-RU"/>
        </w:rPr>
        <w:t>de carbon</w:t>
      </w:r>
      <w:r w:rsidR="00C100F3" w:rsidRPr="00125FAF">
        <w:rPr>
          <w:rFonts w:ascii="Times New Roman" w:eastAsia="Times New Roman" w:hAnsi="Times New Roman" w:cs="Times New Roman"/>
          <w:color w:val="000000"/>
          <w:sz w:val="24"/>
          <w:szCs w:val="24"/>
          <w:shd w:val="clear" w:color="auto" w:fill="FFFFFF"/>
          <w:lang w:eastAsia="ru-RU"/>
        </w:rPr>
        <w:t xml:space="preserve"> (cantitatea de dioxid de carbon și alți compuși de carbon emise din cauza consumului de combustibili fosili de către o anumită persoană, grup etc.)</w:t>
      </w:r>
      <w:r w:rsidR="006C059B" w:rsidRPr="00125FAF">
        <w:rPr>
          <w:rFonts w:ascii="Times New Roman" w:eastAsia="Times New Roman" w:hAnsi="Times New Roman" w:cs="Times New Roman"/>
          <w:color w:val="000000"/>
          <w:sz w:val="24"/>
          <w:szCs w:val="24"/>
          <w:shd w:val="clear" w:color="auto" w:fill="FFFFFF"/>
          <w:lang w:eastAsia="ru-RU"/>
        </w:rPr>
        <w:t xml:space="preserve">; </w:t>
      </w:r>
    </w:p>
    <w:p w14:paraId="4B55F8EB" w14:textId="2F86982C" w:rsidR="00F02E7E" w:rsidRPr="00125FAF" w:rsidRDefault="006C059B" w:rsidP="006C059B">
      <w:pPr>
        <w:pStyle w:val="Listparagraf"/>
        <w:numPr>
          <w:ilvl w:val="1"/>
          <w:numId w:val="20"/>
        </w:num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125FAF">
        <w:rPr>
          <w:rFonts w:ascii="Times New Roman" w:eastAsia="Times New Roman" w:hAnsi="Times New Roman" w:cs="Times New Roman"/>
          <w:color w:val="000000"/>
          <w:sz w:val="24"/>
          <w:szCs w:val="24"/>
          <w:shd w:val="clear" w:color="auto" w:fill="FFFFFF"/>
          <w:lang w:eastAsia="ru-RU"/>
        </w:rPr>
        <w:t xml:space="preserve">încurajarea femeilor </w:t>
      </w:r>
      <w:r w:rsidR="00FD2683" w:rsidRPr="00125FAF">
        <w:rPr>
          <w:rFonts w:ascii="Times New Roman" w:eastAsia="Times New Roman" w:hAnsi="Times New Roman" w:cs="Times New Roman"/>
          <w:color w:val="000000"/>
          <w:sz w:val="24"/>
          <w:szCs w:val="24"/>
          <w:shd w:val="clear" w:color="auto" w:fill="FFFFFF"/>
          <w:lang w:eastAsia="ru-RU"/>
        </w:rPr>
        <w:t>la egal cu bărbații în vederea valorificării</w:t>
      </w:r>
      <w:r w:rsidRPr="00125FAF">
        <w:rPr>
          <w:rFonts w:ascii="Times New Roman" w:eastAsia="Times New Roman" w:hAnsi="Times New Roman" w:cs="Times New Roman"/>
          <w:color w:val="000000"/>
          <w:sz w:val="24"/>
          <w:szCs w:val="24"/>
          <w:shd w:val="clear" w:color="auto" w:fill="FFFFFF"/>
          <w:lang w:eastAsia="ru-RU"/>
        </w:rPr>
        <w:t xml:space="preserve"> tehnologii</w:t>
      </w:r>
      <w:r w:rsidR="00FD2683" w:rsidRPr="00125FAF">
        <w:rPr>
          <w:rFonts w:ascii="Times New Roman" w:eastAsia="Times New Roman" w:hAnsi="Times New Roman" w:cs="Times New Roman"/>
          <w:color w:val="000000"/>
          <w:sz w:val="24"/>
          <w:szCs w:val="24"/>
          <w:shd w:val="clear" w:color="auto" w:fill="FFFFFF"/>
          <w:lang w:eastAsia="ru-RU"/>
        </w:rPr>
        <w:t>lor</w:t>
      </w:r>
      <w:r w:rsidRPr="00125FAF">
        <w:rPr>
          <w:rFonts w:ascii="Times New Roman" w:eastAsia="Times New Roman" w:hAnsi="Times New Roman" w:cs="Times New Roman"/>
          <w:color w:val="000000"/>
          <w:sz w:val="24"/>
          <w:szCs w:val="24"/>
          <w:shd w:val="clear" w:color="auto" w:fill="FFFFFF"/>
          <w:lang w:eastAsia="ru-RU"/>
        </w:rPr>
        <w:t xml:space="preserve"> energetice eficiente în agricultură și gospodării</w:t>
      </w:r>
      <w:r w:rsidR="00FD2683" w:rsidRPr="00125FAF">
        <w:rPr>
          <w:rStyle w:val="Referinnotdesubsol"/>
          <w:rFonts w:ascii="Times New Roman" w:eastAsia="Times New Roman" w:hAnsi="Times New Roman" w:cs="Times New Roman"/>
          <w:color w:val="000000"/>
          <w:sz w:val="24"/>
          <w:szCs w:val="24"/>
          <w:shd w:val="clear" w:color="auto" w:fill="FFFFFF"/>
          <w:lang w:eastAsia="ru-RU"/>
        </w:rPr>
        <w:footnoteReference w:id="10"/>
      </w:r>
      <w:r w:rsidRPr="00125FAF">
        <w:rPr>
          <w:rFonts w:ascii="Times New Roman" w:eastAsia="Times New Roman" w:hAnsi="Times New Roman" w:cs="Times New Roman"/>
          <w:color w:val="000000"/>
          <w:sz w:val="24"/>
          <w:szCs w:val="24"/>
          <w:shd w:val="clear" w:color="auto" w:fill="FFFFFF"/>
          <w:lang w:eastAsia="ru-RU"/>
        </w:rPr>
        <w:t xml:space="preserve">, </w:t>
      </w:r>
      <w:r w:rsidR="00FA2374" w:rsidRPr="00125FAF">
        <w:rPr>
          <w:rFonts w:ascii="Times New Roman" w:eastAsia="Times New Roman" w:hAnsi="Times New Roman" w:cs="Times New Roman"/>
          <w:color w:val="000000"/>
          <w:sz w:val="24"/>
          <w:szCs w:val="24"/>
          <w:shd w:val="clear" w:color="auto" w:fill="FFFFFF"/>
          <w:lang w:eastAsia="ru-RU"/>
        </w:rPr>
        <w:t xml:space="preserve">a energiei solare, </w:t>
      </w:r>
      <w:r w:rsidR="00FD2683" w:rsidRPr="00125FAF">
        <w:rPr>
          <w:rFonts w:ascii="Times New Roman" w:eastAsia="Times New Roman" w:hAnsi="Times New Roman" w:cs="Times New Roman"/>
          <w:color w:val="000000"/>
          <w:sz w:val="24"/>
          <w:szCs w:val="24"/>
          <w:shd w:val="clear" w:color="auto" w:fill="FFFFFF"/>
          <w:lang w:eastAsia="ru-RU"/>
        </w:rPr>
        <w:t xml:space="preserve">a practicilor de management durabil al terenurilor agricole </w:t>
      </w:r>
      <w:r w:rsidR="00B37CC5" w:rsidRPr="00125FAF">
        <w:rPr>
          <w:rFonts w:ascii="Times New Roman" w:eastAsia="Times New Roman" w:hAnsi="Times New Roman" w:cs="Times New Roman"/>
          <w:color w:val="000000"/>
          <w:sz w:val="24"/>
          <w:szCs w:val="24"/>
          <w:shd w:val="clear" w:color="auto" w:fill="FFFFFF"/>
          <w:lang w:eastAsia="ru-RU"/>
        </w:rPr>
        <w:t>etc.</w:t>
      </w:r>
      <w:r w:rsidR="00F02E7E" w:rsidRPr="00125FAF">
        <w:rPr>
          <w:rFonts w:ascii="Times New Roman" w:eastAsia="Times New Roman" w:hAnsi="Times New Roman" w:cs="Times New Roman"/>
          <w:color w:val="000000"/>
          <w:sz w:val="24"/>
          <w:szCs w:val="24"/>
          <w:shd w:val="clear" w:color="auto" w:fill="FFFFFF"/>
          <w:lang w:eastAsia="ru-RU"/>
        </w:rPr>
        <w:t>;</w:t>
      </w:r>
    </w:p>
    <w:p w14:paraId="50A88A41" w14:textId="0608A3DF" w:rsidR="006C059B" w:rsidRPr="00125FAF" w:rsidRDefault="00F02E7E" w:rsidP="006C059B">
      <w:pPr>
        <w:pStyle w:val="Listparagraf"/>
        <w:numPr>
          <w:ilvl w:val="1"/>
          <w:numId w:val="20"/>
        </w:num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125FAF">
        <w:rPr>
          <w:rFonts w:ascii="Times New Roman" w:eastAsia="Times New Roman" w:hAnsi="Times New Roman" w:cs="Times New Roman"/>
          <w:color w:val="000000"/>
          <w:sz w:val="24"/>
          <w:szCs w:val="24"/>
          <w:shd w:val="clear" w:color="auto" w:fill="FFFFFF"/>
          <w:lang w:eastAsia="ru-RU"/>
        </w:rPr>
        <w:t>colectarea datelor dezagregate pe sexe, în vederea estimării impactului social și de gen a LED</w:t>
      </w:r>
      <w:r w:rsidR="00A24E9B" w:rsidRPr="00125FAF">
        <w:rPr>
          <w:rFonts w:ascii="Times New Roman" w:eastAsia="Times New Roman" w:hAnsi="Times New Roman" w:cs="Times New Roman"/>
          <w:color w:val="000000"/>
          <w:sz w:val="24"/>
          <w:szCs w:val="24"/>
          <w:shd w:val="clear" w:color="auto" w:fill="FFFFFF"/>
          <w:lang w:eastAsia="ru-RU"/>
        </w:rPr>
        <w:t>S</w:t>
      </w:r>
      <w:r w:rsidRPr="00125FAF">
        <w:rPr>
          <w:rFonts w:ascii="Times New Roman" w:eastAsia="Times New Roman" w:hAnsi="Times New Roman" w:cs="Times New Roman"/>
          <w:color w:val="000000"/>
          <w:sz w:val="24"/>
          <w:szCs w:val="24"/>
          <w:shd w:val="clear" w:color="auto" w:fill="FFFFFF"/>
          <w:lang w:eastAsia="ru-RU"/>
        </w:rPr>
        <w:t xml:space="preserve">-urilor. </w:t>
      </w:r>
      <w:r w:rsidR="006C059B" w:rsidRPr="00125FAF">
        <w:rPr>
          <w:rFonts w:ascii="Times New Roman" w:eastAsia="Times New Roman" w:hAnsi="Times New Roman" w:cs="Times New Roman"/>
          <w:color w:val="000000"/>
          <w:sz w:val="24"/>
          <w:szCs w:val="24"/>
          <w:shd w:val="clear" w:color="auto" w:fill="FFFFFF"/>
          <w:lang w:eastAsia="ru-RU"/>
        </w:rPr>
        <w:t xml:space="preserve"> </w:t>
      </w:r>
    </w:p>
    <w:p w14:paraId="496C3458" w14:textId="2D7053EC" w:rsidR="006C059B" w:rsidRPr="00125FAF" w:rsidRDefault="00651D46" w:rsidP="006C059B">
      <w:pPr>
        <w:spacing w:after="0" w:line="240" w:lineRule="auto"/>
        <w:ind w:firstLine="708"/>
        <w:jc w:val="both"/>
        <w:rPr>
          <w:rFonts w:ascii="Times New Roman" w:eastAsia="Calibri" w:hAnsi="Times New Roman" w:cs="Times New Roman"/>
          <w:sz w:val="24"/>
          <w:szCs w:val="24"/>
        </w:rPr>
      </w:pPr>
      <w:r w:rsidRPr="00125FAF">
        <w:rPr>
          <w:rFonts w:ascii="Times New Roman" w:eastAsia="Times New Roman" w:hAnsi="Times New Roman" w:cs="Times New Roman"/>
          <w:color w:val="000000"/>
          <w:sz w:val="24"/>
          <w:szCs w:val="24"/>
          <w:shd w:val="clear" w:color="auto" w:fill="FFFFFF"/>
          <w:lang w:eastAsia="ru-RU"/>
        </w:rPr>
        <w:t xml:space="preserve">Prin urmare, </w:t>
      </w:r>
      <w:r w:rsidR="00310C1D" w:rsidRPr="00125FAF">
        <w:rPr>
          <w:rFonts w:ascii="Times New Roman" w:eastAsia="Times New Roman" w:hAnsi="Times New Roman" w:cs="Times New Roman"/>
          <w:color w:val="000000"/>
          <w:sz w:val="24"/>
          <w:szCs w:val="24"/>
          <w:shd w:val="clear" w:color="auto" w:fill="FFFFFF"/>
          <w:lang w:eastAsia="ru-RU"/>
        </w:rPr>
        <w:t>includerea a</w:t>
      </w:r>
      <w:r w:rsidRPr="00125FAF">
        <w:rPr>
          <w:rFonts w:ascii="Times New Roman" w:eastAsia="Calibri" w:hAnsi="Times New Roman" w:cs="Times New Roman"/>
          <w:sz w:val="24"/>
          <w:szCs w:val="24"/>
        </w:rPr>
        <w:t>naliz</w:t>
      </w:r>
      <w:r w:rsidR="00310C1D" w:rsidRPr="00125FAF">
        <w:rPr>
          <w:rFonts w:ascii="Times New Roman" w:eastAsia="Calibri" w:hAnsi="Times New Roman" w:cs="Times New Roman"/>
          <w:sz w:val="24"/>
          <w:szCs w:val="24"/>
        </w:rPr>
        <w:t>ei</w:t>
      </w:r>
      <w:r w:rsidRPr="00125FAF">
        <w:rPr>
          <w:rFonts w:ascii="Times New Roman" w:eastAsia="Calibri" w:hAnsi="Times New Roman" w:cs="Times New Roman"/>
          <w:sz w:val="24"/>
          <w:szCs w:val="24"/>
        </w:rPr>
        <w:t xml:space="preserve"> de gen/</w:t>
      </w:r>
      <w:r w:rsidR="00310C1D" w:rsidRPr="00125FAF">
        <w:rPr>
          <w:rFonts w:ascii="Times New Roman" w:eastAsia="Calibri" w:hAnsi="Times New Roman" w:cs="Times New Roman"/>
          <w:sz w:val="24"/>
          <w:szCs w:val="24"/>
        </w:rPr>
        <w:t>e</w:t>
      </w:r>
      <w:r w:rsidRPr="00125FAF">
        <w:rPr>
          <w:rFonts w:ascii="Times New Roman" w:eastAsia="Calibri" w:hAnsi="Times New Roman" w:cs="Times New Roman"/>
          <w:sz w:val="24"/>
          <w:szCs w:val="24"/>
        </w:rPr>
        <w:t>valu</w:t>
      </w:r>
      <w:r w:rsidR="00310C1D" w:rsidRPr="00125FAF">
        <w:rPr>
          <w:rFonts w:ascii="Times New Roman" w:eastAsia="Calibri" w:hAnsi="Times New Roman" w:cs="Times New Roman"/>
          <w:sz w:val="24"/>
          <w:szCs w:val="24"/>
        </w:rPr>
        <w:t>ării</w:t>
      </w:r>
      <w:r w:rsidRPr="00125FAF">
        <w:rPr>
          <w:rFonts w:ascii="Times New Roman" w:eastAsia="Calibri" w:hAnsi="Times New Roman" w:cs="Times New Roman"/>
          <w:sz w:val="24"/>
          <w:szCs w:val="24"/>
        </w:rPr>
        <w:t xml:space="preserve"> impactului de gen</w:t>
      </w:r>
      <w:r w:rsidR="00310C1D" w:rsidRPr="00125FAF">
        <w:rPr>
          <w:rFonts w:ascii="Times New Roman" w:eastAsia="Calibri" w:hAnsi="Times New Roman" w:cs="Times New Roman"/>
          <w:sz w:val="24"/>
          <w:szCs w:val="24"/>
        </w:rPr>
        <w:t xml:space="preserve"> în etapele proiectării, implementării, monitorizării și evaluării LED</w:t>
      </w:r>
      <w:r w:rsidR="00DE452D" w:rsidRPr="00125FAF">
        <w:rPr>
          <w:rFonts w:ascii="Times New Roman" w:eastAsia="Calibri" w:hAnsi="Times New Roman" w:cs="Times New Roman"/>
          <w:sz w:val="24"/>
          <w:szCs w:val="24"/>
        </w:rPr>
        <w:t>S</w:t>
      </w:r>
      <w:r w:rsidR="00310C1D" w:rsidRPr="00125FAF">
        <w:rPr>
          <w:rFonts w:ascii="Times New Roman" w:eastAsia="Calibri" w:hAnsi="Times New Roman" w:cs="Times New Roman"/>
          <w:sz w:val="24"/>
          <w:szCs w:val="24"/>
        </w:rPr>
        <w:t>-urilor reprezintă o precondiție importantă a unui proces eficient.</w:t>
      </w:r>
    </w:p>
    <w:p w14:paraId="64AD34F6" w14:textId="2818A3CE" w:rsidR="007740BE" w:rsidRPr="00125FAF" w:rsidRDefault="006C059B" w:rsidP="00D632D2">
      <w:pPr>
        <w:spacing w:after="0" w:line="240" w:lineRule="auto"/>
        <w:jc w:val="both"/>
        <w:rPr>
          <w:rFonts w:ascii="Times New Roman" w:eastAsia="Calibri" w:hAnsi="Times New Roman" w:cs="Times New Roman"/>
          <w:sz w:val="24"/>
          <w:szCs w:val="24"/>
        </w:rPr>
      </w:pPr>
      <w:r w:rsidRPr="00125FAF">
        <w:rPr>
          <w:rFonts w:ascii="Times New Roman" w:eastAsia="Calibri" w:hAnsi="Times New Roman" w:cs="Times New Roman"/>
          <w:sz w:val="24"/>
          <w:szCs w:val="24"/>
        </w:rPr>
        <w:t xml:space="preserve">            </w:t>
      </w:r>
      <w:r w:rsidR="007740BE" w:rsidRPr="00125FAF">
        <w:rPr>
          <w:rFonts w:ascii="Times New Roman" w:eastAsia="Times New Roman" w:hAnsi="Times New Roman" w:cs="Times New Roman"/>
          <w:color w:val="000000"/>
          <w:sz w:val="24"/>
          <w:szCs w:val="24"/>
          <w:shd w:val="clear" w:color="auto" w:fill="FFFFFF"/>
          <w:lang w:eastAsia="ru-RU"/>
        </w:rPr>
        <w:t>La rândul lor, LED</w:t>
      </w:r>
      <w:r w:rsidR="00DE452D" w:rsidRPr="00125FAF">
        <w:rPr>
          <w:rFonts w:ascii="Times New Roman" w:eastAsia="Times New Roman" w:hAnsi="Times New Roman" w:cs="Times New Roman"/>
          <w:color w:val="000000"/>
          <w:sz w:val="24"/>
          <w:szCs w:val="24"/>
          <w:shd w:val="clear" w:color="auto" w:fill="FFFFFF"/>
          <w:lang w:eastAsia="ru-RU"/>
        </w:rPr>
        <w:t>S</w:t>
      </w:r>
      <w:r w:rsidR="007740BE" w:rsidRPr="00125FAF">
        <w:rPr>
          <w:rFonts w:ascii="Times New Roman" w:eastAsia="Times New Roman" w:hAnsi="Times New Roman" w:cs="Times New Roman"/>
          <w:color w:val="000000"/>
          <w:sz w:val="24"/>
          <w:szCs w:val="24"/>
          <w:shd w:val="clear" w:color="auto" w:fill="FFFFFF"/>
          <w:lang w:eastAsia="ru-RU"/>
        </w:rPr>
        <w:t>-urile pot contribui la crearea de șanse egale pentru femei să beneficieze de servicii și condiții îmbunătățite (inclusiv asistență medicală, educație, transport și acces la apă și servicii energetice accesibile și eficiente) și prin participarea la oportunități de generare a veniturilor. LED</w:t>
      </w:r>
      <w:r w:rsidR="00DE452D" w:rsidRPr="00125FAF">
        <w:rPr>
          <w:rFonts w:ascii="Times New Roman" w:eastAsia="Times New Roman" w:hAnsi="Times New Roman" w:cs="Times New Roman"/>
          <w:color w:val="000000"/>
          <w:sz w:val="24"/>
          <w:szCs w:val="24"/>
          <w:shd w:val="clear" w:color="auto" w:fill="FFFFFF"/>
          <w:lang w:eastAsia="ru-RU"/>
        </w:rPr>
        <w:t>S</w:t>
      </w:r>
      <w:r w:rsidR="007740BE" w:rsidRPr="00125FAF">
        <w:rPr>
          <w:rFonts w:ascii="Times New Roman" w:eastAsia="Times New Roman" w:hAnsi="Times New Roman" w:cs="Times New Roman"/>
          <w:color w:val="000000"/>
          <w:sz w:val="24"/>
          <w:szCs w:val="24"/>
          <w:shd w:val="clear" w:color="auto" w:fill="FFFFFF"/>
          <w:lang w:eastAsia="ru-RU"/>
        </w:rPr>
        <w:t xml:space="preserve">-urile pot avea impact asupra egalității de gen dacă </w:t>
      </w:r>
      <w:r w:rsidRPr="00125FAF">
        <w:rPr>
          <w:rFonts w:ascii="Times New Roman" w:eastAsia="Times New Roman" w:hAnsi="Times New Roman" w:cs="Times New Roman"/>
          <w:color w:val="000000"/>
          <w:sz w:val="24"/>
          <w:szCs w:val="24"/>
          <w:shd w:val="clear" w:color="auto" w:fill="FFFFFF"/>
          <w:lang w:eastAsia="ru-RU"/>
        </w:rPr>
        <w:t xml:space="preserve">oferă </w:t>
      </w:r>
      <w:r w:rsidR="00DB0C8B" w:rsidRPr="00125FAF">
        <w:rPr>
          <w:rFonts w:ascii="Times New Roman" w:eastAsia="Times New Roman" w:hAnsi="Times New Roman" w:cs="Times New Roman"/>
          <w:color w:val="000000"/>
          <w:sz w:val="24"/>
          <w:szCs w:val="24"/>
          <w:shd w:val="clear" w:color="auto" w:fill="FFFFFF"/>
          <w:lang w:eastAsia="ru-RU"/>
        </w:rPr>
        <w:t>oportunități</w:t>
      </w:r>
      <w:r w:rsidR="007740BE" w:rsidRPr="00125FAF">
        <w:rPr>
          <w:rFonts w:ascii="Times New Roman" w:eastAsia="Times New Roman" w:hAnsi="Times New Roman" w:cs="Times New Roman"/>
          <w:color w:val="000000"/>
          <w:sz w:val="24"/>
          <w:szCs w:val="24"/>
          <w:shd w:val="clear" w:color="auto" w:fill="FFFFFF"/>
          <w:lang w:eastAsia="ru-RU"/>
        </w:rPr>
        <w:t xml:space="preserve"> femeilor </w:t>
      </w:r>
      <w:r w:rsidR="00DB0C8B" w:rsidRPr="00125FAF">
        <w:rPr>
          <w:rFonts w:ascii="Times New Roman" w:eastAsia="Times New Roman" w:hAnsi="Times New Roman" w:cs="Times New Roman"/>
          <w:color w:val="000000"/>
          <w:sz w:val="24"/>
          <w:szCs w:val="24"/>
          <w:shd w:val="clear" w:color="auto" w:fill="FFFFFF"/>
          <w:lang w:eastAsia="ru-RU"/>
        </w:rPr>
        <w:t>pentru</w:t>
      </w:r>
      <w:r w:rsidR="007740BE" w:rsidRPr="00125FAF">
        <w:rPr>
          <w:rFonts w:ascii="Times New Roman" w:eastAsia="Times New Roman" w:hAnsi="Times New Roman" w:cs="Times New Roman"/>
          <w:color w:val="000000"/>
          <w:sz w:val="24"/>
          <w:szCs w:val="24"/>
          <w:shd w:val="clear" w:color="auto" w:fill="FFFFFF"/>
          <w:lang w:eastAsia="ru-RU"/>
        </w:rPr>
        <w:t xml:space="preserve"> dezvoltarea de noi competențe, </w:t>
      </w:r>
      <w:r w:rsidR="00DB0C8B" w:rsidRPr="00125FAF">
        <w:rPr>
          <w:rFonts w:ascii="Times New Roman" w:eastAsia="Times New Roman" w:hAnsi="Times New Roman" w:cs="Times New Roman"/>
          <w:color w:val="000000"/>
          <w:sz w:val="24"/>
          <w:szCs w:val="24"/>
          <w:shd w:val="clear" w:color="auto" w:fill="FFFFFF"/>
          <w:lang w:eastAsia="ru-RU"/>
        </w:rPr>
        <w:t>de</w:t>
      </w:r>
      <w:r w:rsidR="007740BE" w:rsidRPr="00125FAF">
        <w:rPr>
          <w:rFonts w:ascii="Times New Roman" w:eastAsia="Times New Roman" w:hAnsi="Times New Roman" w:cs="Times New Roman"/>
          <w:color w:val="000000"/>
          <w:sz w:val="24"/>
          <w:szCs w:val="24"/>
          <w:shd w:val="clear" w:color="auto" w:fill="FFFFFF"/>
          <w:lang w:eastAsia="ru-RU"/>
        </w:rPr>
        <w:t xml:space="preserve"> finanțare și tehnologi</w:t>
      </w:r>
      <w:r w:rsidRPr="00125FAF">
        <w:rPr>
          <w:rFonts w:ascii="Times New Roman" w:eastAsia="Times New Roman" w:hAnsi="Times New Roman" w:cs="Times New Roman"/>
          <w:color w:val="000000"/>
          <w:sz w:val="24"/>
          <w:szCs w:val="24"/>
          <w:shd w:val="clear" w:color="auto" w:fill="FFFFFF"/>
          <w:lang w:eastAsia="ru-RU"/>
        </w:rPr>
        <w:t>i</w:t>
      </w:r>
      <w:r w:rsidR="007740BE" w:rsidRPr="00125FAF">
        <w:rPr>
          <w:rFonts w:ascii="Times New Roman" w:eastAsia="Times New Roman" w:hAnsi="Times New Roman" w:cs="Times New Roman"/>
          <w:color w:val="000000"/>
          <w:sz w:val="24"/>
          <w:szCs w:val="24"/>
          <w:shd w:val="clear" w:color="auto" w:fill="FFFFFF"/>
          <w:lang w:eastAsia="ru-RU"/>
        </w:rPr>
        <w:t xml:space="preserve">, </w:t>
      </w:r>
      <w:r w:rsidR="00DB0C8B" w:rsidRPr="00125FAF">
        <w:rPr>
          <w:rFonts w:ascii="Times New Roman" w:eastAsia="Times New Roman" w:hAnsi="Times New Roman" w:cs="Times New Roman"/>
          <w:color w:val="000000"/>
          <w:sz w:val="24"/>
          <w:szCs w:val="24"/>
          <w:shd w:val="clear" w:color="auto" w:fill="FFFFFF"/>
          <w:lang w:eastAsia="ru-RU"/>
        </w:rPr>
        <w:t>de</w:t>
      </w:r>
      <w:r w:rsidR="007740BE" w:rsidRPr="00125FAF">
        <w:rPr>
          <w:rFonts w:ascii="Times New Roman" w:eastAsia="Times New Roman" w:hAnsi="Times New Roman" w:cs="Times New Roman"/>
          <w:color w:val="000000"/>
          <w:sz w:val="24"/>
          <w:szCs w:val="24"/>
          <w:shd w:val="clear" w:color="auto" w:fill="FFFFFF"/>
          <w:lang w:eastAsia="ru-RU"/>
        </w:rPr>
        <w:t xml:space="preserve"> luare</w:t>
      </w:r>
      <w:r w:rsidR="00DB0C8B" w:rsidRPr="00125FAF">
        <w:rPr>
          <w:rFonts w:ascii="Times New Roman" w:eastAsia="Times New Roman" w:hAnsi="Times New Roman" w:cs="Times New Roman"/>
          <w:color w:val="000000"/>
          <w:sz w:val="24"/>
          <w:szCs w:val="24"/>
          <w:shd w:val="clear" w:color="auto" w:fill="FFFFFF"/>
          <w:lang w:eastAsia="ru-RU"/>
        </w:rPr>
        <w:t xml:space="preserve"> </w:t>
      </w:r>
      <w:r w:rsidR="007740BE" w:rsidRPr="00125FAF">
        <w:rPr>
          <w:rFonts w:ascii="Times New Roman" w:eastAsia="Times New Roman" w:hAnsi="Times New Roman" w:cs="Times New Roman"/>
          <w:color w:val="000000"/>
          <w:sz w:val="24"/>
          <w:szCs w:val="24"/>
          <w:shd w:val="clear" w:color="auto" w:fill="FFFFFF"/>
          <w:lang w:eastAsia="ru-RU"/>
        </w:rPr>
        <w:t xml:space="preserve">a deciziilor și </w:t>
      </w:r>
      <w:r w:rsidR="00DB0C8B" w:rsidRPr="00125FAF">
        <w:rPr>
          <w:rFonts w:ascii="Times New Roman" w:eastAsia="Times New Roman" w:hAnsi="Times New Roman" w:cs="Times New Roman"/>
          <w:color w:val="000000"/>
          <w:sz w:val="24"/>
          <w:szCs w:val="24"/>
          <w:shd w:val="clear" w:color="auto" w:fill="FFFFFF"/>
          <w:lang w:eastAsia="ru-RU"/>
        </w:rPr>
        <w:t xml:space="preserve">acces </w:t>
      </w:r>
      <w:r w:rsidR="007740BE" w:rsidRPr="00125FAF">
        <w:rPr>
          <w:rFonts w:ascii="Times New Roman" w:eastAsia="Times New Roman" w:hAnsi="Times New Roman" w:cs="Times New Roman"/>
          <w:color w:val="000000"/>
          <w:sz w:val="24"/>
          <w:szCs w:val="24"/>
          <w:shd w:val="clear" w:color="auto" w:fill="FFFFFF"/>
          <w:lang w:eastAsia="ru-RU"/>
        </w:rPr>
        <w:t>la piețe</w:t>
      </w:r>
      <w:r w:rsidRPr="00125FAF">
        <w:rPr>
          <w:rFonts w:ascii="Times New Roman" w:eastAsia="Times New Roman" w:hAnsi="Times New Roman" w:cs="Times New Roman"/>
          <w:color w:val="000000"/>
          <w:sz w:val="24"/>
          <w:szCs w:val="24"/>
          <w:shd w:val="clear" w:color="auto" w:fill="FFFFFF"/>
          <w:lang w:eastAsia="ru-RU"/>
        </w:rPr>
        <w:t>le de desfacere</w:t>
      </w:r>
      <w:r w:rsidR="007740BE" w:rsidRPr="00125FAF">
        <w:rPr>
          <w:rFonts w:ascii="Times New Roman" w:eastAsia="Times New Roman" w:hAnsi="Times New Roman" w:cs="Times New Roman"/>
          <w:color w:val="000000"/>
          <w:sz w:val="24"/>
          <w:szCs w:val="24"/>
          <w:shd w:val="clear" w:color="auto" w:fill="FFFFFF"/>
          <w:lang w:eastAsia="ru-RU"/>
        </w:rPr>
        <w:t xml:space="preserve">; dacă susțin </w:t>
      </w:r>
      <w:proofErr w:type="spellStart"/>
      <w:r w:rsidR="007740BE" w:rsidRPr="00125FAF">
        <w:rPr>
          <w:rFonts w:ascii="Times New Roman" w:eastAsia="Times New Roman" w:hAnsi="Times New Roman" w:cs="Times New Roman"/>
          <w:color w:val="000000"/>
          <w:sz w:val="24"/>
          <w:szCs w:val="24"/>
          <w:shd w:val="clear" w:color="auto" w:fill="FFFFFF"/>
          <w:lang w:eastAsia="ru-RU"/>
        </w:rPr>
        <w:t>antreprenoriatul</w:t>
      </w:r>
      <w:proofErr w:type="spellEnd"/>
      <w:r w:rsidR="007740BE" w:rsidRPr="00125FAF">
        <w:rPr>
          <w:rFonts w:ascii="Times New Roman" w:eastAsia="Times New Roman" w:hAnsi="Times New Roman" w:cs="Times New Roman"/>
          <w:color w:val="000000"/>
          <w:sz w:val="24"/>
          <w:szCs w:val="24"/>
          <w:shd w:val="clear" w:color="auto" w:fill="FFFFFF"/>
          <w:lang w:eastAsia="ru-RU"/>
        </w:rPr>
        <w:t xml:space="preserve"> femeilor în dezvoltarea emisiilor reduse; și prin reducerea poverilor sociale inegale cu care se confruntă femeile </w:t>
      </w:r>
      <w:r w:rsidR="00DB0C8B" w:rsidRPr="00125FAF">
        <w:rPr>
          <w:rFonts w:ascii="Times New Roman" w:eastAsia="Times New Roman" w:hAnsi="Times New Roman" w:cs="Times New Roman"/>
          <w:color w:val="000000"/>
          <w:sz w:val="24"/>
          <w:szCs w:val="24"/>
          <w:shd w:val="clear" w:color="auto" w:fill="FFFFFF"/>
          <w:lang w:eastAsia="ru-RU"/>
        </w:rPr>
        <w:t>zi de</w:t>
      </w:r>
      <w:r w:rsidR="007740BE" w:rsidRPr="00125FAF">
        <w:rPr>
          <w:rFonts w:ascii="Times New Roman" w:eastAsia="Times New Roman" w:hAnsi="Times New Roman" w:cs="Times New Roman"/>
          <w:color w:val="000000"/>
          <w:sz w:val="24"/>
          <w:szCs w:val="24"/>
          <w:shd w:val="clear" w:color="auto" w:fill="FFFFFF"/>
          <w:lang w:eastAsia="ru-RU"/>
        </w:rPr>
        <w:t xml:space="preserve"> zi.</w:t>
      </w:r>
    </w:p>
    <w:p w14:paraId="3008C6B3" w14:textId="77777777" w:rsidR="00651D46" w:rsidRPr="00125FAF" w:rsidRDefault="00651D46" w:rsidP="00B614FB">
      <w:pPr>
        <w:spacing w:after="0" w:line="240" w:lineRule="auto"/>
        <w:ind w:firstLine="720"/>
        <w:jc w:val="both"/>
        <w:rPr>
          <w:rFonts w:ascii="Times New Roman" w:eastAsia="Times New Roman" w:hAnsi="Times New Roman" w:cs="Times New Roman"/>
          <w:color w:val="000000"/>
          <w:sz w:val="24"/>
          <w:szCs w:val="24"/>
          <w:shd w:val="clear" w:color="auto" w:fill="FFFFFF"/>
          <w:lang w:eastAsia="ru-RU"/>
        </w:rPr>
      </w:pPr>
    </w:p>
    <w:p w14:paraId="0A1ABAA4" w14:textId="303EEDDF" w:rsidR="00446F14" w:rsidRPr="00125FAF" w:rsidRDefault="00446F14" w:rsidP="00446F14">
      <w:pPr>
        <w:spacing w:after="120" w:line="240" w:lineRule="auto"/>
        <w:ind w:firstLine="720"/>
        <w:jc w:val="center"/>
        <w:rPr>
          <w:rFonts w:ascii="Times New Roman" w:eastAsia="Times New Roman" w:hAnsi="Times New Roman" w:cs="Times New Roman"/>
          <w:b/>
          <w:bCs/>
          <w:color w:val="000000"/>
          <w:sz w:val="24"/>
          <w:szCs w:val="24"/>
          <w:shd w:val="clear" w:color="auto" w:fill="FFFFFF"/>
          <w:lang w:eastAsia="ru-RU"/>
        </w:rPr>
      </w:pPr>
      <w:r w:rsidRPr="00125FAF">
        <w:rPr>
          <w:rFonts w:ascii="Times New Roman" w:eastAsia="Times New Roman" w:hAnsi="Times New Roman" w:cs="Times New Roman"/>
          <w:b/>
          <w:bCs/>
          <w:color w:val="000000"/>
          <w:sz w:val="24"/>
          <w:szCs w:val="24"/>
          <w:shd w:val="clear" w:color="auto" w:fill="FFFFFF"/>
          <w:lang w:eastAsia="ru-RU"/>
        </w:rPr>
        <w:t>VI. IMPACTUL REZULTAT DIN IMPLEMENTAREA PROGRAMULUI</w:t>
      </w:r>
    </w:p>
    <w:p w14:paraId="43DE76A8" w14:textId="166EAA6A" w:rsidR="0013147D" w:rsidRPr="00125FAF" w:rsidRDefault="0013147D" w:rsidP="0013147D">
      <w:pPr>
        <w:spacing w:after="0" w:line="240" w:lineRule="auto"/>
        <w:ind w:firstLine="720"/>
        <w:jc w:val="both"/>
        <w:rPr>
          <w:rFonts w:ascii="Times New Roman" w:eastAsia="Times New Roman" w:hAnsi="Times New Roman" w:cs="Times New Roman"/>
          <w:sz w:val="24"/>
          <w:szCs w:val="24"/>
          <w:lang w:eastAsia="ru-RU"/>
        </w:rPr>
      </w:pPr>
      <w:r w:rsidRPr="00125FAF">
        <w:rPr>
          <w:rFonts w:ascii="Times New Roman" w:eastAsia="Times New Roman" w:hAnsi="Times New Roman" w:cs="Times New Roman"/>
          <w:color w:val="000000"/>
          <w:sz w:val="24"/>
          <w:szCs w:val="24"/>
          <w:lang w:eastAsia="ru-RU"/>
        </w:rPr>
        <w:t>4</w:t>
      </w:r>
      <w:r w:rsidR="007909C8" w:rsidRPr="00125FAF">
        <w:rPr>
          <w:rFonts w:ascii="Times New Roman" w:eastAsia="Times New Roman" w:hAnsi="Times New Roman" w:cs="Times New Roman"/>
          <w:color w:val="000000"/>
          <w:sz w:val="24"/>
          <w:szCs w:val="24"/>
          <w:lang w:eastAsia="ru-RU"/>
        </w:rPr>
        <w:t>2</w:t>
      </w:r>
      <w:r w:rsidRPr="00125FAF">
        <w:rPr>
          <w:rFonts w:ascii="Times New Roman" w:eastAsia="Times New Roman" w:hAnsi="Times New Roman" w:cs="Times New Roman"/>
          <w:color w:val="000000"/>
          <w:sz w:val="24"/>
          <w:szCs w:val="24"/>
          <w:lang w:eastAsia="ru-RU"/>
        </w:rPr>
        <w:t xml:space="preserve">. Impactul direct al prezentului Program constă în schimbarea paradigmei de dezvoltare a Republicii Moldova pe termen mediu. Pe lângă onorarea angajamentelor asumate </w:t>
      </w:r>
      <w:proofErr w:type="spellStart"/>
      <w:r w:rsidRPr="00125FAF">
        <w:rPr>
          <w:rFonts w:ascii="Times New Roman" w:eastAsia="Times New Roman" w:hAnsi="Times New Roman" w:cs="Times New Roman"/>
          <w:color w:val="000000"/>
          <w:sz w:val="24"/>
          <w:szCs w:val="24"/>
          <w:lang w:eastAsia="ru-RU"/>
        </w:rPr>
        <w:t>faţă</w:t>
      </w:r>
      <w:proofErr w:type="spellEnd"/>
      <w:r w:rsidRPr="00125FAF">
        <w:rPr>
          <w:rFonts w:ascii="Times New Roman" w:eastAsia="Times New Roman" w:hAnsi="Times New Roman" w:cs="Times New Roman"/>
          <w:color w:val="000000"/>
          <w:sz w:val="24"/>
          <w:szCs w:val="24"/>
          <w:lang w:eastAsia="ru-RU"/>
        </w:rPr>
        <w:t xml:space="preserve"> de CONUSC, </w:t>
      </w:r>
      <w:proofErr w:type="spellStart"/>
      <w:r w:rsidRPr="00125FAF">
        <w:rPr>
          <w:rFonts w:ascii="Times New Roman" w:eastAsia="Times New Roman" w:hAnsi="Times New Roman" w:cs="Times New Roman"/>
          <w:color w:val="000000"/>
          <w:sz w:val="24"/>
          <w:szCs w:val="24"/>
          <w:lang w:eastAsia="ru-RU"/>
        </w:rPr>
        <w:t>ţara</w:t>
      </w:r>
      <w:proofErr w:type="spellEnd"/>
      <w:r w:rsidRPr="00125FAF">
        <w:rPr>
          <w:rFonts w:ascii="Times New Roman" w:eastAsia="Times New Roman" w:hAnsi="Times New Roman" w:cs="Times New Roman"/>
          <w:color w:val="000000"/>
          <w:sz w:val="24"/>
          <w:szCs w:val="24"/>
          <w:lang w:eastAsia="ru-RU"/>
        </w:rPr>
        <w:t xml:space="preserve"> va căpăta o dezvoltare pe principiile economiei verzi, concept acceptat </w:t>
      </w:r>
      <w:proofErr w:type="spellStart"/>
      <w:r w:rsidRPr="00125FAF">
        <w:rPr>
          <w:rFonts w:ascii="Times New Roman" w:eastAsia="Times New Roman" w:hAnsi="Times New Roman" w:cs="Times New Roman"/>
          <w:color w:val="000000"/>
          <w:sz w:val="24"/>
          <w:szCs w:val="24"/>
          <w:lang w:eastAsia="ru-RU"/>
        </w:rPr>
        <w:t>şi</w:t>
      </w:r>
      <w:proofErr w:type="spellEnd"/>
      <w:r w:rsidRPr="00125FAF">
        <w:rPr>
          <w:rFonts w:ascii="Times New Roman" w:eastAsia="Times New Roman" w:hAnsi="Times New Roman" w:cs="Times New Roman"/>
          <w:color w:val="000000"/>
          <w:sz w:val="24"/>
          <w:szCs w:val="24"/>
          <w:lang w:eastAsia="ru-RU"/>
        </w:rPr>
        <w:t xml:space="preserve"> preluat de toate </w:t>
      </w:r>
      <w:proofErr w:type="spellStart"/>
      <w:r w:rsidRPr="00125FAF">
        <w:rPr>
          <w:rFonts w:ascii="Times New Roman" w:eastAsia="Times New Roman" w:hAnsi="Times New Roman" w:cs="Times New Roman"/>
          <w:color w:val="000000"/>
          <w:sz w:val="24"/>
          <w:szCs w:val="24"/>
          <w:lang w:eastAsia="ru-RU"/>
        </w:rPr>
        <w:t>ţările</w:t>
      </w:r>
      <w:proofErr w:type="spellEnd"/>
      <w:r w:rsidRPr="00125FAF">
        <w:rPr>
          <w:rFonts w:ascii="Times New Roman" w:eastAsia="Times New Roman" w:hAnsi="Times New Roman" w:cs="Times New Roman"/>
          <w:color w:val="000000"/>
          <w:sz w:val="24"/>
          <w:szCs w:val="24"/>
          <w:lang w:eastAsia="ru-RU"/>
        </w:rPr>
        <w:t xml:space="preserve"> occidentale.</w:t>
      </w:r>
    </w:p>
    <w:p w14:paraId="487ADDFA" w14:textId="6230C740" w:rsidR="0013147D" w:rsidRPr="00125FAF" w:rsidRDefault="0013147D" w:rsidP="0013147D">
      <w:pPr>
        <w:spacing w:after="120" w:line="240" w:lineRule="auto"/>
        <w:ind w:firstLine="720"/>
        <w:jc w:val="both"/>
        <w:rPr>
          <w:rFonts w:ascii="Times New Roman" w:eastAsia="Times New Roman" w:hAnsi="Times New Roman" w:cs="Times New Roman"/>
          <w:sz w:val="24"/>
          <w:szCs w:val="24"/>
          <w:lang w:eastAsia="ru-RU"/>
        </w:rPr>
      </w:pPr>
      <w:r w:rsidRPr="00125FAF">
        <w:rPr>
          <w:rFonts w:ascii="Times New Roman" w:eastAsia="Times New Roman" w:hAnsi="Times New Roman" w:cs="Times New Roman"/>
          <w:color w:val="000000"/>
          <w:sz w:val="24"/>
          <w:szCs w:val="24"/>
          <w:lang w:eastAsia="ru-RU"/>
        </w:rPr>
        <w:t xml:space="preserve">În ansamblu, în urma implementării prezentului Program se preconizează </w:t>
      </w:r>
      <w:proofErr w:type="spellStart"/>
      <w:r w:rsidRPr="00125FAF">
        <w:rPr>
          <w:rFonts w:ascii="Times New Roman" w:eastAsia="Times New Roman" w:hAnsi="Times New Roman" w:cs="Times New Roman"/>
          <w:color w:val="000000"/>
          <w:sz w:val="24"/>
          <w:szCs w:val="24"/>
          <w:lang w:eastAsia="ru-RU"/>
        </w:rPr>
        <w:t>obţinerea</w:t>
      </w:r>
      <w:proofErr w:type="spellEnd"/>
      <w:r w:rsidRPr="00125FAF">
        <w:rPr>
          <w:rFonts w:ascii="Times New Roman" w:eastAsia="Times New Roman" w:hAnsi="Times New Roman" w:cs="Times New Roman"/>
          <w:color w:val="000000"/>
          <w:sz w:val="24"/>
          <w:szCs w:val="24"/>
          <w:lang w:eastAsia="ru-RU"/>
        </w:rPr>
        <w:t xml:space="preserve"> </w:t>
      </w:r>
      <w:r w:rsidRPr="00125FAF">
        <w:rPr>
          <w:rFonts w:ascii="Times New Roman" w:eastAsia="Times New Roman" w:hAnsi="Times New Roman" w:cs="Times New Roman"/>
          <w:color w:val="000000"/>
          <w:sz w:val="24"/>
          <w:szCs w:val="24"/>
          <w:shd w:val="clear" w:color="auto" w:fill="FFFFFF"/>
          <w:lang w:eastAsia="ru-RU"/>
        </w:rPr>
        <w:t>următoarelor rezultate:</w:t>
      </w:r>
    </w:p>
    <w:p w14:paraId="2CA29C95" w14:textId="52477AB9" w:rsidR="0013147D" w:rsidRPr="00125FAF" w:rsidRDefault="0013147D" w:rsidP="003E24C5">
      <w:pPr>
        <w:pStyle w:val="Listparagraf"/>
        <w:numPr>
          <w:ilvl w:val="0"/>
          <w:numId w:val="4"/>
        </w:numPr>
        <w:tabs>
          <w:tab w:val="left" w:pos="1134"/>
        </w:tabs>
        <w:spacing w:after="0" w:line="240" w:lineRule="auto"/>
        <w:jc w:val="both"/>
        <w:textAlignment w:val="baseline"/>
        <w:rPr>
          <w:rFonts w:ascii="Times New Roman" w:eastAsia="Times New Roman" w:hAnsi="Times New Roman" w:cs="Times New Roman"/>
          <w:color w:val="000000"/>
          <w:sz w:val="24"/>
          <w:szCs w:val="24"/>
          <w:lang w:eastAsia="ru-RU"/>
        </w:rPr>
      </w:pPr>
      <w:r w:rsidRPr="00125FAF">
        <w:rPr>
          <w:rFonts w:ascii="Times New Roman" w:eastAsia="Times New Roman" w:hAnsi="Times New Roman" w:cs="Times New Roman"/>
          <w:color w:val="000000"/>
          <w:sz w:val="24"/>
          <w:szCs w:val="24"/>
          <w:lang w:eastAsia="ru-RU"/>
        </w:rPr>
        <w:t xml:space="preserve">Reducerea emisiilor de GES către 2030, </w:t>
      </w:r>
      <w:proofErr w:type="spellStart"/>
      <w:r w:rsidRPr="00125FAF">
        <w:rPr>
          <w:rFonts w:ascii="Times New Roman" w:eastAsia="Times New Roman" w:hAnsi="Times New Roman" w:cs="Times New Roman"/>
          <w:color w:val="000000"/>
          <w:sz w:val="24"/>
          <w:szCs w:val="24"/>
          <w:lang w:eastAsia="ru-RU"/>
        </w:rPr>
        <w:t>faţă</w:t>
      </w:r>
      <w:proofErr w:type="spellEnd"/>
      <w:r w:rsidRPr="00125FAF">
        <w:rPr>
          <w:rFonts w:ascii="Times New Roman" w:eastAsia="Times New Roman" w:hAnsi="Times New Roman" w:cs="Times New Roman"/>
          <w:color w:val="000000"/>
          <w:sz w:val="24"/>
          <w:szCs w:val="24"/>
          <w:lang w:eastAsia="ru-RU"/>
        </w:rPr>
        <w:t xml:space="preserve"> de anul 1990, cu 30,6 MtCO</w:t>
      </w:r>
      <w:r w:rsidRPr="00125FAF">
        <w:rPr>
          <w:rFonts w:ascii="Times New Roman" w:eastAsia="Times New Roman" w:hAnsi="Times New Roman" w:cs="Times New Roman"/>
          <w:color w:val="000000"/>
          <w:sz w:val="24"/>
          <w:szCs w:val="24"/>
          <w:vertAlign w:val="subscript"/>
          <w:lang w:eastAsia="ru-RU"/>
        </w:rPr>
        <w:t>2</w:t>
      </w:r>
      <w:r w:rsidRPr="00125FAF">
        <w:rPr>
          <w:rFonts w:ascii="Times New Roman" w:eastAsia="Times New Roman" w:hAnsi="Times New Roman" w:cs="Times New Roman"/>
          <w:color w:val="000000"/>
          <w:sz w:val="24"/>
          <w:szCs w:val="24"/>
          <w:lang w:eastAsia="ru-RU"/>
        </w:rPr>
        <w:t xml:space="preserve">eq în scenariul </w:t>
      </w:r>
      <w:proofErr w:type="spellStart"/>
      <w:r w:rsidRPr="00125FAF">
        <w:rPr>
          <w:rFonts w:ascii="Times New Roman" w:eastAsia="Times New Roman" w:hAnsi="Times New Roman" w:cs="Times New Roman"/>
          <w:color w:val="000000"/>
          <w:sz w:val="24"/>
          <w:szCs w:val="24"/>
          <w:lang w:eastAsia="ru-RU"/>
        </w:rPr>
        <w:t>necondiţionat</w:t>
      </w:r>
      <w:proofErr w:type="spellEnd"/>
      <w:r w:rsidRPr="00125FAF">
        <w:rPr>
          <w:rFonts w:ascii="Times New Roman" w:eastAsia="Times New Roman" w:hAnsi="Times New Roman" w:cs="Times New Roman"/>
          <w:color w:val="000000"/>
          <w:sz w:val="24"/>
          <w:szCs w:val="24"/>
          <w:lang w:eastAsia="ru-RU"/>
        </w:rPr>
        <w:t xml:space="preserve">, </w:t>
      </w:r>
      <w:proofErr w:type="spellStart"/>
      <w:r w:rsidRPr="00125FAF">
        <w:rPr>
          <w:rFonts w:ascii="Times New Roman" w:eastAsia="Times New Roman" w:hAnsi="Times New Roman" w:cs="Times New Roman"/>
          <w:color w:val="000000"/>
          <w:sz w:val="24"/>
          <w:szCs w:val="24"/>
          <w:lang w:eastAsia="ru-RU"/>
        </w:rPr>
        <w:t>şi</w:t>
      </w:r>
      <w:proofErr w:type="spellEnd"/>
      <w:r w:rsidRPr="00125FAF">
        <w:rPr>
          <w:rFonts w:ascii="Times New Roman" w:eastAsia="Times New Roman" w:hAnsi="Times New Roman" w:cs="Times New Roman"/>
          <w:color w:val="000000"/>
          <w:sz w:val="24"/>
          <w:szCs w:val="24"/>
          <w:lang w:eastAsia="ru-RU"/>
        </w:rPr>
        <w:t xml:space="preserve"> cu 38,4 </w:t>
      </w:r>
      <w:proofErr w:type="spellStart"/>
      <w:r w:rsidRPr="00125FAF">
        <w:rPr>
          <w:rFonts w:ascii="Times New Roman" w:eastAsia="Times New Roman" w:hAnsi="Times New Roman" w:cs="Times New Roman"/>
          <w:color w:val="000000"/>
          <w:sz w:val="24"/>
          <w:szCs w:val="24"/>
          <w:lang w:eastAsia="ru-RU"/>
        </w:rPr>
        <w:t>M</w:t>
      </w:r>
      <w:r w:rsidR="00E867EC" w:rsidRPr="00125FAF">
        <w:rPr>
          <w:rFonts w:ascii="Times New Roman" w:eastAsia="Times New Roman" w:hAnsi="Times New Roman" w:cs="Times New Roman"/>
          <w:color w:val="000000"/>
          <w:sz w:val="24"/>
          <w:szCs w:val="24"/>
          <w:lang w:eastAsia="ru-RU"/>
        </w:rPr>
        <w:t>t</w:t>
      </w:r>
      <w:proofErr w:type="spellEnd"/>
      <w:r w:rsidR="00E867EC" w:rsidRPr="00125FAF">
        <w:rPr>
          <w:rFonts w:ascii="Times New Roman" w:eastAsia="Times New Roman" w:hAnsi="Times New Roman" w:cs="Times New Roman"/>
          <w:color w:val="000000"/>
          <w:sz w:val="24"/>
          <w:szCs w:val="24"/>
          <w:lang w:eastAsia="ru-RU"/>
        </w:rPr>
        <w:t xml:space="preserve"> </w:t>
      </w:r>
      <w:r w:rsidRPr="00125FAF">
        <w:rPr>
          <w:rFonts w:ascii="Times New Roman" w:eastAsia="Times New Roman" w:hAnsi="Times New Roman" w:cs="Times New Roman"/>
          <w:color w:val="000000"/>
          <w:sz w:val="24"/>
          <w:szCs w:val="24"/>
          <w:lang w:eastAsia="ru-RU"/>
        </w:rPr>
        <w:t>CO</w:t>
      </w:r>
      <w:r w:rsidRPr="00125FAF">
        <w:rPr>
          <w:rFonts w:ascii="Times New Roman" w:eastAsia="Times New Roman" w:hAnsi="Times New Roman" w:cs="Times New Roman"/>
          <w:color w:val="000000"/>
          <w:sz w:val="24"/>
          <w:szCs w:val="24"/>
          <w:vertAlign w:val="subscript"/>
          <w:lang w:eastAsia="ru-RU"/>
        </w:rPr>
        <w:t>2</w:t>
      </w:r>
      <w:r w:rsidRPr="00125FAF">
        <w:rPr>
          <w:rFonts w:ascii="Times New Roman" w:eastAsia="Times New Roman" w:hAnsi="Times New Roman" w:cs="Times New Roman"/>
          <w:color w:val="000000"/>
          <w:sz w:val="24"/>
          <w:szCs w:val="24"/>
          <w:lang w:eastAsia="ru-RU"/>
        </w:rPr>
        <w:t xml:space="preserve">eq – în cel </w:t>
      </w:r>
      <w:proofErr w:type="spellStart"/>
      <w:r w:rsidRPr="00125FAF">
        <w:rPr>
          <w:rFonts w:ascii="Times New Roman" w:eastAsia="Times New Roman" w:hAnsi="Times New Roman" w:cs="Times New Roman"/>
          <w:color w:val="000000"/>
          <w:sz w:val="24"/>
          <w:szCs w:val="24"/>
          <w:lang w:eastAsia="ru-RU"/>
        </w:rPr>
        <w:t>condiţionat</w:t>
      </w:r>
      <w:proofErr w:type="spellEnd"/>
      <w:r w:rsidRPr="00125FAF">
        <w:rPr>
          <w:rFonts w:ascii="Times New Roman" w:eastAsia="Times New Roman" w:hAnsi="Times New Roman" w:cs="Times New Roman"/>
          <w:color w:val="000000"/>
          <w:sz w:val="24"/>
          <w:szCs w:val="24"/>
          <w:lang w:eastAsia="ru-RU"/>
        </w:rPr>
        <w:t>;</w:t>
      </w:r>
    </w:p>
    <w:p w14:paraId="755DD505" w14:textId="77777777" w:rsidR="0013147D" w:rsidRPr="00125FAF" w:rsidRDefault="0013147D" w:rsidP="003E24C5">
      <w:pPr>
        <w:pStyle w:val="Listparagraf"/>
        <w:numPr>
          <w:ilvl w:val="0"/>
          <w:numId w:val="4"/>
        </w:numPr>
        <w:tabs>
          <w:tab w:val="left" w:pos="1134"/>
        </w:tabs>
        <w:spacing w:after="0" w:line="240" w:lineRule="auto"/>
        <w:jc w:val="both"/>
        <w:textAlignment w:val="baseline"/>
        <w:rPr>
          <w:rFonts w:ascii="Times New Roman" w:eastAsia="Times New Roman" w:hAnsi="Times New Roman" w:cs="Times New Roman"/>
          <w:color w:val="000000"/>
          <w:sz w:val="24"/>
          <w:szCs w:val="24"/>
          <w:lang w:eastAsia="ru-RU"/>
        </w:rPr>
      </w:pPr>
      <w:r w:rsidRPr="00125FAF">
        <w:rPr>
          <w:rFonts w:ascii="Times New Roman" w:eastAsia="Times New Roman" w:hAnsi="Times New Roman" w:cs="Times New Roman"/>
          <w:color w:val="000000"/>
          <w:sz w:val="24"/>
          <w:szCs w:val="24"/>
          <w:lang w:eastAsia="ru-RU"/>
        </w:rPr>
        <w:t xml:space="preserve">Stabilirea unei coeziuni sporite între ramurile economiei </w:t>
      </w:r>
      <w:proofErr w:type="spellStart"/>
      <w:r w:rsidRPr="00125FAF">
        <w:rPr>
          <w:rFonts w:ascii="Times New Roman" w:eastAsia="Times New Roman" w:hAnsi="Times New Roman" w:cs="Times New Roman"/>
          <w:color w:val="000000"/>
          <w:sz w:val="24"/>
          <w:szCs w:val="24"/>
          <w:lang w:eastAsia="ru-RU"/>
        </w:rPr>
        <w:t>naţionale</w:t>
      </w:r>
      <w:proofErr w:type="spellEnd"/>
      <w:r w:rsidRPr="00125FAF">
        <w:rPr>
          <w:rFonts w:ascii="Times New Roman" w:eastAsia="Times New Roman" w:hAnsi="Times New Roman" w:cs="Times New Roman"/>
          <w:color w:val="000000"/>
          <w:sz w:val="24"/>
          <w:szCs w:val="24"/>
          <w:lang w:eastAsia="ru-RU"/>
        </w:rPr>
        <w:t xml:space="preserve"> spre reducerea emisiilor de gaze cu efect de seră, precum </w:t>
      </w:r>
      <w:proofErr w:type="spellStart"/>
      <w:r w:rsidRPr="00125FAF">
        <w:rPr>
          <w:rFonts w:ascii="Times New Roman" w:eastAsia="Times New Roman" w:hAnsi="Times New Roman" w:cs="Times New Roman"/>
          <w:color w:val="000000"/>
          <w:sz w:val="24"/>
          <w:szCs w:val="24"/>
          <w:lang w:eastAsia="ru-RU"/>
        </w:rPr>
        <w:t>şi</w:t>
      </w:r>
      <w:proofErr w:type="spellEnd"/>
      <w:r w:rsidRPr="00125FAF">
        <w:rPr>
          <w:rFonts w:ascii="Times New Roman" w:eastAsia="Times New Roman" w:hAnsi="Times New Roman" w:cs="Times New Roman"/>
          <w:color w:val="000000"/>
          <w:sz w:val="24"/>
          <w:szCs w:val="24"/>
          <w:lang w:eastAsia="ru-RU"/>
        </w:rPr>
        <w:t xml:space="preserve"> consumului de combustibili fosili, cu impact benefic asupra </w:t>
      </w:r>
      <w:proofErr w:type="spellStart"/>
      <w:r w:rsidRPr="00125FAF">
        <w:rPr>
          <w:rFonts w:ascii="Times New Roman" w:eastAsia="Times New Roman" w:hAnsi="Times New Roman" w:cs="Times New Roman"/>
          <w:color w:val="000000"/>
          <w:sz w:val="24"/>
          <w:szCs w:val="24"/>
          <w:lang w:eastAsia="ru-RU"/>
        </w:rPr>
        <w:t>securităţii</w:t>
      </w:r>
      <w:proofErr w:type="spellEnd"/>
      <w:r w:rsidRPr="00125FAF">
        <w:rPr>
          <w:rFonts w:ascii="Times New Roman" w:eastAsia="Times New Roman" w:hAnsi="Times New Roman" w:cs="Times New Roman"/>
          <w:color w:val="000000"/>
          <w:sz w:val="24"/>
          <w:szCs w:val="24"/>
          <w:lang w:eastAsia="ru-RU"/>
        </w:rPr>
        <w:t xml:space="preserve"> energetice a </w:t>
      </w:r>
      <w:proofErr w:type="spellStart"/>
      <w:r w:rsidRPr="00125FAF">
        <w:rPr>
          <w:rFonts w:ascii="Times New Roman" w:eastAsia="Times New Roman" w:hAnsi="Times New Roman" w:cs="Times New Roman"/>
          <w:color w:val="000000"/>
          <w:sz w:val="24"/>
          <w:szCs w:val="24"/>
          <w:lang w:eastAsia="ru-RU"/>
        </w:rPr>
        <w:t>ţării</w:t>
      </w:r>
      <w:proofErr w:type="spellEnd"/>
      <w:r w:rsidRPr="00125FAF">
        <w:rPr>
          <w:rFonts w:ascii="Times New Roman" w:eastAsia="Times New Roman" w:hAnsi="Times New Roman" w:cs="Times New Roman"/>
          <w:color w:val="000000"/>
          <w:sz w:val="24"/>
          <w:szCs w:val="24"/>
          <w:lang w:eastAsia="ru-RU"/>
        </w:rPr>
        <w:t>;</w:t>
      </w:r>
    </w:p>
    <w:p w14:paraId="2BC2194D" w14:textId="7D0D9D51" w:rsidR="0013147D" w:rsidRPr="00125FAF" w:rsidRDefault="0013147D" w:rsidP="003E24C5">
      <w:pPr>
        <w:pStyle w:val="Listparagraf"/>
        <w:numPr>
          <w:ilvl w:val="0"/>
          <w:numId w:val="4"/>
        </w:numPr>
        <w:tabs>
          <w:tab w:val="left" w:pos="1134"/>
        </w:tabs>
        <w:spacing w:after="0" w:line="240" w:lineRule="auto"/>
        <w:jc w:val="both"/>
        <w:textAlignment w:val="baseline"/>
        <w:rPr>
          <w:rFonts w:ascii="Times New Roman" w:eastAsia="Times New Roman" w:hAnsi="Times New Roman" w:cs="Times New Roman"/>
          <w:color w:val="000000"/>
          <w:sz w:val="24"/>
          <w:szCs w:val="24"/>
          <w:lang w:eastAsia="ru-RU"/>
        </w:rPr>
      </w:pPr>
      <w:r w:rsidRPr="00125FAF">
        <w:rPr>
          <w:rFonts w:ascii="Times New Roman" w:eastAsia="Times New Roman" w:hAnsi="Times New Roman" w:cs="Times New Roman"/>
          <w:color w:val="000000"/>
          <w:sz w:val="24"/>
          <w:szCs w:val="24"/>
          <w:lang w:eastAsia="ru-RU"/>
        </w:rPr>
        <w:t xml:space="preserve">Realizarea obiectivelor de dezvoltare durabilă a Strategiei </w:t>
      </w:r>
      <w:proofErr w:type="spellStart"/>
      <w:r w:rsidRPr="00125FAF">
        <w:rPr>
          <w:rFonts w:ascii="Times New Roman" w:eastAsia="Times New Roman" w:hAnsi="Times New Roman" w:cs="Times New Roman"/>
          <w:color w:val="000000"/>
          <w:sz w:val="24"/>
          <w:szCs w:val="24"/>
          <w:lang w:eastAsia="ru-RU"/>
        </w:rPr>
        <w:t>naţionale</w:t>
      </w:r>
      <w:proofErr w:type="spellEnd"/>
      <w:r w:rsidRPr="00125FAF">
        <w:rPr>
          <w:rFonts w:ascii="Times New Roman" w:eastAsia="Times New Roman" w:hAnsi="Times New Roman" w:cs="Times New Roman"/>
          <w:color w:val="000000"/>
          <w:sz w:val="24"/>
          <w:szCs w:val="24"/>
          <w:lang w:eastAsia="ru-RU"/>
        </w:rPr>
        <w:t xml:space="preserve"> de dezvoltare „Moldova 2030” la capitolul schimbarea climei, în special în ceia ce </w:t>
      </w:r>
      <w:proofErr w:type="spellStart"/>
      <w:r w:rsidRPr="00125FAF">
        <w:rPr>
          <w:rFonts w:ascii="Times New Roman" w:eastAsia="Times New Roman" w:hAnsi="Times New Roman" w:cs="Times New Roman"/>
          <w:color w:val="000000"/>
          <w:sz w:val="24"/>
          <w:szCs w:val="24"/>
          <w:lang w:eastAsia="ru-RU"/>
        </w:rPr>
        <w:t>priveşte</w:t>
      </w:r>
      <w:proofErr w:type="spellEnd"/>
      <w:r w:rsidRPr="00125FAF">
        <w:rPr>
          <w:rFonts w:ascii="Times New Roman" w:eastAsia="Times New Roman" w:hAnsi="Times New Roman" w:cs="Times New Roman"/>
          <w:color w:val="000000"/>
          <w:sz w:val="24"/>
          <w:szCs w:val="24"/>
          <w:lang w:eastAsia="ru-RU"/>
        </w:rPr>
        <w:t xml:space="preserve"> necesitatea</w:t>
      </w:r>
      <w:r w:rsidR="00E70219" w:rsidRPr="00125FAF">
        <w:rPr>
          <w:rFonts w:ascii="Times New Roman" w:eastAsia="Times New Roman" w:hAnsi="Times New Roman" w:cs="Times New Roman"/>
          <w:color w:val="000000"/>
          <w:sz w:val="24"/>
          <w:szCs w:val="24"/>
          <w:lang w:eastAsia="ru-RU"/>
        </w:rPr>
        <w:t xml:space="preserve"> </w:t>
      </w:r>
      <w:r w:rsidRPr="00125FAF">
        <w:rPr>
          <w:rFonts w:ascii="Times New Roman" w:eastAsia="Times New Roman" w:hAnsi="Times New Roman" w:cs="Times New Roman"/>
          <w:color w:val="000000"/>
          <w:sz w:val="24"/>
          <w:szCs w:val="24"/>
          <w:lang w:eastAsia="ru-RU"/>
        </w:rPr>
        <w:t>promovării măsurilor de atenuare a emisiilor de GES;</w:t>
      </w:r>
    </w:p>
    <w:p w14:paraId="50517BCF" w14:textId="5643E8CF" w:rsidR="0013147D" w:rsidRPr="00125FAF" w:rsidRDefault="0013147D" w:rsidP="003E24C5">
      <w:pPr>
        <w:pStyle w:val="Listparagraf"/>
        <w:numPr>
          <w:ilvl w:val="0"/>
          <w:numId w:val="4"/>
        </w:numPr>
        <w:tabs>
          <w:tab w:val="left" w:pos="1134"/>
        </w:tabs>
        <w:spacing w:after="0" w:line="240" w:lineRule="auto"/>
        <w:jc w:val="both"/>
        <w:textAlignment w:val="baseline"/>
        <w:rPr>
          <w:rFonts w:ascii="Times New Roman" w:eastAsia="Times New Roman" w:hAnsi="Times New Roman" w:cs="Times New Roman"/>
          <w:color w:val="000000"/>
          <w:sz w:val="24"/>
          <w:szCs w:val="24"/>
          <w:lang w:eastAsia="ru-RU"/>
        </w:rPr>
      </w:pPr>
      <w:r w:rsidRPr="00125FAF">
        <w:rPr>
          <w:rFonts w:ascii="Times New Roman" w:eastAsia="Times New Roman" w:hAnsi="Times New Roman" w:cs="Times New Roman"/>
          <w:color w:val="000000"/>
          <w:sz w:val="24"/>
          <w:szCs w:val="24"/>
          <w:lang w:eastAsia="ru-RU"/>
        </w:rPr>
        <w:t xml:space="preserve">Îmbunătățirea calității mediului și, respectiv, a </w:t>
      </w:r>
      <w:r w:rsidR="00C074BC" w:rsidRPr="00125FAF">
        <w:rPr>
          <w:rFonts w:ascii="Times New Roman" w:eastAsia="Times New Roman" w:hAnsi="Times New Roman" w:cs="Times New Roman"/>
          <w:color w:val="000000"/>
          <w:sz w:val="24"/>
          <w:szCs w:val="24"/>
          <w:lang w:eastAsia="ru-RU"/>
        </w:rPr>
        <w:t xml:space="preserve">sănătății și a </w:t>
      </w:r>
      <w:r w:rsidRPr="00125FAF">
        <w:rPr>
          <w:rFonts w:ascii="Times New Roman" w:eastAsia="Times New Roman" w:hAnsi="Times New Roman" w:cs="Times New Roman"/>
          <w:color w:val="000000"/>
          <w:sz w:val="24"/>
          <w:szCs w:val="24"/>
          <w:lang w:eastAsia="ru-RU"/>
        </w:rPr>
        <w:t xml:space="preserve">nivelului de trai al populației Republicii Moldova, drept urmare a promovării măsurilor și principiilor economiei verzi </w:t>
      </w:r>
      <w:r w:rsidRPr="00125FAF">
        <w:rPr>
          <w:rFonts w:ascii="Times New Roman" w:eastAsia="Times New Roman" w:hAnsi="Times New Roman" w:cs="Times New Roman"/>
          <w:color w:val="000000"/>
          <w:sz w:val="24"/>
          <w:szCs w:val="24"/>
          <w:lang w:eastAsia="ru-RU"/>
        </w:rPr>
        <w:lastRenderedPageBreak/>
        <w:t>în procesele de producție din ramurile economiei naționale. Acest mod de dezvoltare va spori procesul de decuplare a creșterii economice de degradarea mediului;</w:t>
      </w:r>
    </w:p>
    <w:p w14:paraId="6107900F" w14:textId="77777777" w:rsidR="0013147D" w:rsidRPr="00125FAF" w:rsidRDefault="0013147D" w:rsidP="003E24C5">
      <w:pPr>
        <w:numPr>
          <w:ilvl w:val="0"/>
          <w:numId w:val="4"/>
        </w:numPr>
        <w:tabs>
          <w:tab w:val="left" w:pos="1134"/>
        </w:tabs>
        <w:spacing w:after="0" w:line="240" w:lineRule="auto"/>
        <w:contextualSpacing/>
        <w:jc w:val="both"/>
        <w:textAlignment w:val="baseline"/>
        <w:rPr>
          <w:rFonts w:ascii="Times New Roman" w:eastAsia="Times New Roman" w:hAnsi="Times New Roman" w:cs="Times New Roman"/>
          <w:color w:val="000000"/>
          <w:sz w:val="24"/>
          <w:szCs w:val="24"/>
          <w:lang w:eastAsia="ru-RU"/>
        </w:rPr>
      </w:pPr>
      <w:r w:rsidRPr="00125FAF">
        <w:rPr>
          <w:rFonts w:ascii="Times New Roman" w:eastAsia="Times New Roman" w:hAnsi="Times New Roman" w:cs="Times New Roman"/>
          <w:color w:val="000000"/>
          <w:sz w:val="24"/>
          <w:szCs w:val="24"/>
          <w:shd w:val="clear" w:color="auto" w:fill="FFFFFF"/>
          <w:lang w:eastAsia="ru-RU"/>
        </w:rPr>
        <w:t xml:space="preserve">Deschiderea accesului la </w:t>
      </w:r>
      <w:proofErr w:type="spellStart"/>
      <w:r w:rsidRPr="00125FAF">
        <w:rPr>
          <w:rFonts w:ascii="Times New Roman" w:eastAsia="Times New Roman" w:hAnsi="Times New Roman" w:cs="Times New Roman"/>
          <w:color w:val="000000"/>
          <w:sz w:val="24"/>
          <w:szCs w:val="24"/>
          <w:shd w:val="clear" w:color="auto" w:fill="FFFFFF"/>
          <w:lang w:eastAsia="ru-RU"/>
        </w:rPr>
        <w:t>finanţarea</w:t>
      </w:r>
      <w:proofErr w:type="spellEnd"/>
      <w:r w:rsidRPr="00125FAF">
        <w:rPr>
          <w:rFonts w:ascii="Times New Roman" w:eastAsia="Times New Roman" w:hAnsi="Times New Roman" w:cs="Times New Roman"/>
          <w:color w:val="000000"/>
          <w:sz w:val="24"/>
          <w:szCs w:val="24"/>
          <w:shd w:val="clear" w:color="auto" w:fill="FFFFFF"/>
          <w:lang w:eastAsia="ru-RU"/>
        </w:rPr>
        <w:t xml:space="preserve"> pe termen lung a </w:t>
      </w:r>
      <w:proofErr w:type="spellStart"/>
      <w:r w:rsidRPr="00125FAF">
        <w:rPr>
          <w:rFonts w:ascii="Times New Roman" w:eastAsia="Times New Roman" w:hAnsi="Times New Roman" w:cs="Times New Roman"/>
          <w:color w:val="000000"/>
          <w:sz w:val="24"/>
          <w:szCs w:val="24"/>
          <w:shd w:val="clear" w:color="auto" w:fill="FFFFFF"/>
          <w:lang w:eastAsia="ru-RU"/>
        </w:rPr>
        <w:t>acţiunilor</w:t>
      </w:r>
      <w:proofErr w:type="spellEnd"/>
      <w:r w:rsidRPr="00125FAF">
        <w:rPr>
          <w:rFonts w:ascii="Times New Roman" w:eastAsia="Times New Roman" w:hAnsi="Times New Roman" w:cs="Times New Roman"/>
          <w:color w:val="000000"/>
          <w:sz w:val="24"/>
          <w:szCs w:val="24"/>
          <w:shd w:val="clear" w:color="auto" w:fill="FFFFFF"/>
          <w:lang w:eastAsia="ru-RU"/>
        </w:rPr>
        <w:t xml:space="preserve"> </w:t>
      </w:r>
      <w:proofErr w:type="spellStart"/>
      <w:r w:rsidRPr="00125FAF">
        <w:rPr>
          <w:rFonts w:ascii="Times New Roman" w:eastAsia="Times New Roman" w:hAnsi="Times New Roman" w:cs="Times New Roman"/>
          <w:color w:val="000000"/>
          <w:sz w:val="24"/>
          <w:szCs w:val="24"/>
          <w:shd w:val="clear" w:color="auto" w:fill="FFFFFF"/>
          <w:lang w:eastAsia="ru-RU"/>
        </w:rPr>
        <w:t>condiţionate</w:t>
      </w:r>
      <w:proofErr w:type="spellEnd"/>
      <w:r w:rsidRPr="00125FAF">
        <w:rPr>
          <w:rFonts w:ascii="Times New Roman" w:eastAsia="Times New Roman" w:hAnsi="Times New Roman" w:cs="Times New Roman"/>
          <w:color w:val="000000"/>
          <w:sz w:val="24"/>
          <w:szCs w:val="24"/>
          <w:shd w:val="clear" w:color="auto" w:fill="FFFFFF"/>
          <w:lang w:eastAsia="ru-RU"/>
        </w:rPr>
        <w:t xml:space="preserve">, </w:t>
      </w:r>
      <w:r w:rsidRPr="00125FAF">
        <w:rPr>
          <w:rFonts w:ascii="Times New Roman" w:eastAsia="Times New Roman" w:hAnsi="Times New Roman" w:cs="Times New Roman"/>
          <w:color w:val="000000"/>
          <w:sz w:val="24"/>
          <w:szCs w:val="24"/>
          <w:lang w:eastAsia="ru-RU"/>
        </w:rPr>
        <w:t xml:space="preserve">inclusiv pentru a pregăti studii de fezabilitate, evaluări tehnice </w:t>
      </w:r>
      <w:proofErr w:type="spellStart"/>
      <w:r w:rsidRPr="00125FAF">
        <w:rPr>
          <w:rFonts w:ascii="Times New Roman" w:eastAsia="Times New Roman" w:hAnsi="Times New Roman" w:cs="Times New Roman"/>
          <w:color w:val="000000"/>
          <w:sz w:val="24"/>
          <w:szCs w:val="24"/>
          <w:lang w:eastAsia="ru-RU"/>
        </w:rPr>
        <w:t>şi</w:t>
      </w:r>
      <w:proofErr w:type="spellEnd"/>
      <w:r w:rsidRPr="00125FAF">
        <w:rPr>
          <w:rFonts w:ascii="Times New Roman" w:eastAsia="Times New Roman" w:hAnsi="Times New Roman" w:cs="Times New Roman"/>
          <w:color w:val="000000"/>
          <w:sz w:val="24"/>
          <w:szCs w:val="24"/>
          <w:lang w:eastAsia="ru-RU"/>
        </w:rPr>
        <w:t xml:space="preserve"> </w:t>
      </w:r>
      <w:proofErr w:type="spellStart"/>
      <w:r w:rsidRPr="00125FAF">
        <w:rPr>
          <w:rFonts w:ascii="Times New Roman" w:eastAsia="Times New Roman" w:hAnsi="Times New Roman" w:cs="Times New Roman"/>
          <w:color w:val="000000"/>
          <w:sz w:val="24"/>
          <w:szCs w:val="24"/>
          <w:lang w:eastAsia="ru-RU"/>
        </w:rPr>
        <w:t>documentaţia</w:t>
      </w:r>
      <w:proofErr w:type="spellEnd"/>
      <w:r w:rsidRPr="00125FAF">
        <w:rPr>
          <w:rFonts w:ascii="Times New Roman" w:eastAsia="Times New Roman" w:hAnsi="Times New Roman" w:cs="Times New Roman"/>
          <w:color w:val="000000"/>
          <w:sz w:val="24"/>
          <w:szCs w:val="24"/>
          <w:lang w:eastAsia="ru-RU"/>
        </w:rPr>
        <w:t xml:space="preserve"> de proiect pentru </w:t>
      </w:r>
      <w:proofErr w:type="spellStart"/>
      <w:r w:rsidRPr="00125FAF">
        <w:rPr>
          <w:rFonts w:ascii="Times New Roman" w:eastAsia="Times New Roman" w:hAnsi="Times New Roman" w:cs="Times New Roman"/>
          <w:color w:val="000000"/>
          <w:sz w:val="24"/>
          <w:szCs w:val="24"/>
          <w:lang w:eastAsia="ru-RU"/>
        </w:rPr>
        <w:t>acţiunile</w:t>
      </w:r>
      <w:proofErr w:type="spellEnd"/>
      <w:r w:rsidRPr="00125FAF">
        <w:rPr>
          <w:rFonts w:ascii="Times New Roman" w:eastAsia="Times New Roman" w:hAnsi="Times New Roman" w:cs="Times New Roman"/>
          <w:color w:val="000000"/>
          <w:sz w:val="24"/>
          <w:szCs w:val="24"/>
          <w:lang w:eastAsia="ru-RU"/>
        </w:rPr>
        <w:t xml:space="preserve"> prioritare</w:t>
      </w:r>
      <w:r w:rsidRPr="00125FAF">
        <w:rPr>
          <w:rFonts w:ascii="Times New Roman" w:eastAsia="Times New Roman" w:hAnsi="Times New Roman" w:cs="Times New Roman"/>
          <w:color w:val="000000"/>
          <w:sz w:val="24"/>
          <w:szCs w:val="24"/>
          <w:shd w:val="clear" w:color="auto" w:fill="FFFFFF"/>
          <w:lang w:eastAsia="ru-RU"/>
        </w:rPr>
        <w:t xml:space="preserve"> </w:t>
      </w:r>
      <w:r w:rsidRPr="00125FAF">
        <w:rPr>
          <w:rFonts w:ascii="Times New Roman" w:eastAsia="Times New Roman" w:hAnsi="Times New Roman" w:cs="Times New Roman"/>
          <w:color w:val="000000"/>
          <w:sz w:val="24"/>
          <w:szCs w:val="24"/>
          <w:lang w:eastAsia="ru-RU"/>
        </w:rPr>
        <w:t xml:space="preserve">de atenuare adecvate la nivel </w:t>
      </w:r>
      <w:proofErr w:type="spellStart"/>
      <w:r w:rsidRPr="00125FAF">
        <w:rPr>
          <w:rFonts w:ascii="Times New Roman" w:eastAsia="Times New Roman" w:hAnsi="Times New Roman" w:cs="Times New Roman"/>
          <w:color w:val="000000"/>
          <w:sz w:val="24"/>
          <w:szCs w:val="24"/>
          <w:lang w:eastAsia="ru-RU"/>
        </w:rPr>
        <w:t>naţional</w:t>
      </w:r>
      <w:proofErr w:type="spellEnd"/>
      <w:r w:rsidRPr="00125FAF">
        <w:rPr>
          <w:rFonts w:ascii="Times New Roman" w:eastAsia="Times New Roman" w:hAnsi="Times New Roman" w:cs="Times New Roman"/>
          <w:color w:val="000000"/>
          <w:sz w:val="24"/>
          <w:szCs w:val="24"/>
          <w:lang w:eastAsia="ru-RU"/>
        </w:rPr>
        <w:t>;</w:t>
      </w:r>
    </w:p>
    <w:p w14:paraId="7A2E83CF" w14:textId="77777777" w:rsidR="0013147D" w:rsidRPr="00125FAF" w:rsidRDefault="0013147D" w:rsidP="003E24C5">
      <w:pPr>
        <w:numPr>
          <w:ilvl w:val="0"/>
          <w:numId w:val="4"/>
        </w:numPr>
        <w:tabs>
          <w:tab w:val="left" w:pos="1134"/>
        </w:tabs>
        <w:spacing w:after="0" w:line="240" w:lineRule="auto"/>
        <w:contextualSpacing/>
        <w:jc w:val="both"/>
        <w:textAlignment w:val="baseline"/>
        <w:rPr>
          <w:rFonts w:ascii="Times New Roman" w:eastAsia="Times New Roman" w:hAnsi="Times New Roman" w:cs="Times New Roman"/>
          <w:color w:val="000000"/>
          <w:sz w:val="24"/>
          <w:szCs w:val="24"/>
          <w:lang w:eastAsia="ru-RU"/>
        </w:rPr>
      </w:pPr>
      <w:r w:rsidRPr="00125FAF">
        <w:rPr>
          <w:rFonts w:ascii="Times New Roman" w:eastAsia="Times New Roman" w:hAnsi="Times New Roman" w:cs="Times New Roman"/>
          <w:color w:val="000000"/>
          <w:sz w:val="24"/>
          <w:szCs w:val="24"/>
          <w:shd w:val="clear" w:color="auto" w:fill="FFFFFF"/>
          <w:lang w:eastAsia="ru-RU"/>
        </w:rPr>
        <w:t xml:space="preserve">Republica Moldova va deveni eligibilă pentru </w:t>
      </w:r>
      <w:proofErr w:type="spellStart"/>
      <w:r w:rsidRPr="00125FAF">
        <w:rPr>
          <w:rFonts w:ascii="Times New Roman" w:eastAsia="Times New Roman" w:hAnsi="Times New Roman" w:cs="Times New Roman"/>
          <w:color w:val="000000"/>
          <w:sz w:val="24"/>
          <w:szCs w:val="24"/>
          <w:shd w:val="clear" w:color="auto" w:fill="FFFFFF"/>
          <w:lang w:eastAsia="ru-RU"/>
        </w:rPr>
        <w:t>finanţare</w:t>
      </w:r>
      <w:proofErr w:type="spellEnd"/>
      <w:r w:rsidRPr="00125FAF">
        <w:rPr>
          <w:rFonts w:ascii="Times New Roman" w:eastAsia="Times New Roman" w:hAnsi="Times New Roman" w:cs="Times New Roman"/>
          <w:color w:val="000000"/>
          <w:sz w:val="24"/>
          <w:szCs w:val="24"/>
          <w:shd w:val="clear" w:color="auto" w:fill="FFFFFF"/>
          <w:lang w:eastAsia="ru-RU"/>
        </w:rPr>
        <w:t xml:space="preserve"> din fondurile </w:t>
      </w:r>
      <w:proofErr w:type="spellStart"/>
      <w:r w:rsidRPr="00125FAF">
        <w:rPr>
          <w:rFonts w:ascii="Times New Roman" w:eastAsia="Times New Roman" w:hAnsi="Times New Roman" w:cs="Times New Roman"/>
          <w:color w:val="000000"/>
          <w:sz w:val="24"/>
          <w:szCs w:val="24"/>
          <w:shd w:val="clear" w:color="auto" w:fill="FFFFFF"/>
          <w:lang w:eastAsia="ru-RU"/>
        </w:rPr>
        <w:t>internaţionale</w:t>
      </w:r>
      <w:proofErr w:type="spellEnd"/>
      <w:r w:rsidRPr="00125FAF">
        <w:rPr>
          <w:rFonts w:ascii="Times New Roman" w:eastAsia="Times New Roman" w:hAnsi="Times New Roman" w:cs="Times New Roman"/>
          <w:color w:val="000000"/>
          <w:sz w:val="24"/>
          <w:szCs w:val="24"/>
          <w:shd w:val="clear" w:color="auto" w:fill="FFFFFF"/>
          <w:lang w:eastAsia="ru-RU"/>
        </w:rPr>
        <w:t xml:space="preserve"> destinate reducerii emisiilor de gaze cu efect de seră (Fondul Verde pentru Climă, Fondul Strategic pentru Climă etc.), mărind astfel fluxul de </w:t>
      </w:r>
      <w:proofErr w:type="spellStart"/>
      <w:r w:rsidRPr="00125FAF">
        <w:rPr>
          <w:rFonts w:ascii="Times New Roman" w:eastAsia="Times New Roman" w:hAnsi="Times New Roman" w:cs="Times New Roman"/>
          <w:color w:val="000000"/>
          <w:sz w:val="24"/>
          <w:szCs w:val="24"/>
          <w:shd w:val="clear" w:color="auto" w:fill="FFFFFF"/>
          <w:lang w:eastAsia="ru-RU"/>
        </w:rPr>
        <w:t>investiţii</w:t>
      </w:r>
      <w:proofErr w:type="spellEnd"/>
      <w:r w:rsidRPr="00125FAF">
        <w:rPr>
          <w:rFonts w:ascii="Times New Roman" w:eastAsia="Times New Roman" w:hAnsi="Times New Roman" w:cs="Times New Roman"/>
          <w:color w:val="000000"/>
          <w:sz w:val="24"/>
          <w:szCs w:val="24"/>
          <w:shd w:val="clear" w:color="auto" w:fill="FFFFFF"/>
          <w:lang w:eastAsia="ru-RU"/>
        </w:rPr>
        <w:t xml:space="preserve"> externe, diminuând riscul </w:t>
      </w:r>
      <w:proofErr w:type="spellStart"/>
      <w:r w:rsidRPr="00125FAF">
        <w:rPr>
          <w:rFonts w:ascii="Times New Roman" w:eastAsia="Times New Roman" w:hAnsi="Times New Roman" w:cs="Times New Roman"/>
          <w:color w:val="000000"/>
          <w:sz w:val="24"/>
          <w:szCs w:val="24"/>
          <w:shd w:val="clear" w:color="auto" w:fill="FFFFFF"/>
          <w:lang w:eastAsia="ru-RU"/>
        </w:rPr>
        <w:t>investiţional</w:t>
      </w:r>
      <w:proofErr w:type="spellEnd"/>
      <w:r w:rsidRPr="00125FAF">
        <w:rPr>
          <w:rFonts w:ascii="Times New Roman" w:eastAsia="Times New Roman" w:hAnsi="Times New Roman" w:cs="Times New Roman"/>
          <w:color w:val="000000"/>
          <w:sz w:val="24"/>
          <w:szCs w:val="24"/>
          <w:shd w:val="clear" w:color="auto" w:fill="FFFFFF"/>
          <w:lang w:eastAsia="ru-RU"/>
        </w:rPr>
        <w:t xml:space="preserve">, echilibrând </w:t>
      </w:r>
      <w:proofErr w:type="spellStart"/>
      <w:r w:rsidRPr="00125FAF">
        <w:rPr>
          <w:rFonts w:ascii="Times New Roman" w:eastAsia="Times New Roman" w:hAnsi="Times New Roman" w:cs="Times New Roman"/>
          <w:color w:val="000000"/>
          <w:sz w:val="24"/>
          <w:szCs w:val="24"/>
          <w:shd w:val="clear" w:color="auto" w:fill="FFFFFF"/>
          <w:lang w:eastAsia="ru-RU"/>
        </w:rPr>
        <w:t>finanţarea</w:t>
      </w:r>
      <w:proofErr w:type="spellEnd"/>
      <w:r w:rsidRPr="00125FAF">
        <w:rPr>
          <w:rFonts w:ascii="Times New Roman" w:eastAsia="Times New Roman" w:hAnsi="Times New Roman" w:cs="Times New Roman"/>
          <w:color w:val="000000"/>
          <w:sz w:val="24"/>
          <w:szCs w:val="24"/>
          <w:shd w:val="clear" w:color="auto" w:fill="FFFFFF"/>
          <w:lang w:eastAsia="ru-RU"/>
        </w:rPr>
        <w:t xml:space="preserve"> din partea sectorului privat </w:t>
      </w:r>
      <w:proofErr w:type="spellStart"/>
      <w:r w:rsidRPr="00125FAF">
        <w:rPr>
          <w:rFonts w:ascii="Times New Roman" w:eastAsia="Times New Roman" w:hAnsi="Times New Roman" w:cs="Times New Roman"/>
          <w:color w:val="000000"/>
          <w:sz w:val="24"/>
          <w:szCs w:val="24"/>
          <w:shd w:val="clear" w:color="auto" w:fill="FFFFFF"/>
          <w:lang w:eastAsia="ru-RU"/>
        </w:rPr>
        <w:t>şi</w:t>
      </w:r>
      <w:proofErr w:type="spellEnd"/>
      <w:r w:rsidRPr="00125FAF">
        <w:rPr>
          <w:rFonts w:ascii="Times New Roman" w:eastAsia="Times New Roman" w:hAnsi="Times New Roman" w:cs="Times New Roman"/>
          <w:color w:val="000000"/>
          <w:sz w:val="24"/>
          <w:szCs w:val="24"/>
          <w:shd w:val="clear" w:color="auto" w:fill="FFFFFF"/>
          <w:lang w:eastAsia="ru-RU"/>
        </w:rPr>
        <w:t xml:space="preserve"> reducând semnificativ costul proiectelor;</w:t>
      </w:r>
    </w:p>
    <w:p w14:paraId="65839FC5" w14:textId="77777777" w:rsidR="0013147D" w:rsidRPr="00125FAF" w:rsidRDefault="0013147D" w:rsidP="003E24C5">
      <w:pPr>
        <w:numPr>
          <w:ilvl w:val="0"/>
          <w:numId w:val="4"/>
        </w:numPr>
        <w:tabs>
          <w:tab w:val="left" w:pos="1134"/>
        </w:tabs>
        <w:spacing w:after="0" w:line="240" w:lineRule="auto"/>
        <w:contextualSpacing/>
        <w:jc w:val="both"/>
        <w:textAlignment w:val="baseline"/>
        <w:rPr>
          <w:rFonts w:ascii="Times New Roman" w:eastAsia="Times New Roman" w:hAnsi="Times New Roman" w:cs="Times New Roman"/>
          <w:color w:val="000000"/>
          <w:sz w:val="24"/>
          <w:szCs w:val="24"/>
          <w:lang w:eastAsia="ru-RU"/>
        </w:rPr>
      </w:pPr>
      <w:r w:rsidRPr="00125FAF">
        <w:rPr>
          <w:rFonts w:ascii="Times New Roman" w:eastAsia="Times New Roman" w:hAnsi="Times New Roman" w:cs="Times New Roman"/>
          <w:color w:val="000000"/>
          <w:sz w:val="24"/>
          <w:szCs w:val="24"/>
          <w:shd w:val="clear" w:color="auto" w:fill="FFFFFF"/>
          <w:lang w:eastAsia="ru-RU"/>
        </w:rPr>
        <w:t xml:space="preserve">Se vor intensifica </w:t>
      </w:r>
      <w:proofErr w:type="spellStart"/>
      <w:r w:rsidRPr="00125FAF">
        <w:rPr>
          <w:rFonts w:ascii="Times New Roman" w:eastAsia="Times New Roman" w:hAnsi="Times New Roman" w:cs="Times New Roman"/>
          <w:color w:val="000000"/>
          <w:sz w:val="24"/>
          <w:szCs w:val="24"/>
          <w:shd w:val="clear" w:color="auto" w:fill="FFFFFF"/>
          <w:lang w:eastAsia="ru-RU"/>
        </w:rPr>
        <w:t>relaţiile</w:t>
      </w:r>
      <w:proofErr w:type="spellEnd"/>
      <w:r w:rsidRPr="00125FAF">
        <w:rPr>
          <w:rFonts w:ascii="Times New Roman" w:eastAsia="Times New Roman" w:hAnsi="Times New Roman" w:cs="Times New Roman"/>
          <w:color w:val="000000"/>
          <w:sz w:val="24"/>
          <w:szCs w:val="24"/>
          <w:shd w:val="clear" w:color="auto" w:fill="FFFFFF"/>
          <w:lang w:eastAsia="ru-RU"/>
        </w:rPr>
        <w:t xml:space="preserve"> de colaborare bilaterală dintre Uniunea Europeană, Comunitatea Energetică </w:t>
      </w:r>
      <w:proofErr w:type="spellStart"/>
      <w:r w:rsidRPr="00125FAF">
        <w:rPr>
          <w:rFonts w:ascii="Times New Roman" w:eastAsia="Times New Roman" w:hAnsi="Times New Roman" w:cs="Times New Roman"/>
          <w:color w:val="000000"/>
          <w:sz w:val="24"/>
          <w:szCs w:val="24"/>
          <w:shd w:val="clear" w:color="auto" w:fill="FFFFFF"/>
          <w:lang w:eastAsia="ru-RU"/>
        </w:rPr>
        <w:t>şi</w:t>
      </w:r>
      <w:proofErr w:type="spellEnd"/>
      <w:r w:rsidRPr="00125FAF">
        <w:rPr>
          <w:rFonts w:ascii="Times New Roman" w:eastAsia="Times New Roman" w:hAnsi="Times New Roman" w:cs="Times New Roman"/>
          <w:color w:val="000000"/>
          <w:sz w:val="24"/>
          <w:szCs w:val="24"/>
          <w:shd w:val="clear" w:color="auto" w:fill="FFFFFF"/>
          <w:lang w:eastAsia="ru-RU"/>
        </w:rPr>
        <w:t xml:space="preserve"> Republica Moldova, sporindu-se </w:t>
      </w:r>
      <w:proofErr w:type="spellStart"/>
      <w:r w:rsidRPr="00125FAF">
        <w:rPr>
          <w:rFonts w:ascii="Times New Roman" w:eastAsia="Times New Roman" w:hAnsi="Times New Roman" w:cs="Times New Roman"/>
          <w:color w:val="000000"/>
          <w:sz w:val="24"/>
          <w:szCs w:val="24"/>
          <w:shd w:val="clear" w:color="auto" w:fill="FFFFFF"/>
          <w:lang w:eastAsia="ru-RU"/>
        </w:rPr>
        <w:t>posibilităţile</w:t>
      </w:r>
      <w:proofErr w:type="spellEnd"/>
      <w:r w:rsidRPr="00125FAF">
        <w:rPr>
          <w:rFonts w:ascii="Times New Roman" w:eastAsia="Times New Roman" w:hAnsi="Times New Roman" w:cs="Times New Roman"/>
          <w:color w:val="000000"/>
          <w:sz w:val="24"/>
          <w:szCs w:val="24"/>
          <w:shd w:val="clear" w:color="auto" w:fill="FFFFFF"/>
          <w:lang w:eastAsia="ru-RU"/>
        </w:rPr>
        <w:t xml:space="preserve"> de accesare a </w:t>
      </w:r>
      <w:proofErr w:type="spellStart"/>
      <w:r w:rsidRPr="00125FAF">
        <w:rPr>
          <w:rFonts w:ascii="Times New Roman" w:eastAsia="Times New Roman" w:hAnsi="Times New Roman" w:cs="Times New Roman"/>
          <w:color w:val="000000"/>
          <w:sz w:val="24"/>
          <w:szCs w:val="24"/>
          <w:shd w:val="clear" w:color="auto" w:fill="FFFFFF"/>
          <w:lang w:eastAsia="ru-RU"/>
        </w:rPr>
        <w:t>finanţării</w:t>
      </w:r>
      <w:proofErr w:type="spellEnd"/>
      <w:r w:rsidRPr="00125FAF">
        <w:rPr>
          <w:rFonts w:ascii="Times New Roman" w:eastAsia="Times New Roman" w:hAnsi="Times New Roman" w:cs="Times New Roman"/>
          <w:color w:val="000000"/>
          <w:sz w:val="24"/>
          <w:szCs w:val="24"/>
          <w:shd w:val="clear" w:color="auto" w:fill="FFFFFF"/>
          <w:lang w:eastAsia="ru-RU"/>
        </w:rPr>
        <w:t xml:space="preserve"> de la statele membre UE prin mecanismul de </w:t>
      </w:r>
      <w:proofErr w:type="spellStart"/>
      <w:r w:rsidRPr="00125FAF">
        <w:rPr>
          <w:rFonts w:ascii="Times New Roman" w:eastAsia="Times New Roman" w:hAnsi="Times New Roman" w:cs="Times New Roman"/>
          <w:color w:val="000000"/>
          <w:sz w:val="24"/>
          <w:szCs w:val="24"/>
          <w:shd w:val="clear" w:color="auto" w:fill="FFFFFF"/>
          <w:lang w:eastAsia="ru-RU"/>
        </w:rPr>
        <w:t>finanţare</w:t>
      </w:r>
      <w:proofErr w:type="spellEnd"/>
      <w:r w:rsidRPr="00125FAF">
        <w:rPr>
          <w:rFonts w:ascii="Times New Roman" w:eastAsia="Times New Roman" w:hAnsi="Times New Roman" w:cs="Times New Roman"/>
          <w:color w:val="000000"/>
          <w:sz w:val="24"/>
          <w:szCs w:val="24"/>
          <w:shd w:val="clear" w:color="auto" w:fill="FFFFFF"/>
          <w:lang w:eastAsia="ru-RU"/>
        </w:rPr>
        <w:t xml:space="preserve"> rapidă, precum </w:t>
      </w:r>
      <w:proofErr w:type="spellStart"/>
      <w:r w:rsidRPr="00125FAF">
        <w:rPr>
          <w:rFonts w:ascii="Times New Roman" w:eastAsia="Times New Roman" w:hAnsi="Times New Roman" w:cs="Times New Roman"/>
          <w:color w:val="000000"/>
          <w:sz w:val="24"/>
          <w:szCs w:val="24"/>
          <w:shd w:val="clear" w:color="auto" w:fill="FFFFFF"/>
          <w:lang w:eastAsia="ru-RU"/>
        </w:rPr>
        <w:t>şi</w:t>
      </w:r>
      <w:proofErr w:type="spellEnd"/>
      <w:r w:rsidRPr="00125FAF">
        <w:rPr>
          <w:rFonts w:ascii="Times New Roman" w:eastAsia="Times New Roman" w:hAnsi="Times New Roman" w:cs="Times New Roman"/>
          <w:color w:val="000000"/>
          <w:sz w:val="24"/>
          <w:szCs w:val="24"/>
          <w:shd w:val="clear" w:color="auto" w:fill="FFFFFF"/>
          <w:lang w:eastAsia="ru-RU"/>
        </w:rPr>
        <w:t xml:space="preserve"> din fondurile climatice gestionate de UE;</w:t>
      </w:r>
    </w:p>
    <w:p w14:paraId="05954746" w14:textId="77777777" w:rsidR="0013147D" w:rsidRPr="00125FAF" w:rsidRDefault="0013147D" w:rsidP="003E24C5">
      <w:pPr>
        <w:numPr>
          <w:ilvl w:val="0"/>
          <w:numId w:val="4"/>
        </w:numPr>
        <w:tabs>
          <w:tab w:val="left" w:pos="1134"/>
        </w:tabs>
        <w:spacing w:after="0" w:line="240" w:lineRule="auto"/>
        <w:contextualSpacing/>
        <w:jc w:val="both"/>
        <w:textAlignment w:val="baseline"/>
        <w:rPr>
          <w:rFonts w:ascii="Times New Roman" w:eastAsia="Times New Roman" w:hAnsi="Times New Roman" w:cs="Times New Roman"/>
          <w:color w:val="000000"/>
          <w:sz w:val="24"/>
          <w:szCs w:val="24"/>
          <w:lang w:eastAsia="ru-RU"/>
        </w:rPr>
      </w:pPr>
      <w:r w:rsidRPr="00125FAF">
        <w:rPr>
          <w:rFonts w:ascii="Times New Roman" w:eastAsia="Times New Roman" w:hAnsi="Times New Roman" w:cs="Times New Roman"/>
          <w:color w:val="000000"/>
          <w:sz w:val="24"/>
          <w:szCs w:val="24"/>
          <w:lang w:eastAsia="ru-RU"/>
        </w:rPr>
        <w:t>Resursele Fondului Global pentru Mediu vor deveni mai accesibile pentru proiectele care vizează atenuarea fenomenului schimbărilor climatice;</w:t>
      </w:r>
    </w:p>
    <w:p w14:paraId="4ADC01D3" w14:textId="77777777" w:rsidR="0013147D" w:rsidRPr="00125FAF" w:rsidRDefault="0013147D" w:rsidP="003E24C5">
      <w:pPr>
        <w:numPr>
          <w:ilvl w:val="0"/>
          <w:numId w:val="4"/>
        </w:numPr>
        <w:tabs>
          <w:tab w:val="left" w:pos="1134"/>
        </w:tabs>
        <w:spacing w:after="0" w:line="240" w:lineRule="auto"/>
        <w:contextualSpacing/>
        <w:jc w:val="both"/>
        <w:textAlignment w:val="baseline"/>
        <w:rPr>
          <w:rFonts w:ascii="Times New Roman" w:eastAsia="Times New Roman" w:hAnsi="Times New Roman" w:cs="Times New Roman"/>
          <w:color w:val="000000"/>
          <w:sz w:val="24"/>
          <w:szCs w:val="24"/>
          <w:lang w:eastAsia="ru-RU"/>
        </w:rPr>
      </w:pPr>
      <w:proofErr w:type="spellStart"/>
      <w:r w:rsidRPr="00125FAF">
        <w:rPr>
          <w:rFonts w:ascii="Times New Roman" w:eastAsia="Times New Roman" w:hAnsi="Times New Roman" w:cs="Times New Roman"/>
          <w:color w:val="000000"/>
          <w:sz w:val="24"/>
          <w:szCs w:val="24"/>
          <w:lang w:eastAsia="ru-RU"/>
        </w:rPr>
        <w:t>Obţinerea</w:t>
      </w:r>
      <w:proofErr w:type="spellEnd"/>
      <w:r w:rsidRPr="00125FAF">
        <w:rPr>
          <w:rFonts w:ascii="Times New Roman" w:eastAsia="Times New Roman" w:hAnsi="Times New Roman" w:cs="Times New Roman"/>
          <w:color w:val="000000"/>
          <w:sz w:val="24"/>
          <w:szCs w:val="24"/>
          <w:lang w:eastAsia="ru-RU"/>
        </w:rPr>
        <w:t xml:space="preserve"> suportului pentru extinderea </w:t>
      </w:r>
      <w:proofErr w:type="spellStart"/>
      <w:r w:rsidRPr="00125FAF">
        <w:rPr>
          <w:rFonts w:ascii="Times New Roman" w:eastAsia="Times New Roman" w:hAnsi="Times New Roman" w:cs="Times New Roman"/>
          <w:color w:val="000000"/>
          <w:sz w:val="24"/>
          <w:szCs w:val="24"/>
          <w:lang w:eastAsia="ru-RU"/>
        </w:rPr>
        <w:t>capacităţii</w:t>
      </w:r>
      <w:proofErr w:type="spellEnd"/>
      <w:r w:rsidRPr="00125FAF">
        <w:rPr>
          <w:rFonts w:ascii="Times New Roman" w:eastAsia="Times New Roman" w:hAnsi="Times New Roman" w:cs="Times New Roman"/>
          <w:color w:val="000000"/>
          <w:sz w:val="24"/>
          <w:szCs w:val="24"/>
          <w:lang w:eastAsia="ru-RU"/>
        </w:rPr>
        <w:t xml:space="preserve"> de producere a energiei regenerabile prin formatul programului de </w:t>
      </w:r>
      <w:proofErr w:type="spellStart"/>
      <w:r w:rsidRPr="00125FAF">
        <w:rPr>
          <w:rFonts w:ascii="Times New Roman" w:eastAsia="Times New Roman" w:hAnsi="Times New Roman" w:cs="Times New Roman"/>
          <w:color w:val="000000"/>
          <w:sz w:val="24"/>
          <w:szCs w:val="24"/>
          <w:lang w:eastAsia="ru-RU"/>
        </w:rPr>
        <w:t>activităţi</w:t>
      </w:r>
      <w:proofErr w:type="spellEnd"/>
      <w:r w:rsidRPr="00125FAF">
        <w:rPr>
          <w:rFonts w:ascii="Times New Roman" w:eastAsia="Times New Roman" w:hAnsi="Times New Roman" w:cs="Times New Roman"/>
          <w:color w:val="000000"/>
          <w:sz w:val="24"/>
          <w:szCs w:val="24"/>
          <w:lang w:eastAsia="ru-RU"/>
        </w:rPr>
        <w:t>;</w:t>
      </w:r>
    </w:p>
    <w:p w14:paraId="753EDABC" w14:textId="77777777" w:rsidR="0013147D" w:rsidRPr="00125FAF" w:rsidRDefault="0013147D" w:rsidP="003E24C5">
      <w:pPr>
        <w:numPr>
          <w:ilvl w:val="0"/>
          <w:numId w:val="4"/>
        </w:numPr>
        <w:tabs>
          <w:tab w:val="left" w:pos="1134"/>
        </w:tabs>
        <w:spacing w:after="120" w:line="240" w:lineRule="auto"/>
        <w:jc w:val="both"/>
        <w:textAlignment w:val="baseline"/>
        <w:rPr>
          <w:rFonts w:ascii="Times New Roman" w:eastAsia="Times New Roman" w:hAnsi="Times New Roman" w:cs="Times New Roman"/>
          <w:color w:val="000000"/>
          <w:sz w:val="24"/>
          <w:szCs w:val="24"/>
          <w:lang w:eastAsia="ru-RU"/>
        </w:rPr>
      </w:pPr>
      <w:proofErr w:type="spellStart"/>
      <w:r w:rsidRPr="00125FAF">
        <w:rPr>
          <w:rFonts w:ascii="Times New Roman" w:eastAsia="Times New Roman" w:hAnsi="Times New Roman" w:cs="Times New Roman"/>
          <w:color w:val="000000"/>
          <w:sz w:val="24"/>
          <w:szCs w:val="24"/>
          <w:lang w:eastAsia="ru-RU"/>
        </w:rPr>
        <w:t>Recunoaşterea</w:t>
      </w:r>
      <w:proofErr w:type="spellEnd"/>
      <w:r w:rsidRPr="00125FAF">
        <w:rPr>
          <w:rFonts w:ascii="Times New Roman" w:eastAsia="Times New Roman" w:hAnsi="Times New Roman" w:cs="Times New Roman"/>
          <w:color w:val="000000"/>
          <w:sz w:val="24"/>
          <w:szCs w:val="24"/>
          <w:lang w:eastAsia="ru-RU"/>
        </w:rPr>
        <w:t xml:space="preserve"> </w:t>
      </w:r>
      <w:proofErr w:type="spellStart"/>
      <w:r w:rsidRPr="00125FAF">
        <w:rPr>
          <w:rFonts w:ascii="Times New Roman" w:eastAsia="Times New Roman" w:hAnsi="Times New Roman" w:cs="Times New Roman"/>
          <w:color w:val="000000"/>
          <w:sz w:val="24"/>
          <w:szCs w:val="24"/>
          <w:lang w:eastAsia="ru-RU"/>
        </w:rPr>
        <w:t>internaţională</w:t>
      </w:r>
      <w:proofErr w:type="spellEnd"/>
      <w:r w:rsidRPr="00125FAF">
        <w:rPr>
          <w:rFonts w:ascii="Times New Roman" w:eastAsia="Times New Roman" w:hAnsi="Times New Roman" w:cs="Times New Roman"/>
          <w:color w:val="000000"/>
          <w:sz w:val="24"/>
          <w:szCs w:val="24"/>
          <w:lang w:eastAsia="ru-RU"/>
        </w:rPr>
        <w:t xml:space="preserve"> sporită prin intermediul instrumentarului de raportare în cadrul </w:t>
      </w:r>
      <w:proofErr w:type="spellStart"/>
      <w:r w:rsidRPr="00125FAF">
        <w:rPr>
          <w:rFonts w:ascii="Times New Roman" w:eastAsia="Times New Roman" w:hAnsi="Times New Roman" w:cs="Times New Roman"/>
          <w:color w:val="000000"/>
          <w:sz w:val="24"/>
          <w:szCs w:val="24"/>
          <w:lang w:eastAsia="ru-RU"/>
        </w:rPr>
        <w:t>Convenţiei</w:t>
      </w:r>
      <w:proofErr w:type="spellEnd"/>
      <w:r w:rsidRPr="00125FAF">
        <w:rPr>
          <w:rFonts w:ascii="Times New Roman" w:eastAsia="Times New Roman" w:hAnsi="Times New Roman" w:cs="Times New Roman"/>
          <w:color w:val="000000"/>
          <w:sz w:val="24"/>
          <w:szCs w:val="24"/>
          <w:lang w:eastAsia="ru-RU"/>
        </w:rPr>
        <w:t xml:space="preserve">-cadru (comunicărilor </w:t>
      </w:r>
      <w:proofErr w:type="spellStart"/>
      <w:r w:rsidRPr="00125FAF">
        <w:rPr>
          <w:rFonts w:ascii="Times New Roman" w:eastAsia="Times New Roman" w:hAnsi="Times New Roman" w:cs="Times New Roman"/>
          <w:color w:val="000000"/>
          <w:sz w:val="24"/>
          <w:szCs w:val="24"/>
          <w:lang w:eastAsia="ru-RU"/>
        </w:rPr>
        <w:t>naţionale</w:t>
      </w:r>
      <w:proofErr w:type="spellEnd"/>
      <w:r w:rsidRPr="00125FAF">
        <w:rPr>
          <w:rFonts w:ascii="Times New Roman" w:eastAsia="Times New Roman" w:hAnsi="Times New Roman" w:cs="Times New Roman"/>
          <w:color w:val="000000"/>
          <w:sz w:val="24"/>
          <w:szCs w:val="24"/>
          <w:lang w:eastAsia="ru-RU"/>
        </w:rPr>
        <w:t xml:space="preserve">, rapoartelor bienale revăzute, rapoartelor </w:t>
      </w:r>
      <w:proofErr w:type="spellStart"/>
      <w:r w:rsidRPr="00125FAF">
        <w:rPr>
          <w:rFonts w:ascii="Times New Roman" w:eastAsia="Times New Roman" w:hAnsi="Times New Roman" w:cs="Times New Roman"/>
          <w:color w:val="000000"/>
          <w:sz w:val="24"/>
          <w:szCs w:val="24"/>
          <w:lang w:eastAsia="ru-RU"/>
        </w:rPr>
        <w:t>naţionale</w:t>
      </w:r>
      <w:proofErr w:type="spellEnd"/>
      <w:r w:rsidRPr="00125FAF">
        <w:rPr>
          <w:rFonts w:ascii="Times New Roman" w:eastAsia="Times New Roman" w:hAnsi="Times New Roman" w:cs="Times New Roman"/>
          <w:color w:val="000000"/>
          <w:sz w:val="24"/>
          <w:szCs w:val="24"/>
          <w:lang w:eastAsia="ru-RU"/>
        </w:rPr>
        <w:t xml:space="preserve"> de inventariere, rapoartelor privind identificarea </w:t>
      </w:r>
      <w:proofErr w:type="spellStart"/>
      <w:r w:rsidRPr="00125FAF">
        <w:rPr>
          <w:rFonts w:ascii="Times New Roman" w:eastAsia="Times New Roman" w:hAnsi="Times New Roman" w:cs="Times New Roman"/>
          <w:color w:val="000000"/>
          <w:sz w:val="24"/>
          <w:szCs w:val="24"/>
          <w:lang w:eastAsia="ru-RU"/>
        </w:rPr>
        <w:t>necesităţilor</w:t>
      </w:r>
      <w:proofErr w:type="spellEnd"/>
      <w:r w:rsidRPr="00125FAF">
        <w:rPr>
          <w:rFonts w:ascii="Times New Roman" w:eastAsia="Times New Roman" w:hAnsi="Times New Roman" w:cs="Times New Roman"/>
          <w:color w:val="000000"/>
          <w:sz w:val="24"/>
          <w:szCs w:val="24"/>
          <w:lang w:eastAsia="ru-RU"/>
        </w:rPr>
        <w:t xml:space="preserve"> tehnologice).</w:t>
      </w:r>
    </w:p>
    <w:p w14:paraId="075A4B65" w14:textId="26DC35A5" w:rsidR="0013147D" w:rsidRPr="00125FAF" w:rsidRDefault="00DF42B1" w:rsidP="0013147D">
      <w:pPr>
        <w:spacing w:after="0" w:line="240" w:lineRule="auto"/>
        <w:ind w:firstLine="720"/>
        <w:jc w:val="both"/>
        <w:rPr>
          <w:rFonts w:ascii="Times New Roman" w:eastAsia="Times New Roman" w:hAnsi="Times New Roman" w:cs="Times New Roman"/>
          <w:sz w:val="24"/>
          <w:szCs w:val="24"/>
          <w:lang w:eastAsia="ru-RU"/>
        </w:rPr>
      </w:pPr>
      <w:r w:rsidRPr="00125FAF">
        <w:rPr>
          <w:rFonts w:ascii="Times New Roman" w:eastAsia="Times New Roman" w:hAnsi="Times New Roman" w:cs="Times New Roman"/>
          <w:color w:val="000000"/>
          <w:sz w:val="24"/>
          <w:szCs w:val="24"/>
          <w:lang w:eastAsia="ru-RU"/>
        </w:rPr>
        <w:t>Programul</w:t>
      </w:r>
      <w:r w:rsidR="0013147D" w:rsidRPr="00125FAF">
        <w:rPr>
          <w:rFonts w:ascii="Times New Roman" w:eastAsia="Times New Roman" w:hAnsi="Times New Roman" w:cs="Times New Roman"/>
          <w:color w:val="000000"/>
          <w:sz w:val="24"/>
          <w:szCs w:val="24"/>
          <w:lang w:eastAsia="ru-RU"/>
        </w:rPr>
        <w:t xml:space="preserve"> de dezvoltare cu emisii reduse oferă </w:t>
      </w:r>
      <w:proofErr w:type="spellStart"/>
      <w:r w:rsidR="0013147D" w:rsidRPr="00125FAF">
        <w:rPr>
          <w:rFonts w:ascii="Times New Roman" w:eastAsia="Times New Roman" w:hAnsi="Times New Roman" w:cs="Times New Roman"/>
          <w:color w:val="000000"/>
          <w:sz w:val="24"/>
          <w:szCs w:val="24"/>
          <w:lang w:eastAsia="ru-RU"/>
        </w:rPr>
        <w:t>oportunităţi</w:t>
      </w:r>
      <w:proofErr w:type="spellEnd"/>
      <w:r w:rsidR="0013147D" w:rsidRPr="00125FAF">
        <w:rPr>
          <w:rFonts w:ascii="Times New Roman" w:eastAsia="Times New Roman" w:hAnsi="Times New Roman" w:cs="Times New Roman"/>
          <w:color w:val="000000"/>
          <w:sz w:val="24"/>
          <w:szCs w:val="24"/>
          <w:lang w:eastAsia="ru-RU"/>
        </w:rPr>
        <w:t xml:space="preserve"> </w:t>
      </w:r>
      <w:proofErr w:type="spellStart"/>
      <w:r w:rsidR="0013147D" w:rsidRPr="00125FAF">
        <w:rPr>
          <w:rFonts w:ascii="Times New Roman" w:eastAsia="Times New Roman" w:hAnsi="Times New Roman" w:cs="Times New Roman"/>
          <w:color w:val="000000"/>
          <w:sz w:val="24"/>
          <w:szCs w:val="24"/>
          <w:lang w:eastAsia="ru-RU"/>
        </w:rPr>
        <w:t>adiţionale</w:t>
      </w:r>
      <w:proofErr w:type="spellEnd"/>
      <w:r w:rsidR="0013147D" w:rsidRPr="00125FAF">
        <w:rPr>
          <w:rFonts w:ascii="Times New Roman" w:eastAsia="Times New Roman" w:hAnsi="Times New Roman" w:cs="Times New Roman"/>
          <w:color w:val="000000"/>
          <w:sz w:val="24"/>
          <w:szCs w:val="24"/>
          <w:lang w:eastAsia="ru-RU"/>
        </w:rPr>
        <w:t xml:space="preserve"> privind integrarea atenuării </w:t>
      </w:r>
      <w:proofErr w:type="spellStart"/>
      <w:r w:rsidR="0013147D" w:rsidRPr="00125FAF">
        <w:rPr>
          <w:rFonts w:ascii="Times New Roman" w:eastAsia="Times New Roman" w:hAnsi="Times New Roman" w:cs="Times New Roman"/>
          <w:color w:val="000000"/>
          <w:sz w:val="24"/>
          <w:szCs w:val="24"/>
          <w:lang w:eastAsia="ru-RU"/>
        </w:rPr>
        <w:t>şi</w:t>
      </w:r>
      <w:proofErr w:type="spellEnd"/>
      <w:r w:rsidR="0013147D" w:rsidRPr="00125FAF">
        <w:rPr>
          <w:rFonts w:ascii="Times New Roman" w:eastAsia="Times New Roman" w:hAnsi="Times New Roman" w:cs="Times New Roman"/>
          <w:color w:val="000000"/>
          <w:sz w:val="24"/>
          <w:szCs w:val="24"/>
          <w:lang w:eastAsia="ru-RU"/>
        </w:rPr>
        <w:t xml:space="preserve"> adaptării schimbărilor climatice, în agenda de realizări prioritare ale Guvernului, inclusiv în aspectul Acordului de Asociere cu Uniunea Europeană. Acesta va stimula: dezvoltarea unor planuri de </w:t>
      </w:r>
      <w:proofErr w:type="spellStart"/>
      <w:r w:rsidR="0013147D" w:rsidRPr="00125FAF">
        <w:rPr>
          <w:rFonts w:ascii="Times New Roman" w:eastAsia="Times New Roman" w:hAnsi="Times New Roman" w:cs="Times New Roman"/>
          <w:color w:val="000000"/>
          <w:sz w:val="24"/>
          <w:szCs w:val="24"/>
          <w:lang w:eastAsia="ru-RU"/>
        </w:rPr>
        <w:t>investiţii</w:t>
      </w:r>
      <w:proofErr w:type="spellEnd"/>
      <w:r w:rsidR="0013147D" w:rsidRPr="00125FAF">
        <w:rPr>
          <w:rFonts w:ascii="Times New Roman" w:eastAsia="Times New Roman" w:hAnsi="Times New Roman" w:cs="Times New Roman"/>
          <w:color w:val="000000"/>
          <w:sz w:val="24"/>
          <w:szCs w:val="24"/>
          <w:lang w:eastAsia="ru-RU"/>
        </w:rPr>
        <w:t xml:space="preserve"> pe termen lung pentru asigurarea căii de dezvoltare economică verde, respectiv va oferi noi </w:t>
      </w:r>
      <w:proofErr w:type="spellStart"/>
      <w:r w:rsidR="0013147D" w:rsidRPr="00125FAF">
        <w:rPr>
          <w:rFonts w:ascii="Times New Roman" w:eastAsia="Times New Roman" w:hAnsi="Times New Roman" w:cs="Times New Roman"/>
          <w:color w:val="000000"/>
          <w:sz w:val="24"/>
          <w:szCs w:val="24"/>
          <w:lang w:eastAsia="ru-RU"/>
        </w:rPr>
        <w:t>posibilităţi</w:t>
      </w:r>
      <w:proofErr w:type="spellEnd"/>
      <w:r w:rsidR="0013147D" w:rsidRPr="00125FAF">
        <w:rPr>
          <w:rFonts w:ascii="Times New Roman" w:eastAsia="Times New Roman" w:hAnsi="Times New Roman" w:cs="Times New Roman"/>
          <w:color w:val="000000"/>
          <w:sz w:val="24"/>
          <w:szCs w:val="24"/>
          <w:lang w:eastAsia="ru-RU"/>
        </w:rPr>
        <w:t xml:space="preserve"> pentru utilizarea la scară mai mare a </w:t>
      </w:r>
      <w:proofErr w:type="spellStart"/>
      <w:r w:rsidR="0013147D" w:rsidRPr="00125FAF">
        <w:rPr>
          <w:rFonts w:ascii="Times New Roman" w:eastAsia="Times New Roman" w:hAnsi="Times New Roman" w:cs="Times New Roman"/>
          <w:color w:val="000000"/>
          <w:sz w:val="24"/>
          <w:szCs w:val="24"/>
          <w:lang w:eastAsia="ru-RU"/>
        </w:rPr>
        <w:t>inovaţiilor</w:t>
      </w:r>
      <w:proofErr w:type="spellEnd"/>
      <w:r w:rsidR="0013147D" w:rsidRPr="00125FAF">
        <w:rPr>
          <w:rFonts w:ascii="Times New Roman" w:eastAsia="Times New Roman" w:hAnsi="Times New Roman" w:cs="Times New Roman"/>
          <w:color w:val="000000"/>
          <w:sz w:val="24"/>
          <w:szCs w:val="24"/>
          <w:lang w:eastAsia="ru-RU"/>
        </w:rPr>
        <w:t xml:space="preserve"> tehnologice emergente în domeniul atenuării schimbărilor climatice; </w:t>
      </w:r>
      <w:proofErr w:type="spellStart"/>
      <w:r w:rsidR="0013147D" w:rsidRPr="00125FAF">
        <w:rPr>
          <w:rFonts w:ascii="Times New Roman" w:eastAsia="Times New Roman" w:hAnsi="Times New Roman" w:cs="Times New Roman"/>
          <w:color w:val="000000"/>
          <w:sz w:val="24"/>
          <w:szCs w:val="24"/>
          <w:lang w:eastAsia="ru-RU"/>
        </w:rPr>
        <w:t>obţinerea</w:t>
      </w:r>
      <w:proofErr w:type="spellEnd"/>
      <w:r w:rsidR="0013147D" w:rsidRPr="00125FAF">
        <w:rPr>
          <w:rFonts w:ascii="Times New Roman" w:eastAsia="Times New Roman" w:hAnsi="Times New Roman" w:cs="Times New Roman"/>
          <w:color w:val="000000"/>
          <w:sz w:val="24"/>
          <w:szCs w:val="24"/>
          <w:lang w:eastAsia="ru-RU"/>
        </w:rPr>
        <w:t xml:space="preserve"> </w:t>
      </w:r>
      <w:proofErr w:type="spellStart"/>
      <w:r w:rsidR="0013147D" w:rsidRPr="00125FAF">
        <w:rPr>
          <w:rFonts w:ascii="Times New Roman" w:eastAsia="Times New Roman" w:hAnsi="Times New Roman" w:cs="Times New Roman"/>
          <w:color w:val="000000"/>
          <w:sz w:val="24"/>
          <w:szCs w:val="24"/>
          <w:lang w:eastAsia="ru-RU"/>
        </w:rPr>
        <w:t>asistenţei</w:t>
      </w:r>
      <w:proofErr w:type="spellEnd"/>
      <w:r w:rsidR="0013147D" w:rsidRPr="00125FAF">
        <w:rPr>
          <w:rFonts w:ascii="Times New Roman" w:eastAsia="Times New Roman" w:hAnsi="Times New Roman" w:cs="Times New Roman"/>
          <w:color w:val="000000"/>
          <w:sz w:val="24"/>
          <w:szCs w:val="24"/>
          <w:lang w:eastAsia="ru-RU"/>
        </w:rPr>
        <w:t xml:space="preserve"> tehnice </w:t>
      </w:r>
      <w:proofErr w:type="spellStart"/>
      <w:r w:rsidR="0013147D" w:rsidRPr="00125FAF">
        <w:rPr>
          <w:rFonts w:ascii="Times New Roman" w:eastAsia="Times New Roman" w:hAnsi="Times New Roman" w:cs="Times New Roman"/>
          <w:color w:val="000000"/>
          <w:sz w:val="24"/>
          <w:szCs w:val="24"/>
          <w:lang w:eastAsia="ru-RU"/>
        </w:rPr>
        <w:t>şi</w:t>
      </w:r>
      <w:proofErr w:type="spellEnd"/>
      <w:r w:rsidR="0013147D" w:rsidRPr="00125FAF">
        <w:rPr>
          <w:rFonts w:ascii="Times New Roman" w:eastAsia="Times New Roman" w:hAnsi="Times New Roman" w:cs="Times New Roman"/>
          <w:color w:val="000000"/>
          <w:sz w:val="24"/>
          <w:szCs w:val="24"/>
          <w:lang w:eastAsia="ru-RU"/>
        </w:rPr>
        <w:t xml:space="preserve"> de capacitate pentru implementarea proiectelor de atenuare, cu efect pozitiv asupra modernizării obiectivelor de infrastructură, </w:t>
      </w:r>
      <w:proofErr w:type="spellStart"/>
      <w:r w:rsidR="0013147D" w:rsidRPr="00125FAF">
        <w:rPr>
          <w:rFonts w:ascii="Times New Roman" w:eastAsia="Times New Roman" w:hAnsi="Times New Roman" w:cs="Times New Roman"/>
          <w:color w:val="000000"/>
          <w:sz w:val="24"/>
          <w:szCs w:val="24"/>
          <w:lang w:eastAsia="ru-RU"/>
        </w:rPr>
        <w:t>creşterii</w:t>
      </w:r>
      <w:proofErr w:type="spellEnd"/>
      <w:r w:rsidR="0013147D" w:rsidRPr="00125FAF">
        <w:rPr>
          <w:rFonts w:ascii="Times New Roman" w:eastAsia="Times New Roman" w:hAnsi="Times New Roman" w:cs="Times New Roman"/>
          <w:color w:val="000000"/>
          <w:sz w:val="24"/>
          <w:szCs w:val="24"/>
          <w:lang w:eastAsia="ru-RU"/>
        </w:rPr>
        <w:t xml:space="preserve"> </w:t>
      </w:r>
      <w:proofErr w:type="spellStart"/>
      <w:r w:rsidR="0013147D" w:rsidRPr="00125FAF">
        <w:rPr>
          <w:rFonts w:ascii="Times New Roman" w:eastAsia="Times New Roman" w:hAnsi="Times New Roman" w:cs="Times New Roman"/>
          <w:color w:val="000000"/>
          <w:sz w:val="24"/>
          <w:szCs w:val="24"/>
          <w:lang w:eastAsia="ru-RU"/>
        </w:rPr>
        <w:t>eficienţei</w:t>
      </w:r>
      <w:proofErr w:type="spellEnd"/>
      <w:r w:rsidR="0013147D" w:rsidRPr="00125FAF">
        <w:rPr>
          <w:rFonts w:ascii="Times New Roman" w:eastAsia="Times New Roman" w:hAnsi="Times New Roman" w:cs="Times New Roman"/>
          <w:color w:val="000000"/>
          <w:sz w:val="24"/>
          <w:szCs w:val="24"/>
          <w:lang w:eastAsia="ru-RU"/>
        </w:rPr>
        <w:t xml:space="preserve"> energetice, </w:t>
      </w:r>
      <w:proofErr w:type="spellStart"/>
      <w:r w:rsidR="0013147D" w:rsidRPr="00125FAF">
        <w:rPr>
          <w:rFonts w:ascii="Times New Roman" w:eastAsia="Times New Roman" w:hAnsi="Times New Roman" w:cs="Times New Roman"/>
          <w:color w:val="000000"/>
          <w:sz w:val="24"/>
          <w:szCs w:val="24"/>
          <w:lang w:eastAsia="ru-RU"/>
        </w:rPr>
        <w:t>construcţiei</w:t>
      </w:r>
      <w:proofErr w:type="spellEnd"/>
      <w:r w:rsidR="0013147D" w:rsidRPr="00125FAF">
        <w:rPr>
          <w:rFonts w:ascii="Times New Roman" w:eastAsia="Times New Roman" w:hAnsi="Times New Roman" w:cs="Times New Roman"/>
          <w:color w:val="000000"/>
          <w:sz w:val="24"/>
          <w:szCs w:val="24"/>
          <w:lang w:eastAsia="ru-RU"/>
        </w:rPr>
        <w:t xml:space="preserve"> surselor regenerabile de energie, conservării solurilor, împăduririi terenurilor degradate, prelucrării </w:t>
      </w:r>
      <w:proofErr w:type="spellStart"/>
      <w:r w:rsidR="0013147D" w:rsidRPr="00125FAF">
        <w:rPr>
          <w:rFonts w:ascii="Times New Roman" w:eastAsia="Times New Roman" w:hAnsi="Times New Roman" w:cs="Times New Roman"/>
          <w:color w:val="000000"/>
          <w:sz w:val="24"/>
          <w:szCs w:val="24"/>
          <w:lang w:eastAsia="ru-RU"/>
        </w:rPr>
        <w:t>deşeurilor</w:t>
      </w:r>
      <w:proofErr w:type="spellEnd"/>
      <w:r w:rsidR="0013147D" w:rsidRPr="00125FAF">
        <w:rPr>
          <w:rFonts w:ascii="Times New Roman" w:eastAsia="Times New Roman" w:hAnsi="Times New Roman" w:cs="Times New Roman"/>
          <w:color w:val="000000"/>
          <w:sz w:val="24"/>
          <w:szCs w:val="24"/>
          <w:lang w:eastAsia="ru-RU"/>
        </w:rPr>
        <w:t xml:space="preserve"> etc.</w:t>
      </w:r>
    </w:p>
    <w:p w14:paraId="2E0B2727" w14:textId="4D1D8BB6" w:rsidR="0013147D" w:rsidRPr="00125FAF" w:rsidRDefault="0013147D" w:rsidP="0013147D">
      <w:pPr>
        <w:spacing w:after="0" w:line="240" w:lineRule="auto"/>
        <w:ind w:firstLine="720"/>
        <w:jc w:val="both"/>
        <w:rPr>
          <w:rFonts w:ascii="Times New Roman" w:eastAsia="Times New Roman" w:hAnsi="Times New Roman" w:cs="Times New Roman"/>
          <w:sz w:val="24"/>
          <w:szCs w:val="24"/>
          <w:lang w:eastAsia="ru-RU"/>
        </w:rPr>
      </w:pPr>
      <w:r w:rsidRPr="00125FAF">
        <w:rPr>
          <w:rFonts w:ascii="Times New Roman" w:eastAsia="Times New Roman" w:hAnsi="Times New Roman" w:cs="Times New Roman"/>
          <w:color w:val="000000"/>
          <w:sz w:val="24"/>
          <w:szCs w:val="24"/>
          <w:lang w:eastAsia="ru-RU"/>
        </w:rPr>
        <w:t xml:space="preserve">Aprobarea </w:t>
      </w:r>
      <w:r w:rsidR="00DF42B1" w:rsidRPr="00125FAF">
        <w:rPr>
          <w:rFonts w:ascii="Times New Roman" w:eastAsia="Times New Roman" w:hAnsi="Times New Roman" w:cs="Times New Roman"/>
          <w:color w:val="000000"/>
          <w:sz w:val="24"/>
          <w:szCs w:val="24"/>
          <w:lang w:eastAsia="ru-RU"/>
        </w:rPr>
        <w:t xml:space="preserve">Programului </w:t>
      </w:r>
      <w:r w:rsidRPr="00125FAF">
        <w:rPr>
          <w:rFonts w:ascii="Times New Roman" w:eastAsia="Times New Roman" w:hAnsi="Times New Roman" w:cs="Times New Roman"/>
          <w:color w:val="000000"/>
          <w:sz w:val="24"/>
          <w:szCs w:val="24"/>
          <w:lang w:eastAsia="ru-RU"/>
        </w:rPr>
        <w:t xml:space="preserve">va da un nou impuls procesului de consolidare a sistemului </w:t>
      </w:r>
      <w:proofErr w:type="spellStart"/>
      <w:r w:rsidRPr="00125FAF">
        <w:rPr>
          <w:rFonts w:ascii="Times New Roman" w:eastAsia="Times New Roman" w:hAnsi="Times New Roman" w:cs="Times New Roman"/>
          <w:color w:val="000000"/>
          <w:sz w:val="24"/>
          <w:szCs w:val="24"/>
          <w:lang w:eastAsia="ru-RU"/>
        </w:rPr>
        <w:t>naţional</w:t>
      </w:r>
      <w:proofErr w:type="spellEnd"/>
      <w:r w:rsidRPr="00125FAF">
        <w:rPr>
          <w:rFonts w:ascii="Times New Roman" w:eastAsia="Times New Roman" w:hAnsi="Times New Roman" w:cs="Times New Roman"/>
          <w:color w:val="000000"/>
          <w:sz w:val="24"/>
          <w:szCs w:val="24"/>
          <w:lang w:eastAsia="ru-RU"/>
        </w:rPr>
        <w:t xml:space="preserve"> de inventariere a emisiilor de gaze cu efect de seră, atât pe cale legislativă, cât </w:t>
      </w:r>
      <w:proofErr w:type="spellStart"/>
      <w:r w:rsidRPr="00125FAF">
        <w:rPr>
          <w:rFonts w:ascii="Times New Roman" w:eastAsia="Times New Roman" w:hAnsi="Times New Roman" w:cs="Times New Roman"/>
          <w:color w:val="000000"/>
          <w:sz w:val="24"/>
          <w:szCs w:val="24"/>
          <w:lang w:eastAsia="ru-RU"/>
        </w:rPr>
        <w:t>şi</w:t>
      </w:r>
      <w:proofErr w:type="spellEnd"/>
      <w:r w:rsidRPr="00125FAF">
        <w:rPr>
          <w:rFonts w:ascii="Times New Roman" w:eastAsia="Times New Roman" w:hAnsi="Times New Roman" w:cs="Times New Roman"/>
          <w:color w:val="000000"/>
          <w:sz w:val="24"/>
          <w:szCs w:val="24"/>
          <w:lang w:eastAsia="ru-RU"/>
        </w:rPr>
        <w:t xml:space="preserve"> </w:t>
      </w:r>
      <w:proofErr w:type="spellStart"/>
      <w:r w:rsidRPr="00125FAF">
        <w:rPr>
          <w:rFonts w:ascii="Times New Roman" w:eastAsia="Times New Roman" w:hAnsi="Times New Roman" w:cs="Times New Roman"/>
          <w:color w:val="000000"/>
          <w:sz w:val="24"/>
          <w:szCs w:val="24"/>
          <w:lang w:eastAsia="ru-RU"/>
        </w:rPr>
        <w:t>instituţională</w:t>
      </w:r>
      <w:proofErr w:type="spellEnd"/>
      <w:r w:rsidRPr="00125FAF">
        <w:rPr>
          <w:rFonts w:ascii="Times New Roman" w:eastAsia="Times New Roman" w:hAnsi="Times New Roman" w:cs="Times New Roman"/>
          <w:color w:val="000000"/>
          <w:sz w:val="24"/>
          <w:szCs w:val="24"/>
          <w:lang w:eastAsia="ru-RU"/>
        </w:rPr>
        <w:t xml:space="preserve">, precum </w:t>
      </w:r>
      <w:proofErr w:type="spellStart"/>
      <w:r w:rsidRPr="00125FAF">
        <w:rPr>
          <w:rFonts w:ascii="Times New Roman" w:eastAsia="Times New Roman" w:hAnsi="Times New Roman" w:cs="Times New Roman"/>
          <w:color w:val="000000"/>
          <w:sz w:val="24"/>
          <w:szCs w:val="24"/>
          <w:lang w:eastAsia="ru-RU"/>
        </w:rPr>
        <w:t>şi</w:t>
      </w:r>
      <w:proofErr w:type="spellEnd"/>
      <w:r w:rsidRPr="00125FAF">
        <w:rPr>
          <w:rFonts w:ascii="Times New Roman" w:eastAsia="Times New Roman" w:hAnsi="Times New Roman" w:cs="Times New Roman"/>
          <w:color w:val="000000"/>
          <w:sz w:val="24"/>
          <w:szCs w:val="24"/>
          <w:lang w:eastAsia="ru-RU"/>
        </w:rPr>
        <w:t xml:space="preserve"> pentru consolidarea </w:t>
      </w:r>
      <w:proofErr w:type="spellStart"/>
      <w:r w:rsidRPr="00125FAF">
        <w:rPr>
          <w:rFonts w:ascii="Times New Roman" w:eastAsia="Times New Roman" w:hAnsi="Times New Roman" w:cs="Times New Roman"/>
          <w:color w:val="000000"/>
          <w:sz w:val="24"/>
          <w:szCs w:val="24"/>
          <w:lang w:eastAsia="ru-RU"/>
        </w:rPr>
        <w:t>capacităţilor</w:t>
      </w:r>
      <w:proofErr w:type="spellEnd"/>
      <w:r w:rsidRPr="00125FAF">
        <w:rPr>
          <w:rFonts w:ascii="Times New Roman" w:eastAsia="Times New Roman" w:hAnsi="Times New Roman" w:cs="Times New Roman"/>
          <w:color w:val="000000"/>
          <w:sz w:val="24"/>
          <w:szCs w:val="24"/>
          <w:lang w:eastAsia="ru-RU"/>
        </w:rPr>
        <w:t xml:space="preserve"> la nivel </w:t>
      </w:r>
      <w:proofErr w:type="spellStart"/>
      <w:r w:rsidRPr="00125FAF">
        <w:rPr>
          <w:rFonts w:ascii="Times New Roman" w:eastAsia="Times New Roman" w:hAnsi="Times New Roman" w:cs="Times New Roman"/>
          <w:color w:val="000000"/>
          <w:sz w:val="24"/>
          <w:szCs w:val="24"/>
          <w:lang w:eastAsia="ru-RU"/>
        </w:rPr>
        <w:t>naţional</w:t>
      </w:r>
      <w:proofErr w:type="spellEnd"/>
      <w:r w:rsidRPr="00125FAF">
        <w:rPr>
          <w:rFonts w:ascii="Times New Roman" w:eastAsia="Times New Roman" w:hAnsi="Times New Roman" w:cs="Times New Roman"/>
          <w:color w:val="000000"/>
          <w:sz w:val="24"/>
          <w:szCs w:val="24"/>
          <w:lang w:eastAsia="ru-RU"/>
        </w:rPr>
        <w:t xml:space="preserve"> </w:t>
      </w:r>
      <w:proofErr w:type="spellStart"/>
      <w:r w:rsidRPr="00125FAF">
        <w:rPr>
          <w:rFonts w:ascii="Times New Roman" w:eastAsia="Times New Roman" w:hAnsi="Times New Roman" w:cs="Times New Roman"/>
          <w:color w:val="000000"/>
          <w:sz w:val="24"/>
          <w:szCs w:val="24"/>
          <w:lang w:eastAsia="ru-RU"/>
        </w:rPr>
        <w:t>şi</w:t>
      </w:r>
      <w:proofErr w:type="spellEnd"/>
      <w:r w:rsidRPr="00125FAF">
        <w:rPr>
          <w:rFonts w:ascii="Times New Roman" w:eastAsia="Times New Roman" w:hAnsi="Times New Roman" w:cs="Times New Roman"/>
          <w:color w:val="000000"/>
          <w:sz w:val="24"/>
          <w:szCs w:val="24"/>
          <w:lang w:eastAsia="ru-RU"/>
        </w:rPr>
        <w:t xml:space="preserve"> regional în domeniul colectării </w:t>
      </w:r>
      <w:proofErr w:type="spellStart"/>
      <w:r w:rsidRPr="00125FAF">
        <w:rPr>
          <w:rFonts w:ascii="Times New Roman" w:eastAsia="Times New Roman" w:hAnsi="Times New Roman" w:cs="Times New Roman"/>
          <w:color w:val="000000"/>
          <w:sz w:val="24"/>
          <w:szCs w:val="24"/>
          <w:lang w:eastAsia="ru-RU"/>
        </w:rPr>
        <w:t>informaţiei</w:t>
      </w:r>
      <w:proofErr w:type="spellEnd"/>
      <w:r w:rsidRPr="00125FAF">
        <w:rPr>
          <w:rFonts w:ascii="Times New Roman" w:eastAsia="Times New Roman" w:hAnsi="Times New Roman" w:cs="Times New Roman"/>
          <w:color w:val="000000"/>
          <w:sz w:val="24"/>
          <w:szCs w:val="24"/>
          <w:lang w:eastAsia="ru-RU"/>
        </w:rPr>
        <w:t xml:space="preserve"> statistice referitoare la datele de activitate necesare pentru compilarea comunicărilor </w:t>
      </w:r>
      <w:proofErr w:type="spellStart"/>
      <w:r w:rsidRPr="00125FAF">
        <w:rPr>
          <w:rFonts w:ascii="Times New Roman" w:eastAsia="Times New Roman" w:hAnsi="Times New Roman" w:cs="Times New Roman"/>
          <w:color w:val="000000"/>
          <w:sz w:val="24"/>
          <w:szCs w:val="24"/>
          <w:lang w:eastAsia="ru-RU"/>
        </w:rPr>
        <w:t>naţionale</w:t>
      </w:r>
      <w:proofErr w:type="spellEnd"/>
      <w:r w:rsidRPr="00125FAF">
        <w:rPr>
          <w:rFonts w:ascii="Times New Roman" w:eastAsia="Times New Roman" w:hAnsi="Times New Roman" w:cs="Times New Roman"/>
          <w:color w:val="000000"/>
          <w:sz w:val="24"/>
          <w:szCs w:val="24"/>
          <w:lang w:eastAsia="ru-RU"/>
        </w:rPr>
        <w:t xml:space="preserve">, rapoartelor bienale revizuite </w:t>
      </w:r>
      <w:proofErr w:type="spellStart"/>
      <w:r w:rsidRPr="00125FAF">
        <w:rPr>
          <w:rFonts w:ascii="Times New Roman" w:eastAsia="Times New Roman" w:hAnsi="Times New Roman" w:cs="Times New Roman"/>
          <w:color w:val="000000"/>
          <w:sz w:val="24"/>
          <w:szCs w:val="24"/>
          <w:lang w:eastAsia="ru-RU"/>
        </w:rPr>
        <w:t>şi</w:t>
      </w:r>
      <w:proofErr w:type="spellEnd"/>
      <w:r w:rsidRPr="00125FAF">
        <w:rPr>
          <w:rFonts w:ascii="Times New Roman" w:eastAsia="Times New Roman" w:hAnsi="Times New Roman" w:cs="Times New Roman"/>
          <w:color w:val="000000"/>
          <w:sz w:val="24"/>
          <w:szCs w:val="24"/>
          <w:lang w:eastAsia="ru-RU"/>
        </w:rPr>
        <w:t xml:space="preserve"> inventarelor </w:t>
      </w:r>
      <w:proofErr w:type="spellStart"/>
      <w:r w:rsidRPr="00125FAF">
        <w:rPr>
          <w:rFonts w:ascii="Times New Roman" w:eastAsia="Times New Roman" w:hAnsi="Times New Roman" w:cs="Times New Roman"/>
          <w:color w:val="000000"/>
          <w:sz w:val="24"/>
          <w:szCs w:val="24"/>
          <w:lang w:eastAsia="ru-RU"/>
        </w:rPr>
        <w:t>naţionale</w:t>
      </w:r>
      <w:proofErr w:type="spellEnd"/>
      <w:r w:rsidRPr="00125FAF">
        <w:rPr>
          <w:rFonts w:ascii="Times New Roman" w:eastAsia="Times New Roman" w:hAnsi="Times New Roman" w:cs="Times New Roman"/>
          <w:color w:val="000000"/>
          <w:sz w:val="24"/>
          <w:szCs w:val="24"/>
          <w:lang w:eastAsia="ru-RU"/>
        </w:rPr>
        <w:t xml:space="preserve"> ale emisiilor de gaze cu efect de seră, precum </w:t>
      </w:r>
      <w:proofErr w:type="spellStart"/>
      <w:r w:rsidRPr="00125FAF">
        <w:rPr>
          <w:rFonts w:ascii="Times New Roman" w:eastAsia="Times New Roman" w:hAnsi="Times New Roman" w:cs="Times New Roman"/>
          <w:color w:val="000000"/>
          <w:sz w:val="24"/>
          <w:szCs w:val="24"/>
          <w:lang w:eastAsia="ru-RU"/>
        </w:rPr>
        <w:t>şi</w:t>
      </w:r>
      <w:proofErr w:type="spellEnd"/>
      <w:r w:rsidRPr="00125FAF">
        <w:rPr>
          <w:rFonts w:ascii="Times New Roman" w:eastAsia="Times New Roman" w:hAnsi="Times New Roman" w:cs="Times New Roman"/>
          <w:color w:val="000000"/>
          <w:sz w:val="24"/>
          <w:szCs w:val="24"/>
          <w:lang w:eastAsia="ru-RU"/>
        </w:rPr>
        <w:t xml:space="preserve"> indicatorilor specifici de </w:t>
      </w:r>
      <w:proofErr w:type="spellStart"/>
      <w:r w:rsidRPr="00125FAF">
        <w:rPr>
          <w:rFonts w:ascii="Times New Roman" w:eastAsia="Times New Roman" w:hAnsi="Times New Roman" w:cs="Times New Roman"/>
          <w:color w:val="000000"/>
          <w:sz w:val="24"/>
          <w:szCs w:val="24"/>
          <w:lang w:eastAsia="ru-RU"/>
        </w:rPr>
        <w:t>performanţă</w:t>
      </w:r>
      <w:proofErr w:type="spellEnd"/>
      <w:r w:rsidRPr="00125FAF">
        <w:rPr>
          <w:rFonts w:ascii="Times New Roman" w:eastAsia="Times New Roman" w:hAnsi="Times New Roman" w:cs="Times New Roman"/>
          <w:color w:val="000000"/>
          <w:sz w:val="24"/>
          <w:szCs w:val="24"/>
          <w:lang w:eastAsia="ru-RU"/>
        </w:rPr>
        <w:t xml:space="preserve"> ale politicilor de atenuare </w:t>
      </w:r>
      <w:proofErr w:type="spellStart"/>
      <w:r w:rsidRPr="00125FAF">
        <w:rPr>
          <w:rFonts w:ascii="Times New Roman" w:eastAsia="Times New Roman" w:hAnsi="Times New Roman" w:cs="Times New Roman"/>
          <w:color w:val="000000"/>
          <w:sz w:val="24"/>
          <w:szCs w:val="24"/>
          <w:lang w:eastAsia="ru-RU"/>
        </w:rPr>
        <w:t>şi</w:t>
      </w:r>
      <w:proofErr w:type="spellEnd"/>
      <w:r w:rsidRPr="00125FAF">
        <w:rPr>
          <w:rFonts w:ascii="Times New Roman" w:eastAsia="Times New Roman" w:hAnsi="Times New Roman" w:cs="Times New Roman"/>
          <w:color w:val="000000"/>
          <w:sz w:val="24"/>
          <w:szCs w:val="24"/>
          <w:lang w:eastAsia="ru-RU"/>
        </w:rPr>
        <w:t xml:space="preserve"> </w:t>
      </w:r>
      <w:proofErr w:type="spellStart"/>
      <w:r w:rsidRPr="00125FAF">
        <w:rPr>
          <w:rFonts w:ascii="Times New Roman" w:eastAsia="Times New Roman" w:hAnsi="Times New Roman" w:cs="Times New Roman"/>
          <w:color w:val="000000"/>
          <w:sz w:val="24"/>
          <w:szCs w:val="24"/>
          <w:lang w:eastAsia="ru-RU"/>
        </w:rPr>
        <w:t>acţiunilor</w:t>
      </w:r>
      <w:proofErr w:type="spellEnd"/>
      <w:r w:rsidRPr="00125FAF">
        <w:rPr>
          <w:rFonts w:ascii="Times New Roman" w:eastAsia="Times New Roman" w:hAnsi="Times New Roman" w:cs="Times New Roman"/>
          <w:color w:val="000000"/>
          <w:sz w:val="24"/>
          <w:szCs w:val="24"/>
          <w:lang w:eastAsia="ru-RU"/>
        </w:rPr>
        <w:t xml:space="preserve"> de atenuare adecvate la nivel </w:t>
      </w:r>
      <w:proofErr w:type="spellStart"/>
      <w:r w:rsidRPr="00125FAF">
        <w:rPr>
          <w:rFonts w:ascii="Times New Roman" w:eastAsia="Times New Roman" w:hAnsi="Times New Roman" w:cs="Times New Roman"/>
          <w:color w:val="000000"/>
          <w:sz w:val="24"/>
          <w:szCs w:val="24"/>
          <w:lang w:eastAsia="ru-RU"/>
        </w:rPr>
        <w:t>naţional</w:t>
      </w:r>
      <w:proofErr w:type="spellEnd"/>
      <w:r w:rsidRPr="00125FAF">
        <w:rPr>
          <w:rFonts w:ascii="Times New Roman" w:eastAsia="Times New Roman" w:hAnsi="Times New Roman" w:cs="Times New Roman"/>
          <w:color w:val="000000"/>
          <w:sz w:val="24"/>
          <w:szCs w:val="24"/>
          <w:lang w:eastAsia="ru-RU"/>
        </w:rPr>
        <w:t>.</w:t>
      </w:r>
    </w:p>
    <w:p w14:paraId="7CE9C540" w14:textId="77777777" w:rsidR="0013147D" w:rsidRPr="00125FAF" w:rsidRDefault="0013147D" w:rsidP="0013147D">
      <w:pPr>
        <w:spacing w:after="0" w:line="240" w:lineRule="auto"/>
        <w:ind w:firstLine="720"/>
        <w:jc w:val="both"/>
        <w:rPr>
          <w:rFonts w:ascii="Times New Roman" w:eastAsia="Times New Roman" w:hAnsi="Times New Roman" w:cs="Times New Roman"/>
          <w:sz w:val="24"/>
          <w:szCs w:val="24"/>
          <w:lang w:eastAsia="ru-RU"/>
        </w:rPr>
      </w:pPr>
      <w:r w:rsidRPr="00125FAF">
        <w:rPr>
          <w:rFonts w:ascii="Times New Roman" w:eastAsia="Times New Roman" w:hAnsi="Times New Roman" w:cs="Times New Roman"/>
          <w:color w:val="000000"/>
          <w:sz w:val="24"/>
          <w:szCs w:val="24"/>
          <w:lang w:eastAsia="ru-RU"/>
        </w:rPr>
        <w:t xml:space="preserve">Implementarea </w:t>
      </w:r>
      <w:proofErr w:type="spellStart"/>
      <w:r w:rsidRPr="00125FAF">
        <w:rPr>
          <w:rFonts w:ascii="Times New Roman" w:eastAsia="Times New Roman" w:hAnsi="Times New Roman" w:cs="Times New Roman"/>
          <w:color w:val="000000"/>
          <w:sz w:val="24"/>
          <w:szCs w:val="24"/>
          <w:lang w:eastAsia="ru-RU"/>
        </w:rPr>
        <w:t>acţiunilor</w:t>
      </w:r>
      <w:proofErr w:type="spellEnd"/>
      <w:r w:rsidRPr="00125FAF">
        <w:rPr>
          <w:rFonts w:ascii="Times New Roman" w:eastAsia="Times New Roman" w:hAnsi="Times New Roman" w:cs="Times New Roman"/>
          <w:color w:val="000000"/>
          <w:sz w:val="24"/>
          <w:szCs w:val="24"/>
          <w:lang w:eastAsia="ru-RU"/>
        </w:rPr>
        <w:t xml:space="preserve"> de atenuare este asociată cu o gamă largă de alte </w:t>
      </w:r>
      <w:proofErr w:type="spellStart"/>
      <w:r w:rsidRPr="00125FAF">
        <w:rPr>
          <w:rFonts w:ascii="Times New Roman" w:eastAsia="Times New Roman" w:hAnsi="Times New Roman" w:cs="Times New Roman"/>
          <w:color w:val="000000"/>
          <w:sz w:val="24"/>
          <w:szCs w:val="24"/>
          <w:lang w:eastAsia="ru-RU"/>
        </w:rPr>
        <w:t>co</w:t>
      </w:r>
      <w:proofErr w:type="spellEnd"/>
      <w:r w:rsidRPr="00125FAF">
        <w:rPr>
          <w:rFonts w:ascii="Times New Roman" w:eastAsia="Times New Roman" w:hAnsi="Times New Roman" w:cs="Times New Roman"/>
          <w:color w:val="000000"/>
          <w:sz w:val="24"/>
          <w:szCs w:val="24"/>
          <w:lang w:eastAsia="ru-RU"/>
        </w:rPr>
        <w:t xml:space="preserve">-beneficii, în primul </w:t>
      </w:r>
      <w:proofErr w:type="spellStart"/>
      <w:r w:rsidRPr="00125FAF">
        <w:rPr>
          <w:rFonts w:ascii="Times New Roman" w:eastAsia="Times New Roman" w:hAnsi="Times New Roman" w:cs="Times New Roman"/>
          <w:color w:val="000000"/>
          <w:sz w:val="24"/>
          <w:szCs w:val="24"/>
          <w:lang w:eastAsia="ru-RU"/>
        </w:rPr>
        <w:t>rînd</w:t>
      </w:r>
      <w:proofErr w:type="spellEnd"/>
      <w:r w:rsidRPr="00125FAF">
        <w:rPr>
          <w:rFonts w:ascii="Times New Roman" w:eastAsia="Times New Roman" w:hAnsi="Times New Roman" w:cs="Times New Roman"/>
          <w:color w:val="000000"/>
          <w:sz w:val="24"/>
          <w:szCs w:val="24"/>
          <w:lang w:eastAsia="ru-RU"/>
        </w:rPr>
        <w:t xml:space="preserve">, financiare, dar </w:t>
      </w:r>
      <w:proofErr w:type="spellStart"/>
      <w:r w:rsidRPr="00125FAF">
        <w:rPr>
          <w:rFonts w:ascii="Times New Roman" w:eastAsia="Times New Roman" w:hAnsi="Times New Roman" w:cs="Times New Roman"/>
          <w:color w:val="000000"/>
          <w:sz w:val="24"/>
          <w:szCs w:val="24"/>
          <w:lang w:eastAsia="ru-RU"/>
        </w:rPr>
        <w:t>şi</w:t>
      </w:r>
      <w:proofErr w:type="spellEnd"/>
      <w:r w:rsidRPr="00125FAF">
        <w:rPr>
          <w:rFonts w:ascii="Times New Roman" w:eastAsia="Times New Roman" w:hAnsi="Times New Roman" w:cs="Times New Roman"/>
          <w:color w:val="000000"/>
          <w:sz w:val="24"/>
          <w:szCs w:val="24"/>
          <w:lang w:eastAsia="ru-RU"/>
        </w:rPr>
        <w:t xml:space="preserve"> de dezvoltare, cu impacturi de creare a noi locuri de muncă </w:t>
      </w:r>
      <w:proofErr w:type="spellStart"/>
      <w:r w:rsidRPr="00125FAF">
        <w:rPr>
          <w:rFonts w:ascii="Times New Roman" w:eastAsia="Times New Roman" w:hAnsi="Times New Roman" w:cs="Times New Roman"/>
          <w:color w:val="000000"/>
          <w:sz w:val="24"/>
          <w:szCs w:val="24"/>
          <w:lang w:eastAsia="ru-RU"/>
        </w:rPr>
        <w:t>şi</w:t>
      </w:r>
      <w:proofErr w:type="spellEnd"/>
      <w:r w:rsidRPr="00125FAF">
        <w:rPr>
          <w:rFonts w:ascii="Times New Roman" w:eastAsia="Times New Roman" w:hAnsi="Times New Roman" w:cs="Times New Roman"/>
          <w:color w:val="000000"/>
          <w:sz w:val="24"/>
          <w:szCs w:val="24"/>
          <w:lang w:eastAsia="ru-RU"/>
        </w:rPr>
        <w:t xml:space="preserve"> </w:t>
      </w:r>
      <w:proofErr w:type="spellStart"/>
      <w:r w:rsidRPr="00125FAF">
        <w:rPr>
          <w:rFonts w:ascii="Times New Roman" w:eastAsia="Times New Roman" w:hAnsi="Times New Roman" w:cs="Times New Roman"/>
          <w:color w:val="000000"/>
          <w:sz w:val="24"/>
          <w:szCs w:val="24"/>
          <w:lang w:eastAsia="ru-RU"/>
        </w:rPr>
        <w:t>oportunităţi</w:t>
      </w:r>
      <w:proofErr w:type="spellEnd"/>
      <w:r w:rsidRPr="00125FAF">
        <w:rPr>
          <w:rFonts w:ascii="Times New Roman" w:eastAsia="Times New Roman" w:hAnsi="Times New Roman" w:cs="Times New Roman"/>
          <w:color w:val="000000"/>
          <w:sz w:val="24"/>
          <w:szCs w:val="24"/>
          <w:lang w:eastAsia="ru-RU"/>
        </w:rPr>
        <w:t xml:space="preserve"> de afaceri, a unui mediu pentru sănătatea </w:t>
      </w:r>
      <w:proofErr w:type="spellStart"/>
      <w:r w:rsidRPr="00125FAF">
        <w:rPr>
          <w:rFonts w:ascii="Times New Roman" w:eastAsia="Times New Roman" w:hAnsi="Times New Roman" w:cs="Times New Roman"/>
          <w:color w:val="000000"/>
          <w:sz w:val="24"/>
          <w:szCs w:val="24"/>
          <w:lang w:eastAsia="ru-RU"/>
        </w:rPr>
        <w:t>şi</w:t>
      </w:r>
      <w:proofErr w:type="spellEnd"/>
      <w:r w:rsidRPr="00125FAF">
        <w:rPr>
          <w:rFonts w:ascii="Times New Roman" w:eastAsia="Times New Roman" w:hAnsi="Times New Roman" w:cs="Times New Roman"/>
          <w:color w:val="000000"/>
          <w:sz w:val="24"/>
          <w:szCs w:val="24"/>
          <w:lang w:eastAsia="ru-RU"/>
        </w:rPr>
        <w:t xml:space="preserve"> </w:t>
      </w:r>
      <w:proofErr w:type="spellStart"/>
      <w:r w:rsidRPr="00125FAF">
        <w:rPr>
          <w:rFonts w:ascii="Times New Roman" w:eastAsia="Times New Roman" w:hAnsi="Times New Roman" w:cs="Times New Roman"/>
          <w:color w:val="000000"/>
          <w:sz w:val="24"/>
          <w:szCs w:val="24"/>
          <w:lang w:eastAsia="ru-RU"/>
        </w:rPr>
        <w:t>viaţa</w:t>
      </w:r>
      <w:proofErr w:type="spellEnd"/>
      <w:r w:rsidRPr="00125FAF">
        <w:rPr>
          <w:rFonts w:ascii="Times New Roman" w:eastAsia="Times New Roman" w:hAnsi="Times New Roman" w:cs="Times New Roman"/>
          <w:color w:val="000000"/>
          <w:sz w:val="24"/>
          <w:szCs w:val="24"/>
          <w:lang w:eastAsia="ru-RU"/>
        </w:rPr>
        <w:t xml:space="preserve"> </w:t>
      </w:r>
      <w:proofErr w:type="spellStart"/>
      <w:r w:rsidRPr="00125FAF">
        <w:rPr>
          <w:rFonts w:ascii="Times New Roman" w:eastAsia="Times New Roman" w:hAnsi="Times New Roman" w:cs="Times New Roman"/>
          <w:color w:val="000000"/>
          <w:sz w:val="24"/>
          <w:szCs w:val="24"/>
          <w:lang w:eastAsia="ru-RU"/>
        </w:rPr>
        <w:t>populaţiei</w:t>
      </w:r>
      <w:proofErr w:type="spellEnd"/>
      <w:r w:rsidRPr="00125FAF">
        <w:rPr>
          <w:rFonts w:ascii="Times New Roman" w:eastAsia="Times New Roman" w:hAnsi="Times New Roman" w:cs="Times New Roman"/>
          <w:color w:val="000000"/>
          <w:sz w:val="24"/>
          <w:szCs w:val="24"/>
          <w:lang w:eastAsia="ru-RU"/>
        </w:rPr>
        <w:t xml:space="preserve"> </w:t>
      </w:r>
      <w:proofErr w:type="spellStart"/>
      <w:r w:rsidRPr="00125FAF">
        <w:rPr>
          <w:rFonts w:ascii="Times New Roman" w:eastAsia="Times New Roman" w:hAnsi="Times New Roman" w:cs="Times New Roman"/>
          <w:color w:val="000000"/>
          <w:sz w:val="24"/>
          <w:szCs w:val="24"/>
          <w:lang w:eastAsia="ru-RU"/>
        </w:rPr>
        <w:t>îmbunătăţit</w:t>
      </w:r>
      <w:proofErr w:type="spellEnd"/>
      <w:r w:rsidRPr="00125FAF">
        <w:rPr>
          <w:rFonts w:ascii="Times New Roman" w:eastAsia="Times New Roman" w:hAnsi="Times New Roman" w:cs="Times New Roman"/>
          <w:color w:val="000000"/>
          <w:sz w:val="24"/>
          <w:szCs w:val="24"/>
          <w:lang w:eastAsia="ru-RU"/>
        </w:rPr>
        <w:t xml:space="preserve">, de securitate energetică sporită </w:t>
      </w:r>
      <w:proofErr w:type="spellStart"/>
      <w:r w:rsidRPr="00125FAF">
        <w:rPr>
          <w:rFonts w:ascii="Times New Roman" w:eastAsia="Times New Roman" w:hAnsi="Times New Roman" w:cs="Times New Roman"/>
          <w:color w:val="000000"/>
          <w:sz w:val="24"/>
          <w:szCs w:val="24"/>
          <w:lang w:eastAsia="ru-RU"/>
        </w:rPr>
        <w:t>şi</w:t>
      </w:r>
      <w:proofErr w:type="spellEnd"/>
      <w:r w:rsidRPr="00125FAF">
        <w:rPr>
          <w:rFonts w:ascii="Times New Roman" w:eastAsia="Times New Roman" w:hAnsi="Times New Roman" w:cs="Times New Roman"/>
          <w:color w:val="000000"/>
          <w:sz w:val="24"/>
          <w:szCs w:val="24"/>
          <w:lang w:eastAsia="ru-RU"/>
        </w:rPr>
        <w:t xml:space="preserve">, nu în ultimul </w:t>
      </w:r>
      <w:proofErr w:type="spellStart"/>
      <w:r w:rsidRPr="00125FAF">
        <w:rPr>
          <w:rFonts w:ascii="Times New Roman" w:eastAsia="Times New Roman" w:hAnsi="Times New Roman" w:cs="Times New Roman"/>
          <w:color w:val="000000"/>
          <w:sz w:val="24"/>
          <w:szCs w:val="24"/>
          <w:lang w:eastAsia="ru-RU"/>
        </w:rPr>
        <w:t>rînd</w:t>
      </w:r>
      <w:proofErr w:type="spellEnd"/>
      <w:r w:rsidRPr="00125FAF">
        <w:rPr>
          <w:rFonts w:ascii="Times New Roman" w:eastAsia="Times New Roman" w:hAnsi="Times New Roman" w:cs="Times New Roman"/>
          <w:color w:val="000000"/>
          <w:sz w:val="24"/>
          <w:szCs w:val="24"/>
          <w:lang w:eastAsia="ru-RU"/>
        </w:rPr>
        <w:t xml:space="preserve">, de standarde de mediu mai bune </w:t>
      </w:r>
      <w:proofErr w:type="spellStart"/>
      <w:r w:rsidRPr="00125FAF">
        <w:rPr>
          <w:rFonts w:ascii="Times New Roman" w:eastAsia="Times New Roman" w:hAnsi="Times New Roman" w:cs="Times New Roman"/>
          <w:color w:val="000000"/>
          <w:sz w:val="24"/>
          <w:szCs w:val="24"/>
          <w:lang w:eastAsia="ru-RU"/>
        </w:rPr>
        <w:t>şi</w:t>
      </w:r>
      <w:proofErr w:type="spellEnd"/>
      <w:r w:rsidRPr="00125FAF">
        <w:rPr>
          <w:rFonts w:ascii="Times New Roman" w:eastAsia="Times New Roman" w:hAnsi="Times New Roman" w:cs="Times New Roman"/>
          <w:color w:val="000000"/>
          <w:sz w:val="24"/>
          <w:szCs w:val="24"/>
          <w:lang w:eastAsia="ru-RU"/>
        </w:rPr>
        <w:t xml:space="preserve"> o securitate ecologică sporită.</w:t>
      </w:r>
    </w:p>
    <w:p w14:paraId="2F413065" w14:textId="77777777" w:rsidR="0013147D" w:rsidRPr="00125FAF" w:rsidRDefault="0013147D" w:rsidP="0013147D">
      <w:pPr>
        <w:spacing w:after="0" w:line="240" w:lineRule="auto"/>
        <w:ind w:firstLine="720"/>
        <w:jc w:val="both"/>
        <w:rPr>
          <w:rFonts w:ascii="Times New Roman" w:eastAsia="Times New Roman" w:hAnsi="Times New Roman" w:cs="Times New Roman"/>
          <w:sz w:val="24"/>
          <w:szCs w:val="24"/>
          <w:lang w:eastAsia="ru-RU"/>
        </w:rPr>
      </w:pPr>
      <w:r w:rsidRPr="00125FAF">
        <w:rPr>
          <w:rFonts w:ascii="Times New Roman" w:eastAsia="Times New Roman" w:hAnsi="Times New Roman" w:cs="Times New Roman"/>
          <w:color w:val="000000"/>
          <w:sz w:val="24"/>
          <w:szCs w:val="24"/>
          <w:lang w:eastAsia="ru-RU"/>
        </w:rPr>
        <w:t xml:space="preserve">Se va </w:t>
      </w:r>
      <w:proofErr w:type="spellStart"/>
      <w:r w:rsidRPr="00125FAF">
        <w:rPr>
          <w:rFonts w:ascii="Times New Roman" w:eastAsia="Times New Roman" w:hAnsi="Times New Roman" w:cs="Times New Roman"/>
          <w:color w:val="000000"/>
          <w:sz w:val="24"/>
          <w:szCs w:val="24"/>
          <w:lang w:eastAsia="ru-RU"/>
        </w:rPr>
        <w:t>îmbunătăţi</w:t>
      </w:r>
      <w:proofErr w:type="spellEnd"/>
      <w:r w:rsidRPr="00125FAF">
        <w:rPr>
          <w:rFonts w:ascii="Times New Roman" w:eastAsia="Times New Roman" w:hAnsi="Times New Roman" w:cs="Times New Roman"/>
          <w:color w:val="000000"/>
          <w:sz w:val="24"/>
          <w:szCs w:val="24"/>
          <w:lang w:eastAsia="ru-RU"/>
        </w:rPr>
        <w:t xml:space="preserve"> cadrul normativ </w:t>
      </w:r>
      <w:proofErr w:type="spellStart"/>
      <w:r w:rsidRPr="00125FAF">
        <w:rPr>
          <w:rFonts w:ascii="Times New Roman" w:eastAsia="Times New Roman" w:hAnsi="Times New Roman" w:cs="Times New Roman"/>
          <w:color w:val="000000"/>
          <w:sz w:val="24"/>
          <w:szCs w:val="24"/>
          <w:lang w:eastAsia="ru-RU"/>
        </w:rPr>
        <w:t>şi</w:t>
      </w:r>
      <w:proofErr w:type="spellEnd"/>
      <w:r w:rsidRPr="00125FAF">
        <w:rPr>
          <w:rFonts w:ascii="Times New Roman" w:eastAsia="Times New Roman" w:hAnsi="Times New Roman" w:cs="Times New Roman"/>
          <w:color w:val="000000"/>
          <w:sz w:val="24"/>
          <w:szCs w:val="24"/>
          <w:lang w:eastAsia="ru-RU"/>
        </w:rPr>
        <w:t xml:space="preserve"> de afaceri pentru investitori.</w:t>
      </w:r>
    </w:p>
    <w:p w14:paraId="72EA6E2D" w14:textId="07975C3D" w:rsidR="0013147D" w:rsidRPr="00125FAF" w:rsidRDefault="00182846" w:rsidP="0013147D">
      <w:pPr>
        <w:spacing w:after="0" w:line="240" w:lineRule="auto"/>
        <w:ind w:firstLine="720"/>
        <w:jc w:val="both"/>
        <w:rPr>
          <w:rFonts w:ascii="Times New Roman" w:eastAsia="Times New Roman" w:hAnsi="Times New Roman" w:cs="Times New Roman"/>
          <w:sz w:val="24"/>
          <w:szCs w:val="24"/>
          <w:lang w:eastAsia="ru-RU"/>
        </w:rPr>
      </w:pPr>
      <w:r w:rsidRPr="00125FAF">
        <w:rPr>
          <w:rFonts w:ascii="Times New Roman" w:eastAsia="Times New Roman" w:hAnsi="Times New Roman" w:cs="Times New Roman"/>
          <w:color w:val="000000"/>
          <w:sz w:val="24"/>
          <w:szCs w:val="24"/>
          <w:lang w:eastAsia="ru-RU"/>
        </w:rPr>
        <w:t xml:space="preserve">Se </w:t>
      </w:r>
      <w:proofErr w:type="spellStart"/>
      <w:r w:rsidRPr="00125FAF">
        <w:rPr>
          <w:rFonts w:ascii="Times New Roman" w:eastAsia="Times New Roman" w:hAnsi="Times New Roman" w:cs="Times New Roman"/>
          <w:color w:val="000000"/>
          <w:sz w:val="24"/>
          <w:szCs w:val="24"/>
          <w:lang w:eastAsia="ru-RU"/>
        </w:rPr>
        <w:t>aşteaptă</w:t>
      </w:r>
      <w:proofErr w:type="spellEnd"/>
      <w:r w:rsidRPr="00125FAF">
        <w:rPr>
          <w:rFonts w:ascii="Times New Roman" w:eastAsia="Times New Roman" w:hAnsi="Times New Roman" w:cs="Times New Roman"/>
          <w:color w:val="000000"/>
          <w:sz w:val="24"/>
          <w:szCs w:val="24"/>
          <w:lang w:eastAsia="ru-RU"/>
        </w:rPr>
        <w:t xml:space="preserve"> i</w:t>
      </w:r>
      <w:r w:rsidR="0013147D" w:rsidRPr="00125FAF">
        <w:rPr>
          <w:rFonts w:ascii="Times New Roman" w:eastAsia="Times New Roman" w:hAnsi="Times New Roman" w:cs="Times New Roman"/>
          <w:color w:val="000000"/>
          <w:sz w:val="24"/>
          <w:szCs w:val="24"/>
          <w:lang w:eastAsia="ru-RU"/>
        </w:rPr>
        <w:t xml:space="preserve">mplicarea mai mare a sectorului privat în planificarea </w:t>
      </w:r>
      <w:proofErr w:type="spellStart"/>
      <w:r w:rsidR="0013147D" w:rsidRPr="00125FAF">
        <w:rPr>
          <w:rFonts w:ascii="Times New Roman" w:eastAsia="Times New Roman" w:hAnsi="Times New Roman" w:cs="Times New Roman"/>
          <w:color w:val="000000"/>
          <w:sz w:val="24"/>
          <w:szCs w:val="24"/>
          <w:lang w:eastAsia="ru-RU"/>
        </w:rPr>
        <w:t>şi</w:t>
      </w:r>
      <w:proofErr w:type="spellEnd"/>
      <w:r w:rsidR="0013147D" w:rsidRPr="00125FAF">
        <w:rPr>
          <w:rFonts w:ascii="Times New Roman" w:eastAsia="Times New Roman" w:hAnsi="Times New Roman" w:cs="Times New Roman"/>
          <w:color w:val="000000"/>
          <w:sz w:val="24"/>
          <w:szCs w:val="24"/>
          <w:lang w:eastAsia="ru-RU"/>
        </w:rPr>
        <w:t xml:space="preserve"> </w:t>
      </w:r>
      <w:proofErr w:type="spellStart"/>
      <w:r w:rsidR="0013147D" w:rsidRPr="00125FAF">
        <w:rPr>
          <w:rFonts w:ascii="Times New Roman" w:eastAsia="Times New Roman" w:hAnsi="Times New Roman" w:cs="Times New Roman"/>
          <w:color w:val="000000"/>
          <w:sz w:val="24"/>
          <w:szCs w:val="24"/>
          <w:lang w:eastAsia="ru-RU"/>
        </w:rPr>
        <w:t>finanţarea</w:t>
      </w:r>
      <w:proofErr w:type="spellEnd"/>
      <w:r w:rsidR="0013147D" w:rsidRPr="00125FAF">
        <w:rPr>
          <w:rFonts w:ascii="Times New Roman" w:eastAsia="Times New Roman" w:hAnsi="Times New Roman" w:cs="Times New Roman"/>
          <w:color w:val="000000"/>
          <w:sz w:val="24"/>
          <w:szCs w:val="24"/>
          <w:lang w:eastAsia="ru-RU"/>
        </w:rPr>
        <w:t xml:space="preserve"> atenuării schimbărilor climatice.</w:t>
      </w:r>
    </w:p>
    <w:p w14:paraId="67396B83" w14:textId="4622F67C" w:rsidR="009777F8" w:rsidRPr="00125FAF" w:rsidRDefault="00182846" w:rsidP="0013147D">
      <w:pPr>
        <w:spacing w:after="120" w:line="240" w:lineRule="auto"/>
        <w:ind w:firstLine="720"/>
        <w:jc w:val="both"/>
        <w:rPr>
          <w:rFonts w:ascii="Times New Roman" w:eastAsia="Times New Roman" w:hAnsi="Times New Roman" w:cs="Times New Roman"/>
          <w:sz w:val="24"/>
          <w:szCs w:val="24"/>
          <w:lang w:eastAsia="ru-RU"/>
        </w:rPr>
      </w:pPr>
      <w:r w:rsidRPr="00125FAF">
        <w:rPr>
          <w:rFonts w:ascii="Times New Roman" w:eastAsia="Times New Roman" w:hAnsi="Times New Roman" w:cs="Times New Roman"/>
          <w:color w:val="000000"/>
          <w:sz w:val="24"/>
          <w:szCs w:val="24"/>
          <w:lang w:eastAsia="ru-RU"/>
        </w:rPr>
        <w:t xml:space="preserve">De asemenea, va </w:t>
      </w:r>
      <w:proofErr w:type="spellStart"/>
      <w:r w:rsidRPr="00125FAF">
        <w:rPr>
          <w:rFonts w:ascii="Times New Roman" w:eastAsia="Times New Roman" w:hAnsi="Times New Roman" w:cs="Times New Roman"/>
          <w:color w:val="000000"/>
          <w:sz w:val="24"/>
          <w:szCs w:val="24"/>
          <w:lang w:eastAsia="ru-RU"/>
        </w:rPr>
        <w:t>c</w:t>
      </w:r>
      <w:r w:rsidR="0013147D" w:rsidRPr="00125FAF">
        <w:rPr>
          <w:rFonts w:ascii="Times New Roman" w:eastAsia="Times New Roman" w:hAnsi="Times New Roman" w:cs="Times New Roman"/>
          <w:color w:val="000000"/>
          <w:sz w:val="24"/>
          <w:szCs w:val="24"/>
          <w:lang w:eastAsia="ru-RU"/>
        </w:rPr>
        <w:t>reşte</w:t>
      </w:r>
      <w:proofErr w:type="spellEnd"/>
      <w:r w:rsidR="0013147D" w:rsidRPr="00125FAF">
        <w:rPr>
          <w:rFonts w:ascii="Times New Roman" w:eastAsia="Times New Roman" w:hAnsi="Times New Roman" w:cs="Times New Roman"/>
          <w:color w:val="000000"/>
          <w:sz w:val="24"/>
          <w:szCs w:val="24"/>
          <w:lang w:eastAsia="ru-RU"/>
        </w:rPr>
        <w:t xml:space="preserve"> rolul mass-mediei în </w:t>
      </w:r>
      <w:proofErr w:type="spellStart"/>
      <w:r w:rsidR="0013147D" w:rsidRPr="00125FAF">
        <w:rPr>
          <w:rFonts w:ascii="Times New Roman" w:eastAsia="Times New Roman" w:hAnsi="Times New Roman" w:cs="Times New Roman"/>
          <w:color w:val="000000"/>
          <w:sz w:val="24"/>
          <w:szCs w:val="24"/>
          <w:lang w:eastAsia="ru-RU"/>
        </w:rPr>
        <w:t>conştientizarea</w:t>
      </w:r>
      <w:proofErr w:type="spellEnd"/>
      <w:r w:rsidR="0013147D" w:rsidRPr="00125FAF">
        <w:rPr>
          <w:rFonts w:ascii="Times New Roman" w:eastAsia="Times New Roman" w:hAnsi="Times New Roman" w:cs="Times New Roman"/>
          <w:color w:val="000000"/>
          <w:sz w:val="24"/>
          <w:szCs w:val="24"/>
          <w:lang w:eastAsia="ru-RU"/>
        </w:rPr>
        <w:t xml:space="preserve"> factorilor de decizie </w:t>
      </w:r>
      <w:proofErr w:type="spellStart"/>
      <w:r w:rsidR="0013147D" w:rsidRPr="00125FAF">
        <w:rPr>
          <w:rFonts w:ascii="Times New Roman" w:eastAsia="Times New Roman" w:hAnsi="Times New Roman" w:cs="Times New Roman"/>
          <w:color w:val="000000"/>
          <w:sz w:val="24"/>
          <w:szCs w:val="24"/>
          <w:lang w:eastAsia="ru-RU"/>
        </w:rPr>
        <w:t>şi</w:t>
      </w:r>
      <w:proofErr w:type="spellEnd"/>
      <w:r w:rsidR="0013147D" w:rsidRPr="00125FAF">
        <w:rPr>
          <w:rFonts w:ascii="Times New Roman" w:eastAsia="Times New Roman" w:hAnsi="Times New Roman" w:cs="Times New Roman"/>
          <w:color w:val="000000"/>
          <w:sz w:val="24"/>
          <w:szCs w:val="24"/>
          <w:lang w:eastAsia="ru-RU"/>
        </w:rPr>
        <w:t xml:space="preserve"> a </w:t>
      </w:r>
      <w:proofErr w:type="spellStart"/>
      <w:r w:rsidR="0013147D" w:rsidRPr="00125FAF">
        <w:rPr>
          <w:rFonts w:ascii="Times New Roman" w:eastAsia="Times New Roman" w:hAnsi="Times New Roman" w:cs="Times New Roman"/>
          <w:color w:val="000000"/>
          <w:sz w:val="24"/>
          <w:szCs w:val="24"/>
          <w:lang w:eastAsia="ru-RU"/>
        </w:rPr>
        <w:t>societăţii</w:t>
      </w:r>
      <w:proofErr w:type="spellEnd"/>
      <w:r w:rsidR="0013147D" w:rsidRPr="00125FAF">
        <w:rPr>
          <w:rFonts w:ascii="Times New Roman" w:eastAsia="Times New Roman" w:hAnsi="Times New Roman" w:cs="Times New Roman"/>
          <w:color w:val="000000"/>
          <w:sz w:val="24"/>
          <w:szCs w:val="24"/>
          <w:lang w:eastAsia="ru-RU"/>
        </w:rPr>
        <w:t xml:space="preserve"> asupra </w:t>
      </w:r>
      <w:proofErr w:type="spellStart"/>
      <w:r w:rsidR="0013147D" w:rsidRPr="00125FAF">
        <w:rPr>
          <w:rFonts w:ascii="Times New Roman" w:eastAsia="Times New Roman" w:hAnsi="Times New Roman" w:cs="Times New Roman"/>
          <w:color w:val="000000"/>
          <w:sz w:val="24"/>
          <w:szCs w:val="24"/>
          <w:lang w:eastAsia="ru-RU"/>
        </w:rPr>
        <w:t>necesităţilor</w:t>
      </w:r>
      <w:proofErr w:type="spellEnd"/>
      <w:r w:rsidR="0013147D" w:rsidRPr="00125FAF">
        <w:rPr>
          <w:rFonts w:ascii="Times New Roman" w:eastAsia="Times New Roman" w:hAnsi="Times New Roman" w:cs="Times New Roman"/>
          <w:color w:val="000000"/>
          <w:sz w:val="24"/>
          <w:szCs w:val="24"/>
          <w:lang w:eastAsia="ru-RU"/>
        </w:rPr>
        <w:t xml:space="preserve"> stringente pentru </w:t>
      </w:r>
      <w:proofErr w:type="spellStart"/>
      <w:r w:rsidR="0013147D" w:rsidRPr="00125FAF">
        <w:rPr>
          <w:rFonts w:ascii="Times New Roman" w:eastAsia="Times New Roman" w:hAnsi="Times New Roman" w:cs="Times New Roman"/>
          <w:color w:val="000000"/>
          <w:sz w:val="24"/>
          <w:szCs w:val="24"/>
          <w:lang w:eastAsia="ru-RU"/>
        </w:rPr>
        <w:t>acţiuni</w:t>
      </w:r>
      <w:proofErr w:type="spellEnd"/>
      <w:r w:rsidR="0013147D" w:rsidRPr="00125FAF">
        <w:rPr>
          <w:rFonts w:ascii="Times New Roman" w:eastAsia="Times New Roman" w:hAnsi="Times New Roman" w:cs="Times New Roman"/>
          <w:color w:val="000000"/>
          <w:sz w:val="24"/>
          <w:szCs w:val="24"/>
          <w:lang w:eastAsia="ru-RU"/>
        </w:rPr>
        <w:t xml:space="preserve"> de atenuare.</w:t>
      </w:r>
    </w:p>
    <w:p w14:paraId="3D894540" w14:textId="5BC45170" w:rsidR="0013147D" w:rsidRPr="00125FAF" w:rsidRDefault="0013147D" w:rsidP="0013147D">
      <w:pPr>
        <w:spacing w:after="0" w:line="240" w:lineRule="auto"/>
        <w:ind w:firstLine="720"/>
        <w:jc w:val="both"/>
        <w:rPr>
          <w:rFonts w:ascii="Times New Roman" w:eastAsia="Times New Roman" w:hAnsi="Times New Roman" w:cs="Times New Roman"/>
          <w:sz w:val="24"/>
          <w:szCs w:val="24"/>
          <w:lang w:eastAsia="ru-RU"/>
        </w:rPr>
      </w:pPr>
      <w:r w:rsidRPr="00125FAF">
        <w:rPr>
          <w:rFonts w:ascii="Times New Roman" w:eastAsia="Times New Roman" w:hAnsi="Times New Roman" w:cs="Times New Roman"/>
          <w:color w:val="000000"/>
          <w:sz w:val="24"/>
          <w:szCs w:val="24"/>
          <w:lang w:eastAsia="ru-RU"/>
        </w:rPr>
        <w:t>4</w:t>
      </w:r>
      <w:r w:rsidR="007909C8" w:rsidRPr="00125FAF">
        <w:rPr>
          <w:rFonts w:ascii="Times New Roman" w:eastAsia="Times New Roman" w:hAnsi="Times New Roman" w:cs="Times New Roman"/>
          <w:color w:val="000000"/>
          <w:sz w:val="24"/>
          <w:szCs w:val="24"/>
          <w:lang w:eastAsia="ru-RU"/>
        </w:rPr>
        <w:t>3</w:t>
      </w:r>
      <w:r w:rsidRPr="00125FAF">
        <w:rPr>
          <w:rFonts w:ascii="Times New Roman" w:eastAsia="Times New Roman" w:hAnsi="Times New Roman" w:cs="Times New Roman"/>
          <w:color w:val="000000"/>
          <w:sz w:val="24"/>
          <w:szCs w:val="24"/>
          <w:lang w:eastAsia="ru-RU"/>
        </w:rPr>
        <w:t xml:space="preserve">. Odată ce angajamentul la nivel </w:t>
      </w:r>
      <w:proofErr w:type="spellStart"/>
      <w:r w:rsidRPr="00125FAF">
        <w:rPr>
          <w:rFonts w:ascii="Times New Roman" w:eastAsia="Times New Roman" w:hAnsi="Times New Roman" w:cs="Times New Roman"/>
          <w:color w:val="000000"/>
          <w:sz w:val="24"/>
          <w:szCs w:val="24"/>
          <w:lang w:eastAsia="ru-RU"/>
        </w:rPr>
        <w:t>naţional</w:t>
      </w:r>
      <w:proofErr w:type="spellEnd"/>
      <w:r w:rsidRPr="00125FAF">
        <w:rPr>
          <w:rFonts w:ascii="Times New Roman" w:eastAsia="Times New Roman" w:hAnsi="Times New Roman" w:cs="Times New Roman"/>
          <w:color w:val="000000"/>
          <w:sz w:val="24"/>
          <w:szCs w:val="24"/>
          <w:lang w:eastAsia="ru-RU"/>
        </w:rPr>
        <w:t xml:space="preserve"> va fi asumat, baza </w:t>
      </w:r>
      <w:proofErr w:type="spellStart"/>
      <w:r w:rsidRPr="00125FAF">
        <w:rPr>
          <w:rFonts w:ascii="Times New Roman" w:eastAsia="Times New Roman" w:hAnsi="Times New Roman" w:cs="Times New Roman"/>
          <w:color w:val="000000"/>
          <w:sz w:val="24"/>
          <w:szCs w:val="24"/>
          <w:lang w:eastAsia="ru-RU"/>
        </w:rPr>
        <w:t>instituţională</w:t>
      </w:r>
      <w:proofErr w:type="spellEnd"/>
      <w:r w:rsidRPr="00125FAF">
        <w:rPr>
          <w:rFonts w:ascii="Times New Roman" w:eastAsia="Times New Roman" w:hAnsi="Times New Roman" w:cs="Times New Roman"/>
          <w:color w:val="000000"/>
          <w:sz w:val="24"/>
          <w:szCs w:val="24"/>
          <w:lang w:eastAsia="ru-RU"/>
        </w:rPr>
        <w:t xml:space="preserve"> fiind deja creată, Republica Moldova va </w:t>
      </w:r>
      <w:proofErr w:type="spellStart"/>
      <w:r w:rsidRPr="00125FAF">
        <w:rPr>
          <w:rFonts w:ascii="Times New Roman" w:eastAsia="Times New Roman" w:hAnsi="Times New Roman" w:cs="Times New Roman"/>
          <w:color w:val="000000"/>
          <w:sz w:val="24"/>
          <w:szCs w:val="24"/>
          <w:lang w:eastAsia="ru-RU"/>
        </w:rPr>
        <w:t>iniţia</w:t>
      </w:r>
      <w:proofErr w:type="spellEnd"/>
      <w:r w:rsidRPr="00125FAF">
        <w:rPr>
          <w:rFonts w:ascii="Times New Roman" w:eastAsia="Times New Roman" w:hAnsi="Times New Roman" w:cs="Times New Roman"/>
          <w:color w:val="000000"/>
          <w:sz w:val="24"/>
          <w:szCs w:val="24"/>
          <w:lang w:eastAsia="ru-RU"/>
        </w:rPr>
        <w:t xml:space="preserve"> studii de fezabilitate, evaluări tehnice </w:t>
      </w:r>
      <w:proofErr w:type="spellStart"/>
      <w:r w:rsidRPr="00125FAF">
        <w:rPr>
          <w:rFonts w:ascii="Times New Roman" w:eastAsia="Times New Roman" w:hAnsi="Times New Roman" w:cs="Times New Roman"/>
          <w:color w:val="000000"/>
          <w:sz w:val="24"/>
          <w:szCs w:val="24"/>
          <w:lang w:eastAsia="ru-RU"/>
        </w:rPr>
        <w:t>şi</w:t>
      </w:r>
      <w:proofErr w:type="spellEnd"/>
      <w:r w:rsidRPr="00125FAF">
        <w:rPr>
          <w:rFonts w:ascii="Times New Roman" w:eastAsia="Times New Roman" w:hAnsi="Times New Roman" w:cs="Times New Roman"/>
          <w:color w:val="000000"/>
          <w:sz w:val="24"/>
          <w:szCs w:val="24"/>
          <w:lang w:eastAsia="ru-RU"/>
        </w:rPr>
        <w:t xml:space="preserve"> de pregătire a </w:t>
      </w:r>
      <w:proofErr w:type="spellStart"/>
      <w:r w:rsidRPr="00125FAF">
        <w:rPr>
          <w:rFonts w:ascii="Times New Roman" w:eastAsia="Times New Roman" w:hAnsi="Times New Roman" w:cs="Times New Roman"/>
          <w:color w:val="000000"/>
          <w:sz w:val="24"/>
          <w:szCs w:val="24"/>
          <w:lang w:eastAsia="ru-RU"/>
        </w:rPr>
        <w:lastRenderedPageBreak/>
        <w:t>documentaţiei</w:t>
      </w:r>
      <w:proofErr w:type="spellEnd"/>
      <w:r w:rsidRPr="00125FAF">
        <w:rPr>
          <w:rFonts w:ascii="Times New Roman" w:eastAsia="Times New Roman" w:hAnsi="Times New Roman" w:cs="Times New Roman"/>
          <w:color w:val="000000"/>
          <w:sz w:val="24"/>
          <w:szCs w:val="24"/>
          <w:lang w:eastAsia="ru-RU"/>
        </w:rPr>
        <w:t xml:space="preserve"> de proiect pentru </w:t>
      </w:r>
      <w:proofErr w:type="spellStart"/>
      <w:r w:rsidRPr="00125FAF">
        <w:rPr>
          <w:rFonts w:ascii="Times New Roman" w:eastAsia="Times New Roman" w:hAnsi="Times New Roman" w:cs="Times New Roman"/>
          <w:color w:val="000000"/>
          <w:sz w:val="24"/>
          <w:szCs w:val="24"/>
          <w:lang w:eastAsia="ru-RU"/>
        </w:rPr>
        <w:t>acţiunile</w:t>
      </w:r>
      <w:proofErr w:type="spellEnd"/>
      <w:r w:rsidRPr="00125FAF">
        <w:rPr>
          <w:rFonts w:ascii="Times New Roman" w:eastAsia="Times New Roman" w:hAnsi="Times New Roman" w:cs="Times New Roman"/>
          <w:color w:val="000000"/>
          <w:sz w:val="24"/>
          <w:szCs w:val="24"/>
          <w:lang w:eastAsia="ru-RU"/>
        </w:rPr>
        <w:t xml:space="preserve"> de atenuare adecvate la nivel </w:t>
      </w:r>
      <w:proofErr w:type="spellStart"/>
      <w:r w:rsidRPr="00125FAF">
        <w:rPr>
          <w:rFonts w:ascii="Times New Roman" w:eastAsia="Times New Roman" w:hAnsi="Times New Roman" w:cs="Times New Roman"/>
          <w:color w:val="000000"/>
          <w:sz w:val="24"/>
          <w:szCs w:val="24"/>
          <w:lang w:eastAsia="ru-RU"/>
        </w:rPr>
        <w:t>naţional</w:t>
      </w:r>
      <w:proofErr w:type="spellEnd"/>
      <w:r w:rsidRPr="00125FAF">
        <w:rPr>
          <w:rFonts w:ascii="Times New Roman" w:eastAsia="Times New Roman" w:hAnsi="Times New Roman" w:cs="Times New Roman"/>
          <w:color w:val="000000"/>
          <w:sz w:val="24"/>
          <w:szCs w:val="24"/>
          <w:lang w:eastAsia="ru-RU"/>
        </w:rPr>
        <w:t xml:space="preserve">, pe care Republica Moldova le-a identificat ca prioritare pentru </w:t>
      </w:r>
      <w:proofErr w:type="spellStart"/>
      <w:r w:rsidRPr="00125FAF">
        <w:rPr>
          <w:rFonts w:ascii="Times New Roman" w:eastAsia="Times New Roman" w:hAnsi="Times New Roman" w:cs="Times New Roman"/>
          <w:color w:val="000000"/>
          <w:sz w:val="24"/>
          <w:szCs w:val="24"/>
          <w:lang w:eastAsia="ru-RU"/>
        </w:rPr>
        <w:t>finanţare</w:t>
      </w:r>
      <w:proofErr w:type="spellEnd"/>
      <w:r w:rsidRPr="00125FAF">
        <w:rPr>
          <w:rFonts w:ascii="Times New Roman" w:eastAsia="Times New Roman" w:hAnsi="Times New Roman" w:cs="Times New Roman"/>
          <w:color w:val="000000"/>
          <w:sz w:val="24"/>
          <w:szCs w:val="24"/>
          <w:lang w:eastAsia="ru-RU"/>
        </w:rPr>
        <w:t xml:space="preserve"> </w:t>
      </w:r>
      <w:proofErr w:type="spellStart"/>
      <w:r w:rsidRPr="00125FAF">
        <w:rPr>
          <w:rFonts w:ascii="Times New Roman" w:eastAsia="Times New Roman" w:hAnsi="Times New Roman" w:cs="Times New Roman"/>
          <w:color w:val="000000"/>
          <w:sz w:val="24"/>
          <w:szCs w:val="24"/>
          <w:lang w:eastAsia="ru-RU"/>
        </w:rPr>
        <w:t>şi</w:t>
      </w:r>
      <w:proofErr w:type="spellEnd"/>
      <w:r w:rsidRPr="00125FAF">
        <w:rPr>
          <w:rFonts w:ascii="Times New Roman" w:eastAsia="Times New Roman" w:hAnsi="Times New Roman" w:cs="Times New Roman"/>
          <w:color w:val="000000"/>
          <w:sz w:val="24"/>
          <w:szCs w:val="24"/>
          <w:lang w:eastAsia="ru-RU"/>
        </w:rPr>
        <w:t xml:space="preserve"> sprijin din partea </w:t>
      </w:r>
      <w:proofErr w:type="spellStart"/>
      <w:r w:rsidRPr="00125FAF">
        <w:rPr>
          <w:rFonts w:ascii="Times New Roman" w:eastAsia="Times New Roman" w:hAnsi="Times New Roman" w:cs="Times New Roman"/>
          <w:color w:val="000000"/>
          <w:sz w:val="24"/>
          <w:szCs w:val="24"/>
          <w:lang w:eastAsia="ru-RU"/>
        </w:rPr>
        <w:t>comunităţii</w:t>
      </w:r>
      <w:proofErr w:type="spellEnd"/>
      <w:r w:rsidRPr="00125FAF">
        <w:rPr>
          <w:rFonts w:ascii="Times New Roman" w:eastAsia="Times New Roman" w:hAnsi="Times New Roman" w:cs="Times New Roman"/>
          <w:color w:val="000000"/>
          <w:sz w:val="24"/>
          <w:szCs w:val="24"/>
          <w:lang w:eastAsia="ru-RU"/>
        </w:rPr>
        <w:t xml:space="preserve"> </w:t>
      </w:r>
      <w:proofErr w:type="spellStart"/>
      <w:r w:rsidRPr="00125FAF">
        <w:rPr>
          <w:rFonts w:ascii="Times New Roman" w:eastAsia="Times New Roman" w:hAnsi="Times New Roman" w:cs="Times New Roman"/>
          <w:color w:val="000000"/>
          <w:sz w:val="24"/>
          <w:szCs w:val="24"/>
          <w:lang w:eastAsia="ru-RU"/>
        </w:rPr>
        <w:t>internaţionale</w:t>
      </w:r>
      <w:proofErr w:type="spellEnd"/>
      <w:r w:rsidRPr="00125FAF">
        <w:rPr>
          <w:rFonts w:ascii="Times New Roman" w:eastAsia="Times New Roman" w:hAnsi="Times New Roman" w:cs="Times New Roman"/>
          <w:color w:val="000000"/>
          <w:sz w:val="24"/>
          <w:szCs w:val="24"/>
          <w:lang w:eastAsia="ru-RU"/>
        </w:rPr>
        <w:t xml:space="preserve">, inclusiv prin intermediul mecanismului de </w:t>
      </w:r>
      <w:proofErr w:type="spellStart"/>
      <w:r w:rsidRPr="00125FAF">
        <w:rPr>
          <w:rFonts w:ascii="Times New Roman" w:eastAsia="Times New Roman" w:hAnsi="Times New Roman" w:cs="Times New Roman"/>
          <w:color w:val="000000"/>
          <w:sz w:val="24"/>
          <w:szCs w:val="24"/>
          <w:lang w:eastAsia="ru-RU"/>
        </w:rPr>
        <w:t>finanţare</w:t>
      </w:r>
      <w:proofErr w:type="spellEnd"/>
      <w:r w:rsidRPr="00125FAF">
        <w:rPr>
          <w:rFonts w:ascii="Times New Roman" w:eastAsia="Times New Roman" w:hAnsi="Times New Roman" w:cs="Times New Roman"/>
          <w:color w:val="000000"/>
          <w:sz w:val="24"/>
          <w:szCs w:val="24"/>
          <w:lang w:eastAsia="ru-RU"/>
        </w:rPr>
        <w:t xml:space="preserve"> rapidă </w:t>
      </w:r>
      <w:proofErr w:type="spellStart"/>
      <w:r w:rsidRPr="00125FAF">
        <w:rPr>
          <w:rFonts w:ascii="Times New Roman" w:eastAsia="Times New Roman" w:hAnsi="Times New Roman" w:cs="Times New Roman"/>
          <w:color w:val="000000"/>
          <w:sz w:val="24"/>
          <w:szCs w:val="24"/>
          <w:lang w:eastAsia="ru-RU"/>
        </w:rPr>
        <w:t>şi</w:t>
      </w:r>
      <w:proofErr w:type="spellEnd"/>
      <w:r w:rsidRPr="00125FAF">
        <w:rPr>
          <w:rFonts w:ascii="Times New Roman" w:eastAsia="Times New Roman" w:hAnsi="Times New Roman" w:cs="Times New Roman"/>
          <w:color w:val="000000"/>
          <w:sz w:val="24"/>
          <w:szCs w:val="24"/>
          <w:lang w:eastAsia="ru-RU"/>
        </w:rPr>
        <w:t xml:space="preserve"> Fondul Verde pentru Climă.</w:t>
      </w:r>
    </w:p>
    <w:p w14:paraId="56327EB7" w14:textId="5F064F3D" w:rsidR="0013147D" w:rsidRPr="00125FAF" w:rsidRDefault="0013147D" w:rsidP="0013147D">
      <w:pPr>
        <w:spacing w:after="0" w:line="240" w:lineRule="auto"/>
        <w:ind w:firstLine="720"/>
        <w:jc w:val="both"/>
        <w:rPr>
          <w:rFonts w:ascii="Times New Roman" w:eastAsia="Times New Roman" w:hAnsi="Times New Roman" w:cs="Times New Roman"/>
          <w:sz w:val="24"/>
          <w:szCs w:val="24"/>
          <w:lang w:eastAsia="ru-RU"/>
        </w:rPr>
      </w:pPr>
      <w:r w:rsidRPr="00125FAF">
        <w:rPr>
          <w:rFonts w:ascii="Times New Roman" w:eastAsia="Times New Roman" w:hAnsi="Times New Roman" w:cs="Times New Roman"/>
          <w:sz w:val="24"/>
          <w:szCs w:val="24"/>
          <w:lang w:eastAsia="ru-RU"/>
        </w:rPr>
        <w:t>Se anticipează că prezent</w:t>
      </w:r>
      <w:r w:rsidR="00182846" w:rsidRPr="00125FAF">
        <w:rPr>
          <w:rFonts w:ascii="Times New Roman" w:eastAsia="Times New Roman" w:hAnsi="Times New Roman" w:cs="Times New Roman"/>
          <w:sz w:val="24"/>
          <w:szCs w:val="24"/>
          <w:lang w:eastAsia="ru-RU"/>
        </w:rPr>
        <w:t>ul Program</w:t>
      </w:r>
      <w:r w:rsidRPr="00125FAF">
        <w:rPr>
          <w:rFonts w:ascii="Times New Roman" w:eastAsia="Times New Roman" w:hAnsi="Times New Roman" w:cs="Times New Roman"/>
          <w:sz w:val="24"/>
          <w:szCs w:val="24"/>
          <w:lang w:eastAsia="ru-RU"/>
        </w:rPr>
        <w:t xml:space="preserve"> va consolida </w:t>
      </w:r>
      <w:proofErr w:type="spellStart"/>
      <w:r w:rsidRPr="00125FAF">
        <w:rPr>
          <w:rFonts w:ascii="Times New Roman" w:eastAsia="Times New Roman" w:hAnsi="Times New Roman" w:cs="Times New Roman"/>
          <w:sz w:val="24"/>
          <w:szCs w:val="24"/>
          <w:lang w:eastAsia="ru-RU"/>
        </w:rPr>
        <w:t>şi</w:t>
      </w:r>
      <w:proofErr w:type="spellEnd"/>
      <w:r w:rsidRPr="00125FAF">
        <w:rPr>
          <w:rFonts w:ascii="Times New Roman" w:eastAsia="Times New Roman" w:hAnsi="Times New Roman" w:cs="Times New Roman"/>
          <w:sz w:val="24"/>
          <w:szCs w:val="24"/>
          <w:lang w:eastAsia="ru-RU"/>
        </w:rPr>
        <w:t xml:space="preserve"> va ghida abordarea sectorială caracteristică pentru programul de guvernare.</w:t>
      </w:r>
    </w:p>
    <w:p w14:paraId="6A3423D8" w14:textId="782F8780" w:rsidR="0013147D" w:rsidRPr="00125FAF" w:rsidRDefault="00182846" w:rsidP="0013147D">
      <w:pPr>
        <w:spacing w:after="120" w:line="240" w:lineRule="auto"/>
        <w:ind w:firstLine="720"/>
        <w:jc w:val="both"/>
        <w:rPr>
          <w:rFonts w:ascii="Times New Roman" w:eastAsia="Times New Roman" w:hAnsi="Times New Roman" w:cs="Times New Roman"/>
          <w:sz w:val="24"/>
          <w:szCs w:val="24"/>
          <w:lang w:eastAsia="ru-RU"/>
        </w:rPr>
      </w:pPr>
      <w:r w:rsidRPr="00125FAF">
        <w:rPr>
          <w:rFonts w:ascii="Times New Roman" w:eastAsia="Times New Roman" w:hAnsi="Times New Roman" w:cs="Times New Roman"/>
          <w:color w:val="000000"/>
          <w:sz w:val="24"/>
          <w:szCs w:val="24"/>
          <w:lang w:eastAsia="ru-RU"/>
        </w:rPr>
        <w:t>Programul</w:t>
      </w:r>
      <w:r w:rsidR="0013147D" w:rsidRPr="00125FAF">
        <w:rPr>
          <w:rFonts w:ascii="Times New Roman" w:eastAsia="Times New Roman" w:hAnsi="Times New Roman" w:cs="Times New Roman"/>
          <w:color w:val="000000"/>
          <w:sz w:val="24"/>
          <w:szCs w:val="24"/>
          <w:lang w:eastAsia="ru-RU"/>
        </w:rPr>
        <w:t xml:space="preserve"> va amplifica, de asemenea, acoperirea bugetară pentru promovarea unor politici adecvate de atenuare a emisiilor de gaze cu efect de seră la nivel sectorial.</w:t>
      </w:r>
    </w:p>
    <w:p w14:paraId="6D500EDA" w14:textId="494E63C8" w:rsidR="0013147D" w:rsidRPr="00125FAF" w:rsidRDefault="0013147D" w:rsidP="0013147D">
      <w:pPr>
        <w:spacing w:after="120" w:line="240" w:lineRule="auto"/>
        <w:ind w:firstLine="720"/>
        <w:jc w:val="both"/>
        <w:rPr>
          <w:rFonts w:ascii="Times New Roman" w:eastAsia="Times New Roman" w:hAnsi="Times New Roman" w:cs="Times New Roman"/>
          <w:color w:val="000000"/>
          <w:sz w:val="24"/>
          <w:szCs w:val="24"/>
          <w:lang w:eastAsia="ru-RU"/>
        </w:rPr>
      </w:pPr>
      <w:r w:rsidRPr="00125FAF">
        <w:rPr>
          <w:rFonts w:ascii="Times New Roman" w:eastAsia="Times New Roman" w:hAnsi="Times New Roman" w:cs="Times New Roman"/>
          <w:color w:val="000000"/>
          <w:sz w:val="24"/>
          <w:szCs w:val="24"/>
          <w:lang w:eastAsia="ru-RU"/>
        </w:rPr>
        <w:t>4</w:t>
      </w:r>
      <w:r w:rsidR="007909C8" w:rsidRPr="00125FAF">
        <w:rPr>
          <w:rFonts w:ascii="Times New Roman" w:eastAsia="Times New Roman" w:hAnsi="Times New Roman" w:cs="Times New Roman"/>
          <w:color w:val="000000"/>
          <w:sz w:val="24"/>
          <w:szCs w:val="24"/>
          <w:lang w:eastAsia="ru-RU"/>
        </w:rPr>
        <w:t>4</w:t>
      </w:r>
      <w:r w:rsidRPr="00125FAF">
        <w:rPr>
          <w:rFonts w:ascii="Times New Roman" w:eastAsia="Times New Roman" w:hAnsi="Times New Roman" w:cs="Times New Roman"/>
          <w:color w:val="000000"/>
          <w:sz w:val="24"/>
          <w:szCs w:val="24"/>
          <w:lang w:eastAsia="ru-RU"/>
        </w:rPr>
        <w:t xml:space="preserve">. </w:t>
      </w:r>
      <w:proofErr w:type="spellStart"/>
      <w:r w:rsidRPr="00125FAF">
        <w:rPr>
          <w:rFonts w:ascii="Times New Roman" w:eastAsia="Times New Roman" w:hAnsi="Times New Roman" w:cs="Times New Roman"/>
          <w:color w:val="000000"/>
          <w:sz w:val="24"/>
          <w:szCs w:val="24"/>
          <w:lang w:eastAsia="ru-RU"/>
        </w:rPr>
        <w:t>Informaţia</w:t>
      </w:r>
      <w:proofErr w:type="spellEnd"/>
      <w:r w:rsidRPr="00125FAF">
        <w:rPr>
          <w:rFonts w:ascii="Times New Roman" w:eastAsia="Times New Roman" w:hAnsi="Times New Roman" w:cs="Times New Roman"/>
          <w:color w:val="000000"/>
          <w:sz w:val="24"/>
          <w:szCs w:val="24"/>
          <w:lang w:eastAsia="ru-RU"/>
        </w:rPr>
        <w:t xml:space="preserve"> asociată cu </w:t>
      </w:r>
      <w:proofErr w:type="spellStart"/>
      <w:r w:rsidRPr="00125FAF">
        <w:rPr>
          <w:rFonts w:ascii="Times New Roman" w:eastAsia="Times New Roman" w:hAnsi="Times New Roman" w:cs="Times New Roman"/>
          <w:color w:val="000000"/>
          <w:sz w:val="24"/>
          <w:szCs w:val="24"/>
          <w:lang w:eastAsia="ru-RU"/>
        </w:rPr>
        <w:t>instituţiile</w:t>
      </w:r>
      <w:proofErr w:type="spellEnd"/>
      <w:r w:rsidRPr="00125FAF">
        <w:rPr>
          <w:rFonts w:ascii="Times New Roman" w:eastAsia="Times New Roman" w:hAnsi="Times New Roman" w:cs="Times New Roman"/>
          <w:color w:val="000000"/>
          <w:sz w:val="24"/>
          <w:szCs w:val="24"/>
          <w:lang w:eastAsia="ru-RU"/>
        </w:rPr>
        <w:t xml:space="preserve"> responsabile, termenele de realizare a </w:t>
      </w:r>
      <w:proofErr w:type="spellStart"/>
      <w:r w:rsidRPr="00125FAF">
        <w:rPr>
          <w:rFonts w:ascii="Times New Roman" w:eastAsia="Times New Roman" w:hAnsi="Times New Roman" w:cs="Times New Roman"/>
          <w:color w:val="000000"/>
          <w:sz w:val="24"/>
          <w:szCs w:val="24"/>
          <w:lang w:eastAsia="ru-RU"/>
        </w:rPr>
        <w:t>activităţilor</w:t>
      </w:r>
      <w:proofErr w:type="spellEnd"/>
      <w:r w:rsidRPr="00125FAF">
        <w:rPr>
          <w:rFonts w:ascii="Times New Roman" w:eastAsia="Times New Roman" w:hAnsi="Times New Roman" w:cs="Times New Roman"/>
          <w:color w:val="000000"/>
          <w:sz w:val="24"/>
          <w:szCs w:val="24"/>
          <w:lang w:eastAsia="ru-RU"/>
        </w:rPr>
        <w:t xml:space="preserve"> prioritare de atenuare adecvate la nivel </w:t>
      </w:r>
      <w:proofErr w:type="spellStart"/>
      <w:r w:rsidRPr="00125FAF">
        <w:rPr>
          <w:rFonts w:ascii="Times New Roman" w:eastAsia="Times New Roman" w:hAnsi="Times New Roman" w:cs="Times New Roman"/>
          <w:color w:val="000000"/>
          <w:sz w:val="24"/>
          <w:szCs w:val="24"/>
          <w:lang w:eastAsia="ru-RU"/>
        </w:rPr>
        <w:t>naţional</w:t>
      </w:r>
      <w:proofErr w:type="spellEnd"/>
      <w:r w:rsidRPr="00125FAF">
        <w:rPr>
          <w:rFonts w:ascii="Times New Roman" w:eastAsia="Times New Roman" w:hAnsi="Times New Roman" w:cs="Times New Roman"/>
          <w:color w:val="000000"/>
          <w:sz w:val="24"/>
          <w:szCs w:val="24"/>
          <w:lang w:eastAsia="ru-RU"/>
        </w:rPr>
        <w:t xml:space="preserve"> propuse, costurile estimative aferente implementării </w:t>
      </w:r>
      <w:proofErr w:type="spellStart"/>
      <w:r w:rsidRPr="00125FAF">
        <w:rPr>
          <w:rFonts w:ascii="Times New Roman" w:eastAsia="Times New Roman" w:hAnsi="Times New Roman" w:cs="Times New Roman"/>
          <w:color w:val="000000"/>
          <w:sz w:val="24"/>
          <w:szCs w:val="24"/>
          <w:lang w:eastAsia="ru-RU"/>
        </w:rPr>
        <w:t>şi</w:t>
      </w:r>
      <w:proofErr w:type="spellEnd"/>
      <w:r w:rsidRPr="00125FAF">
        <w:rPr>
          <w:rFonts w:ascii="Times New Roman" w:eastAsia="Times New Roman" w:hAnsi="Times New Roman" w:cs="Times New Roman"/>
          <w:color w:val="000000"/>
          <w:sz w:val="24"/>
          <w:szCs w:val="24"/>
          <w:lang w:eastAsia="ru-RU"/>
        </w:rPr>
        <w:t xml:space="preserve"> sursele de </w:t>
      </w:r>
      <w:proofErr w:type="spellStart"/>
      <w:r w:rsidRPr="00125FAF">
        <w:rPr>
          <w:rFonts w:ascii="Times New Roman" w:eastAsia="Times New Roman" w:hAnsi="Times New Roman" w:cs="Times New Roman"/>
          <w:color w:val="000000"/>
          <w:sz w:val="24"/>
          <w:szCs w:val="24"/>
          <w:lang w:eastAsia="ru-RU"/>
        </w:rPr>
        <w:t>finanţare</w:t>
      </w:r>
      <w:proofErr w:type="spellEnd"/>
      <w:r w:rsidRPr="00125FAF">
        <w:rPr>
          <w:rFonts w:ascii="Times New Roman" w:eastAsia="Times New Roman" w:hAnsi="Times New Roman" w:cs="Times New Roman"/>
          <w:color w:val="000000"/>
          <w:sz w:val="24"/>
          <w:szCs w:val="24"/>
          <w:lang w:eastAsia="ru-RU"/>
        </w:rPr>
        <w:t xml:space="preserve"> ale acestora </w:t>
      </w:r>
      <w:proofErr w:type="spellStart"/>
      <w:r w:rsidRPr="00125FAF">
        <w:rPr>
          <w:rFonts w:ascii="Times New Roman" w:eastAsia="Times New Roman" w:hAnsi="Times New Roman" w:cs="Times New Roman"/>
          <w:color w:val="000000"/>
          <w:sz w:val="24"/>
          <w:szCs w:val="24"/>
          <w:lang w:eastAsia="ru-RU"/>
        </w:rPr>
        <w:t>sînt</w:t>
      </w:r>
      <w:proofErr w:type="spellEnd"/>
      <w:r w:rsidRPr="00125FAF">
        <w:rPr>
          <w:rFonts w:ascii="Times New Roman" w:eastAsia="Times New Roman" w:hAnsi="Times New Roman" w:cs="Times New Roman"/>
          <w:color w:val="000000"/>
          <w:sz w:val="24"/>
          <w:szCs w:val="24"/>
          <w:lang w:eastAsia="ru-RU"/>
        </w:rPr>
        <w:t xml:space="preserve"> prezentate în Anexa 3 la Planul de </w:t>
      </w:r>
      <w:proofErr w:type="spellStart"/>
      <w:r w:rsidRPr="00125FAF">
        <w:rPr>
          <w:rFonts w:ascii="Times New Roman" w:eastAsia="Times New Roman" w:hAnsi="Times New Roman" w:cs="Times New Roman"/>
          <w:color w:val="000000"/>
          <w:sz w:val="24"/>
          <w:szCs w:val="24"/>
          <w:lang w:eastAsia="ru-RU"/>
        </w:rPr>
        <w:t>acţiuni</w:t>
      </w:r>
      <w:proofErr w:type="spellEnd"/>
      <w:r w:rsidRPr="00125FAF">
        <w:rPr>
          <w:rFonts w:ascii="Times New Roman" w:eastAsia="Times New Roman" w:hAnsi="Times New Roman" w:cs="Times New Roman"/>
          <w:color w:val="000000"/>
          <w:sz w:val="24"/>
          <w:szCs w:val="24"/>
          <w:lang w:eastAsia="ru-RU"/>
        </w:rPr>
        <w:t xml:space="preserve"> pentru implementarea prezent</w:t>
      </w:r>
      <w:r w:rsidR="00182846" w:rsidRPr="00125FAF">
        <w:rPr>
          <w:rFonts w:ascii="Times New Roman" w:eastAsia="Times New Roman" w:hAnsi="Times New Roman" w:cs="Times New Roman"/>
          <w:color w:val="000000"/>
          <w:sz w:val="24"/>
          <w:szCs w:val="24"/>
          <w:lang w:eastAsia="ru-RU"/>
        </w:rPr>
        <w:t>ului Program</w:t>
      </w:r>
      <w:r w:rsidRPr="00125FAF">
        <w:rPr>
          <w:rFonts w:ascii="Times New Roman" w:eastAsia="Times New Roman" w:hAnsi="Times New Roman" w:cs="Times New Roman"/>
          <w:color w:val="000000"/>
          <w:sz w:val="24"/>
          <w:szCs w:val="24"/>
          <w:lang w:eastAsia="ru-RU"/>
        </w:rPr>
        <w:t>.</w:t>
      </w:r>
    </w:p>
    <w:p w14:paraId="48E6B0A6" w14:textId="4A00985B" w:rsidR="0090446B" w:rsidRPr="00125FAF" w:rsidRDefault="007909C8" w:rsidP="007909C8">
      <w:pPr>
        <w:spacing w:after="0"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125FAF">
        <w:rPr>
          <w:rFonts w:ascii="Times New Roman" w:eastAsia="Times New Roman" w:hAnsi="Times New Roman" w:cs="Times New Roman"/>
          <w:color w:val="000000"/>
          <w:sz w:val="24"/>
          <w:szCs w:val="24"/>
          <w:shd w:val="clear" w:color="auto" w:fill="FFFFFF"/>
          <w:lang w:eastAsia="ru-RU"/>
        </w:rPr>
        <w:t>45.</w:t>
      </w:r>
      <w:r w:rsidR="0013147D" w:rsidRPr="00125FAF">
        <w:rPr>
          <w:rFonts w:ascii="Times New Roman" w:eastAsia="Times New Roman" w:hAnsi="Times New Roman" w:cs="Times New Roman"/>
          <w:color w:val="000000"/>
          <w:sz w:val="24"/>
          <w:szCs w:val="24"/>
          <w:shd w:val="clear" w:color="auto" w:fill="FFFFFF"/>
          <w:lang w:eastAsia="ru-RU"/>
        </w:rPr>
        <w:t xml:space="preserve"> </w:t>
      </w:r>
      <w:r w:rsidR="0090446B" w:rsidRPr="00125FAF">
        <w:rPr>
          <w:rFonts w:ascii="Times New Roman" w:eastAsia="Times New Roman" w:hAnsi="Times New Roman" w:cs="Times New Roman"/>
          <w:color w:val="000000"/>
          <w:sz w:val="24"/>
          <w:szCs w:val="24"/>
          <w:shd w:val="clear" w:color="auto" w:fill="FFFFFF"/>
          <w:lang w:eastAsia="ru-RU"/>
        </w:rPr>
        <w:t>Cu referire la sectoarele concrete, către anul 2030</w:t>
      </w:r>
      <w:r w:rsidR="0013147D" w:rsidRPr="00125FAF">
        <w:rPr>
          <w:rFonts w:ascii="Times New Roman" w:eastAsia="Times New Roman" w:hAnsi="Times New Roman" w:cs="Times New Roman"/>
          <w:color w:val="000000"/>
          <w:sz w:val="24"/>
          <w:szCs w:val="24"/>
          <w:shd w:val="clear" w:color="auto" w:fill="FFFFFF"/>
          <w:lang w:eastAsia="ru-RU"/>
        </w:rPr>
        <w:t>, în particular,</w:t>
      </w:r>
      <w:r w:rsidR="0090446B" w:rsidRPr="00125FAF">
        <w:rPr>
          <w:rFonts w:ascii="Times New Roman" w:eastAsia="Times New Roman" w:hAnsi="Times New Roman" w:cs="Times New Roman"/>
          <w:color w:val="000000"/>
          <w:sz w:val="24"/>
          <w:szCs w:val="24"/>
          <w:shd w:val="clear" w:color="auto" w:fill="FFFFFF"/>
          <w:lang w:eastAsia="ru-RU"/>
        </w:rPr>
        <w:t xml:space="preserve"> se prevede:</w:t>
      </w:r>
    </w:p>
    <w:p w14:paraId="79F4F90D" w14:textId="15258270" w:rsidR="006C45CE" w:rsidRPr="00125FAF" w:rsidRDefault="0090446B" w:rsidP="003E24C5">
      <w:pPr>
        <w:pStyle w:val="Listparagraf"/>
        <w:numPr>
          <w:ilvl w:val="0"/>
          <w:numId w:val="14"/>
        </w:numPr>
        <w:spacing w:after="0" w:line="240" w:lineRule="auto"/>
        <w:ind w:left="1068"/>
        <w:jc w:val="both"/>
        <w:rPr>
          <w:rFonts w:ascii="Times New Roman" w:eastAsia="Times New Roman" w:hAnsi="Times New Roman" w:cs="Times New Roman"/>
          <w:color w:val="000000"/>
          <w:sz w:val="24"/>
          <w:szCs w:val="24"/>
          <w:shd w:val="clear" w:color="auto" w:fill="FFFFFF"/>
          <w:lang w:eastAsia="ru-RU"/>
        </w:rPr>
      </w:pPr>
      <w:r w:rsidRPr="00125FAF">
        <w:rPr>
          <w:rFonts w:ascii="Times New Roman" w:eastAsia="Times New Roman" w:hAnsi="Times New Roman" w:cs="Times New Roman"/>
          <w:i/>
          <w:iCs/>
          <w:color w:val="000000"/>
          <w:sz w:val="24"/>
          <w:szCs w:val="24"/>
          <w:shd w:val="clear" w:color="auto" w:fill="FFFFFF"/>
          <w:lang w:eastAsia="ru-RU"/>
        </w:rPr>
        <w:t>Sectorul energetic:</w:t>
      </w:r>
      <w:r w:rsidRPr="00125FAF">
        <w:rPr>
          <w:rFonts w:ascii="Times New Roman" w:eastAsia="Times New Roman" w:hAnsi="Times New Roman" w:cs="Times New Roman"/>
          <w:color w:val="000000"/>
          <w:sz w:val="24"/>
          <w:szCs w:val="24"/>
          <w:shd w:val="clear" w:color="auto" w:fill="FFFFFF"/>
          <w:lang w:eastAsia="ru-RU"/>
        </w:rPr>
        <w:t xml:space="preserve"> </w:t>
      </w:r>
      <w:proofErr w:type="spellStart"/>
      <w:r w:rsidRPr="00125FAF">
        <w:rPr>
          <w:rFonts w:ascii="Times New Roman" w:eastAsia="Times New Roman" w:hAnsi="Times New Roman" w:cs="Times New Roman"/>
          <w:color w:val="000000"/>
          <w:sz w:val="24"/>
          <w:szCs w:val="24"/>
          <w:shd w:val="clear" w:color="auto" w:fill="FFFFFF"/>
          <w:lang w:eastAsia="ru-RU"/>
        </w:rPr>
        <w:t>construcţia</w:t>
      </w:r>
      <w:proofErr w:type="spellEnd"/>
      <w:r w:rsidRPr="00125FAF">
        <w:rPr>
          <w:rFonts w:ascii="Times New Roman" w:eastAsia="Times New Roman" w:hAnsi="Times New Roman" w:cs="Times New Roman"/>
          <w:color w:val="000000"/>
          <w:sz w:val="24"/>
          <w:szCs w:val="24"/>
          <w:shd w:val="clear" w:color="auto" w:fill="FFFFFF"/>
          <w:lang w:eastAsia="ru-RU"/>
        </w:rPr>
        <w:t xml:space="preserve"> a 400 MW surse eoliene </w:t>
      </w:r>
      <w:proofErr w:type="spellStart"/>
      <w:r w:rsidRPr="00125FAF">
        <w:rPr>
          <w:rFonts w:ascii="Times New Roman" w:eastAsia="Times New Roman" w:hAnsi="Times New Roman" w:cs="Times New Roman"/>
          <w:color w:val="000000"/>
          <w:sz w:val="24"/>
          <w:szCs w:val="24"/>
          <w:shd w:val="clear" w:color="auto" w:fill="FFFFFF"/>
          <w:lang w:eastAsia="ru-RU"/>
        </w:rPr>
        <w:t>şi</w:t>
      </w:r>
      <w:proofErr w:type="spellEnd"/>
      <w:r w:rsidRPr="00125FAF">
        <w:rPr>
          <w:rFonts w:ascii="Times New Roman" w:eastAsia="Times New Roman" w:hAnsi="Times New Roman" w:cs="Times New Roman"/>
          <w:color w:val="000000"/>
          <w:sz w:val="24"/>
          <w:szCs w:val="24"/>
          <w:shd w:val="clear" w:color="auto" w:fill="FFFFFF"/>
          <w:lang w:eastAsia="ru-RU"/>
        </w:rPr>
        <w:t xml:space="preserve"> 200 MW surse fotovoltaice;</w:t>
      </w:r>
    </w:p>
    <w:p w14:paraId="5B09ADC3" w14:textId="100057FF" w:rsidR="0090446B" w:rsidRPr="00125FAF" w:rsidRDefault="0090446B" w:rsidP="007909C8">
      <w:pPr>
        <w:pStyle w:val="Listparagraf"/>
        <w:spacing w:after="0" w:line="240" w:lineRule="auto"/>
        <w:ind w:left="1098"/>
        <w:jc w:val="both"/>
        <w:rPr>
          <w:rFonts w:ascii="Times New Roman" w:eastAsia="Times New Roman" w:hAnsi="Times New Roman" w:cs="Times New Roman"/>
          <w:color w:val="000000"/>
          <w:sz w:val="24"/>
          <w:szCs w:val="24"/>
          <w:shd w:val="clear" w:color="auto" w:fill="FFFFFF"/>
          <w:lang w:eastAsia="ru-RU"/>
        </w:rPr>
      </w:pPr>
      <w:r w:rsidRPr="00125FAF">
        <w:rPr>
          <w:rFonts w:ascii="Times New Roman" w:eastAsia="Times New Roman" w:hAnsi="Times New Roman" w:cs="Times New Roman"/>
          <w:color w:val="000000"/>
          <w:sz w:val="24"/>
          <w:szCs w:val="24"/>
          <w:shd w:val="clear" w:color="auto" w:fill="FFFFFF"/>
          <w:lang w:eastAsia="ru-RU"/>
        </w:rPr>
        <w:t>utilizarea grupurilor electrogene (50 MW) pe biogaz pentru producerea</w:t>
      </w:r>
      <w:r w:rsidR="00E70219" w:rsidRPr="00125FAF">
        <w:rPr>
          <w:rFonts w:ascii="Times New Roman" w:eastAsia="Times New Roman" w:hAnsi="Times New Roman" w:cs="Times New Roman"/>
          <w:color w:val="000000"/>
          <w:sz w:val="24"/>
          <w:szCs w:val="24"/>
          <w:shd w:val="clear" w:color="auto" w:fill="FFFFFF"/>
          <w:lang w:eastAsia="ru-RU"/>
        </w:rPr>
        <w:t xml:space="preserve"> </w:t>
      </w:r>
      <w:r w:rsidRPr="00125FAF">
        <w:rPr>
          <w:rFonts w:ascii="Times New Roman" w:eastAsia="Times New Roman" w:hAnsi="Times New Roman" w:cs="Times New Roman"/>
          <w:color w:val="000000"/>
          <w:sz w:val="24"/>
          <w:szCs w:val="24"/>
          <w:shd w:val="clear" w:color="auto" w:fill="FFFFFF"/>
          <w:lang w:eastAsia="ru-RU"/>
        </w:rPr>
        <w:t xml:space="preserve">energiei electrice </w:t>
      </w:r>
      <w:proofErr w:type="spellStart"/>
      <w:r w:rsidRPr="00125FAF">
        <w:rPr>
          <w:rFonts w:ascii="Times New Roman" w:eastAsia="Times New Roman" w:hAnsi="Times New Roman" w:cs="Times New Roman"/>
          <w:color w:val="000000"/>
          <w:sz w:val="24"/>
          <w:szCs w:val="24"/>
          <w:shd w:val="clear" w:color="auto" w:fill="FFFFFF"/>
          <w:lang w:eastAsia="ru-RU"/>
        </w:rPr>
        <w:t>şi</w:t>
      </w:r>
      <w:proofErr w:type="spellEnd"/>
      <w:r w:rsidRPr="00125FAF">
        <w:rPr>
          <w:rFonts w:ascii="Times New Roman" w:eastAsia="Times New Roman" w:hAnsi="Times New Roman" w:cs="Times New Roman"/>
          <w:color w:val="000000"/>
          <w:sz w:val="24"/>
          <w:szCs w:val="24"/>
          <w:shd w:val="clear" w:color="auto" w:fill="FFFFFF"/>
          <w:lang w:eastAsia="ru-RU"/>
        </w:rPr>
        <w:t xml:space="preserve"> termice; implementarea generării distribuite a energiei electrice (20 MW); </w:t>
      </w:r>
      <w:r w:rsidR="003B3CF1" w:rsidRPr="00125FAF">
        <w:rPr>
          <w:rFonts w:ascii="Times New Roman" w:eastAsia="Times New Roman" w:hAnsi="Times New Roman" w:cs="Times New Roman"/>
          <w:color w:val="000000"/>
          <w:sz w:val="24"/>
          <w:szCs w:val="24"/>
          <w:shd w:val="clear" w:color="auto" w:fill="FFFFFF"/>
          <w:lang w:eastAsia="ru-RU"/>
        </w:rPr>
        <w:t xml:space="preserve">instalarea a 8100 de cazane pe gaze naturale cu condensare, cu puterea 24 kW fiecare; </w:t>
      </w:r>
      <w:r w:rsidRPr="00125FAF">
        <w:rPr>
          <w:rFonts w:ascii="Times New Roman" w:eastAsia="Times New Roman" w:hAnsi="Times New Roman" w:cs="Times New Roman"/>
          <w:color w:val="000000"/>
          <w:sz w:val="24"/>
          <w:szCs w:val="24"/>
          <w:shd w:val="clear" w:color="auto" w:fill="FFFFFF"/>
          <w:lang w:eastAsia="ru-RU"/>
        </w:rPr>
        <w:t xml:space="preserve">reducerea pierderilor de energie în sistemul de transport </w:t>
      </w:r>
      <w:proofErr w:type="spellStart"/>
      <w:r w:rsidRPr="00125FAF">
        <w:rPr>
          <w:rFonts w:ascii="Times New Roman" w:eastAsia="Times New Roman" w:hAnsi="Times New Roman" w:cs="Times New Roman"/>
          <w:color w:val="000000"/>
          <w:sz w:val="24"/>
          <w:szCs w:val="24"/>
          <w:shd w:val="clear" w:color="auto" w:fill="FFFFFF"/>
          <w:lang w:eastAsia="ru-RU"/>
        </w:rPr>
        <w:t>şi</w:t>
      </w:r>
      <w:proofErr w:type="spellEnd"/>
      <w:r w:rsidRPr="00125FAF">
        <w:rPr>
          <w:rFonts w:ascii="Times New Roman" w:eastAsia="Times New Roman" w:hAnsi="Times New Roman" w:cs="Times New Roman"/>
          <w:color w:val="000000"/>
          <w:sz w:val="24"/>
          <w:szCs w:val="24"/>
          <w:shd w:val="clear" w:color="auto" w:fill="FFFFFF"/>
          <w:lang w:eastAsia="ru-RU"/>
        </w:rPr>
        <w:t xml:space="preserve"> </w:t>
      </w:r>
      <w:proofErr w:type="spellStart"/>
      <w:r w:rsidRPr="00125FAF">
        <w:rPr>
          <w:rFonts w:ascii="Times New Roman" w:eastAsia="Times New Roman" w:hAnsi="Times New Roman" w:cs="Times New Roman"/>
          <w:color w:val="000000"/>
          <w:sz w:val="24"/>
          <w:szCs w:val="24"/>
          <w:shd w:val="clear" w:color="auto" w:fill="FFFFFF"/>
          <w:lang w:eastAsia="ru-RU"/>
        </w:rPr>
        <w:t>distribuţie</w:t>
      </w:r>
      <w:proofErr w:type="spellEnd"/>
      <w:r w:rsidRPr="00125FAF">
        <w:rPr>
          <w:rFonts w:ascii="Times New Roman" w:eastAsia="Times New Roman" w:hAnsi="Times New Roman" w:cs="Times New Roman"/>
          <w:color w:val="000000"/>
          <w:sz w:val="24"/>
          <w:szCs w:val="24"/>
          <w:shd w:val="clear" w:color="auto" w:fill="FFFFFF"/>
          <w:lang w:eastAsia="ru-RU"/>
        </w:rPr>
        <w:t xml:space="preserve"> a energiei termice </w:t>
      </w:r>
      <w:proofErr w:type="spellStart"/>
      <w:r w:rsidRPr="00125FAF">
        <w:rPr>
          <w:rFonts w:ascii="Times New Roman" w:eastAsia="Times New Roman" w:hAnsi="Times New Roman" w:cs="Times New Roman"/>
          <w:color w:val="000000"/>
          <w:sz w:val="24"/>
          <w:szCs w:val="24"/>
          <w:shd w:val="clear" w:color="auto" w:fill="FFFFFF"/>
          <w:lang w:eastAsia="ru-RU"/>
        </w:rPr>
        <w:t>şi</w:t>
      </w:r>
      <w:proofErr w:type="spellEnd"/>
      <w:r w:rsidRPr="00125FAF">
        <w:rPr>
          <w:rFonts w:ascii="Times New Roman" w:eastAsia="Times New Roman" w:hAnsi="Times New Roman" w:cs="Times New Roman"/>
          <w:color w:val="000000"/>
          <w:sz w:val="24"/>
          <w:szCs w:val="24"/>
          <w:shd w:val="clear" w:color="auto" w:fill="FFFFFF"/>
          <w:lang w:eastAsia="ru-RU"/>
        </w:rPr>
        <w:t xml:space="preserve"> la producerea acesteia</w:t>
      </w:r>
      <w:r w:rsidR="003B3CF1" w:rsidRPr="00125FAF">
        <w:rPr>
          <w:rFonts w:ascii="Times New Roman" w:eastAsia="Times New Roman" w:hAnsi="Times New Roman" w:cs="Times New Roman"/>
          <w:color w:val="000000"/>
          <w:sz w:val="24"/>
          <w:szCs w:val="24"/>
          <w:shd w:val="clear" w:color="auto" w:fill="FFFFFF"/>
          <w:lang w:eastAsia="ru-RU"/>
        </w:rPr>
        <w:t xml:space="preserve"> (cu 27,9 </w:t>
      </w:r>
      <w:proofErr w:type="spellStart"/>
      <w:r w:rsidR="003B3CF1" w:rsidRPr="00125FAF">
        <w:rPr>
          <w:rFonts w:ascii="Times New Roman" w:eastAsia="Times New Roman" w:hAnsi="Times New Roman" w:cs="Times New Roman"/>
          <w:color w:val="000000"/>
          <w:sz w:val="24"/>
          <w:szCs w:val="24"/>
          <w:shd w:val="clear" w:color="auto" w:fill="FFFFFF"/>
          <w:lang w:eastAsia="ru-RU"/>
        </w:rPr>
        <w:t>ktep</w:t>
      </w:r>
      <w:proofErr w:type="spellEnd"/>
      <w:r w:rsidR="003B3CF1" w:rsidRPr="00125FAF">
        <w:rPr>
          <w:rFonts w:ascii="Times New Roman" w:eastAsia="Times New Roman" w:hAnsi="Times New Roman" w:cs="Times New Roman"/>
          <w:color w:val="000000"/>
          <w:sz w:val="24"/>
          <w:szCs w:val="24"/>
          <w:shd w:val="clear" w:color="auto" w:fill="FFFFFF"/>
          <w:lang w:eastAsia="ru-RU"/>
        </w:rPr>
        <w:t>)</w:t>
      </w:r>
      <w:r w:rsidRPr="00125FAF">
        <w:rPr>
          <w:rFonts w:ascii="Times New Roman" w:eastAsia="Times New Roman" w:hAnsi="Times New Roman" w:cs="Times New Roman"/>
          <w:color w:val="000000"/>
          <w:sz w:val="24"/>
          <w:szCs w:val="24"/>
          <w:shd w:val="clear" w:color="auto" w:fill="FFFFFF"/>
          <w:lang w:eastAsia="ru-RU"/>
        </w:rPr>
        <w:t xml:space="preserve"> etc;</w:t>
      </w:r>
    </w:p>
    <w:p w14:paraId="34F129BA" w14:textId="2C4AF5CC" w:rsidR="0090446B" w:rsidRPr="00125FAF" w:rsidRDefault="0090446B" w:rsidP="003E24C5">
      <w:pPr>
        <w:pStyle w:val="Listparagraf"/>
        <w:numPr>
          <w:ilvl w:val="0"/>
          <w:numId w:val="14"/>
        </w:numPr>
        <w:spacing w:after="0" w:line="240" w:lineRule="auto"/>
        <w:ind w:left="1068"/>
        <w:jc w:val="both"/>
        <w:rPr>
          <w:rFonts w:ascii="Times New Roman" w:eastAsia="Times New Roman" w:hAnsi="Times New Roman" w:cs="Times New Roman"/>
          <w:color w:val="000000"/>
          <w:sz w:val="24"/>
          <w:szCs w:val="24"/>
          <w:shd w:val="clear" w:color="auto" w:fill="FFFFFF"/>
          <w:lang w:eastAsia="ru-RU"/>
        </w:rPr>
      </w:pPr>
      <w:r w:rsidRPr="00125FAF">
        <w:rPr>
          <w:rFonts w:ascii="Times New Roman" w:eastAsia="Times New Roman" w:hAnsi="Times New Roman" w:cs="Times New Roman"/>
          <w:i/>
          <w:iCs/>
          <w:color w:val="000000"/>
          <w:sz w:val="24"/>
          <w:szCs w:val="24"/>
          <w:shd w:val="clear" w:color="auto" w:fill="FFFFFF"/>
          <w:lang w:eastAsia="ru-RU"/>
        </w:rPr>
        <w:t>Sectorul transporturi:</w:t>
      </w:r>
      <w:r w:rsidR="003B3CF1" w:rsidRPr="00125FAF">
        <w:rPr>
          <w:rFonts w:ascii="Times New Roman" w:eastAsia="Times New Roman" w:hAnsi="Times New Roman" w:cs="Times New Roman"/>
          <w:color w:val="000000"/>
          <w:sz w:val="24"/>
          <w:szCs w:val="24"/>
          <w:shd w:val="clear" w:color="auto" w:fill="FFFFFF"/>
          <w:lang w:eastAsia="ru-RU"/>
        </w:rPr>
        <w:t xml:space="preserve"> 2491 TJ de </w:t>
      </w:r>
      <w:proofErr w:type="spellStart"/>
      <w:r w:rsidR="003B3CF1" w:rsidRPr="00125FAF">
        <w:rPr>
          <w:rFonts w:ascii="Times New Roman" w:eastAsia="Times New Roman" w:hAnsi="Times New Roman" w:cs="Times New Roman"/>
          <w:color w:val="000000"/>
          <w:sz w:val="24"/>
          <w:szCs w:val="24"/>
          <w:shd w:val="clear" w:color="auto" w:fill="FFFFFF"/>
          <w:lang w:eastAsia="ru-RU"/>
        </w:rPr>
        <w:t>biomotirină</w:t>
      </w:r>
      <w:proofErr w:type="spellEnd"/>
      <w:r w:rsidR="003B3CF1" w:rsidRPr="00125FAF">
        <w:rPr>
          <w:rFonts w:ascii="Times New Roman" w:eastAsia="Times New Roman" w:hAnsi="Times New Roman" w:cs="Times New Roman"/>
          <w:color w:val="000000"/>
          <w:sz w:val="24"/>
          <w:szCs w:val="24"/>
          <w:shd w:val="clear" w:color="auto" w:fill="FFFFFF"/>
          <w:lang w:eastAsia="ru-RU"/>
        </w:rPr>
        <w:t xml:space="preserve"> </w:t>
      </w:r>
      <w:proofErr w:type="spellStart"/>
      <w:r w:rsidR="00182846" w:rsidRPr="00125FAF">
        <w:rPr>
          <w:rFonts w:ascii="Times New Roman" w:eastAsia="Times New Roman" w:hAnsi="Times New Roman" w:cs="Times New Roman"/>
          <w:color w:val="000000"/>
          <w:sz w:val="24"/>
          <w:szCs w:val="24"/>
          <w:shd w:val="clear" w:color="auto" w:fill="FFFFFF"/>
          <w:lang w:eastAsia="ru-RU"/>
        </w:rPr>
        <w:t>şi</w:t>
      </w:r>
      <w:proofErr w:type="spellEnd"/>
      <w:r w:rsidR="00182846" w:rsidRPr="00125FAF">
        <w:rPr>
          <w:rFonts w:ascii="Times New Roman" w:eastAsia="Times New Roman" w:hAnsi="Times New Roman" w:cs="Times New Roman"/>
          <w:color w:val="000000"/>
          <w:sz w:val="24"/>
          <w:szCs w:val="24"/>
          <w:shd w:val="clear" w:color="auto" w:fill="FFFFFF"/>
          <w:lang w:eastAsia="ru-RU"/>
        </w:rPr>
        <w:t xml:space="preserve"> 1127 TJ de </w:t>
      </w:r>
      <w:proofErr w:type="spellStart"/>
      <w:r w:rsidR="00182846" w:rsidRPr="00125FAF">
        <w:rPr>
          <w:rFonts w:ascii="Times New Roman" w:eastAsia="Times New Roman" w:hAnsi="Times New Roman" w:cs="Times New Roman"/>
          <w:color w:val="000000"/>
          <w:sz w:val="24"/>
          <w:szCs w:val="24"/>
          <w:shd w:val="clear" w:color="auto" w:fill="FFFFFF"/>
          <w:lang w:eastAsia="ru-RU"/>
        </w:rPr>
        <w:t>bioetanol</w:t>
      </w:r>
      <w:proofErr w:type="spellEnd"/>
      <w:r w:rsidR="00182846" w:rsidRPr="00125FAF">
        <w:rPr>
          <w:rFonts w:ascii="Times New Roman" w:eastAsia="Times New Roman" w:hAnsi="Times New Roman" w:cs="Times New Roman"/>
          <w:color w:val="000000"/>
          <w:sz w:val="24"/>
          <w:szCs w:val="24"/>
          <w:shd w:val="clear" w:color="auto" w:fill="FFFFFF"/>
          <w:lang w:eastAsia="ru-RU"/>
        </w:rPr>
        <w:t xml:space="preserve"> </w:t>
      </w:r>
      <w:r w:rsidR="003B3CF1" w:rsidRPr="00125FAF">
        <w:rPr>
          <w:rFonts w:ascii="Times New Roman" w:eastAsia="Times New Roman" w:hAnsi="Times New Roman" w:cs="Times New Roman"/>
          <w:color w:val="000000"/>
          <w:sz w:val="24"/>
          <w:szCs w:val="24"/>
          <w:shd w:val="clear" w:color="auto" w:fill="FFFFFF"/>
          <w:lang w:eastAsia="ru-RU"/>
        </w:rPr>
        <w:t>comercializat</w:t>
      </w:r>
      <w:r w:rsidR="00182846" w:rsidRPr="00125FAF">
        <w:rPr>
          <w:rFonts w:ascii="Times New Roman" w:eastAsia="Times New Roman" w:hAnsi="Times New Roman" w:cs="Times New Roman"/>
          <w:color w:val="000000"/>
          <w:sz w:val="24"/>
          <w:szCs w:val="24"/>
          <w:shd w:val="clear" w:color="auto" w:fill="FFFFFF"/>
          <w:lang w:eastAsia="ru-RU"/>
        </w:rPr>
        <w:t>e</w:t>
      </w:r>
      <w:r w:rsidR="003B3CF1" w:rsidRPr="00125FAF">
        <w:rPr>
          <w:rFonts w:ascii="Times New Roman" w:eastAsia="Times New Roman" w:hAnsi="Times New Roman" w:cs="Times New Roman"/>
          <w:color w:val="000000"/>
          <w:sz w:val="24"/>
          <w:szCs w:val="24"/>
          <w:shd w:val="clear" w:color="auto" w:fill="FFFFFF"/>
          <w:lang w:eastAsia="ru-RU"/>
        </w:rPr>
        <w:t xml:space="preserve"> anual;</w:t>
      </w:r>
      <w:r w:rsidR="00182846" w:rsidRPr="00125FAF">
        <w:rPr>
          <w:rFonts w:ascii="Times New Roman" w:eastAsia="Times New Roman" w:hAnsi="Times New Roman" w:cs="Times New Roman"/>
          <w:color w:val="000000"/>
          <w:sz w:val="24"/>
          <w:szCs w:val="24"/>
          <w:shd w:val="clear" w:color="auto" w:fill="FFFFFF"/>
          <w:lang w:eastAsia="ru-RU"/>
        </w:rPr>
        <w:t xml:space="preserve"> </w:t>
      </w:r>
      <w:r w:rsidR="003B3CF1" w:rsidRPr="00125FAF">
        <w:rPr>
          <w:rFonts w:ascii="Times New Roman" w:eastAsia="Times New Roman" w:hAnsi="Times New Roman" w:cs="Times New Roman"/>
          <w:color w:val="000000"/>
          <w:sz w:val="24"/>
          <w:szCs w:val="24"/>
          <w:shd w:val="clear" w:color="auto" w:fill="FFFFFF"/>
          <w:lang w:eastAsia="ru-RU"/>
        </w:rPr>
        <w:t xml:space="preserve">9344 km drumuri publice cu calitate </w:t>
      </w:r>
      <w:proofErr w:type="spellStart"/>
      <w:r w:rsidR="003B3CF1" w:rsidRPr="00125FAF">
        <w:rPr>
          <w:rFonts w:ascii="Times New Roman" w:eastAsia="Times New Roman" w:hAnsi="Times New Roman" w:cs="Times New Roman"/>
          <w:color w:val="000000"/>
          <w:sz w:val="24"/>
          <w:szCs w:val="24"/>
          <w:shd w:val="clear" w:color="auto" w:fill="FFFFFF"/>
          <w:lang w:eastAsia="ru-RU"/>
        </w:rPr>
        <w:t>îmbunătăţită</w:t>
      </w:r>
      <w:proofErr w:type="spellEnd"/>
      <w:r w:rsidR="003B3CF1" w:rsidRPr="00125FAF">
        <w:rPr>
          <w:rFonts w:ascii="Times New Roman" w:eastAsia="Times New Roman" w:hAnsi="Times New Roman" w:cs="Times New Roman"/>
          <w:color w:val="000000"/>
          <w:sz w:val="24"/>
          <w:szCs w:val="24"/>
          <w:shd w:val="clear" w:color="auto" w:fill="FFFFFF"/>
          <w:lang w:eastAsia="ru-RU"/>
        </w:rPr>
        <w:t xml:space="preserve"> construite; cantitatea combustibilului utilizat de transportul feroviar redus cu 20% sau 16 TJ; consumul de combustibil utilizat în sectorul transportului rutier redus cu 1% sau 311 TJ.</w:t>
      </w:r>
    </w:p>
    <w:p w14:paraId="3241892D" w14:textId="6D353E5B" w:rsidR="003B3CF1" w:rsidRPr="00125FAF" w:rsidRDefault="003B3CF1" w:rsidP="003E24C5">
      <w:pPr>
        <w:pStyle w:val="Listparagraf"/>
        <w:numPr>
          <w:ilvl w:val="0"/>
          <w:numId w:val="14"/>
        </w:numPr>
        <w:spacing w:after="0" w:line="240" w:lineRule="auto"/>
        <w:ind w:left="1068"/>
        <w:jc w:val="both"/>
        <w:rPr>
          <w:rFonts w:ascii="Times New Roman" w:eastAsia="Times New Roman" w:hAnsi="Times New Roman" w:cs="Times New Roman"/>
          <w:color w:val="000000"/>
          <w:sz w:val="24"/>
          <w:szCs w:val="24"/>
          <w:shd w:val="clear" w:color="auto" w:fill="FFFFFF"/>
          <w:lang w:eastAsia="ru-RU"/>
        </w:rPr>
      </w:pPr>
      <w:r w:rsidRPr="00125FAF">
        <w:rPr>
          <w:rFonts w:ascii="Times New Roman" w:eastAsia="Times New Roman" w:hAnsi="Times New Roman" w:cs="Times New Roman"/>
          <w:i/>
          <w:iCs/>
          <w:color w:val="000000"/>
          <w:sz w:val="24"/>
          <w:szCs w:val="24"/>
          <w:shd w:val="clear" w:color="auto" w:fill="FFFFFF"/>
          <w:lang w:eastAsia="ru-RU"/>
        </w:rPr>
        <w:t xml:space="preserve">Sectorul clădiri: </w:t>
      </w:r>
      <w:r w:rsidR="00861B18" w:rsidRPr="00125FAF">
        <w:rPr>
          <w:rFonts w:ascii="Times New Roman" w:eastAsia="Times New Roman" w:hAnsi="Times New Roman" w:cs="Times New Roman"/>
          <w:color w:val="000000"/>
          <w:sz w:val="24"/>
          <w:szCs w:val="24"/>
          <w:shd w:val="clear" w:color="auto" w:fill="FFFFFF"/>
          <w:lang w:eastAsia="ru-RU"/>
        </w:rPr>
        <w:t>5,86 mil. m</w:t>
      </w:r>
      <w:r w:rsidR="00861B18" w:rsidRPr="00125FAF">
        <w:rPr>
          <w:rFonts w:ascii="Times New Roman" w:eastAsia="Times New Roman" w:hAnsi="Times New Roman" w:cs="Times New Roman"/>
          <w:color w:val="000000"/>
          <w:sz w:val="24"/>
          <w:szCs w:val="24"/>
          <w:shd w:val="clear" w:color="auto" w:fill="FFFFFF"/>
          <w:vertAlign w:val="superscript"/>
          <w:lang w:eastAsia="ru-RU"/>
        </w:rPr>
        <w:t>2</w:t>
      </w:r>
      <w:r w:rsidR="00861B18" w:rsidRPr="00125FAF">
        <w:rPr>
          <w:rFonts w:ascii="Times New Roman" w:eastAsia="Times New Roman" w:hAnsi="Times New Roman" w:cs="Times New Roman"/>
          <w:color w:val="000000"/>
          <w:sz w:val="24"/>
          <w:szCs w:val="24"/>
          <w:shd w:val="clear" w:color="auto" w:fill="FFFFFF"/>
          <w:lang w:eastAsia="ru-RU"/>
        </w:rPr>
        <w:t xml:space="preserve"> de </w:t>
      </w:r>
      <w:proofErr w:type="spellStart"/>
      <w:r w:rsidR="00861B18" w:rsidRPr="00125FAF">
        <w:rPr>
          <w:rFonts w:ascii="Times New Roman" w:eastAsia="Times New Roman" w:hAnsi="Times New Roman" w:cs="Times New Roman"/>
          <w:color w:val="000000"/>
          <w:sz w:val="24"/>
          <w:szCs w:val="24"/>
          <w:shd w:val="clear" w:color="auto" w:fill="FFFFFF"/>
          <w:lang w:eastAsia="ru-RU"/>
        </w:rPr>
        <w:t>suprafaţă</w:t>
      </w:r>
      <w:proofErr w:type="spellEnd"/>
      <w:r w:rsidR="00861B18" w:rsidRPr="00125FAF">
        <w:rPr>
          <w:rFonts w:ascii="Times New Roman" w:eastAsia="Times New Roman" w:hAnsi="Times New Roman" w:cs="Times New Roman"/>
          <w:color w:val="000000"/>
          <w:sz w:val="24"/>
          <w:szCs w:val="24"/>
          <w:shd w:val="clear" w:color="auto" w:fill="FFFFFF"/>
          <w:lang w:eastAsia="ru-RU"/>
        </w:rPr>
        <w:t xml:space="preserve"> utilă a clădirilor reabilitate; 9,02 mil m</w:t>
      </w:r>
      <w:r w:rsidR="00861B18" w:rsidRPr="00125FAF">
        <w:rPr>
          <w:rFonts w:ascii="Times New Roman" w:eastAsia="Times New Roman" w:hAnsi="Times New Roman" w:cs="Times New Roman"/>
          <w:color w:val="000000"/>
          <w:sz w:val="24"/>
          <w:szCs w:val="24"/>
          <w:shd w:val="clear" w:color="auto" w:fill="FFFFFF"/>
          <w:vertAlign w:val="superscript"/>
          <w:lang w:eastAsia="ru-RU"/>
        </w:rPr>
        <w:t>2</w:t>
      </w:r>
      <w:r w:rsidR="00861B18" w:rsidRPr="00125FAF">
        <w:rPr>
          <w:rFonts w:ascii="Times New Roman" w:eastAsia="Times New Roman" w:hAnsi="Times New Roman" w:cs="Times New Roman"/>
          <w:color w:val="000000"/>
          <w:sz w:val="24"/>
          <w:szCs w:val="24"/>
          <w:shd w:val="clear" w:color="auto" w:fill="FFFFFF"/>
          <w:lang w:eastAsia="ru-RU"/>
        </w:rPr>
        <w:t xml:space="preserve"> de suprafață locuibilă cu sisteme de încălzire reabilitate din fondul urban de locuințe; 720 mii robinete termostatice instalate în clădiri publice cu sisteme de încălzire reabilitate; 6,5 mil. de becuri incandescente substituite; 250 MW puterea instalată a centralelor termice pe biomasă; ≈ 2,7 % din necesarul de energie termică </w:t>
      </w:r>
      <w:proofErr w:type="spellStart"/>
      <w:r w:rsidR="00861B18" w:rsidRPr="00125FAF">
        <w:rPr>
          <w:rFonts w:ascii="Times New Roman" w:eastAsia="Times New Roman" w:hAnsi="Times New Roman" w:cs="Times New Roman"/>
          <w:color w:val="000000"/>
          <w:sz w:val="24"/>
          <w:szCs w:val="24"/>
          <w:shd w:val="clear" w:color="auto" w:fill="FFFFFF"/>
          <w:lang w:eastAsia="ru-RU"/>
        </w:rPr>
        <w:t>pînă</w:t>
      </w:r>
      <w:proofErr w:type="spellEnd"/>
      <w:r w:rsidR="00861B18" w:rsidRPr="00125FAF">
        <w:rPr>
          <w:rFonts w:ascii="Times New Roman" w:eastAsia="Times New Roman" w:hAnsi="Times New Roman" w:cs="Times New Roman"/>
          <w:color w:val="000000"/>
          <w:sz w:val="24"/>
          <w:szCs w:val="24"/>
          <w:shd w:val="clear" w:color="auto" w:fill="FFFFFF"/>
          <w:lang w:eastAsia="ru-RU"/>
        </w:rPr>
        <w:t xml:space="preserve"> în anul 2030 produsă de pompele de căldură; 389111 pachete solare cu 20 tuburi vidate în panou (destinate pentru 2-3 persoane) instalate;</w:t>
      </w:r>
    </w:p>
    <w:p w14:paraId="21329CAA" w14:textId="04772D35" w:rsidR="00861B18" w:rsidRPr="00125FAF" w:rsidRDefault="00861B18" w:rsidP="003E24C5">
      <w:pPr>
        <w:pStyle w:val="Listparagraf"/>
        <w:numPr>
          <w:ilvl w:val="0"/>
          <w:numId w:val="14"/>
        </w:numPr>
        <w:spacing w:after="0" w:line="240" w:lineRule="auto"/>
        <w:ind w:left="1068"/>
        <w:jc w:val="both"/>
        <w:rPr>
          <w:rFonts w:ascii="Times New Roman" w:eastAsia="Times New Roman" w:hAnsi="Times New Roman" w:cs="Times New Roman"/>
          <w:color w:val="000000"/>
          <w:sz w:val="24"/>
          <w:szCs w:val="24"/>
          <w:shd w:val="clear" w:color="auto" w:fill="FFFFFF"/>
          <w:lang w:eastAsia="ru-RU"/>
        </w:rPr>
      </w:pPr>
      <w:r w:rsidRPr="00125FAF">
        <w:rPr>
          <w:rFonts w:ascii="Times New Roman" w:eastAsia="Times New Roman" w:hAnsi="Times New Roman" w:cs="Times New Roman"/>
          <w:i/>
          <w:iCs/>
          <w:color w:val="000000"/>
          <w:sz w:val="24"/>
          <w:szCs w:val="24"/>
          <w:shd w:val="clear" w:color="auto" w:fill="FFFFFF"/>
          <w:lang w:eastAsia="ru-RU"/>
        </w:rPr>
        <w:t>Sectorul industrial:</w:t>
      </w:r>
      <w:r w:rsidRPr="00125FAF">
        <w:rPr>
          <w:rFonts w:ascii="Times New Roman" w:eastAsia="Times New Roman" w:hAnsi="Times New Roman" w:cs="Times New Roman"/>
          <w:color w:val="000000"/>
          <w:sz w:val="24"/>
          <w:szCs w:val="24"/>
          <w:shd w:val="clear" w:color="auto" w:fill="FFFFFF"/>
          <w:lang w:eastAsia="ru-RU"/>
        </w:rPr>
        <w:t xml:space="preserve"> </w:t>
      </w:r>
      <w:r w:rsidR="00A56433" w:rsidRPr="00125FAF">
        <w:rPr>
          <w:rFonts w:ascii="Times New Roman" w:eastAsia="Times New Roman" w:hAnsi="Times New Roman" w:cs="Times New Roman"/>
          <w:color w:val="000000"/>
          <w:sz w:val="24"/>
          <w:szCs w:val="24"/>
          <w:shd w:val="clear" w:color="auto" w:fill="FFFFFF"/>
          <w:lang w:eastAsia="ru-RU"/>
        </w:rPr>
        <w:t xml:space="preserve">Sistemul de management energetic </w:t>
      </w:r>
      <w:proofErr w:type="spellStart"/>
      <w:r w:rsidR="00A56433" w:rsidRPr="00125FAF">
        <w:rPr>
          <w:rFonts w:ascii="Times New Roman" w:eastAsia="Times New Roman" w:hAnsi="Times New Roman" w:cs="Times New Roman"/>
          <w:color w:val="000000"/>
          <w:sz w:val="24"/>
          <w:szCs w:val="24"/>
          <w:shd w:val="clear" w:color="auto" w:fill="FFFFFF"/>
          <w:lang w:eastAsia="ru-RU"/>
        </w:rPr>
        <w:t>şi</w:t>
      </w:r>
      <w:proofErr w:type="spellEnd"/>
      <w:r w:rsidR="00A56433" w:rsidRPr="00125FAF">
        <w:rPr>
          <w:rFonts w:ascii="Times New Roman" w:eastAsia="Times New Roman" w:hAnsi="Times New Roman" w:cs="Times New Roman"/>
          <w:color w:val="000000"/>
          <w:sz w:val="24"/>
          <w:szCs w:val="24"/>
          <w:shd w:val="clear" w:color="auto" w:fill="FFFFFF"/>
          <w:lang w:eastAsia="ru-RU"/>
        </w:rPr>
        <w:t xml:space="preserve"> Standardul </w:t>
      </w:r>
      <w:proofErr w:type="spellStart"/>
      <w:r w:rsidR="00A56433" w:rsidRPr="00125FAF">
        <w:rPr>
          <w:rFonts w:ascii="Times New Roman" w:eastAsia="Times New Roman" w:hAnsi="Times New Roman" w:cs="Times New Roman"/>
          <w:color w:val="000000"/>
          <w:sz w:val="24"/>
          <w:szCs w:val="24"/>
          <w:shd w:val="clear" w:color="auto" w:fill="FFFFFF"/>
          <w:lang w:eastAsia="ru-RU"/>
        </w:rPr>
        <w:t>Naţional</w:t>
      </w:r>
      <w:proofErr w:type="spellEnd"/>
      <w:r w:rsidR="00A56433" w:rsidRPr="00125FAF">
        <w:rPr>
          <w:rFonts w:ascii="Times New Roman" w:eastAsia="Times New Roman" w:hAnsi="Times New Roman" w:cs="Times New Roman"/>
          <w:color w:val="000000"/>
          <w:sz w:val="24"/>
          <w:szCs w:val="24"/>
          <w:shd w:val="clear" w:color="auto" w:fill="FFFFFF"/>
          <w:lang w:eastAsia="ru-RU"/>
        </w:rPr>
        <w:t xml:space="preserve"> SM ISO 50001:2012 implementat la peste 40 întreprinderi; peste 76 260 </w:t>
      </w:r>
      <w:proofErr w:type="spellStart"/>
      <w:r w:rsidR="00A56433" w:rsidRPr="00125FAF">
        <w:rPr>
          <w:rFonts w:ascii="Times New Roman" w:eastAsia="Times New Roman" w:hAnsi="Times New Roman" w:cs="Times New Roman"/>
          <w:color w:val="000000"/>
          <w:sz w:val="24"/>
          <w:szCs w:val="24"/>
          <w:shd w:val="clear" w:color="auto" w:fill="FFFFFF"/>
          <w:lang w:eastAsia="ru-RU"/>
        </w:rPr>
        <w:t>tcc</w:t>
      </w:r>
      <w:proofErr w:type="spellEnd"/>
      <w:r w:rsidR="00A56433" w:rsidRPr="00125FAF">
        <w:rPr>
          <w:rFonts w:ascii="Times New Roman" w:eastAsia="Times New Roman" w:hAnsi="Times New Roman" w:cs="Times New Roman"/>
          <w:color w:val="000000"/>
          <w:sz w:val="24"/>
          <w:szCs w:val="24"/>
          <w:shd w:val="clear" w:color="auto" w:fill="FFFFFF"/>
          <w:lang w:eastAsia="ru-RU"/>
        </w:rPr>
        <w:t xml:space="preserve"> de energie </w:t>
      </w:r>
      <w:proofErr w:type="spellStart"/>
      <w:r w:rsidR="00A56433" w:rsidRPr="00125FAF">
        <w:rPr>
          <w:rFonts w:ascii="Times New Roman" w:eastAsia="Times New Roman" w:hAnsi="Times New Roman" w:cs="Times New Roman"/>
          <w:color w:val="000000"/>
          <w:sz w:val="24"/>
          <w:szCs w:val="24"/>
          <w:shd w:val="clear" w:color="auto" w:fill="FFFFFF"/>
          <w:lang w:eastAsia="ru-RU"/>
        </w:rPr>
        <w:t>şi</w:t>
      </w:r>
      <w:proofErr w:type="spellEnd"/>
      <w:r w:rsidR="00A56433" w:rsidRPr="00125FAF">
        <w:rPr>
          <w:rFonts w:ascii="Times New Roman" w:eastAsia="Times New Roman" w:hAnsi="Times New Roman" w:cs="Times New Roman"/>
          <w:color w:val="000000"/>
          <w:sz w:val="24"/>
          <w:szCs w:val="24"/>
          <w:shd w:val="clear" w:color="auto" w:fill="FFFFFF"/>
          <w:lang w:eastAsia="ru-RU"/>
        </w:rPr>
        <w:t xml:space="preserve"> combustibil reduse; intensitatea emisiilor de CO</w:t>
      </w:r>
      <w:r w:rsidR="00A56433" w:rsidRPr="00125FAF">
        <w:rPr>
          <w:rFonts w:ascii="Times New Roman" w:eastAsia="Times New Roman" w:hAnsi="Times New Roman" w:cs="Times New Roman"/>
          <w:color w:val="000000"/>
          <w:sz w:val="24"/>
          <w:szCs w:val="24"/>
          <w:shd w:val="clear" w:color="auto" w:fill="FFFFFF"/>
          <w:vertAlign w:val="subscript"/>
          <w:lang w:eastAsia="ru-RU"/>
        </w:rPr>
        <w:t>2</w:t>
      </w:r>
      <w:r w:rsidR="00A56433" w:rsidRPr="00125FAF">
        <w:rPr>
          <w:rFonts w:ascii="Times New Roman" w:eastAsia="Times New Roman" w:hAnsi="Times New Roman" w:cs="Times New Roman"/>
          <w:color w:val="000000"/>
          <w:sz w:val="24"/>
          <w:szCs w:val="24"/>
          <w:shd w:val="clear" w:color="auto" w:fill="FFFFFF"/>
          <w:lang w:eastAsia="ru-RU"/>
        </w:rPr>
        <w:t xml:space="preserve"> la producerea cimentului va atinge</w:t>
      </w:r>
      <w:r w:rsidR="00E70219" w:rsidRPr="00125FAF">
        <w:rPr>
          <w:rFonts w:ascii="Times New Roman" w:eastAsia="Times New Roman" w:hAnsi="Times New Roman" w:cs="Times New Roman"/>
          <w:color w:val="000000"/>
          <w:sz w:val="24"/>
          <w:szCs w:val="24"/>
          <w:shd w:val="clear" w:color="auto" w:fill="FFFFFF"/>
          <w:lang w:eastAsia="ru-RU"/>
        </w:rPr>
        <w:t xml:space="preserve"> </w:t>
      </w:r>
      <w:r w:rsidR="00A56433" w:rsidRPr="00125FAF">
        <w:rPr>
          <w:rFonts w:ascii="Times New Roman" w:eastAsia="Times New Roman" w:hAnsi="Times New Roman" w:cs="Times New Roman"/>
          <w:color w:val="000000"/>
          <w:sz w:val="24"/>
          <w:szCs w:val="24"/>
          <w:shd w:val="clear" w:color="auto" w:fill="FFFFFF"/>
          <w:lang w:eastAsia="ru-RU"/>
        </w:rPr>
        <w:t>475 tCO</w:t>
      </w:r>
      <w:r w:rsidR="00A56433" w:rsidRPr="00125FAF">
        <w:rPr>
          <w:rFonts w:ascii="Times New Roman" w:eastAsia="Times New Roman" w:hAnsi="Times New Roman" w:cs="Times New Roman"/>
          <w:color w:val="000000"/>
          <w:sz w:val="24"/>
          <w:szCs w:val="24"/>
          <w:shd w:val="clear" w:color="auto" w:fill="FFFFFF"/>
          <w:vertAlign w:val="subscript"/>
          <w:lang w:eastAsia="ru-RU"/>
        </w:rPr>
        <w:t>2</w:t>
      </w:r>
      <w:r w:rsidR="00A56433" w:rsidRPr="00125FAF">
        <w:rPr>
          <w:rFonts w:ascii="Times New Roman" w:eastAsia="Times New Roman" w:hAnsi="Times New Roman" w:cs="Times New Roman"/>
          <w:color w:val="000000"/>
          <w:sz w:val="24"/>
          <w:szCs w:val="24"/>
          <w:shd w:val="clear" w:color="auto" w:fill="FFFFFF"/>
          <w:lang w:eastAsia="ru-RU"/>
        </w:rPr>
        <w:t xml:space="preserve">/t ciment către anul 2030 </w:t>
      </w:r>
      <w:proofErr w:type="spellStart"/>
      <w:r w:rsidR="00A56433" w:rsidRPr="00125FAF">
        <w:rPr>
          <w:rFonts w:ascii="Times New Roman" w:eastAsia="Times New Roman" w:hAnsi="Times New Roman" w:cs="Times New Roman"/>
          <w:color w:val="000000"/>
          <w:sz w:val="24"/>
          <w:szCs w:val="24"/>
          <w:shd w:val="clear" w:color="auto" w:fill="FFFFFF"/>
          <w:lang w:eastAsia="ru-RU"/>
        </w:rPr>
        <w:t>faţă</w:t>
      </w:r>
      <w:proofErr w:type="spellEnd"/>
      <w:r w:rsidR="00A56433" w:rsidRPr="00125FAF">
        <w:rPr>
          <w:rFonts w:ascii="Times New Roman" w:eastAsia="Times New Roman" w:hAnsi="Times New Roman" w:cs="Times New Roman"/>
          <w:color w:val="000000"/>
          <w:sz w:val="24"/>
          <w:szCs w:val="24"/>
          <w:shd w:val="clear" w:color="auto" w:fill="FFFFFF"/>
          <w:lang w:eastAsia="ru-RU"/>
        </w:rPr>
        <w:t xml:space="preserve"> de 800 tCO</w:t>
      </w:r>
      <w:r w:rsidR="00A56433" w:rsidRPr="00125FAF">
        <w:rPr>
          <w:rFonts w:ascii="Times New Roman" w:eastAsia="Times New Roman" w:hAnsi="Times New Roman" w:cs="Times New Roman"/>
          <w:color w:val="000000"/>
          <w:sz w:val="24"/>
          <w:szCs w:val="24"/>
          <w:shd w:val="clear" w:color="auto" w:fill="FFFFFF"/>
          <w:vertAlign w:val="subscript"/>
          <w:lang w:eastAsia="ru-RU"/>
        </w:rPr>
        <w:t>2</w:t>
      </w:r>
      <w:r w:rsidR="00A56433" w:rsidRPr="00125FAF">
        <w:rPr>
          <w:rFonts w:ascii="Times New Roman" w:eastAsia="Times New Roman" w:hAnsi="Times New Roman" w:cs="Times New Roman"/>
          <w:color w:val="000000"/>
          <w:sz w:val="24"/>
          <w:szCs w:val="24"/>
          <w:shd w:val="clear" w:color="auto" w:fill="FFFFFF"/>
          <w:lang w:eastAsia="ru-RU"/>
        </w:rPr>
        <w:t xml:space="preserve">/t ciment in anul 1990; cantitățile totale de sticlă produsă: în 2030 – circa 85 mii tone sticlă; ponderea cioburilor de sticlă în șarjă: în 2030 – până la 50% sau 42.5 mii tone/an; consumul total de combustibil utilizat la producerea sticlei, în 2030 – circa 430.1 TJ/an; Legea gazelor </w:t>
      </w:r>
      <w:r w:rsidR="00182846" w:rsidRPr="00125FAF">
        <w:rPr>
          <w:rFonts w:ascii="Times New Roman" w:eastAsia="Times New Roman" w:hAnsi="Times New Roman" w:cs="Times New Roman"/>
          <w:color w:val="000000"/>
          <w:sz w:val="24"/>
          <w:szCs w:val="24"/>
          <w:shd w:val="clear" w:color="auto" w:fill="FFFFFF"/>
          <w:lang w:eastAsia="ru-RU"/>
        </w:rPr>
        <w:t>fluorurate</w:t>
      </w:r>
      <w:r w:rsidR="00E70219" w:rsidRPr="00125FAF">
        <w:rPr>
          <w:rFonts w:ascii="Times New Roman" w:eastAsia="Times New Roman" w:hAnsi="Times New Roman" w:cs="Times New Roman"/>
          <w:color w:val="000000"/>
          <w:sz w:val="24"/>
          <w:szCs w:val="24"/>
          <w:shd w:val="clear" w:color="auto" w:fill="FFFFFF"/>
          <w:lang w:eastAsia="ru-RU"/>
        </w:rPr>
        <w:t xml:space="preserve"> </w:t>
      </w:r>
      <w:r w:rsidR="00A56433" w:rsidRPr="00125FAF">
        <w:rPr>
          <w:rFonts w:ascii="Times New Roman" w:eastAsia="Times New Roman" w:hAnsi="Times New Roman" w:cs="Times New Roman"/>
          <w:color w:val="000000"/>
          <w:sz w:val="24"/>
          <w:szCs w:val="24"/>
          <w:shd w:val="clear" w:color="auto" w:fill="FFFFFF"/>
          <w:lang w:eastAsia="ru-RU"/>
        </w:rPr>
        <w:t xml:space="preserve">aprobată, alături cu amendarea respectivă a HG nr. 483/2019 </w:t>
      </w:r>
      <w:proofErr w:type="spellStart"/>
      <w:r w:rsidR="00A56433" w:rsidRPr="00125FAF">
        <w:rPr>
          <w:rFonts w:ascii="Times New Roman" w:eastAsia="Times New Roman" w:hAnsi="Times New Roman" w:cs="Times New Roman"/>
          <w:color w:val="000000"/>
          <w:sz w:val="24"/>
          <w:szCs w:val="24"/>
          <w:shd w:val="clear" w:color="auto" w:fill="FFFFFF"/>
          <w:lang w:eastAsia="ru-RU"/>
        </w:rPr>
        <w:t>şi</w:t>
      </w:r>
      <w:proofErr w:type="spellEnd"/>
      <w:r w:rsidR="00A56433" w:rsidRPr="00125FAF">
        <w:rPr>
          <w:rFonts w:ascii="Times New Roman" w:eastAsia="Times New Roman" w:hAnsi="Times New Roman" w:cs="Times New Roman"/>
          <w:color w:val="000000"/>
          <w:sz w:val="24"/>
          <w:szCs w:val="24"/>
          <w:shd w:val="clear" w:color="auto" w:fill="FFFFFF"/>
          <w:lang w:eastAsia="ru-RU"/>
        </w:rPr>
        <w:t xml:space="preserve"> a Codul contravențional al RM nr. 218/2008;</w:t>
      </w:r>
    </w:p>
    <w:p w14:paraId="188F5EB0" w14:textId="0B88E677" w:rsidR="00446F14" w:rsidRPr="00125FAF" w:rsidRDefault="00572EBC" w:rsidP="003E24C5">
      <w:pPr>
        <w:pStyle w:val="Listparagraf"/>
        <w:numPr>
          <w:ilvl w:val="0"/>
          <w:numId w:val="14"/>
        </w:numPr>
        <w:spacing w:after="0" w:line="240" w:lineRule="auto"/>
        <w:ind w:left="1068"/>
        <w:jc w:val="both"/>
        <w:rPr>
          <w:rFonts w:ascii="Times New Roman" w:eastAsia="Times New Roman" w:hAnsi="Times New Roman" w:cs="Times New Roman"/>
          <w:color w:val="000000"/>
          <w:sz w:val="24"/>
          <w:szCs w:val="24"/>
          <w:shd w:val="clear" w:color="auto" w:fill="FFFFFF"/>
          <w:lang w:eastAsia="ru-RU"/>
        </w:rPr>
      </w:pPr>
      <w:r w:rsidRPr="00125FAF">
        <w:rPr>
          <w:rFonts w:ascii="Times New Roman" w:eastAsia="Times New Roman" w:hAnsi="Times New Roman" w:cs="Times New Roman"/>
          <w:i/>
          <w:iCs/>
          <w:color w:val="000000"/>
          <w:sz w:val="24"/>
          <w:szCs w:val="24"/>
          <w:shd w:val="clear" w:color="auto" w:fill="FFFFFF"/>
          <w:lang w:eastAsia="ru-RU"/>
        </w:rPr>
        <w:t>Sectorul agricol:</w:t>
      </w:r>
      <w:r w:rsidRPr="00125FAF">
        <w:rPr>
          <w:rFonts w:ascii="Times New Roman" w:eastAsia="Times New Roman" w:hAnsi="Times New Roman" w:cs="Times New Roman"/>
          <w:color w:val="000000"/>
          <w:sz w:val="24"/>
          <w:szCs w:val="24"/>
          <w:shd w:val="clear" w:color="auto" w:fill="FFFFFF"/>
          <w:lang w:eastAsia="ru-RU"/>
        </w:rPr>
        <w:t xml:space="preserve"> Implementarea practicilor de management durabil pe 150 mii ha/an în perioada 2021-2025 </w:t>
      </w:r>
      <w:proofErr w:type="spellStart"/>
      <w:r w:rsidRPr="00125FAF">
        <w:rPr>
          <w:rFonts w:ascii="Times New Roman" w:eastAsia="Times New Roman" w:hAnsi="Times New Roman" w:cs="Times New Roman"/>
          <w:color w:val="000000"/>
          <w:sz w:val="24"/>
          <w:szCs w:val="24"/>
          <w:shd w:val="clear" w:color="auto" w:fill="FFFFFF"/>
          <w:lang w:eastAsia="ru-RU"/>
        </w:rPr>
        <w:t>şi</w:t>
      </w:r>
      <w:proofErr w:type="spellEnd"/>
      <w:r w:rsidRPr="00125FAF">
        <w:rPr>
          <w:rFonts w:ascii="Times New Roman" w:eastAsia="Times New Roman" w:hAnsi="Times New Roman" w:cs="Times New Roman"/>
          <w:color w:val="000000"/>
          <w:sz w:val="24"/>
          <w:szCs w:val="24"/>
          <w:shd w:val="clear" w:color="auto" w:fill="FFFFFF"/>
          <w:lang w:eastAsia="ru-RU"/>
        </w:rPr>
        <w:t xml:space="preserve"> 300 mii ha/an în perioada 2026-2030; implementarea </w:t>
      </w:r>
      <w:r w:rsidR="00182846" w:rsidRPr="00125FAF">
        <w:rPr>
          <w:rFonts w:ascii="Times New Roman" w:eastAsia="Times New Roman" w:hAnsi="Times New Roman" w:cs="Times New Roman"/>
          <w:color w:val="000000"/>
          <w:sz w:val="24"/>
          <w:szCs w:val="24"/>
          <w:shd w:val="clear" w:color="auto" w:fill="FFFFFF"/>
          <w:lang w:eastAsia="ru-RU"/>
        </w:rPr>
        <w:t>sistemului de prelucrare a solului „</w:t>
      </w:r>
      <w:r w:rsidRPr="00125FAF">
        <w:rPr>
          <w:rFonts w:ascii="Times New Roman" w:eastAsia="Times New Roman" w:hAnsi="Times New Roman" w:cs="Times New Roman"/>
          <w:color w:val="000000"/>
          <w:sz w:val="24"/>
          <w:szCs w:val="24"/>
          <w:shd w:val="clear" w:color="auto" w:fill="FFFFFF"/>
          <w:lang w:eastAsia="ru-RU"/>
        </w:rPr>
        <w:t>mini-</w:t>
      </w:r>
      <w:proofErr w:type="spellStart"/>
      <w:r w:rsidRPr="00125FAF">
        <w:rPr>
          <w:rFonts w:ascii="Times New Roman" w:eastAsia="Times New Roman" w:hAnsi="Times New Roman" w:cs="Times New Roman"/>
          <w:color w:val="000000"/>
          <w:sz w:val="24"/>
          <w:szCs w:val="24"/>
          <w:shd w:val="clear" w:color="auto" w:fill="FFFFFF"/>
          <w:lang w:eastAsia="ru-RU"/>
        </w:rPr>
        <w:t>till</w:t>
      </w:r>
      <w:proofErr w:type="spellEnd"/>
      <w:r w:rsidR="00182846" w:rsidRPr="00125FAF">
        <w:rPr>
          <w:rFonts w:ascii="Times New Roman" w:eastAsia="Times New Roman" w:hAnsi="Times New Roman" w:cs="Times New Roman"/>
          <w:color w:val="000000"/>
          <w:sz w:val="24"/>
          <w:szCs w:val="24"/>
          <w:shd w:val="clear" w:color="auto" w:fill="FFFFFF"/>
          <w:lang w:eastAsia="ru-RU"/>
        </w:rPr>
        <w:t>”</w:t>
      </w:r>
      <w:r w:rsidRPr="00125FAF">
        <w:rPr>
          <w:rFonts w:ascii="Times New Roman" w:eastAsia="Times New Roman" w:hAnsi="Times New Roman" w:cs="Times New Roman"/>
          <w:color w:val="000000"/>
          <w:sz w:val="24"/>
          <w:szCs w:val="24"/>
          <w:shd w:val="clear" w:color="auto" w:fill="FFFFFF"/>
          <w:lang w:eastAsia="ru-RU"/>
        </w:rPr>
        <w:t xml:space="preserve"> </w:t>
      </w:r>
      <w:proofErr w:type="spellStart"/>
      <w:r w:rsidRPr="00125FAF">
        <w:rPr>
          <w:rFonts w:ascii="Times New Roman" w:eastAsia="Times New Roman" w:hAnsi="Times New Roman" w:cs="Times New Roman"/>
          <w:color w:val="000000"/>
          <w:sz w:val="24"/>
          <w:szCs w:val="24"/>
          <w:shd w:val="clear" w:color="auto" w:fill="FFFFFF"/>
          <w:lang w:eastAsia="ru-RU"/>
        </w:rPr>
        <w:t>şi</w:t>
      </w:r>
      <w:proofErr w:type="spellEnd"/>
      <w:r w:rsidRPr="00125FAF">
        <w:rPr>
          <w:rFonts w:ascii="Times New Roman" w:eastAsia="Times New Roman" w:hAnsi="Times New Roman" w:cs="Times New Roman"/>
          <w:color w:val="000000"/>
          <w:sz w:val="24"/>
          <w:szCs w:val="24"/>
          <w:shd w:val="clear" w:color="auto" w:fill="FFFFFF"/>
          <w:lang w:eastAsia="ru-RU"/>
        </w:rPr>
        <w:t xml:space="preserve"> </w:t>
      </w:r>
      <w:r w:rsidR="00182846" w:rsidRPr="00125FAF">
        <w:rPr>
          <w:rFonts w:ascii="Times New Roman" w:eastAsia="Times New Roman" w:hAnsi="Times New Roman" w:cs="Times New Roman"/>
          <w:color w:val="000000"/>
          <w:sz w:val="24"/>
          <w:szCs w:val="24"/>
          <w:shd w:val="clear" w:color="auto" w:fill="FFFFFF"/>
          <w:lang w:eastAsia="ru-RU"/>
        </w:rPr>
        <w:t>„</w:t>
      </w:r>
      <w:proofErr w:type="spellStart"/>
      <w:r w:rsidRPr="00125FAF">
        <w:rPr>
          <w:rFonts w:ascii="Times New Roman" w:eastAsia="Times New Roman" w:hAnsi="Times New Roman" w:cs="Times New Roman"/>
          <w:color w:val="000000"/>
          <w:sz w:val="24"/>
          <w:szCs w:val="24"/>
          <w:shd w:val="clear" w:color="auto" w:fill="FFFFFF"/>
          <w:lang w:eastAsia="ru-RU"/>
        </w:rPr>
        <w:t>no</w:t>
      </w:r>
      <w:r w:rsidR="00182846" w:rsidRPr="00125FAF">
        <w:rPr>
          <w:rFonts w:ascii="Times New Roman" w:eastAsia="Times New Roman" w:hAnsi="Times New Roman" w:cs="Times New Roman"/>
          <w:color w:val="000000"/>
          <w:sz w:val="24"/>
          <w:szCs w:val="24"/>
          <w:shd w:val="clear" w:color="auto" w:fill="FFFFFF"/>
          <w:lang w:eastAsia="ru-RU"/>
        </w:rPr>
        <w:t>-</w:t>
      </w:r>
      <w:r w:rsidRPr="00125FAF">
        <w:rPr>
          <w:rFonts w:ascii="Times New Roman" w:eastAsia="Times New Roman" w:hAnsi="Times New Roman" w:cs="Times New Roman"/>
          <w:color w:val="000000"/>
          <w:sz w:val="24"/>
          <w:szCs w:val="24"/>
          <w:shd w:val="clear" w:color="auto" w:fill="FFFFFF"/>
          <w:lang w:eastAsia="ru-RU"/>
        </w:rPr>
        <w:t>till</w:t>
      </w:r>
      <w:proofErr w:type="spellEnd"/>
      <w:r w:rsidR="00182846" w:rsidRPr="00125FAF">
        <w:rPr>
          <w:rFonts w:ascii="Times New Roman" w:eastAsia="Times New Roman" w:hAnsi="Times New Roman" w:cs="Times New Roman"/>
          <w:color w:val="000000"/>
          <w:sz w:val="24"/>
          <w:szCs w:val="24"/>
          <w:shd w:val="clear" w:color="auto" w:fill="FFFFFF"/>
          <w:lang w:eastAsia="ru-RU"/>
        </w:rPr>
        <w:t>”</w:t>
      </w:r>
      <w:r w:rsidRPr="00125FAF">
        <w:rPr>
          <w:rFonts w:ascii="Times New Roman" w:eastAsia="Times New Roman" w:hAnsi="Times New Roman" w:cs="Times New Roman"/>
          <w:color w:val="000000"/>
          <w:sz w:val="24"/>
          <w:szCs w:val="24"/>
          <w:shd w:val="clear" w:color="auto" w:fill="FFFFFF"/>
          <w:lang w:eastAsia="ru-RU"/>
        </w:rPr>
        <w:t xml:space="preserve"> pe 50 mii ha/an în perioada 2021-2025 </w:t>
      </w:r>
      <w:proofErr w:type="spellStart"/>
      <w:r w:rsidRPr="00125FAF">
        <w:rPr>
          <w:rFonts w:ascii="Times New Roman" w:eastAsia="Times New Roman" w:hAnsi="Times New Roman" w:cs="Times New Roman"/>
          <w:color w:val="000000"/>
          <w:sz w:val="24"/>
          <w:szCs w:val="24"/>
          <w:shd w:val="clear" w:color="auto" w:fill="FFFFFF"/>
          <w:lang w:eastAsia="ru-RU"/>
        </w:rPr>
        <w:t>şi</w:t>
      </w:r>
      <w:proofErr w:type="spellEnd"/>
      <w:r w:rsidRPr="00125FAF">
        <w:rPr>
          <w:rFonts w:ascii="Times New Roman" w:eastAsia="Times New Roman" w:hAnsi="Times New Roman" w:cs="Times New Roman"/>
          <w:color w:val="000000"/>
          <w:sz w:val="24"/>
          <w:szCs w:val="24"/>
          <w:shd w:val="clear" w:color="auto" w:fill="FFFFFF"/>
          <w:lang w:eastAsia="ru-RU"/>
        </w:rPr>
        <w:t xml:space="preserve"> 100 mii ha/an în perioada 2026-2030</w:t>
      </w:r>
      <w:r w:rsidR="00182846" w:rsidRPr="00125FAF">
        <w:rPr>
          <w:rFonts w:ascii="Times New Roman" w:eastAsia="Times New Roman" w:hAnsi="Times New Roman" w:cs="Times New Roman"/>
          <w:color w:val="000000"/>
          <w:sz w:val="24"/>
          <w:szCs w:val="24"/>
          <w:shd w:val="clear" w:color="auto" w:fill="FFFFFF"/>
          <w:lang w:eastAsia="ru-RU"/>
        </w:rPr>
        <w:t xml:space="preserve"> fiecare</w:t>
      </w:r>
      <w:r w:rsidRPr="00125FAF">
        <w:rPr>
          <w:rFonts w:ascii="Times New Roman" w:eastAsia="Times New Roman" w:hAnsi="Times New Roman" w:cs="Times New Roman"/>
          <w:color w:val="000000"/>
          <w:sz w:val="24"/>
          <w:szCs w:val="24"/>
          <w:shd w:val="clear" w:color="auto" w:fill="FFFFFF"/>
          <w:lang w:eastAsia="ru-RU"/>
        </w:rPr>
        <w:t xml:space="preserve">; către 2030: 6 234 mii tone de gunoi de grajd depozitate anual în platforme; 32 % din </w:t>
      </w:r>
      <w:proofErr w:type="spellStart"/>
      <w:r w:rsidRPr="00125FAF">
        <w:rPr>
          <w:rFonts w:ascii="Times New Roman" w:eastAsia="Times New Roman" w:hAnsi="Times New Roman" w:cs="Times New Roman"/>
          <w:color w:val="000000"/>
          <w:sz w:val="24"/>
          <w:szCs w:val="24"/>
          <w:shd w:val="clear" w:color="auto" w:fill="FFFFFF"/>
          <w:lang w:eastAsia="ru-RU"/>
        </w:rPr>
        <w:t>şeptelul</w:t>
      </w:r>
      <w:proofErr w:type="spellEnd"/>
      <w:r w:rsidRPr="00125FAF">
        <w:rPr>
          <w:rFonts w:ascii="Times New Roman" w:eastAsia="Times New Roman" w:hAnsi="Times New Roman" w:cs="Times New Roman"/>
          <w:color w:val="000000"/>
          <w:sz w:val="24"/>
          <w:szCs w:val="24"/>
          <w:shd w:val="clear" w:color="auto" w:fill="FFFFFF"/>
          <w:lang w:eastAsia="ru-RU"/>
        </w:rPr>
        <w:t xml:space="preserve"> de taurine pe </w:t>
      </w:r>
      <w:proofErr w:type="spellStart"/>
      <w:r w:rsidRPr="00125FAF">
        <w:rPr>
          <w:rFonts w:ascii="Times New Roman" w:eastAsia="Times New Roman" w:hAnsi="Times New Roman" w:cs="Times New Roman"/>
          <w:color w:val="000000"/>
          <w:sz w:val="24"/>
          <w:szCs w:val="24"/>
          <w:shd w:val="clear" w:color="auto" w:fill="FFFFFF"/>
          <w:lang w:eastAsia="ru-RU"/>
        </w:rPr>
        <w:t>ţară</w:t>
      </w:r>
      <w:proofErr w:type="spellEnd"/>
      <w:r w:rsidRPr="00125FAF">
        <w:rPr>
          <w:rFonts w:ascii="Times New Roman" w:eastAsia="Times New Roman" w:hAnsi="Times New Roman" w:cs="Times New Roman"/>
          <w:color w:val="000000"/>
          <w:sz w:val="24"/>
          <w:szCs w:val="24"/>
          <w:shd w:val="clear" w:color="auto" w:fill="FFFFFF"/>
          <w:lang w:eastAsia="ru-RU"/>
        </w:rPr>
        <w:t xml:space="preserve"> alimentate cu </w:t>
      </w:r>
      <w:proofErr w:type="spellStart"/>
      <w:r w:rsidRPr="00125FAF">
        <w:rPr>
          <w:rFonts w:ascii="Times New Roman" w:eastAsia="Times New Roman" w:hAnsi="Times New Roman" w:cs="Times New Roman"/>
          <w:color w:val="000000"/>
          <w:sz w:val="24"/>
          <w:szCs w:val="24"/>
          <w:shd w:val="clear" w:color="auto" w:fill="FFFFFF"/>
          <w:lang w:eastAsia="ru-RU"/>
        </w:rPr>
        <w:t>raţii</w:t>
      </w:r>
      <w:proofErr w:type="spellEnd"/>
      <w:r w:rsidRPr="00125FAF">
        <w:rPr>
          <w:rFonts w:ascii="Times New Roman" w:eastAsia="Times New Roman" w:hAnsi="Times New Roman" w:cs="Times New Roman"/>
          <w:color w:val="000000"/>
          <w:sz w:val="24"/>
          <w:szCs w:val="24"/>
          <w:shd w:val="clear" w:color="auto" w:fill="FFFFFF"/>
          <w:lang w:eastAsia="ru-RU"/>
        </w:rPr>
        <w:t xml:space="preserve"> optime; 13 % din </w:t>
      </w:r>
      <w:proofErr w:type="spellStart"/>
      <w:r w:rsidRPr="00125FAF">
        <w:rPr>
          <w:rFonts w:ascii="Times New Roman" w:eastAsia="Times New Roman" w:hAnsi="Times New Roman" w:cs="Times New Roman"/>
          <w:color w:val="000000"/>
          <w:sz w:val="24"/>
          <w:szCs w:val="24"/>
          <w:shd w:val="clear" w:color="auto" w:fill="FFFFFF"/>
          <w:lang w:eastAsia="ru-RU"/>
        </w:rPr>
        <w:t>şeptelul</w:t>
      </w:r>
      <w:proofErr w:type="spellEnd"/>
      <w:r w:rsidRPr="00125FAF">
        <w:rPr>
          <w:rFonts w:ascii="Times New Roman" w:eastAsia="Times New Roman" w:hAnsi="Times New Roman" w:cs="Times New Roman"/>
          <w:color w:val="000000"/>
          <w:sz w:val="24"/>
          <w:szCs w:val="24"/>
          <w:shd w:val="clear" w:color="auto" w:fill="FFFFFF"/>
          <w:lang w:eastAsia="ru-RU"/>
        </w:rPr>
        <w:t xml:space="preserve"> de taurine pe </w:t>
      </w:r>
      <w:proofErr w:type="spellStart"/>
      <w:r w:rsidRPr="00125FAF">
        <w:rPr>
          <w:rFonts w:ascii="Times New Roman" w:eastAsia="Times New Roman" w:hAnsi="Times New Roman" w:cs="Times New Roman"/>
          <w:color w:val="000000"/>
          <w:sz w:val="24"/>
          <w:szCs w:val="24"/>
          <w:shd w:val="clear" w:color="auto" w:fill="FFFFFF"/>
          <w:lang w:eastAsia="ru-RU"/>
        </w:rPr>
        <w:t>ţară</w:t>
      </w:r>
      <w:proofErr w:type="spellEnd"/>
      <w:r w:rsidRPr="00125FAF">
        <w:rPr>
          <w:rFonts w:ascii="Times New Roman" w:eastAsia="Times New Roman" w:hAnsi="Times New Roman" w:cs="Times New Roman"/>
          <w:color w:val="000000"/>
          <w:sz w:val="24"/>
          <w:szCs w:val="24"/>
          <w:shd w:val="clear" w:color="auto" w:fill="FFFFFF"/>
          <w:lang w:eastAsia="ru-RU"/>
        </w:rPr>
        <w:t xml:space="preserve"> alimentate cu </w:t>
      </w:r>
      <w:proofErr w:type="spellStart"/>
      <w:r w:rsidRPr="00125FAF">
        <w:rPr>
          <w:rFonts w:ascii="Times New Roman" w:eastAsia="Times New Roman" w:hAnsi="Times New Roman" w:cs="Times New Roman"/>
          <w:color w:val="000000"/>
          <w:sz w:val="24"/>
          <w:szCs w:val="24"/>
          <w:shd w:val="clear" w:color="auto" w:fill="FFFFFF"/>
          <w:lang w:eastAsia="ru-RU"/>
        </w:rPr>
        <w:t>raţii</w:t>
      </w:r>
      <w:proofErr w:type="spellEnd"/>
      <w:r w:rsidRPr="00125FAF">
        <w:rPr>
          <w:rFonts w:ascii="Times New Roman" w:eastAsia="Times New Roman" w:hAnsi="Times New Roman" w:cs="Times New Roman"/>
          <w:color w:val="000000"/>
          <w:sz w:val="24"/>
          <w:szCs w:val="24"/>
          <w:shd w:val="clear" w:color="auto" w:fill="FFFFFF"/>
          <w:lang w:eastAsia="ru-RU"/>
        </w:rPr>
        <w:t xml:space="preserve"> care </w:t>
      </w:r>
      <w:proofErr w:type="spellStart"/>
      <w:r w:rsidRPr="00125FAF">
        <w:rPr>
          <w:rFonts w:ascii="Times New Roman" w:eastAsia="Times New Roman" w:hAnsi="Times New Roman" w:cs="Times New Roman"/>
          <w:color w:val="000000"/>
          <w:sz w:val="24"/>
          <w:szCs w:val="24"/>
          <w:shd w:val="clear" w:color="auto" w:fill="FFFFFF"/>
          <w:lang w:eastAsia="ru-RU"/>
        </w:rPr>
        <w:t>conţin</w:t>
      </w:r>
      <w:proofErr w:type="spellEnd"/>
      <w:r w:rsidRPr="00125FAF">
        <w:rPr>
          <w:rFonts w:ascii="Times New Roman" w:eastAsia="Times New Roman" w:hAnsi="Times New Roman" w:cs="Times New Roman"/>
          <w:color w:val="000000"/>
          <w:sz w:val="24"/>
          <w:szCs w:val="24"/>
          <w:shd w:val="clear" w:color="auto" w:fill="FFFFFF"/>
          <w:lang w:eastAsia="ru-RU"/>
        </w:rPr>
        <w:t xml:space="preserve"> aditivi furajeri,</w:t>
      </w:r>
      <w:r w:rsidRPr="00125FAF">
        <w:t xml:space="preserve"> </w:t>
      </w:r>
      <w:r w:rsidR="00536230" w:rsidRPr="00125FAF">
        <w:rPr>
          <w:rFonts w:ascii="Times New Roman" w:eastAsia="Times New Roman" w:hAnsi="Times New Roman" w:cs="Times New Roman"/>
          <w:color w:val="000000"/>
          <w:sz w:val="24"/>
          <w:szCs w:val="24"/>
          <w:shd w:val="clear" w:color="auto" w:fill="FFFFFF"/>
          <w:lang w:eastAsia="ru-RU"/>
        </w:rPr>
        <w:t>capabili să</w:t>
      </w:r>
      <w:r w:rsidRPr="00125FAF">
        <w:rPr>
          <w:rFonts w:ascii="Times New Roman" w:eastAsia="Times New Roman" w:hAnsi="Times New Roman" w:cs="Times New Roman"/>
          <w:color w:val="000000"/>
          <w:sz w:val="24"/>
          <w:szCs w:val="24"/>
          <w:shd w:val="clear" w:color="auto" w:fill="FFFFFF"/>
          <w:lang w:eastAsia="ru-RU"/>
        </w:rPr>
        <w:t xml:space="preserve"> </w:t>
      </w:r>
      <w:proofErr w:type="spellStart"/>
      <w:r w:rsidRPr="00125FAF">
        <w:rPr>
          <w:rFonts w:ascii="Times New Roman" w:eastAsia="Times New Roman" w:hAnsi="Times New Roman" w:cs="Times New Roman"/>
          <w:color w:val="000000"/>
          <w:sz w:val="24"/>
          <w:szCs w:val="24"/>
          <w:shd w:val="clear" w:color="auto" w:fill="FFFFFF"/>
          <w:lang w:eastAsia="ru-RU"/>
        </w:rPr>
        <w:t>micşore</w:t>
      </w:r>
      <w:r w:rsidR="00536230" w:rsidRPr="00125FAF">
        <w:rPr>
          <w:rFonts w:ascii="Times New Roman" w:eastAsia="Times New Roman" w:hAnsi="Times New Roman" w:cs="Times New Roman"/>
          <w:color w:val="000000"/>
          <w:sz w:val="24"/>
          <w:szCs w:val="24"/>
          <w:shd w:val="clear" w:color="auto" w:fill="FFFFFF"/>
          <w:lang w:eastAsia="ru-RU"/>
        </w:rPr>
        <w:t>ze</w:t>
      </w:r>
      <w:proofErr w:type="spellEnd"/>
      <w:r w:rsidRPr="00125FAF">
        <w:rPr>
          <w:rFonts w:ascii="Times New Roman" w:eastAsia="Times New Roman" w:hAnsi="Times New Roman" w:cs="Times New Roman"/>
          <w:color w:val="000000"/>
          <w:sz w:val="24"/>
          <w:szCs w:val="24"/>
          <w:shd w:val="clear" w:color="auto" w:fill="FFFFFF"/>
          <w:lang w:eastAsia="ru-RU"/>
        </w:rPr>
        <w:t xml:space="preserve"> nivelul de formare a metanului în procesul de digestie</w:t>
      </w:r>
      <w:r w:rsidR="00536230" w:rsidRPr="00125FAF">
        <w:rPr>
          <w:rFonts w:ascii="Times New Roman" w:eastAsia="Times New Roman" w:hAnsi="Times New Roman" w:cs="Times New Roman"/>
          <w:color w:val="000000"/>
          <w:sz w:val="24"/>
          <w:szCs w:val="24"/>
          <w:shd w:val="clear" w:color="auto" w:fill="FFFFFF"/>
          <w:lang w:eastAsia="ru-RU"/>
        </w:rPr>
        <w:t xml:space="preserve">; 17% din </w:t>
      </w:r>
      <w:proofErr w:type="spellStart"/>
      <w:r w:rsidR="00536230" w:rsidRPr="00125FAF">
        <w:rPr>
          <w:rFonts w:ascii="Times New Roman" w:eastAsia="Times New Roman" w:hAnsi="Times New Roman" w:cs="Times New Roman"/>
          <w:color w:val="000000"/>
          <w:sz w:val="24"/>
          <w:szCs w:val="24"/>
          <w:shd w:val="clear" w:color="auto" w:fill="FFFFFF"/>
          <w:lang w:eastAsia="ru-RU"/>
        </w:rPr>
        <w:t>şeptelul</w:t>
      </w:r>
      <w:proofErr w:type="spellEnd"/>
      <w:r w:rsidR="00536230" w:rsidRPr="00125FAF">
        <w:rPr>
          <w:rFonts w:ascii="Times New Roman" w:eastAsia="Times New Roman" w:hAnsi="Times New Roman" w:cs="Times New Roman"/>
          <w:color w:val="000000"/>
          <w:sz w:val="24"/>
          <w:szCs w:val="24"/>
          <w:shd w:val="clear" w:color="auto" w:fill="FFFFFF"/>
          <w:lang w:eastAsia="ru-RU"/>
        </w:rPr>
        <w:t xml:space="preserve"> de taurine pe </w:t>
      </w:r>
      <w:proofErr w:type="spellStart"/>
      <w:r w:rsidR="00536230" w:rsidRPr="00125FAF">
        <w:rPr>
          <w:rFonts w:ascii="Times New Roman" w:eastAsia="Times New Roman" w:hAnsi="Times New Roman" w:cs="Times New Roman"/>
          <w:color w:val="000000"/>
          <w:sz w:val="24"/>
          <w:szCs w:val="24"/>
          <w:shd w:val="clear" w:color="auto" w:fill="FFFFFF"/>
          <w:lang w:eastAsia="ru-RU"/>
        </w:rPr>
        <w:t>ţară</w:t>
      </w:r>
      <w:proofErr w:type="spellEnd"/>
      <w:r w:rsidR="00536230" w:rsidRPr="00125FAF">
        <w:rPr>
          <w:rFonts w:ascii="Times New Roman" w:eastAsia="Times New Roman" w:hAnsi="Times New Roman" w:cs="Times New Roman"/>
          <w:color w:val="000000"/>
          <w:sz w:val="24"/>
          <w:szCs w:val="24"/>
          <w:shd w:val="clear" w:color="auto" w:fill="FFFFFF"/>
          <w:lang w:eastAsia="ru-RU"/>
        </w:rPr>
        <w:t xml:space="preserve"> alimentate cu tescovină de poamă în </w:t>
      </w:r>
      <w:proofErr w:type="spellStart"/>
      <w:r w:rsidR="00536230" w:rsidRPr="00125FAF">
        <w:rPr>
          <w:rFonts w:ascii="Times New Roman" w:eastAsia="Times New Roman" w:hAnsi="Times New Roman" w:cs="Times New Roman"/>
          <w:color w:val="000000"/>
          <w:sz w:val="24"/>
          <w:szCs w:val="24"/>
          <w:shd w:val="clear" w:color="auto" w:fill="FFFFFF"/>
          <w:lang w:eastAsia="ru-RU"/>
        </w:rPr>
        <w:t>raţiile</w:t>
      </w:r>
      <w:proofErr w:type="spellEnd"/>
      <w:r w:rsidR="00536230" w:rsidRPr="00125FAF">
        <w:rPr>
          <w:rFonts w:ascii="Times New Roman" w:eastAsia="Times New Roman" w:hAnsi="Times New Roman" w:cs="Times New Roman"/>
          <w:color w:val="000000"/>
          <w:sz w:val="24"/>
          <w:szCs w:val="24"/>
          <w:shd w:val="clear" w:color="auto" w:fill="FFFFFF"/>
          <w:lang w:eastAsia="ru-RU"/>
        </w:rPr>
        <w:t xml:space="preserve"> rumegătoarelor pentru reducerea emisiilor de gaze cu efect de seră;</w:t>
      </w:r>
    </w:p>
    <w:p w14:paraId="559B813C" w14:textId="0237AE9B" w:rsidR="00536230" w:rsidRPr="00125FAF" w:rsidRDefault="00536230" w:rsidP="003E24C5">
      <w:pPr>
        <w:pStyle w:val="Listparagraf"/>
        <w:numPr>
          <w:ilvl w:val="0"/>
          <w:numId w:val="14"/>
        </w:numPr>
        <w:spacing w:after="0" w:line="240" w:lineRule="auto"/>
        <w:ind w:left="1068"/>
        <w:jc w:val="both"/>
        <w:rPr>
          <w:rFonts w:ascii="Times New Roman" w:eastAsia="Times New Roman" w:hAnsi="Times New Roman" w:cs="Times New Roman"/>
          <w:color w:val="000000"/>
          <w:sz w:val="24"/>
          <w:szCs w:val="24"/>
          <w:shd w:val="clear" w:color="auto" w:fill="FFFFFF"/>
          <w:lang w:eastAsia="ru-RU"/>
        </w:rPr>
      </w:pPr>
      <w:r w:rsidRPr="00125FAF">
        <w:rPr>
          <w:rFonts w:ascii="Times New Roman" w:eastAsia="Times New Roman" w:hAnsi="Times New Roman" w:cs="Times New Roman"/>
          <w:i/>
          <w:iCs/>
          <w:color w:val="000000"/>
          <w:sz w:val="24"/>
          <w:szCs w:val="24"/>
          <w:shd w:val="clear" w:color="auto" w:fill="FFFFFF"/>
          <w:lang w:eastAsia="ru-RU"/>
        </w:rPr>
        <w:t xml:space="preserve">Sectorul </w:t>
      </w:r>
      <w:r w:rsidR="0060512E">
        <w:rPr>
          <w:rFonts w:ascii="Times New Roman" w:eastAsia="Times New Roman" w:hAnsi="Times New Roman" w:cs="Times New Roman"/>
          <w:i/>
          <w:iCs/>
          <w:color w:val="000000"/>
          <w:sz w:val="24"/>
          <w:szCs w:val="24"/>
          <w:shd w:val="clear" w:color="auto" w:fill="FFFFFF"/>
          <w:lang w:eastAsia="ru-RU"/>
        </w:rPr>
        <w:t>FTSCFTS</w:t>
      </w:r>
      <w:r w:rsidR="0060512E" w:rsidRPr="00125FAF">
        <w:rPr>
          <w:rFonts w:ascii="Times New Roman" w:eastAsia="Times New Roman" w:hAnsi="Times New Roman" w:cs="Times New Roman"/>
          <w:i/>
          <w:iCs/>
          <w:color w:val="000000"/>
          <w:sz w:val="24"/>
          <w:szCs w:val="24"/>
          <w:shd w:val="clear" w:color="auto" w:fill="FFFFFF"/>
          <w:lang w:eastAsia="ru-RU"/>
        </w:rPr>
        <w:t>:</w:t>
      </w:r>
      <w:r w:rsidR="0060512E" w:rsidRPr="00125FAF">
        <w:rPr>
          <w:rFonts w:ascii="Times New Roman" w:eastAsia="Times New Roman" w:hAnsi="Times New Roman" w:cs="Times New Roman"/>
          <w:color w:val="000000"/>
          <w:sz w:val="24"/>
          <w:szCs w:val="24"/>
          <w:shd w:val="clear" w:color="auto" w:fill="FFFFFF"/>
          <w:lang w:eastAsia="ru-RU"/>
        </w:rPr>
        <w:t xml:space="preserve"> </w:t>
      </w:r>
      <w:r w:rsidR="0060512E">
        <w:rPr>
          <w:rFonts w:ascii="Times New Roman" w:eastAsia="Times New Roman" w:hAnsi="Times New Roman" w:cs="Times New Roman"/>
          <w:color w:val="000000"/>
          <w:sz w:val="24"/>
          <w:szCs w:val="24"/>
          <w:shd w:val="clear" w:color="auto" w:fill="FFFFFF"/>
          <w:lang w:eastAsia="ru-RU"/>
        </w:rPr>
        <w:t xml:space="preserve">Extinderea </w:t>
      </w:r>
      <w:proofErr w:type="spellStart"/>
      <w:r w:rsidR="0060512E">
        <w:rPr>
          <w:rFonts w:ascii="Times New Roman" w:eastAsia="Times New Roman" w:hAnsi="Times New Roman" w:cs="Times New Roman"/>
          <w:color w:val="000000"/>
          <w:sz w:val="24"/>
          <w:szCs w:val="24"/>
          <w:shd w:val="clear" w:color="auto" w:fill="FFFFFF"/>
          <w:lang w:eastAsia="ru-RU"/>
        </w:rPr>
        <w:t>terenurior</w:t>
      </w:r>
      <w:proofErr w:type="spellEnd"/>
      <w:r w:rsidR="0060512E">
        <w:rPr>
          <w:rFonts w:ascii="Times New Roman" w:eastAsia="Times New Roman" w:hAnsi="Times New Roman" w:cs="Times New Roman"/>
          <w:color w:val="000000"/>
          <w:sz w:val="24"/>
          <w:szCs w:val="24"/>
          <w:shd w:val="clear" w:color="auto" w:fill="FFFFFF"/>
          <w:lang w:eastAsia="ru-RU"/>
        </w:rPr>
        <w:t xml:space="preserve"> îm</w:t>
      </w:r>
      <w:r w:rsidR="006C4C6E">
        <w:rPr>
          <w:rFonts w:ascii="Times New Roman" w:eastAsia="Times New Roman" w:hAnsi="Times New Roman" w:cs="Times New Roman"/>
          <w:color w:val="000000"/>
          <w:sz w:val="24"/>
          <w:szCs w:val="24"/>
          <w:shd w:val="clear" w:color="auto" w:fill="FFFFFF"/>
          <w:lang w:eastAsia="ru-RU"/>
        </w:rPr>
        <w:t>p</w:t>
      </w:r>
      <w:r w:rsidR="0060512E">
        <w:rPr>
          <w:rFonts w:ascii="Times New Roman" w:eastAsia="Times New Roman" w:hAnsi="Times New Roman" w:cs="Times New Roman"/>
          <w:color w:val="000000"/>
          <w:sz w:val="24"/>
          <w:szCs w:val="24"/>
          <w:shd w:val="clear" w:color="auto" w:fill="FFFFFF"/>
          <w:lang w:eastAsia="ru-RU"/>
        </w:rPr>
        <w:t xml:space="preserve">ădurite </w:t>
      </w:r>
      <w:proofErr w:type="spellStart"/>
      <w:r w:rsidR="0060512E">
        <w:rPr>
          <w:rFonts w:ascii="Times New Roman" w:eastAsia="Times New Roman" w:hAnsi="Times New Roman" w:cs="Times New Roman"/>
          <w:color w:val="000000"/>
          <w:sz w:val="24"/>
          <w:szCs w:val="24"/>
          <w:shd w:val="clear" w:color="auto" w:fill="FFFFFF"/>
          <w:lang w:eastAsia="ru-RU"/>
        </w:rPr>
        <w:t>pînă</w:t>
      </w:r>
      <w:proofErr w:type="spellEnd"/>
      <w:r w:rsidR="0060512E">
        <w:rPr>
          <w:rFonts w:ascii="Times New Roman" w:eastAsia="Times New Roman" w:hAnsi="Times New Roman" w:cs="Times New Roman"/>
          <w:color w:val="000000"/>
          <w:sz w:val="24"/>
          <w:szCs w:val="24"/>
          <w:shd w:val="clear" w:color="auto" w:fill="FFFFFF"/>
          <w:lang w:eastAsia="ru-RU"/>
        </w:rPr>
        <w:t xml:space="preserve"> la 15% din suprafața țării, cea ce însemnă plantarea </w:t>
      </w:r>
      <w:r w:rsidR="006C4C6E">
        <w:rPr>
          <w:rFonts w:ascii="Times New Roman" w:eastAsia="Times New Roman" w:hAnsi="Times New Roman" w:cs="Times New Roman"/>
          <w:color w:val="000000"/>
          <w:sz w:val="24"/>
          <w:szCs w:val="24"/>
          <w:shd w:val="clear" w:color="auto" w:fill="FFFFFF"/>
          <w:lang w:eastAsia="ru-RU"/>
        </w:rPr>
        <w:t xml:space="preserve">a </w:t>
      </w:r>
      <w:r w:rsidR="0060512E">
        <w:rPr>
          <w:rFonts w:ascii="Times New Roman" w:eastAsia="Times New Roman" w:hAnsi="Times New Roman" w:cs="Times New Roman"/>
          <w:color w:val="000000"/>
          <w:sz w:val="24"/>
          <w:szCs w:val="24"/>
          <w:shd w:val="clear" w:color="auto" w:fill="FFFFFF"/>
          <w:lang w:eastAsia="ru-RU"/>
        </w:rPr>
        <w:t>circa 120 mii ha către anul 2030</w:t>
      </w:r>
      <w:r w:rsidRPr="00125FAF">
        <w:rPr>
          <w:rFonts w:ascii="Times New Roman" w:eastAsia="Times New Roman" w:hAnsi="Times New Roman" w:cs="Times New Roman"/>
          <w:color w:val="000000"/>
          <w:sz w:val="24"/>
          <w:szCs w:val="24"/>
          <w:shd w:val="clear" w:color="auto" w:fill="FFFFFF"/>
          <w:lang w:eastAsia="ru-RU"/>
        </w:rPr>
        <w:t xml:space="preserve">; plantarea culturilor </w:t>
      </w:r>
      <w:r w:rsidRPr="00125FAF">
        <w:rPr>
          <w:rFonts w:ascii="Times New Roman" w:eastAsia="Times New Roman" w:hAnsi="Times New Roman" w:cs="Times New Roman"/>
          <w:color w:val="000000"/>
          <w:sz w:val="24"/>
          <w:szCs w:val="24"/>
          <w:shd w:val="clear" w:color="auto" w:fill="FFFFFF"/>
          <w:lang w:eastAsia="ru-RU"/>
        </w:rPr>
        <w:lastRenderedPageBreak/>
        <w:t xml:space="preserve">silvice pe </w:t>
      </w:r>
      <w:proofErr w:type="spellStart"/>
      <w:r w:rsidRPr="00125FAF">
        <w:rPr>
          <w:rFonts w:ascii="Times New Roman" w:eastAsia="Times New Roman" w:hAnsi="Times New Roman" w:cs="Times New Roman"/>
          <w:color w:val="000000"/>
          <w:sz w:val="24"/>
          <w:szCs w:val="24"/>
          <w:shd w:val="clear" w:color="auto" w:fill="FFFFFF"/>
          <w:lang w:eastAsia="ru-RU"/>
        </w:rPr>
        <w:t>suprafa</w:t>
      </w:r>
      <w:proofErr w:type="spellEnd"/>
      <w:r w:rsidRPr="00125FAF">
        <w:rPr>
          <w:rFonts w:ascii="Times New Roman" w:eastAsia="Times New Roman" w:hAnsi="Times New Roman" w:cs="Times New Roman"/>
          <w:color w:val="000000"/>
          <w:sz w:val="24"/>
          <w:szCs w:val="24"/>
          <w:shd w:val="clear" w:color="auto" w:fill="FFFFFF"/>
          <w:lang w:eastAsia="ru-RU"/>
        </w:rPr>
        <w:t xml:space="preserve"> de 45</w:t>
      </w:r>
      <w:r w:rsidR="00DE3C30" w:rsidRPr="00125FAF">
        <w:rPr>
          <w:rFonts w:ascii="Times New Roman" w:eastAsia="Times New Roman" w:hAnsi="Times New Roman" w:cs="Times New Roman"/>
          <w:color w:val="000000"/>
          <w:sz w:val="24"/>
          <w:szCs w:val="24"/>
          <w:shd w:val="clear" w:color="auto" w:fill="FFFFFF"/>
          <w:lang w:eastAsia="ru-RU"/>
        </w:rPr>
        <w:t xml:space="preserve"> </w:t>
      </w:r>
      <w:r w:rsidRPr="00125FAF">
        <w:rPr>
          <w:rFonts w:ascii="Times New Roman" w:eastAsia="Times New Roman" w:hAnsi="Times New Roman" w:cs="Times New Roman"/>
          <w:color w:val="000000"/>
          <w:sz w:val="24"/>
          <w:szCs w:val="24"/>
          <w:shd w:val="clear" w:color="auto" w:fill="FFFFFF"/>
          <w:lang w:eastAsia="ru-RU"/>
        </w:rPr>
        <w:t>000 ha de terenuri degradate; crearea fâșiilor riverane pe o suprafață de 15</w:t>
      </w:r>
      <w:r w:rsidR="00DE3C30" w:rsidRPr="00125FAF">
        <w:rPr>
          <w:rFonts w:ascii="Times New Roman" w:eastAsia="Times New Roman" w:hAnsi="Times New Roman" w:cs="Times New Roman"/>
          <w:color w:val="000000"/>
          <w:sz w:val="24"/>
          <w:szCs w:val="24"/>
          <w:shd w:val="clear" w:color="auto" w:fill="FFFFFF"/>
          <w:lang w:eastAsia="ru-RU"/>
        </w:rPr>
        <w:t xml:space="preserve"> </w:t>
      </w:r>
      <w:r w:rsidRPr="00125FAF">
        <w:rPr>
          <w:rFonts w:ascii="Times New Roman" w:eastAsia="Times New Roman" w:hAnsi="Times New Roman" w:cs="Times New Roman"/>
          <w:color w:val="000000"/>
          <w:sz w:val="24"/>
          <w:szCs w:val="24"/>
          <w:shd w:val="clear" w:color="auto" w:fill="FFFFFF"/>
          <w:lang w:eastAsia="ru-RU"/>
        </w:rPr>
        <w:t>000 hectare; crearea perdelelor de protecție a câmpurilor agricole pe o suprafață de</w:t>
      </w:r>
      <w:r w:rsidR="0060512E">
        <w:rPr>
          <w:rFonts w:ascii="Times New Roman" w:eastAsia="Times New Roman" w:hAnsi="Times New Roman" w:cs="Times New Roman"/>
          <w:color w:val="000000"/>
          <w:sz w:val="24"/>
          <w:szCs w:val="24"/>
          <w:shd w:val="clear" w:color="auto" w:fill="FFFFFF"/>
          <w:lang w:eastAsia="ru-RU"/>
        </w:rPr>
        <w:t xml:space="preserve"> </w:t>
      </w:r>
      <w:r w:rsidRPr="00125FAF">
        <w:rPr>
          <w:rFonts w:ascii="Times New Roman" w:eastAsia="Times New Roman" w:hAnsi="Times New Roman" w:cs="Times New Roman"/>
          <w:color w:val="000000"/>
          <w:sz w:val="24"/>
          <w:szCs w:val="24"/>
          <w:shd w:val="clear" w:color="auto" w:fill="FFFFFF"/>
          <w:lang w:eastAsia="ru-RU"/>
        </w:rPr>
        <w:t>1500 hectare;</w:t>
      </w:r>
      <w:r w:rsidR="0060512E">
        <w:rPr>
          <w:rFonts w:ascii="Times New Roman" w:eastAsia="Times New Roman" w:hAnsi="Times New Roman" w:cs="Times New Roman"/>
          <w:color w:val="000000"/>
          <w:sz w:val="24"/>
          <w:szCs w:val="24"/>
          <w:shd w:val="clear" w:color="auto" w:fill="FFFFFF"/>
          <w:lang w:eastAsia="ru-RU"/>
        </w:rPr>
        <w:t xml:space="preserve"> conversiunea terenurilor degradate puternic și moderat în pajiști;</w:t>
      </w:r>
    </w:p>
    <w:p w14:paraId="0770B0AF" w14:textId="2D8A87E1" w:rsidR="00446F14" w:rsidRPr="00125FAF" w:rsidRDefault="00536230" w:rsidP="003E24C5">
      <w:pPr>
        <w:pStyle w:val="Listparagraf"/>
        <w:numPr>
          <w:ilvl w:val="0"/>
          <w:numId w:val="14"/>
        </w:numPr>
        <w:spacing w:after="0" w:line="240" w:lineRule="auto"/>
        <w:ind w:left="1068"/>
        <w:jc w:val="both"/>
        <w:rPr>
          <w:rFonts w:ascii="Times New Roman" w:eastAsia="Times New Roman" w:hAnsi="Times New Roman" w:cs="Times New Roman"/>
          <w:color w:val="000000"/>
          <w:sz w:val="24"/>
          <w:szCs w:val="24"/>
          <w:shd w:val="clear" w:color="auto" w:fill="FFFFFF"/>
          <w:lang w:eastAsia="ru-RU"/>
        </w:rPr>
      </w:pPr>
      <w:r w:rsidRPr="00125FAF">
        <w:rPr>
          <w:rFonts w:ascii="Times New Roman" w:eastAsia="Times New Roman" w:hAnsi="Times New Roman" w:cs="Times New Roman"/>
          <w:color w:val="000000"/>
          <w:sz w:val="24"/>
          <w:szCs w:val="24"/>
          <w:shd w:val="clear" w:color="auto" w:fill="FFFFFF"/>
          <w:lang w:eastAsia="ru-RU"/>
        </w:rPr>
        <w:t xml:space="preserve">Sectorul </w:t>
      </w:r>
      <w:proofErr w:type="spellStart"/>
      <w:r w:rsidRPr="00125FAF">
        <w:rPr>
          <w:rFonts w:ascii="Times New Roman" w:eastAsia="Times New Roman" w:hAnsi="Times New Roman" w:cs="Times New Roman"/>
          <w:color w:val="000000"/>
          <w:sz w:val="24"/>
          <w:szCs w:val="24"/>
          <w:shd w:val="clear" w:color="auto" w:fill="FFFFFF"/>
          <w:lang w:eastAsia="ru-RU"/>
        </w:rPr>
        <w:t>deşeurilor</w:t>
      </w:r>
      <w:proofErr w:type="spellEnd"/>
      <w:r w:rsidRPr="00125FAF">
        <w:rPr>
          <w:rFonts w:ascii="Times New Roman" w:eastAsia="Times New Roman" w:hAnsi="Times New Roman" w:cs="Times New Roman"/>
          <w:color w:val="000000"/>
          <w:sz w:val="24"/>
          <w:szCs w:val="24"/>
          <w:shd w:val="clear" w:color="auto" w:fill="FFFFFF"/>
          <w:lang w:eastAsia="ru-RU"/>
        </w:rPr>
        <w:t xml:space="preserve">: </w:t>
      </w:r>
      <w:proofErr w:type="spellStart"/>
      <w:r w:rsidRPr="00125FAF">
        <w:rPr>
          <w:rFonts w:ascii="Times New Roman" w:eastAsia="Times New Roman" w:hAnsi="Times New Roman" w:cs="Times New Roman"/>
          <w:color w:val="000000"/>
          <w:sz w:val="24"/>
          <w:szCs w:val="24"/>
          <w:shd w:val="clear" w:color="auto" w:fill="FFFFFF"/>
          <w:lang w:eastAsia="ru-RU"/>
        </w:rPr>
        <w:t>Construcţia</w:t>
      </w:r>
      <w:proofErr w:type="spellEnd"/>
      <w:r w:rsidRPr="00125FAF">
        <w:rPr>
          <w:rFonts w:ascii="Times New Roman" w:eastAsia="Times New Roman" w:hAnsi="Times New Roman" w:cs="Times New Roman"/>
          <w:color w:val="000000"/>
          <w:sz w:val="24"/>
          <w:szCs w:val="24"/>
          <w:shd w:val="clear" w:color="auto" w:fill="FFFFFF"/>
          <w:lang w:eastAsia="ru-RU"/>
        </w:rPr>
        <w:t xml:space="preserve"> depozitelor pentru </w:t>
      </w:r>
      <w:proofErr w:type="spellStart"/>
      <w:r w:rsidRPr="00125FAF">
        <w:rPr>
          <w:rFonts w:ascii="Times New Roman" w:eastAsia="Times New Roman" w:hAnsi="Times New Roman" w:cs="Times New Roman"/>
          <w:color w:val="000000"/>
          <w:sz w:val="24"/>
          <w:szCs w:val="24"/>
          <w:shd w:val="clear" w:color="auto" w:fill="FFFFFF"/>
          <w:lang w:eastAsia="ru-RU"/>
        </w:rPr>
        <w:t>deşeurile</w:t>
      </w:r>
      <w:proofErr w:type="spellEnd"/>
      <w:r w:rsidRPr="00125FAF">
        <w:rPr>
          <w:rFonts w:ascii="Times New Roman" w:eastAsia="Times New Roman" w:hAnsi="Times New Roman" w:cs="Times New Roman"/>
          <w:color w:val="000000"/>
          <w:sz w:val="24"/>
          <w:szCs w:val="24"/>
          <w:shd w:val="clear" w:color="auto" w:fill="FFFFFF"/>
          <w:lang w:eastAsia="ru-RU"/>
        </w:rPr>
        <w:t xml:space="preserve"> menajere solide regionale </w:t>
      </w:r>
      <w:proofErr w:type="spellStart"/>
      <w:r w:rsidRPr="00125FAF">
        <w:rPr>
          <w:rFonts w:ascii="Times New Roman" w:eastAsia="Times New Roman" w:hAnsi="Times New Roman" w:cs="Times New Roman"/>
          <w:color w:val="000000"/>
          <w:sz w:val="24"/>
          <w:szCs w:val="24"/>
          <w:shd w:val="clear" w:color="auto" w:fill="FFFFFF"/>
          <w:lang w:eastAsia="ru-RU"/>
        </w:rPr>
        <w:t>şi</w:t>
      </w:r>
      <w:proofErr w:type="spellEnd"/>
      <w:r w:rsidRPr="00125FAF">
        <w:rPr>
          <w:rFonts w:ascii="Times New Roman" w:eastAsia="Times New Roman" w:hAnsi="Times New Roman" w:cs="Times New Roman"/>
          <w:color w:val="000000"/>
          <w:sz w:val="24"/>
          <w:szCs w:val="24"/>
          <w:shd w:val="clear" w:color="auto" w:fill="FFFFFF"/>
          <w:lang w:eastAsia="ru-RU"/>
        </w:rPr>
        <w:t xml:space="preserve"> a </w:t>
      </w:r>
      <w:proofErr w:type="spellStart"/>
      <w:r w:rsidRPr="00125FAF">
        <w:rPr>
          <w:rFonts w:ascii="Times New Roman" w:eastAsia="Times New Roman" w:hAnsi="Times New Roman" w:cs="Times New Roman"/>
          <w:color w:val="000000"/>
          <w:sz w:val="24"/>
          <w:szCs w:val="24"/>
          <w:shd w:val="clear" w:color="auto" w:fill="FFFFFF"/>
          <w:lang w:eastAsia="ru-RU"/>
        </w:rPr>
        <w:t>staţiilor</w:t>
      </w:r>
      <w:proofErr w:type="spellEnd"/>
      <w:r w:rsidRPr="00125FAF">
        <w:rPr>
          <w:rFonts w:ascii="Times New Roman" w:eastAsia="Times New Roman" w:hAnsi="Times New Roman" w:cs="Times New Roman"/>
          <w:color w:val="000000"/>
          <w:sz w:val="24"/>
          <w:szCs w:val="24"/>
          <w:shd w:val="clear" w:color="auto" w:fill="FFFFFF"/>
          <w:lang w:eastAsia="ru-RU"/>
        </w:rPr>
        <w:t xml:space="preserve"> de transfer în 6 regiuni; </w:t>
      </w:r>
      <w:proofErr w:type="spellStart"/>
      <w:r w:rsidRPr="00125FAF">
        <w:rPr>
          <w:rFonts w:ascii="Times New Roman" w:eastAsia="Times New Roman" w:hAnsi="Times New Roman" w:cs="Times New Roman"/>
          <w:color w:val="000000"/>
          <w:sz w:val="24"/>
          <w:szCs w:val="24"/>
          <w:shd w:val="clear" w:color="auto" w:fill="FFFFFF"/>
          <w:lang w:eastAsia="ru-RU"/>
        </w:rPr>
        <w:t>construcţia</w:t>
      </w:r>
      <w:proofErr w:type="spellEnd"/>
      <w:r w:rsidRPr="00125FAF">
        <w:rPr>
          <w:rFonts w:ascii="Times New Roman" w:eastAsia="Times New Roman" w:hAnsi="Times New Roman" w:cs="Times New Roman"/>
          <w:color w:val="000000"/>
          <w:sz w:val="24"/>
          <w:szCs w:val="24"/>
          <w:shd w:val="clear" w:color="auto" w:fill="FFFFFF"/>
          <w:lang w:eastAsia="ru-RU"/>
        </w:rPr>
        <w:t xml:space="preserve"> centrelor de tratare </w:t>
      </w:r>
      <w:proofErr w:type="spellStart"/>
      <w:r w:rsidRPr="00125FAF">
        <w:rPr>
          <w:rFonts w:ascii="Times New Roman" w:eastAsia="Times New Roman" w:hAnsi="Times New Roman" w:cs="Times New Roman"/>
          <w:color w:val="000000"/>
          <w:sz w:val="24"/>
          <w:szCs w:val="24"/>
          <w:shd w:val="clear" w:color="auto" w:fill="FFFFFF"/>
          <w:lang w:eastAsia="ru-RU"/>
        </w:rPr>
        <w:t>mecanico</w:t>
      </w:r>
      <w:proofErr w:type="spellEnd"/>
      <w:r w:rsidRPr="00125FAF">
        <w:rPr>
          <w:rFonts w:ascii="Times New Roman" w:eastAsia="Times New Roman" w:hAnsi="Times New Roman" w:cs="Times New Roman"/>
          <w:color w:val="000000"/>
          <w:sz w:val="24"/>
          <w:szCs w:val="24"/>
          <w:shd w:val="clear" w:color="auto" w:fill="FFFFFF"/>
          <w:lang w:eastAsia="ru-RU"/>
        </w:rPr>
        <w:t xml:space="preserve">-biologică pentru mun. </w:t>
      </w:r>
      <w:proofErr w:type="spellStart"/>
      <w:r w:rsidRPr="00125FAF">
        <w:rPr>
          <w:rFonts w:ascii="Times New Roman" w:eastAsia="Times New Roman" w:hAnsi="Times New Roman" w:cs="Times New Roman"/>
          <w:color w:val="000000"/>
          <w:sz w:val="24"/>
          <w:szCs w:val="24"/>
          <w:shd w:val="clear" w:color="auto" w:fill="FFFFFF"/>
          <w:lang w:eastAsia="ru-RU"/>
        </w:rPr>
        <w:t>Chişinău</w:t>
      </w:r>
      <w:proofErr w:type="spellEnd"/>
      <w:r w:rsidRPr="00125FAF">
        <w:rPr>
          <w:rFonts w:ascii="Times New Roman" w:eastAsia="Times New Roman" w:hAnsi="Times New Roman" w:cs="Times New Roman"/>
          <w:color w:val="000000"/>
          <w:sz w:val="24"/>
          <w:szCs w:val="24"/>
          <w:shd w:val="clear" w:color="auto" w:fill="FFFFFF"/>
          <w:lang w:eastAsia="ru-RU"/>
        </w:rPr>
        <w:t xml:space="preserve"> </w:t>
      </w:r>
      <w:proofErr w:type="spellStart"/>
      <w:r w:rsidRPr="00125FAF">
        <w:rPr>
          <w:rFonts w:ascii="Times New Roman" w:eastAsia="Times New Roman" w:hAnsi="Times New Roman" w:cs="Times New Roman"/>
          <w:color w:val="000000"/>
          <w:sz w:val="24"/>
          <w:szCs w:val="24"/>
          <w:shd w:val="clear" w:color="auto" w:fill="FFFFFF"/>
          <w:lang w:eastAsia="ru-RU"/>
        </w:rPr>
        <w:t>şi</w:t>
      </w:r>
      <w:proofErr w:type="spellEnd"/>
      <w:r w:rsidRPr="00125FAF">
        <w:rPr>
          <w:rFonts w:ascii="Times New Roman" w:eastAsia="Times New Roman" w:hAnsi="Times New Roman" w:cs="Times New Roman"/>
          <w:color w:val="000000"/>
          <w:sz w:val="24"/>
          <w:szCs w:val="24"/>
          <w:shd w:val="clear" w:color="auto" w:fill="FFFFFF"/>
          <w:lang w:eastAsia="ru-RU"/>
        </w:rPr>
        <w:t xml:space="preserve"> </w:t>
      </w:r>
      <w:proofErr w:type="spellStart"/>
      <w:r w:rsidRPr="00125FAF">
        <w:rPr>
          <w:rFonts w:ascii="Times New Roman" w:eastAsia="Times New Roman" w:hAnsi="Times New Roman" w:cs="Times New Roman"/>
          <w:color w:val="000000"/>
          <w:sz w:val="24"/>
          <w:szCs w:val="24"/>
          <w:shd w:val="clear" w:color="auto" w:fill="FFFFFF"/>
          <w:lang w:eastAsia="ru-RU"/>
        </w:rPr>
        <w:t>Bălţi</w:t>
      </w:r>
      <w:proofErr w:type="spellEnd"/>
      <w:r w:rsidR="00AD2337" w:rsidRPr="00125FAF">
        <w:rPr>
          <w:rFonts w:ascii="Times New Roman" w:eastAsia="Times New Roman" w:hAnsi="Times New Roman" w:cs="Times New Roman"/>
          <w:color w:val="000000"/>
          <w:sz w:val="24"/>
          <w:szCs w:val="24"/>
          <w:shd w:val="clear" w:color="auto" w:fill="FFFFFF"/>
          <w:lang w:eastAsia="ru-RU"/>
        </w:rPr>
        <w:t xml:space="preserve">; recuperarea biogazului de la depozitul pentru </w:t>
      </w:r>
      <w:proofErr w:type="spellStart"/>
      <w:r w:rsidR="00AD2337" w:rsidRPr="00125FAF">
        <w:rPr>
          <w:rFonts w:ascii="Times New Roman" w:eastAsia="Times New Roman" w:hAnsi="Times New Roman" w:cs="Times New Roman"/>
          <w:color w:val="000000"/>
          <w:sz w:val="24"/>
          <w:szCs w:val="24"/>
          <w:shd w:val="clear" w:color="auto" w:fill="FFFFFF"/>
          <w:lang w:eastAsia="ru-RU"/>
        </w:rPr>
        <w:t>deşeurile</w:t>
      </w:r>
      <w:proofErr w:type="spellEnd"/>
      <w:r w:rsidR="00AD2337" w:rsidRPr="00125FAF">
        <w:rPr>
          <w:rFonts w:ascii="Times New Roman" w:eastAsia="Times New Roman" w:hAnsi="Times New Roman" w:cs="Times New Roman"/>
          <w:color w:val="000000"/>
          <w:sz w:val="24"/>
          <w:szCs w:val="24"/>
          <w:shd w:val="clear" w:color="auto" w:fill="FFFFFF"/>
          <w:lang w:eastAsia="ru-RU"/>
        </w:rPr>
        <w:t xml:space="preserve"> menajere solide din </w:t>
      </w:r>
      <w:proofErr w:type="spellStart"/>
      <w:r w:rsidR="00AD2337" w:rsidRPr="00125FAF">
        <w:rPr>
          <w:rFonts w:ascii="Times New Roman" w:eastAsia="Times New Roman" w:hAnsi="Times New Roman" w:cs="Times New Roman"/>
          <w:color w:val="000000"/>
          <w:sz w:val="24"/>
          <w:szCs w:val="24"/>
          <w:shd w:val="clear" w:color="auto" w:fill="FFFFFF"/>
          <w:lang w:eastAsia="ru-RU"/>
        </w:rPr>
        <w:t>Ţînţăreni</w:t>
      </w:r>
      <w:proofErr w:type="spellEnd"/>
      <w:r w:rsidR="00AD2337" w:rsidRPr="00125FAF">
        <w:rPr>
          <w:rFonts w:ascii="Times New Roman" w:eastAsia="Times New Roman" w:hAnsi="Times New Roman" w:cs="Times New Roman"/>
          <w:color w:val="000000"/>
          <w:sz w:val="24"/>
          <w:szCs w:val="24"/>
          <w:shd w:val="clear" w:color="auto" w:fill="FFFFFF"/>
          <w:lang w:eastAsia="ru-RU"/>
        </w:rPr>
        <w:t xml:space="preserve">; dotarea schemei tehnologice de epurare a apelor uzate aferente </w:t>
      </w:r>
      <w:proofErr w:type="spellStart"/>
      <w:r w:rsidR="00AD2337" w:rsidRPr="00125FAF">
        <w:rPr>
          <w:rFonts w:ascii="Times New Roman" w:eastAsia="Times New Roman" w:hAnsi="Times New Roman" w:cs="Times New Roman"/>
          <w:color w:val="000000"/>
          <w:sz w:val="24"/>
          <w:szCs w:val="24"/>
          <w:shd w:val="clear" w:color="auto" w:fill="FFFFFF"/>
          <w:lang w:eastAsia="ru-RU"/>
        </w:rPr>
        <w:t>staţiilor</w:t>
      </w:r>
      <w:proofErr w:type="spellEnd"/>
      <w:r w:rsidR="00AD2337" w:rsidRPr="00125FAF">
        <w:rPr>
          <w:rFonts w:ascii="Times New Roman" w:eastAsia="Times New Roman" w:hAnsi="Times New Roman" w:cs="Times New Roman"/>
          <w:color w:val="000000"/>
          <w:sz w:val="24"/>
          <w:szCs w:val="24"/>
          <w:shd w:val="clear" w:color="auto" w:fill="FFFFFF"/>
          <w:lang w:eastAsia="ru-RU"/>
        </w:rPr>
        <w:t xml:space="preserve"> apă-canal din municipiile </w:t>
      </w:r>
      <w:proofErr w:type="spellStart"/>
      <w:r w:rsidR="00AD2337" w:rsidRPr="00125FAF">
        <w:rPr>
          <w:rFonts w:ascii="Times New Roman" w:eastAsia="Times New Roman" w:hAnsi="Times New Roman" w:cs="Times New Roman"/>
          <w:color w:val="000000"/>
          <w:sz w:val="24"/>
          <w:szCs w:val="24"/>
          <w:shd w:val="clear" w:color="auto" w:fill="FFFFFF"/>
          <w:lang w:eastAsia="ru-RU"/>
        </w:rPr>
        <w:t>Chişinău</w:t>
      </w:r>
      <w:proofErr w:type="spellEnd"/>
      <w:r w:rsidR="00AD2337" w:rsidRPr="00125FAF">
        <w:rPr>
          <w:rFonts w:ascii="Times New Roman" w:eastAsia="Times New Roman" w:hAnsi="Times New Roman" w:cs="Times New Roman"/>
          <w:color w:val="000000"/>
          <w:sz w:val="24"/>
          <w:szCs w:val="24"/>
          <w:shd w:val="clear" w:color="auto" w:fill="FFFFFF"/>
          <w:lang w:eastAsia="ru-RU"/>
        </w:rPr>
        <w:t xml:space="preserve"> cu tehnologii de tratare a nămolului în </w:t>
      </w:r>
      <w:proofErr w:type="spellStart"/>
      <w:r w:rsidR="00AD2337" w:rsidRPr="00125FAF">
        <w:rPr>
          <w:rFonts w:ascii="Times New Roman" w:eastAsia="Times New Roman" w:hAnsi="Times New Roman" w:cs="Times New Roman"/>
          <w:color w:val="000000"/>
          <w:sz w:val="24"/>
          <w:szCs w:val="24"/>
          <w:shd w:val="clear" w:color="auto" w:fill="FFFFFF"/>
          <w:lang w:eastAsia="ru-RU"/>
        </w:rPr>
        <w:t>condiţii</w:t>
      </w:r>
      <w:proofErr w:type="spellEnd"/>
      <w:r w:rsidR="00AD2337" w:rsidRPr="00125FAF">
        <w:rPr>
          <w:rFonts w:ascii="Times New Roman" w:eastAsia="Times New Roman" w:hAnsi="Times New Roman" w:cs="Times New Roman"/>
          <w:color w:val="000000"/>
          <w:sz w:val="24"/>
          <w:szCs w:val="24"/>
          <w:shd w:val="clear" w:color="auto" w:fill="FFFFFF"/>
          <w:lang w:eastAsia="ru-RU"/>
        </w:rPr>
        <w:t xml:space="preserve"> anaerobe.</w:t>
      </w:r>
    </w:p>
    <w:p w14:paraId="1A0CFEEA" w14:textId="77777777" w:rsidR="00446F14" w:rsidRPr="00125FAF" w:rsidRDefault="00446F14" w:rsidP="006364B2">
      <w:pPr>
        <w:spacing w:after="0" w:line="240" w:lineRule="auto"/>
        <w:ind w:firstLine="720"/>
        <w:jc w:val="both"/>
        <w:rPr>
          <w:rFonts w:ascii="Times New Roman" w:eastAsia="Times New Roman" w:hAnsi="Times New Roman" w:cs="Times New Roman"/>
          <w:color w:val="000000"/>
          <w:sz w:val="24"/>
          <w:szCs w:val="24"/>
          <w:shd w:val="clear" w:color="auto" w:fill="FFFFFF"/>
          <w:lang w:eastAsia="ru-RU"/>
        </w:rPr>
      </w:pPr>
    </w:p>
    <w:p w14:paraId="0ECB87F6" w14:textId="05216548" w:rsidR="006364B2" w:rsidRPr="00125FAF" w:rsidRDefault="006364B2" w:rsidP="001F2F2D">
      <w:pPr>
        <w:spacing w:after="120" w:line="240" w:lineRule="auto"/>
        <w:jc w:val="center"/>
        <w:rPr>
          <w:rFonts w:ascii="Times New Roman" w:eastAsia="Times New Roman" w:hAnsi="Times New Roman" w:cs="Times New Roman"/>
          <w:sz w:val="24"/>
          <w:szCs w:val="24"/>
          <w:lang w:eastAsia="ru-RU"/>
        </w:rPr>
      </w:pPr>
      <w:r w:rsidRPr="00125FAF">
        <w:rPr>
          <w:rFonts w:ascii="Times New Roman" w:eastAsia="Times New Roman" w:hAnsi="Times New Roman" w:cs="Times New Roman"/>
          <w:b/>
          <w:bCs/>
          <w:color w:val="000000"/>
          <w:sz w:val="24"/>
          <w:szCs w:val="24"/>
          <w:shd w:val="clear" w:color="auto" w:fill="FFFFFF"/>
          <w:lang w:eastAsia="ru-RU"/>
        </w:rPr>
        <w:t>V</w:t>
      </w:r>
      <w:r w:rsidR="00AD2337" w:rsidRPr="00125FAF">
        <w:rPr>
          <w:rFonts w:ascii="Times New Roman" w:eastAsia="Times New Roman" w:hAnsi="Times New Roman" w:cs="Times New Roman"/>
          <w:b/>
          <w:bCs/>
          <w:color w:val="000000"/>
          <w:sz w:val="24"/>
          <w:szCs w:val="24"/>
          <w:shd w:val="clear" w:color="auto" w:fill="FFFFFF"/>
          <w:lang w:eastAsia="ru-RU"/>
        </w:rPr>
        <w:t>II</w:t>
      </w:r>
      <w:r w:rsidRPr="00125FAF">
        <w:rPr>
          <w:rFonts w:ascii="Times New Roman" w:eastAsia="Times New Roman" w:hAnsi="Times New Roman" w:cs="Times New Roman"/>
          <w:b/>
          <w:bCs/>
          <w:color w:val="000000"/>
          <w:sz w:val="24"/>
          <w:szCs w:val="24"/>
          <w:shd w:val="clear" w:color="auto" w:fill="FFFFFF"/>
          <w:lang w:eastAsia="ru-RU"/>
        </w:rPr>
        <w:t>. ESTIMAREA COSTURILOR</w:t>
      </w:r>
    </w:p>
    <w:p w14:paraId="312BAC41" w14:textId="3266F827" w:rsidR="006364B2" w:rsidRPr="00125FAF" w:rsidRDefault="007909C8" w:rsidP="0013147D">
      <w:pPr>
        <w:spacing w:after="120"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125FAF">
        <w:rPr>
          <w:rFonts w:ascii="Times New Roman" w:eastAsia="Times New Roman" w:hAnsi="Times New Roman" w:cs="Times New Roman"/>
          <w:color w:val="000000"/>
          <w:sz w:val="24"/>
          <w:szCs w:val="24"/>
          <w:shd w:val="clear" w:color="auto" w:fill="FFFFFF"/>
          <w:lang w:eastAsia="ru-RU"/>
        </w:rPr>
        <w:t>46</w:t>
      </w:r>
      <w:r w:rsidR="006364B2" w:rsidRPr="00125FAF">
        <w:rPr>
          <w:rFonts w:ascii="Times New Roman" w:eastAsia="Times New Roman" w:hAnsi="Times New Roman" w:cs="Times New Roman"/>
          <w:color w:val="000000"/>
          <w:sz w:val="24"/>
          <w:szCs w:val="24"/>
          <w:shd w:val="clear" w:color="auto" w:fill="FFFFFF"/>
          <w:lang w:eastAsia="ru-RU"/>
        </w:rPr>
        <w:t>. Pentru atingerea obiectivelor prezent</w:t>
      </w:r>
      <w:r w:rsidR="00AD2337" w:rsidRPr="00125FAF">
        <w:rPr>
          <w:rFonts w:ascii="Times New Roman" w:eastAsia="Times New Roman" w:hAnsi="Times New Roman" w:cs="Times New Roman"/>
          <w:color w:val="000000"/>
          <w:sz w:val="24"/>
          <w:szCs w:val="24"/>
          <w:shd w:val="clear" w:color="auto" w:fill="FFFFFF"/>
          <w:lang w:eastAsia="ru-RU"/>
        </w:rPr>
        <w:t>ului Program</w:t>
      </w:r>
      <w:r w:rsidR="006364B2" w:rsidRPr="00125FAF">
        <w:rPr>
          <w:rFonts w:ascii="Times New Roman" w:eastAsia="Times New Roman" w:hAnsi="Times New Roman" w:cs="Times New Roman"/>
          <w:color w:val="000000"/>
          <w:sz w:val="24"/>
          <w:szCs w:val="24"/>
          <w:shd w:val="clear" w:color="auto" w:fill="FFFFFF"/>
          <w:lang w:eastAsia="ru-RU"/>
        </w:rPr>
        <w:t xml:space="preserve"> </w:t>
      </w:r>
      <w:proofErr w:type="spellStart"/>
      <w:r w:rsidR="006364B2" w:rsidRPr="00125FAF">
        <w:rPr>
          <w:rFonts w:ascii="Times New Roman" w:eastAsia="Times New Roman" w:hAnsi="Times New Roman" w:cs="Times New Roman"/>
          <w:color w:val="000000"/>
          <w:sz w:val="24"/>
          <w:szCs w:val="24"/>
          <w:shd w:val="clear" w:color="auto" w:fill="FFFFFF"/>
          <w:lang w:eastAsia="ru-RU"/>
        </w:rPr>
        <w:t>sînt</w:t>
      </w:r>
      <w:proofErr w:type="spellEnd"/>
      <w:r w:rsidR="006364B2" w:rsidRPr="00125FAF">
        <w:rPr>
          <w:rFonts w:ascii="Times New Roman" w:eastAsia="Times New Roman" w:hAnsi="Times New Roman" w:cs="Times New Roman"/>
          <w:color w:val="000000"/>
          <w:sz w:val="24"/>
          <w:szCs w:val="24"/>
          <w:shd w:val="clear" w:color="auto" w:fill="FFFFFF"/>
          <w:lang w:eastAsia="ru-RU"/>
        </w:rPr>
        <w:t xml:space="preserve"> necesare mijloace financiare în volum</w:t>
      </w:r>
      <w:r w:rsidR="00AD2337" w:rsidRPr="00125FAF">
        <w:rPr>
          <w:rFonts w:ascii="Times New Roman" w:eastAsia="Times New Roman" w:hAnsi="Times New Roman" w:cs="Times New Roman"/>
          <w:color w:val="000000"/>
          <w:sz w:val="24"/>
          <w:szCs w:val="24"/>
          <w:shd w:val="clear" w:color="auto" w:fill="FFFFFF"/>
          <w:lang w:eastAsia="ru-RU"/>
        </w:rPr>
        <w:t>e</w:t>
      </w:r>
      <w:r w:rsidR="006364B2" w:rsidRPr="00125FAF">
        <w:rPr>
          <w:rFonts w:ascii="Times New Roman" w:eastAsia="Times New Roman" w:hAnsi="Times New Roman" w:cs="Times New Roman"/>
          <w:color w:val="000000"/>
          <w:sz w:val="24"/>
          <w:szCs w:val="24"/>
          <w:shd w:val="clear" w:color="auto" w:fill="FFFFFF"/>
          <w:lang w:eastAsia="ru-RU"/>
        </w:rPr>
        <w:t xml:space="preserve"> </w:t>
      </w:r>
      <w:proofErr w:type="spellStart"/>
      <w:r w:rsidR="006364B2" w:rsidRPr="00125FAF">
        <w:rPr>
          <w:rFonts w:ascii="Times New Roman" w:eastAsia="Times New Roman" w:hAnsi="Times New Roman" w:cs="Times New Roman"/>
          <w:color w:val="000000"/>
          <w:sz w:val="24"/>
          <w:szCs w:val="24"/>
          <w:shd w:val="clear" w:color="auto" w:fill="FFFFFF"/>
          <w:lang w:eastAsia="ru-RU"/>
        </w:rPr>
        <w:t>şi</w:t>
      </w:r>
      <w:proofErr w:type="spellEnd"/>
      <w:r w:rsidR="006364B2" w:rsidRPr="00125FAF">
        <w:rPr>
          <w:rFonts w:ascii="Times New Roman" w:eastAsia="Times New Roman" w:hAnsi="Times New Roman" w:cs="Times New Roman"/>
          <w:color w:val="000000"/>
          <w:sz w:val="24"/>
          <w:szCs w:val="24"/>
          <w:shd w:val="clear" w:color="auto" w:fill="FFFFFF"/>
          <w:lang w:eastAsia="ru-RU"/>
        </w:rPr>
        <w:t xml:space="preserve"> termene prezentate mai jos (</w:t>
      </w:r>
      <w:r w:rsidR="006364B2" w:rsidRPr="00125FAF">
        <w:rPr>
          <w:rFonts w:ascii="Times New Roman" w:eastAsia="Times New Roman" w:hAnsi="Times New Roman" w:cs="Times New Roman"/>
          <w:i/>
          <w:iCs/>
          <w:color w:val="000000"/>
          <w:sz w:val="24"/>
          <w:szCs w:val="24"/>
          <w:shd w:val="clear" w:color="auto" w:fill="FFFFFF"/>
          <w:lang w:eastAsia="ru-RU"/>
        </w:rPr>
        <w:t>miliarde dolari SUA</w:t>
      </w:r>
      <w:r w:rsidR="006364B2" w:rsidRPr="00125FAF">
        <w:rPr>
          <w:rFonts w:ascii="Times New Roman" w:eastAsia="Times New Roman" w:hAnsi="Times New Roman" w:cs="Times New Roman"/>
          <w:color w:val="000000"/>
          <w:sz w:val="24"/>
          <w:szCs w:val="24"/>
          <w:shd w:val="clear" w:color="auto" w:fill="FFFFFF"/>
          <w:lang w:eastAsia="ru-RU"/>
        </w:rPr>
        <w:t>):</w:t>
      </w:r>
    </w:p>
    <w:tbl>
      <w:tblPr>
        <w:tblStyle w:val="Tabelgril"/>
        <w:tblW w:w="0" w:type="auto"/>
        <w:tblLook w:val="04A0" w:firstRow="1" w:lastRow="0" w:firstColumn="1" w:lastColumn="0" w:noHBand="0" w:noVBand="1"/>
      </w:tblPr>
      <w:tblGrid>
        <w:gridCol w:w="2299"/>
        <w:gridCol w:w="2273"/>
        <w:gridCol w:w="2273"/>
        <w:gridCol w:w="2274"/>
      </w:tblGrid>
      <w:tr w:rsidR="0027514C" w:rsidRPr="00125FAF" w14:paraId="478D77AE" w14:textId="77777777" w:rsidTr="0013147D">
        <w:tc>
          <w:tcPr>
            <w:tcW w:w="2299" w:type="dxa"/>
          </w:tcPr>
          <w:p w14:paraId="3DD65CB6" w14:textId="4A9937A0" w:rsidR="0027514C" w:rsidRPr="00125FAF" w:rsidRDefault="0027514C" w:rsidP="0027514C">
            <w:pPr>
              <w:jc w:val="both"/>
              <w:rPr>
                <w:rFonts w:ascii="Times New Roman" w:eastAsia="Times New Roman" w:hAnsi="Times New Roman"/>
                <w:sz w:val="24"/>
                <w:szCs w:val="24"/>
                <w:lang w:val="ro-RO" w:eastAsia="ru-RU"/>
              </w:rPr>
            </w:pPr>
            <w:r w:rsidRPr="00125FAF">
              <w:rPr>
                <w:rFonts w:ascii="Times New Roman" w:hAnsi="Times New Roman"/>
                <w:sz w:val="24"/>
                <w:szCs w:val="24"/>
                <w:lang w:val="ro-RO"/>
              </w:rPr>
              <w:t>Obiectivul</w:t>
            </w:r>
          </w:p>
        </w:tc>
        <w:tc>
          <w:tcPr>
            <w:tcW w:w="2273" w:type="dxa"/>
          </w:tcPr>
          <w:p w14:paraId="58BC4031" w14:textId="7825C9F2" w:rsidR="0027514C" w:rsidRPr="00125FAF" w:rsidRDefault="0027514C" w:rsidP="001F2F2D">
            <w:pPr>
              <w:jc w:val="center"/>
              <w:rPr>
                <w:rFonts w:ascii="Times New Roman" w:eastAsia="Times New Roman" w:hAnsi="Times New Roman"/>
                <w:sz w:val="24"/>
                <w:szCs w:val="24"/>
                <w:lang w:val="ro-RO" w:eastAsia="ru-RU"/>
              </w:rPr>
            </w:pPr>
            <w:r w:rsidRPr="00125FAF">
              <w:rPr>
                <w:rFonts w:ascii="Times New Roman" w:eastAsia="Times New Roman" w:hAnsi="Times New Roman"/>
                <w:sz w:val="24"/>
                <w:szCs w:val="24"/>
                <w:lang w:val="ro-RO" w:eastAsia="ru-RU"/>
              </w:rPr>
              <w:t>Total perioada</w:t>
            </w:r>
          </w:p>
          <w:p w14:paraId="63AF891B" w14:textId="77DC47D2" w:rsidR="0027514C" w:rsidRPr="00125FAF" w:rsidRDefault="0027514C" w:rsidP="001F2F2D">
            <w:pPr>
              <w:jc w:val="center"/>
              <w:rPr>
                <w:rFonts w:ascii="Times New Roman" w:eastAsia="Times New Roman" w:hAnsi="Times New Roman"/>
                <w:sz w:val="24"/>
                <w:szCs w:val="24"/>
                <w:lang w:val="ro-RO" w:eastAsia="ru-RU"/>
              </w:rPr>
            </w:pPr>
            <w:r w:rsidRPr="00125FAF">
              <w:rPr>
                <w:rFonts w:ascii="Times New Roman" w:eastAsia="Times New Roman" w:hAnsi="Times New Roman"/>
                <w:sz w:val="24"/>
                <w:szCs w:val="24"/>
                <w:lang w:val="ro-RO" w:eastAsia="ru-RU"/>
              </w:rPr>
              <w:t>2021-2030</w:t>
            </w:r>
          </w:p>
        </w:tc>
        <w:tc>
          <w:tcPr>
            <w:tcW w:w="2273" w:type="dxa"/>
          </w:tcPr>
          <w:p w14:paraId="3098FADA" w14:textId="77777777" w:rsidR="0027514C" w:rsidRPr="00125FAF" w:rsidRDefault="0027514C" w:rsidP="001F2F2D">
            <w:pPr>
              <w:jc w:val="center"/>
              <w:rPr>
                <w:rFonts w:ascii="Times New Roman" w:eastAsia="Times New Roman" w:hAnsi="Times New Roman"/>
                <w:sz w:val="24"/>
                <w:szCs w:val="24"/>
                <w:lang w:val="ro-RO" w:eastAsia="ru-RU"/>
              </w:rPr>
            </w:pPr>
            <w:r w:rsidRPr="00125FAF">
              <w:rPr>
                <w:rFonts w:ascii="Times New Roman" w:eastAsia="Times New Roman" w:hAnsi="Times New Roman"/>
                <w:sz w:val="24"/>
                <w:szCs w:val="24"/>
                <w:lang w:val="ro-RO" w:eastAsia="ru-RU"/>
              </w:rPr>
              <w:t>Total perioada</w:t>
            </w:r>
          </w:p>
          <w:p w14:paraId="602BCC97" w14:textId="2AD7B71F" w:rsidR="0027514C" w:rsidRPr="00125FAF" w:rsidRDefault="0027514C" w:rsidP="001F2F2D">
            <w:pPr>
              <w:jc w:val="center"/>
              <w:rPr>
                <w:rFonts w:ascii="Times New Roman" w:eastAsia="Times New Roman" w:hAnsi="Times New Roman"/>
                <w:sz w:val="24"/>
                <w:szCs w:val="24"/>
                <w:lang w:val="ro-RO" w:eastAsia="ru-RU"/>
              </w:rPr>
            </w:pPr>
            <w:r w:rsidRPr="00125FAF">
              <w:rPr>
                <w:rFonts w:ascii="Times New Roman" w:eastAsia="Times New Roman" w:hAnsi="Times New Roman"/>
                <w:sz w:val="24"/>
                <w:szCs w:val="24"/>
                <w:lang w:val="ro-RO" w:eastAsia="ru-RU"/>
              </w:rPr>
              <w:t>2021-2025</w:t>
            </w:r>
          </w:p>
        </w:tc>
        <w:tc>
          <w:tcPr>
            <w:tcW w:w="2274" w:type="dxa"/>
          </w:tcPr>
          <w:p w14:paraId="6E37A972" w14:textId="5CC14FA2" w:rsidR="0027514C" w:rsidRPr="00125FAF" w:rsidRDefault="0027514C" w:rsidP="001F2F2D">
            <w:pPr>
              <w:jc w:val="center"/>
              <w:rPr>
                <w:rFonts w:ascii="Times New Roman" w:eastAsia="Times New Roman" w:hAnsi="Times New Roman"/>
                <w:sz w:val="24"/>
                <w:szCs w:val="24"/>
                <w:lang w:val="ro-RO" w:eastAsia="ru-RU"/>
              </w:rPr>
            </w:pPr>
            <w:r w:rsidRPr="00125FAF">
              <w:rPr>
                <w:rFonts w:ascii="Times New Roman" w:eastAsia="Times New Roman" w:hAnsi="Times New Roman"/>
                <w:sz w:val="24"/>
                <w:szCs w:val="24"/>
                <w:lang w:val="ro-RO" w:eastAsia="ru-RU"/>
              </w:rPr>
              <w:t>Total perioada</w:t>
            </w:r>
          </w:p>
          <w:p w14:paraId="0B549965" w14:textId="07A126BA" w:rsidR="0027514C" w:rsidRPr="00125FAF" w:rsidRDefault="0027514C" w:rsidP="001F2F2D">
            <w:pPr>
              <w:jc w:val="center"/>
              <w:rPr>
                <w:rFonts w:ascii="Times New Roman" w:eastAsia="Times New Roman" w:hAnsi="Times New Roman"/>
                <w:sz w:val="24"/>
                <w:szCs w:val="24"/>
                <w:lang w:val="ro-RO" w:eastAsia="ru-RU"/>
              </w:rPr>
            </w:pPr>
            <w:r w:rsidRPr="00125FAF">
              <w:rPr>
                <w:rFonts w:ascii="Times New Roman" w:eastAsia="Times New Roman" w:hAnsi="Times New Roman"/>
                <w:sz w:val="24"/>
                <w:szCs w:val="24"/>
                <w:lang w:val="ro-RO" w:eastAsia="ru-RU"/>
              </w:rPr>
              <w:t>202</w:t>
            </w:r>
            <w:r w:rsidR="00BB3E26" w:rsidRPr="00125FAF">
              <w:rPr>
                <w:rFonts w:ascii="Times New Roman" w:eastAsia="Times New Roman" w:hAnsi="Times New Roman"/>
                <w:sz w:val="24"/>
                <w:szCs w:val="24"/>
                <w:lang w:val="ro-RO" w:eastAsia="ru-RU"/>
              </w:rPr>
              <w:t>6</w:t>
            </w:r>
            <w:r w:rsidRPr="00125FAF">
              <w:rPr>
                <w:rFonts w:ascii="Times New Roman" w:eastAsia="Times New Roman" w:hAnsi="Times New Roman"/>
                <w:sz w:val="24"/>
                <w:szCs w:val="24"/>
                <w:lang w:val="ro-RO" w:eastAsia="ru-RU"/>
              </w:rPr>
              <w:t>-2030</w:t>
            </w:r>
          </w:p>
        </w:tc>
      </w:tr>
      <w:tr w:rsidR="0027514C" w:rsidRPr="00125FAF" w14:paraId="72EB6530" w14:textId="77777777" w:rsidTr="0013147D">
        <w:tc>
          <w:tcPr>
            <w:tcW w:w="2299" w:type="dxa"/>
          </w:tcPr>
          <w:p w14:paraId="19352CB3" w14:textId="703C2B42" w:rsidR="0027514C" w:rsidRPr="00125FAF" w:rsidRDefault="0027514C" w:rsidP="0027514C">
            <w:pPr>
              <w:jc w:val="both"/>
              <w:rPr>
                <w:rFonts w:ascii="Times New Roman" w:eastAsia="Times New Roman" w:hAnsi="Times New Roman"/>
                <w:sz w:val="24"/>
                <w:szCs w:val="24"/>
                <w:lang w:val="ro-RO" w:eastAsia="ru-RU"/>
              </w:rPr>
            </w:pPr>
            <w:proofErr w:type="spellStart"/>
            <w:r w:rsidRPr="00125FAF">
              <w:rPr>
                <w:rFonts w:ascii="Times New Roman" w:hAnsi="Times New Roman"/>
                <w:sz w:val="24"/>
                <w:szCs w:val="24"/>
                <w:lang w:val="ro-RO"/>
              </w:rPr>
              <w:t>Necondiţionat</w:t>
            </w:r>
            <w:proofErr w:type="spellEnd"/>
          </w:p>
        </w:tc>
        <w:tc>
          <w:tcPr>
            <w:tcW w:w="2273" w:type="dxa"/>
          </w:tcPr>
          <w:p w14:paraId="28008461" w14:textId="781F1F49" w:rsidR="0027514C" w:rsidRPr="00125FAF" w:rsidRDefault="0027514C" w:rsidP="001F2F2D">
            <w:pPr>
              <w:jc w:val="center"/>
              <w:rPr>
                <w:rFonts w:ascii="Times New Roman" w:eastAsia="Times New Roman" w:hAnsi="Times New Roman"/>
                <w:sz w:val="24"/>
                <w:szCs w:val="24"/>
                <w:lang w:val="ro-RO" w:eastAsia="ru-RU"/>
              </w:rPr>
            </w:pPr>
            <w:r w:rsidRPr="00125FAF">
              <w:rPr>
                <w:rFonts w:ascii="Times New Roman" w:eastAsia="Times New Roman" w:hAnsi="Times New Roman"/>
                <w:sz w:val="24"/>
                <w:szCs w:val="24"/>
                <w:lang w:val="ro-RO" w:eastAsia="ru-RU"/>
              </w:rPr>
              <w:t>8</w:t>
            </w:r>
            <w:r w:rsidR="00E867EC" w:rsidRPr="00125FAF">
              <w:rPr>
                <w:rFonts w:ascii="Times New Roman" w:eastAsia="Times New Roman" w:hAnsi="Times New Roman"/>
                <w:sz w:val="24"/>
                <w:szCs w:val="24"/>
                <w:lang w:val="ro-RO" w:eastAsia="ru-RU"/>
              </w:rPr>
              <w:t>,</w:t>
            </w:r>
            <w:r w:rsidRPr="00125FAF">
              <w:rPr>
                <w:rFonts w:ascii="Times New Roman" w:eastAsia="Times New Roman" w:hAnsi="Times New Roman"/>
                <w:sz w:val="24"/>
                <w:szCs w:val="24"/>
                <w:lang w:val="ro-RO" w:eastAsia="ru-RU"/>
              </w:rPr>
              <w:t>3</w:t>
            </w:r>
          </w:p>
        </w:tc>
        <w:tc>
          <w:tcPr>
            <w:tcW w:w="2273" w:type="dxa"/>
          </w:tcPr>
          <w:p w14:paraId="36E33D4E" w14:textId="6D3A219A" w:rsidR="0027514C" w:rsidRPr="00125FAF" w:rsidRDefault="00BB3E26" w:rsidP="001F2F2D">
            <w:pPr>
              <w:jc w:val="center"/>
              <w:rPr>
                <w:rFonts w:ascii="Times New Roman" w:eastAsia="Times New Roman" w:hAnsi="Times New Roman"/>
                <w:sz w:val="24"/>
                <w:szCs w:val="24"/>
                <w:lang w:val="ro-RO" w:eastAsia="ru-RU"/>
              </w:rPr>
            </w:pPr>
            <w:r w:rsidRPr="00125FAF">
              <w:rPr>
                <w:rFonts w:ascii="Times New Roman" w:eastAsia="Times New Roman" w:hAnsi="Times New Roman"/>
                <w:sz w:val="24"/>
                <w:szCs w:val="24"/>
                <w:lang w:val="ro-RO" w:eastAsia="ru-RU"/>
              </w:rPr>
              <w:t>3</w:t>
            </w:r>
            <w:r w:rsidR="00E867EC" w:rsidRPr="00125FAF">
              <w:rPr>
                <w:rFonts w:ascii="Times New Roman" w:eastAsia="Times New Roman" w:hAnsi="Times New Roman"/>
                <w:sz w:val="24"/>
                <w:szCs w:val="24"/>
                <w:lang w:val="ro-RO" w:eastAsia="ru-RU"/>
              </w:rPr>
              <w:t>,</w:t>
            </w:r>
            <w:r w:rsidRPr="00125FAF">
              <w:rPr>
                <w:rFonts w:ascii="Times New Roman" w:eastAsia="Times New Roman" w:hAnsi="Times New Roman"/>
                <w:sz w:val="24"/>
                <w:szCs w:val="24"/>
                <w:lang w:val="ro-RO" w:eastAsia="ru-RU"/>
              </w:rPr>
              <w:t>3</w:t>
            </w:r>
          </w:p>
        </w:tc>
        <w:tc>
          <w:tcPr>
            <w:tcW w:w="2274" w:type="dxa"/>
          </w:tcPr>
          <w:p w14:paraId="46B3986D" w14:textId="1C7A63E6" w:rsidR="0027514C" w:rsidRPr="00125FAF" w:rsidRDefault="00BB3E26" w:rsidP="001F2F2D">
            <w:pPr>
              <w:jc w:val="center"/>
              <w:rPr>
                <w:rFonts w:ascii="Times New Roman" w:eastAsia="Times New Roman" w:hAnsi="Times New Roman"/>
                <w:sz w:val="24"/>
                <w:szCs w:val="24"/>
                <w:lang w:val="ro-RO" w:eastAsia="ru-RU"/>
              </w:rPr>
            </w:pPr>
            <w:r w:rsidRPr="00125FAF">
              <w:rPr>
                <w:rFonts w:ascii="Times New Roman" w:eastAsia="Times New Roman" w:hAnsi="Times New Roman"/>
                <w:sz w:val="24"/>
                <w:szCs w:val="24"/>
                <w:lang w:val="ro-RO" w:eastAsia="ru-RU"/>
              </w:rPr>
              <w:t>5</w:t>
            </w:r>
            <w:r w:rsidR="00E867EC" w:rsidRPr="00125FAF">
              <w:rPr>
                <w:rFonts w:ascii="Times New Roman" w:eastAsia="Times New Roman" w:hAnsi="Times New Roman"/>
                <w:sz w:val="24"/>
                <w:szCs w:val="24"/>
                <w:lang w:val="ro-RO" w:eastAsia="ru-RU"/>
              </w:rPr>
              <w:t>,</w:t>
            </w:r>
            <w:r w:rsidRPr="00125FAF">
              <w:rPr>
                <w:rFonts w:ascii="Times New Roman" w:eastAsia="Times New Roman" w:hAnsi="Times New Roman"/>
                <w:sz w:val="24"/>
                <w:szCs w:val="24"/>
                <w:lang w:val="ro-RO" w:eastAsia="ru-RU"/>
              </w:rPr>
              <w:t>0</w:t>
            </w:r>
          </w:p>
        </w:tc>
      </w:tr>
      <w:tr w:rsidR="0027514C" w:rsidRPr="00125FAF" w14:paraId="6365207F" w14:textId="77777777" w:rsidTr="0013147D">
        <w:tc>
          <w:tcPr>
            <w:tcW w:w="2299" w:type="dxa"/>
          </w:tcPr>
          <w:p w14:paraId="4B95C93D" w14:textId="4F54711F" w:rsidR="0027514C" w:rsidRPr="00125FAF" w:rsidRDefault="0027514C" w:rsidP="0027514C">
            <w:pPr>
              <w:jc w:val="both"/>
              <w:rPr>
                <w:rFonts w:ascii="Times New Roman" w:eastAsia="Times New Roman" w:hAnsi="Times New Roman"/>
                <w:sz w:val="24"/>
                <w:szCs w:val="24"/>
                <w:lang w:val="ro-RO" w:eastAsia="ru-RU"/>
              </w:rPr>
            </w:pPr>
            <w:proofErr w:type="spellStart"/>
            <w:r w:rsidRPr="00125FAF">
              <w:rPr>
                <w:rFonts w:ascii="Times New Roman" w:hAnsi="Times New Roman"/>
                <w:sz w:val="24"/>
                <w:szCs w:val="24"/>
                <w:lang w:val="ro-RO"/>
              </w:rPr>
              <w:t>Condiţionat</w:t>
            </w:r>
            <w:proofErr w:type="spellEnd"/>
          </w:p>
        </w:tc>
        <w:tc>
          <w:tcPr>
            <w:tcW w:w="2273" w:type="dxa"/>
          </w:tcPr>
          <w:p w14:paraId="4C560B17" w14:textId="11CF66EA" w:rsidR="0027514C" w:rsidRPr="00125FAF" w:rsidRDefault="0027514C" w:rsidP="001F2F2D">
            <w:pPr>
              <w:jc w:val="center"/>
              <w:rPr>
                <w:rFonts w:ascii="Times New Roman" w:eastAsia="Times New Roman" w:hAnsi="Times New Roman"/>
                <w:sz w:val="24"/>
                <w:szCs w:val="24"/>
                <w:lang w:val="ro-RO" w:eastAsia="ru-RU"/>
              </w:rPr>
            </w:pPr>
            <w:r w:rsidRPr="00125FAF">
              <w:rPr>
                <w:rFonts w:ascii="Times New Roman" w:eastAsia="Times New Roman" w:hAnsi="Times New Roman"/>
                <w:sz w:val="24"/>
                <w:szCs w:val="24"/>
                <w:lang w:val="ro-RO" w:eastAsia="ru-RU"/>
              </w:rPr>
              <w:t>2</w:t>
            </w:r>
            <w:r w:rsidR="00E867EC" w:rsidRPr="00125FAF">
              <w:rPr>
                <w:rFonts w:ascii="Times New Roman" w:eastAsia="Times New Roman" w:hAnsi="Times New Roman"/>
                <w:sz w:val="24"/>
                <w:szCs w:val="24"/>
                <w:lang w:val="ro-RO" w:eastAsia="ru-RU"/>
              </w:rPr>
              <w:t>,</w:t>
            </w:r>
            <w:r w:rsidRPr="00125FAF">
              <w:rPr>
                <w:rFonts w:ascii="Times New Roman" w:eastAsia="Times New Roman" w:hAnsi="Times New Roman"/>
                <w:sz w:val="24"/>
                <w:szCs w:val="24"/>
                <w:lang w:val="ro-RO" w:eastAsia="ru-RU"/>
              </w:rPr>
              <w:t>6</w:t>
            </w:r>
          </w:p>
        </w:tc>
        <w:tc>
          <w:tcPr>
            <w:tcW w:w="2273" w:type="dxa"/>
          </w:tcPr>
          <w:p w14:paraId="1BF45AB5" w14:textId="489C7ADD" w:rsidR="0027514C" w:rsidRPr="00125FAF" w:rsidRDefault="00BB3E26" w:rsidP="001F2F2D">
            <w:pPr>
              <w:jc w:val="center"/>
              <w:rPr>
                <w:rFonts w:ascii="Times New Roman" w:eastAsia="Times New Roman" w:hAnsi="Times New Roman"/>
                <w:sz w:val="24"/>
                <w:szCs w:val="24"/>
                <w:lang w:val="ro-RO" w:eastAsia="ru-RU"/>
              </w:rPr>
            </w:pPr>
            <w:r w:rsidRPr="00125FAF">
              <w:rPr>
                <w:rFonts w:ascii="Times New Roman" w:eastAsia="Times New Roman" w:hAnsi="Times New Roman"/>
                <w:sz w:val="24"/>
                <w:szCs w:val="24"/>
                <w:lang w:val="ro-RO" w:eastAsia="ru-RU"/>
              </w:rPr>
              <w:t>1</w:t>
            </w:r>
            <w:r w:rsidR="00E867EC" w:rsidRPr="00125FAF">
              <w:rPr>
                <w:rFonts w:ascii="Times New Roman" w:eastAsia="Times New Roman" w:hAnsi="Times New Roman"/>
                <w:sz w:val="24"/>
                <w:szCs w:val="24"/>
                <w:lang w:val="ro-RO" w:eastAsia="ru-RU"/>
              </w:rPr>
              <w:t>,</w:t>
            </w:r>
            <w:r w:rsidRPr="00125FAF">
              <w:rPr>
                <w:rFonts w:ascii="Times New Roman" w:eastAsia="Times New Roman" w:hAnsi="Times New Roman"/>
                <w:sz w:val="24"/>
                <w:szCs w:val="24"/>
                <w:lang w:val="ro-RO" w:eastAsia="ru-RU"/>
              </w:rPr>
              <w:t>0</w:t>
            </w:r>
          </w:p>
        </w:tc>
        <w:tc>
          <w:tcPr>
            <w:tcW w:w="2274" w:type="dxa"/>
          </w:tcPr>
          <w:p w14:paraId="08489412" w14:textId="5B8E2A4A" w:rsidR="0027514C" w:rsidRPr="00125FAF" w:rsidRDefault="00BB3E26" w:rsidP="001F2F2D">
            <w:pPr>
              <w:jc w:val="center"/>
              <w:rPr>
                <w:rFonts w:ascii="Times New Roman" w:eastAsia="Times New Roman" w:hAnsi="Times New Roman"/>
                <w:sz w:val="24"/>
                <w:szCs w:val="24"/>
                <w:lang w:val="ro-RO" w:eastAsia="ru-RU"/>
              </w:rPr>
            </w:pPr>
            <w:r w:rsidRPr="00125FAF">
              <w:rPr>
                <w:rFonts w:ascii="Times New Roman" w:eastAsia="Times New Roman" w:hAnsi="Times New Roman"/>
                <w:sz w:val="24"/>
                <w:szCs w:val="24"/>
                <w:lang w:val="ro-RO" w:eastAsia="ru-RU"/>
              </w:rPr>
              <w:t>1</w:t>
            </w:r>
            <w:r w:rsidR="00E867EC" w:rsidRPr="00125FAF">
              <w:rPr>
                <w:rFonts w:ascii="Times New Roman" w:eastAsia="Times New Roman" w:hAnsi="Times New Roman"/>
                <w:sz w:val="24"/>
                <w:szCs w:val="24"/>
                <w:lang w:val="ro-RO" w:eastAsia="ru-RU"/>
              </w:rPr>
              <w:t>,</w:t>
            </w:r>
            <w:r w:rsidRPr="00125FAF">
              <w:rPr>
                <w:rFonts w:ascii="Times New Roman" w:eastAsia="Times New Roman" w:hAnsi="Times New Roman"/>
                <w:sz w:val="24"/>
                <w:szCs w:val="24"/>
                <w:lang w:val="ro-RO" w:eastAsia="ru-RU"/>
              </w:rPr>
              <w:t>6</w:t>
            </w:r>
          </w:p>
        </w:tc>
      </w:tr>
      <w:tr w:rsidR="0027514C" w:rsidRPr="00125FAF" w14:paraId="54DB9997" w14:textId="77777777" w:rsidTr="0013147D">
        <w:tc>
          <w:tcPr>
            <w:tcW w:w="2299" w:type="dxa"/>
          </w:tcPr>
          <w:p w14:paraId="399C9D8D" w14:textId="77BF949A" w:rsidR="0027514C" w:rsidRPr="00125FAF" w:rsidRDefault="0027514C" w:rsidP="0027514C">
            <w:pPr>
              <w:jc w:val="both"/>
              <w:rPr>
                <w:rFonts w:ascii="Times New Roman" w:eastAsia="Times New Roman" w:hAnsi="Times New Roman"/>
                <w:sz w:val="24"/>
                <w:szCs w:val="24"/>
                <w:lang w:val="ro-RO" w:eastAsia="ru-RU"/>
              </w:rPr>
            </w:pPr>
            <w:r w:rsidRPr="00125FAF">
              <w:rPr>
                <w:rFonts w:ascii="Times New Roman" w:eastAsia="Times New Roman" w:hAnsi="Times New Roman"/>
                <w:sz w:val="24"/>
                <w:szCs w:val="24"/>
                <w:lang w:val="ro-RO" w:eastAsia="ru-RU"/>
              </w:rPr>
              <w:t>TOTAL</w:t>
            </w:r>
          </w:p>
        </w:tc>
        <w:tc>
          <w:tcPr>
            <w:tcW w:w="2273" w:type="dxa"/>
          </w:tcPr>
          <w:p w14:paraId="4854F5E6" w14:textId="2ECB0CFE" w:rsidR="0027514C" w:rsidRPr="00125FAF" w:rsidRDefault="0027514C" w:rsidP="001F2F2D">
            <w:pPr>
              <w:jc w:val="center"/>
              <w:rPr>
                <w:rFonts w:ascii="Times New Roman" w:eastAsia="Times New Roman" w:hAnsi="Times New Roman"/>
                <w:sz w:val="24"/>
                <w:szCs w:val="24"/>
                <w:lang w:val="ro-RO" w:eastAsia="ru-RU"/>
              </w:rPr>
            </w:pPr>
            <w:r w:rsidRPr="00125FAF">
              <w:rPr>
                <w:rFonts w:ascii="Times New Roman" w:eastAsia="Times New Roman" w:hAnsi="Times New Roman"/>
                <w:sz w:val="24"/>
                <w:szCs w:val="24"/>
                <w:lang w:val="ro-RO" w:eastAsia="ru-RU"/>
              </w:rPr>
              <w:t>10</w:t>
            </w:r>
            <w:r w:rsidR="00E867EC" w:rsidRPr="00125FAF">
              <w:rPr>
                <w:rFonts w:ascii="Times New Roman" w:eastAsia="Times New Roman" w:hAnsi="Times New Roman"/>
                <w:sz w:val="24"/>
                <w:szCs w:val="24"/>
                <w:lang w:val="ro-RO" w:eastAsia="ru-RU"/>
              </w:rPr>
              <w:t>,</w:t>
            </w:r>
            <w:r w:rsidR="00BB3E26" w:rsidRPr="00125FAF">
              <w:rPr>
                <w:rFonts w:ascii="Times New Roman" w:eastAsia="Times New Roman" w:hAnsi="Times New Roman"/>
                <w:sz w:val="24"/>
                <w:szCs w:val="24"/>
                <w:lang w:val="ro-RO" w:eastAsia="ru-RU"/>
              </w:rPr>
              <w:t>9</w:t>
            </w:r>
          </w:p>
        </w:tc>
        <w:tc>
          <w:tcPr>
            <w:tcW w:w="2273" w:type="dxa"/>
          </w:tcPr>
          <w:p w14:paraId="7E6A63EC" w14:textId="2158BD74" w:rsidR="0027514C" w:rsidRPr="00125FAF" w:rsidRDefault="00BB3E26" w:rsidP="001F2F2D">
            <w:pPr>
              <w:jc w:val="center"/>
              <w:rPr>
                <w:rFonts w:ascii="Times New Roman" w:eastAsia="Times New Roman" w:hAnsi="Times New Roman"/>
                <w:sz w:val="24"/>
                <w:szCs w:val="24"/>
                <w:lang w:val="ro-RO" w:eastAsia="ru-RU"/>
              </w:rPr>
            </w:pPr>
            <w:r w:rsidRPr="00125FAF">
              <w:rPr>
                <w:rFonts w:ascii="Times New Roman" w:eastAsia="Times New Roman" w:hAnsi="Times New Roman"/>
                <w:sz w:val="24"/>
                <w:szCs w:val="24"/>
                <w:lang w:val="ro-RO" w:eastAsia="ru-RU"/>
              </w:rPr>
              <w:t>4</w:t>
            </w:r>
            <w:r w:rsidR="00E867EC" w:rsidRPr="00125FAF">
              <w:rPr>
                <w:rFonts w:ascii="Times New Roman" w:eastAsia="Times New Roman" w:hAnsi="Times New Roman"/>
                <w:sz w:val="24"/>
                <w:szCs w:val="24"/>
                <w:lang w:val="ro-RO" w:eastAsia="ru-RU"/>
              </w:rPr>
              <w:t>,</w:t>
            </w:r>
            <w:r w:rsidRPr="00125FAF">
              <w:rPr>
                <w:rFonts w:ascii="Times New Roman" w:eastAsia="Times New Roman" w:hAnsi="Times New Roman"/>
                <w:sz w:val="24"/>
                <w:szCs w:val="24"/>
                <w:lang w:val="ro-RO" w:eastAsia="ru-RU"/>
              </w:rPr>
              <w:t>3</w:t>
            </w:r>
          </w:p>
        </w:tc>
        <w:tc>
          <w:tcPr>
            <w:tcW w:w="2274" w:type="dxa"/>
          </w:tcPr>
          <w:p w14:paraId="5288601A" w14:textId="26B807C6" w:rsidR="0027514C" w:rsidRPr="00125FAF" w:rsidRDefault="00BB3E26" w:rsidP="001F2F2D">
            <w:pPr>
              <w:jc w:val="center"/>
              <w:rPr>
                <w:rFonts w:ascii="Times New Roman" w:eastAsia="Times New Roman" w:hAnsi="Times New Roman"/>
                <w:sz w:val="24"/>
                <w:szCs w:val="24"/>
                <w:lang w:val="ro-RO" w:eastAsia="ru-RU"/>
              </w:rPr>
            </w:pPr>
            <w:r w:rsidRPr="00125FAF">
              <w:rPr>
                <w:rFonts w:ascii="Times New Roman" w:eastAsia="Times New Roman" w:hAnsi="Times New Roman"/>
                <w:sz w:val="24"/>
                <w:szCs w:val="24"/>
                <w:lang w:val="ro-RO" w:eastAsia="ru-RU"/>
              </w:rPr>
              <w:t>6</w:t>
            </w:r>
            <w:r w:rsidR="00E867EC" w:rsidRPr="00125FAF">
              <w:rPr>
                <w:rFonts w:ascii="Times New Roman" w:eastAsia="Times New Roman" w:hAnsi="Times New Roman"/>
                <w:sz w:val="24"/>
                <w:szCs w:val="24"/>
                <w:lang w:val="ro-RO" w:eastAsia="ru-RU"/>
              </w:rPr>
              <w:t>,</w:t>
            </w:r>
            <w:r w:rsidRPr="00125FAF">
              <w:rPr>
                <w:rFonts w:ascii="Times New Roman" w:eastAsia="Times New Roman" w:hAnsi="Times New Roman"/>
                <w:sz w:val="24"/>
                <w:szCs w:val="24"/>
                <w:lang w:val="ro-RO" w:eastAsia="ru-RU"/>
              </w:rPr>
              <w:t>6</w:t>
            </w:r>
          </w:p>
        </w:tc>
      </w:tr>
    </w:tbl>
    <w:p w14:paraId="36EE2D97" w14:textId="126FC4BF" w:rsidR="009653C9" w:rsidRPr="00125FAF" w:rsidRDefault="009653C9" w:rsidP="0013147D">
      <w:pPr>
        <w:spacing w:before="120" w:after="0"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125FAF">
        <w:rPr>
          <w:rFonts w:ascii="Times New Roman" w:eastAsia="Times New Roman" w:hAnsi="Times New Roman" w:cs="Times New Roman"/>
          <w:color w:val="000000"/>
          <w:sz w:val="24"/>
          <w:szCs w:val="24"/>
          <w:shd w:val="clear" w:color="auto" w:fill="FFFFFF"/>
          <w:lang w:eastAsia="ru-RU"/>
        </w:rPr>
        <w:t xml:space="preserve">Este important de </w:t>
      </w:r>
      <w:proofErr w:type="spellStart"/>
      <w:r w:rsidRPr="00125FAF">
        <w:rPr>
          <w:rFonts w:ascii="Times New Roman" w:eastAsia="Times New Roman" w:hAnsi="Times New Roman" w:cs="Times New Roman"/>
          <w:color w:val="000000"/>
          <w:sz w:val="24"/>
          <w:szCs w:val="24"/>
          <w:shd w:val="clear" w:color="auto" w:fill="FFFFFF"/>
          <w:lang w:eastAsia="ru-RU"/>
        </w:rPr>
        <w:t>menţionat</w:t>
      </w:r>
      <w:proofErr w:type="spellEnd"/>
      <w:r w:rsidRPr="00125FAF">
        <w:rPr>
          <w:rFonts w:ascii="Times New Roman" w:eastAsia="Times New Roman" w:hAnsi="Times New Roman" w:cs="Times New Roman"/>
          <w:color w:val="000000"/>
          <w:sz w:val="24"/>
          <w:szCs w:val="24"/>
          <w:shd w:val="clear" w:color="auto" w:fill="FFFFFF"/>
          <w:lang w:eastAsia="ru-RU"/>
        </w:rPr>
        <w:t xml:space="preserve"> că măsurile care stau la baza determinării </w:t>
      </w:r>
      <w:proofErr w:type="spellStart"/>
      <w:r w:rsidRPr="00125FAF">
        <w:rPr>
          <w:rFonts w:ascii="Times New Roman" w:eastAsia="Times New Roman" w:hAnsi="Times New Roman" w:cs="Times New Roman"/>
          <w:color w:val="000000"/>
          <w:sz w:val="24"/>
          <w:szCs w:val="24"/>
          <w:shd w:val="clear" w:color="auto" w:fill="FFFFFF"/>
          <w:lang w:eastAsia="ru-RU"/>
        </w:rPr>
        <w:t>finanţării</w:t>
      </w:r>
      <w:proofErr w:type="spellEnd"/>
      <w:r w:rsidRPr="00125FAF">
        <w:rPr>
          <w:rFonts w:ascii="Times New Roman" w:eastAsia="Times New Roman" w:hAnsi="Times New Roman" w:cs="Times New Roman"/>
          <w:color w:val="000000"/>
          <w:sz w:val="24"/>
          <w:szCs w:val="24"/>
          <w:shd w:val="clear" w:color="auto" w:fill="FFFFFF"/>
          <w:lang w:eastAsia="ru-RU"/>
        </w:rPr>
        <w:t xml:space="preserve"> </w:t>
      </w:r>
      <w:proofErr w:type="spellStart"/>
      <w:r w:rsidRPr="00125FAF">
        <w:rPr>
          <w:rFonts w:ascii="Times New Roman" w:eastAsia="Times New Roman" w:hAnsi="Times New Roman" w:cs="Times New Roman"/>
          <w:color w:val="000000"/>
          <w:sz w:val="24"/>
          <w:szCs w:val="24"/>
          <w:shd w:val="clear" w:color="auto" w:fill="FFFFFF"/>
          <w:lang w:eastAsia="ru-RU"/>
        </w:rPr>
        <w:t>susmenţionate</w:t>
      </w:r>
      <w:proofErr w:type="spellEnd"/>
      <w:r w:rsidR="00F773CB" w:rsidRPr="00125FAF">
        <w:rPr>
          <w:rFonts w:ascii="Times New Roman" w:eastAsia="Times New Roman" w:hAnsi="Times New Roman" w:cs="Times New Roman"/>
          <w:color w:val="000000"/>
          <w:sz w:val="24"/>
          <w:szCs w:val="24"/>
          <w:shd w:val="clear" w:color="auto" w:fill="FFFFFF"/>
          <w:lang w:eastAsia="ru-RU"/>
        </w:rPr>
        <w:t xml:space="preserve"> </w:t>
      </w:r>
      <w:r w:rsidRPr="00125FAF">
        <w:rPr>
          <w:rFonts w:ascii="Times New Roman" w:eastAsia="Times New Roman" w:hAnsi="Times New Roman" w:cs="Times New Roman"/>
          <w:color w:val="000000"/>
          <w:sz w:val="24"/>
          <w:szCs w:val="24"/>
          <w:shd w:val="clear" w:color="auto" w:fill="FFFFFF"/>
          <w:lang w:eastAsia="ru-RU"/>
        </w:rPr>
        <w:t xml:space="preserve">corespund politicilor, programelor </w:t>
      </w:r>
      <w:proofErr w:type="spellStart"/>
      <w:r w:rsidRPr="00125FAF">
        <w:rPr>
          <w:rFonts w:ascii="Times New Roman" w:eastAsia="Times New Roman" w:hAnsi="Times New Roman" w:cs="Times New Roman"/>
          <w:color w:val="000000"/>
          <w:sz w:val="24"/>
          <w:szCs w:val="24"/>
          <w:shd w:val="clear" w:color="auto" w:fill="FFFFFF"/>
          <w:lang w:eastAsia="ru-RU"/>
        </w:rPr>
        <w:t>şi</w:t>
      </w:r>
      <w:proofErr w:type="spellEnd"/>
      <w:r w:rsidRPr="00125FAF">
        <w:rPr>
          <w:rFonts w:ascii="Times New Roman" w:eastAsia="Times New Roman" w:hAnsi="Times New Roman" w:cs="Times New Roman"/>
          <w:color w:val="000000"/>
          <w:sz w:val="24"/>
          <w:szCs w:val="24"/>
          <w:shd w:val="clear" w:color="auto" w:fill="FFFFFF"/>
          <w:lang w:eastAsia="ru-RU"/>
        </w:rPr>
        <w:t xml:space="preserve"> planurilor Republicii Moldova de dezvoltare, inclusiv sectoriale, pe larg descrise în Raportul Bienal Actualizat al Republicii Moldova către CONUSC (2018), precum </w:t>
      </w:r>
      <w:proofErr w:type="spellStart"/>
      <w:r w:rsidRPr="00125FAF">
        <w:rPr>
          <w:rFonts w:ascii="Times New Roman" w:eastAsia="Times New Roman" w:hAnsi="Times New Roman" w:cs="Times New Roman"/>
          <w:color w:val="000000"/>
          <w:sz w:val="24"/>
          <w:szCs w:val="24"/>
          <w:shd w:val="clear" w:color="auto" w:fill="FFFFFF"/>
          <w:lang w:eastAsia="ru-RU"/>
        </w:rPr>
        <w:t>şi</w:t>
      </w:r>
      <w:proofErr w:type="spellEnd"/>
      <w:r w:rsidRPr="00125FAF">
        <w:rPr>
          <w:rFonts w:ascii="Times New Roman" w:eastAsia="Times New Roman" w:hAnsi="Times New Roman" w:cs="Times New Roman"/>
          <w:color w:val="000000"/>
          <w:sz w:val="24"/>
          <w:szCs w:val="24"/>
          <w:shd w:val="clear" w:color="auto" w:fill="FFFFFF"/>
          <w:lang w:eastAsia="ru-RU"/>
        </w:rPr>
        <w:t xml:space="preserve"> celor aprobate sau aflate în proces de dezbateri/ avizare în perioada 2018-2020. </w:t>
      </w:r>
      <w:r w:rsidR="00F773CB" w:rsidRPr="00125FAF">
        <w:rPr>
          <w:rFonts w:ascii="Times New Roman" w:eastAsia="Times New Roman" w:hAnsi="Times New Roman" w:cs="Times New Roman"/>
          <w:color w:val="000000"/>
          <w:sz w:val="24"/>
          <w:szCs w:val="24"/>
          <w:shd w:val="clear" w:color="auto" w:fill="FFFFFF"/>
          <w:lang w:eastAsia="ru-RU"/>
        </w:rPr>
        <w:t xml:space="preserve">Pentru atingerea obiectivului </w:t>
      </w:r>
      <w:proofErr w:type="spellStart"/>
      <w:r w:rsidR="00F773CB" w:rsidRPr="00125FAF">
        <w:rPr>
          <w:rFonts w:ascii="Times New Roman" w:eastAsia="Times New Roman" w:hAnsi="Times New Roman" w:cs="Times New Roman"/>
          <w:color w:val="000000"/>
          <w:sz w:val="24"/>
          <w:szCs w:val="24"/>
          <w:shd w:val="clear" w:color="auto" w:fill="FFFFFF"/>
          <w:lang w:eastAsia="ru-RU"/>
        </w:rPr>
        <w:t>necondiţionat</w:t>
      </w:r>
      <w:proofErr w:type="spellEnd"/>
      <w:r w:rsidR="00F773CB" w:rsidRPr="00125FAF">
        <w:rPr>
          <w:rFonts w:ascii="Times New Roman" w:eastAsia="Times New Roman" w:hAnsi="Times New Roman" w:cs="Times New Roman"/>
          <w:color w:val="000000"/>
          <w:sz w:val="24"/>
          <w:szCs w:val="24"/>
          <w:shd w:val="clear" w:color="auto" w:fill="FFFFFF"/>
          <w:lang w:eastAsia="ru-RU"/>
        </w:rPr>
        <w:t xml:space="preserve"> de reducere a GES, disponibilitatea sumelor în cauză nu presupune întreprinderea unor eforturi adiționale din partea bugetului de stat, decât celea expuse sau prevăzute în politicile, programele </w:t>
      </w:r>
      <w:proofErr w:type="spellStart"/>
      <w:r w:rsidR="00F773CB" w:rsidRPr="00125FAF">
        <w:rPr>
          <w:rFonts w:ascii="Times New Roman" w:eastAsia="Times New Roman" w:hAnsi="Times New Roman" w:cs="Times New Roman"/>
          <w:color w:val="000000"/>
          <w:sz w:val="24"/>
          <w:szCs w:val="24"/>
          <w:shd w:val="clear" w:color="auto" w:fill="FFFFFF"/>
          <w:lang w:eastAsia="ru-RU"/>
        </w:rPr>
        <w:t>şi</w:t>
      </w:r>
      <w:proofErr w:type="spellEnd"/>
      <w:r w:rsidR="00F773CB" w:rsidRPr="00125FAF">
        <w:rPr>
          <w:rFonts w:ascii="Times New Roman" w:eastAsia="Times New Roman" w:hAnsi="Times New Roman" w:cs="Times New Roman"/>
          <w:color w:val="000000"/>
          <w:sz w:val="24"/>
          <w:szCs w:val="24"/>
          <w:shd w:val="clear" w:color="auto" w:fill="FFFFFF"/>
          <w:lang w:eastAsia="ru-RU"/>
        </w:rPr>
        <w:t xml:space="preserve"> planurile mai sus menționate. Finanțarea respectivă are, în principal, proveniență privată sau creditară, aceasta din urmă fiind expusă în acordurile semnate sau prevăzute.</w:t>
      </w:r>
      <w:r w:rsidR="00E70219" w:rsidRPr="00125FAF">
        <w:rPr>
          <w:rFonts w:ascii="Times New Roman" w:eastAsia="Times New Roman" w:hAnsi="Times New Roman" w:cs="Times New Roman"/>
          <w:color w:val="000000"/>
          <w:sz w:val="24"/>
          <w:szCs w:val="24"/>
          <w:shd w:val="clear" w:color="auto" w:fill="FFFFFF"/>
          <w:lang w:eastAsia="ru-RU"/>
        </w:rPr>
        <w:t xml:space="preserve"> </w:t>
      </w:r>
      <w:r w:rsidRPr="00125FAF">
        <w:rPr>
          <w:rFonts w:ascii="Times New Roman" w:eastAsia="Times New Roman" w:hAnsi="Times New Roman" w:cs="Times New Roman"/>
          <w:color w:val="000000"/>
          <w:sz w:val="24"/>
          <w:szCs w:val="24"/>
          <w:shd w:val="clear" w:color="auto" w:fill="FFFFFF"/>
          <w:lang w:eastAsia="ru-RU"/>
        </w:rPr>
        <w:t xml:space="preserve">Astfel, </w:t>
      </w:r>
      <w:proofErr w:type="spellStart"/>
      <w:r w:rsidRPr="00125FAF">
        <w:rPr>
          <w:rFonts w:ascii="Times New Roman" w:eastAsia="Times New Roman" w:hAnsi="Times New Roman" w:cs="Times New Roman"/>
          <w:color w:val="000000"/>
          <w:sz w:val="24"/>
          <w:szCs w:val="24"/>
          <w:shd w:val="clear" w:color="auto" w:fill="FFFFFF"/>
          <w:lang w:eastAsia="ru-RU"/>
        </w:rPr>
        <w:t>construcţia</w:t>
      </w:r>
      <w:proofErr w:type="spellEnd"/>
      <w:r w:rsidRPr="00125FAF">
        <w:rPr>
          <w:rFonts w:ascii="Times New Roman" w:eastAsia="Times New Roman" w:hAnsi="Times New Roman" w:cs="Times New Roman"/>
          <w:color w:val="000000"/>
          <w:sz w:val="24"/>
          <w:szCs w:val="24"/>
          <w:shd w:val="clear" w:color="auto" w:fill="FFFFFF"/>
          <w:lang w:eastAsia="ru-RU"/>
        </w:rPr>
        <w:t xml:space="preserve"> surselor regenerabile pentru producerea energiei electrice va fi efectuată de companiile private, costul </w:t>
      </w:r>
      <w:proofErr w:type="spellStart"/>
      <w:r w:rsidRPr="00125FAF">
        <w:rPr>
          <w:rFonts w:ascii="Times New Roman" w:eastAsia="Times New Roman" w:hAnsi="Times New Roman" w:cs="Times New Roman"/>
          <w:color w:val="000000"/>
          <w:sz w:val="24"/>
          <w:szCs w:val="24"/>
          <w:shd w:val="clear" w:color="auto" w:fill="FFFFFF"/>
          <w:lang w:eastAsia="ru-RU"/>
        </w:rPr>
        <w:t>investiţiilor</w:t>
      </w:r>
      <w:proofErr w:type="spellEnd"/>
      <w:r w:rsidRPr="00125FAF">
        <w:rPr>
          <w:rFonts w:ascii="Times New Roman" w:eastAsia="Times New Roman" w:hAnsi="Times New Roman" w:cs="Times New Roman"/>
          <w:color w:val="000000"/>
          <w:sz w:val="24"/>
          <w:szCs w:val="24"/>
          <w:shd w:val="clear" w:color="auto" w:fill="FFFFFF"/>
          <w:lang w:eastAsia="ru-RU"/>
        </w:rPr>
        <w:t xml:space="preserve"> </w:t>
      </w:r>
      <w:proofErr w:type="spellStart"/>
      <w:r w:rsidRPr="00125FAF">
        <w:rPr>
          <w:rFonts w:ascii="Times New Roman" w:eastAsia="Times New Roman" w:hAnsi="Times New Roman" w:cs="Times New Roman"/>
          <w:color w:val="000000"/>
          <w:sz w:val="24"/>
          <w:szCs w:val="24"/>
          <w:shd w:val="clear" w:color="auto" w:fill="FFFFFF"/>
          <w:lang w:eastAsia="ru-RU"/>
        </w:rPr>
        <w:t>şi</w:t>
      </w:r>
      <w:proofErr w:type="spellEnd"/>
      <w:r w:rsidRPr="00125FAF">
        <w:rPr>
          <w:rFonts w:ascii="Times New Roman" w:eastAsia="Times New Roman" w:hAnsi="Times New Roman" w:cs="Times New Roman"/>
          <w:color w:val="000000"/>
          <w:sz w:val="24"/>
          <w:szCs w:val="24"/>
          <w:shd w:val="clear" w:color="auto" w:fill="FFFFFF"/>
          <w:lang w:eastAsia="ru-RU"/>
        </w:rPr>
        <w:t xml:space="preserve"> de operare fiind incluse în tariful respectiv reglementat de ANRE, suportat, în cele din urmă, de consumatori. Suportul statului spre promovarea agriculturii conservative </w:t>
      </w:r>
      <w:proofErr w:type="spellStart"/>
      <w:r w:rsidRPr="00125FAF">
        <w:rPr>
          <w:rFonts w:ascii="Times New Roman" w:eastAsia="Times New Roman" w:hAnsi="Times New Roman" w:cs="Times New Roman"/>
          <w:color w:val="000000"/>
          <w:sz w:val="24"/>
          <w:szCs w:val="24"/>
          <w:shd w:val="clear" w:color="auto" w:fill="FFFFFF"/>
          <w:lang w:eastAsia="ru-RU"/>
        </w:rPr>
        <w:t>şi</w:t>
      </w:r>
      <w:proofErr w:type="spellEnd"/>
      <w:r w:rsidRPr="00125FAF">
        <w:rPr>
          <w:rFonts w:ascii="Times New Roman" w:eastAsia="Times New Roman" w:hAnsi="Times New Roman" w:cs="Times New Roman"/>
          <w:color w:val="000000"/>
          <w:sz w:val="24"/>
          <w:szCs w:val="24"/>
          <w:shd w:val="clear" w:color="auto" w:fill="FFFFFF"/>
          <w:lang w:eastAsia="ru-RU"/>
        </w:rPr>
        <w:t xml:space="preserve"> silviculturii va fi efectuat prin intermediul Fondu</w:t>
      </w:r>
      <w:r w:rsidR="00F773CB" w:rsidRPr="00125FAF">
        <w:rPr>
          <w:rFonts w:ascii="Times New Roman" w:eastAsia="Times New Roman" w:hAnsi="Times New Roman" w:cs="Times New Roman"/>
          <w:color w:val="000000"/>
          <w:sz w:val="24"/>
          <w:szCs w:val="24"/>
          <w:shd w:val="clear" w:color="auto" w:fill="FFFFFF"/>
          <w:lang w:eastAsia="ru-RU"/>
        </w:rPr>
        <w:t>rilor respective</w:t>
      </w:r>
      <w:r w:rsidRPr="00125FAF">
        <w:rPr>
          <w:rFonts w:ascii="Times New Roman" w:eastAsia="Times New Roman" w:hAnsi="Times New Roman" w:cs="Times New Roman"/>
          <w:color w:val="000000"/>
          <w:sz w:val="24"/>
          <w:szCs w:val="24"/>
          <w:shd w:val="clear" w:color="auto" w:fill="FFFFFF"/>
          <w:lang w:eastAsia="ru-RU"/>
        </w:rPr>
        <w:t xml:space="preserve">, în limitele </w:t>
      </w:r>
      <w:proofErr w:type="spellStart"/>
      <w:r w:rsidRPr="00125FAF">
        <w:rPr>
          <w:rFonts w:ascii="Times New Roman" w:eastAsia="Times New Roman" w:hAnsi="Times New Roman" w:cs="Times New Roman"/>
          <w:color w:val="000000"/>
          <w:sz w:val="24"/>
          <w:szCs w:val="24"/>
          <w:shd w:val="clear" w:color="auto" w:fill="FFFFFF"/>
          <w:lang w:eastAsia="ru-RU"/>
        </w:rPr>
        <w:t>finanţării</w:t>
      </w:r>
      <w:proofErr w:type="spellEnd"/>
      <w:r w:rsidRPr="00125FAF">
        <w:rPr>
          <w:rFonts w:ascii="Times New Roman" w:eastAsia="Times New Roman" w:hAnsi="Times New Roman" w:cs="Times New Roman"/>
          <w:color w:val="000000"/>
          <w:sz w:val="24"/>
          <w:szCs w:val="24"/>
          <w:shd w:val="clear" w:color="auto" w:fill="FFFFFF"/>
          <w:lang w:eastAsia="ru-RU"/>
        </w:rPr>
        <w:t xml:space="preserve"> general stabilite. Promovarea transportului eficient energetic (electric, hibrid) deja are loc prin aplicarea politicii fiscale adecvate </w:t>
      </w:r>
      <w:proofErr w:type="spellStart"/>
      <w:r w:rsidRPr="00125FAF">
        <w:rPr>
          <w:rFonts w:ascii="Times New Roman" w:eastAsia="Times New Roman" w:hAnsi="Times New Roman" w:cs="Times New Roman"/>
          <w:color w:val="000000"/>
          <w:sz w:val="24"/>
          <w:szCs w:val="24"/>
          <w:shd w:val="clear" w:color="auto" w:fill="FFFFFF"/>
          <w:lang w:eastAsia="ru-RU"/>
        </w:rPr>
        <w:t>faţă</w:t>
      </w:r>
      <w:proofErr w:type="spellEnd"/>
      <w:r w:rsidRPr="00125FAF">
        <w:rPr>
          <w:rFonts w:ascii="Times New Roman" w:eastAsia="Times New Roman" w:hAnsi="Times New Roman" w:cs="Times New Roman"/>
          <w:color w:val="000000"/>
          <w:sz w:val="24"/>
          <w:szCs w:val="24"/>
          <w:shd w:val="clear" w:color="auto" w:fill="FFFFFF"/>
          <w:lang w:eastAsia="ru-RU"/>
        </w:rPr>
        <w:t xml:space="preserve"> de importul vehiculelor de mâna a doua etc.</w:t>
      </w:r>
    </w:p>
    <w:p w14:paraId="68C3A039" w14:textId="2C1E2F85" w:rsidR="006364B2" w:rsidRPr="00125FAF" w:rsidRDefault="009653C9" w:rsidP="009653C9">
      <w:pPr>
        <w:spacing w:after="0" w:line="240" w:lineRule="auto"/>
        <w:ind w:firstLine="720"/>
        <w:jc w:val="both"/>
        <w:rPr>
          <w:rFonts w:ascii="Times New Roman" w:eastAsia="Times New Roman" w:hAnsi="Times New Roman" w:cs="Times New Roman"/>
          <w:sz w:val="24"/>
          <w:szCs w:val="24"/>
          <w:lang w:eastAsia="ru-RU"/>
        </w:rPr>
      </w:pPr>
      <w:r w:rsidRPr="00125FAF">
        <w:rPr>
          <w:rFonts w:ascii="Times New Roman" w:eastAsia="Times New Roman" w:hAnsi="Times New Roman" w:cs="Times New Roman"/>
          <w:color w:val="000000"/>
          <w:sz w:val="24"/>
          <w:szCs w:val="24"/>
          <w:shd w:val="clear" w:color="auto" w:fill="FFFFFF"/>
          <w:lang w:eastAsia="ru-RU"/>
        </w:rPr>
        <w:t xml:space="preserve">Realizarea </w:t>
      </w:r>
      <w:r w:rsidR="00AD2337" w:rsidRPr="00125FAF">
        <w:rPr>
          <w:rFonts w:ascii="Times New Roman" w:eastAsia="Times New Roman" w:hAnsi="Times New Roman" w:cs="Times New Roman"/>
          <w:color w:val="000000"/>
          <w:sz w:val="24"/>
          <w:szCs w:val="24"/>
          <w:shd w:val="clear" w:color="auto" w:fill="FFFFFF"/>
          <w:lang w:eastAsia="ru-RU"/>
        </w:rPr>
        <w:t>Programului</w:t>
      </w:r>
      <w:r w:rsidRPr="00125FAF">
        <w:rPr>
          <w:rFonts w:ascii="Times New Roman" w:eastAsia="Times New Roman" w:hAnsi="Times New Roman" w:cs="Times New Roman"/>
          <w:color w:val="000000"/>
          <w:sz w:val="24"/>
          <w:szCs w:val="24"/>
          <w:shd w:val="clear" w:color="auto" w:fill="FFFFFF"/>
          <w:lang w:eastAsia="ru-RU"/>
        </w:rPr>
        <w:t xml:space="preserve"> în perioada până în 2023 nu prevede </w:t>
      </w:r>
      <w:proofErr w:type="spellStart"/>
      <w:r w:rsidRPr="00125FAF">
        <w:rPr>
          <w:rFonts w:ascii="Times New Roman" w:eastAsia="Times New Roman" w:hAnsi="Times New Roman" w:cs="Times New Roman"/>
          <w:color w:val="000000"/>
          <w:sz w:val="24"/>
          <w:szCs w:val="24"/>
          <w:shd w:val="clear" w:color="auto" w:fill="FFFFFF"/>
          <w:lang w:eastAsia="ru-RU"/>
        </w:rPr>
        <w:t>depăşirea</w:t>
      </w:r>
      <w:proofErr w:type="spellEnd"/>
      <w:r w:rsidRPr="00125FAF">
        <w:rPr>
          <w:rFonts w:ascii="Times New Roman" w:eastAsia="Times New Roman" w:hAnsi="Times New Roman" w:cs="Times New Roman"/>
          <w:color w:val="000000"/>
          <w:sz w:val="24"/>
          <w:szCs w:val="24"/>
          <w:shd w:val="clear" w:color="auto" w:fill="FFFFFF"/>
          <w:lang w:eastAsia="ru-RU"/>
        </w:rPr>
        <w:t xml:space="preserve"> Limitelor de cheltuieli </w:t>
      </w:r>
      <w:proofErr w:type="spellStart"/>
      <w:r w:rsidRPr="00125FAF">
        <w:rPr>
          <w:rFonts w:ascii="Times New Roman" w:eastAsia="Times New Roman" w:hAnsi="Times New Roman" w:cs="Times New Roman"/>
          <w:color w:val="000000"/>
          <w:sz w:val="24"/>
          <w:szCs w:val="24"/>
          <w:shd w:val="clear" w:color="auto" w:fill="FFFFFF"/>
          <w:lang w:eastAsia="ru-RU"/>
        </w:rPr>
        <w:t>şi</w:t>
      </w:r>
      <w:proofErr w:type="spellEnd"/>
      <w:r w:rsidRPr="00125FAF">
        <w:rPr>
          <w:rFonts w:ascii="Times New Roman" w:eastAsia="Times New Roman" w:hAnsi="Times New Roman" w:cs="Times New Roman"/>
          <w:color w:val="000000"/>
          <w:sz w:val="24"/>
          <w:szCs w:val="24"/>
          <w:shd w:val="clear" w:color="auto" w:fill="FFFFFF"/>
          <w:lang w:eastAsia="ru-RU"/>
        </w:rPr>
        <w:t xml:space="preserve"> </w:t>
      </w:r>
      <w:proofErr w:type="spellStart"/>
      <w:r w:rsidRPr="00125FAF">
        <w:rPr>
          <w:rFonts w:ascii="Times New Roman" w:eastAsia="Times New Roman" w:hAnsi="Times New Roman" w:cs="Times New Roman"/>
          <w:color w:val="000000"/>
          <w:sz w:val="24"/>
          <w:szCs w:val="24"/>
          <w:shd w:val="clear" w:color="auto" w:fill="FFFFFF"/>
          <w:lang w:eastAsia="ru-RU"/>
        </w:rPr>
        <w:t>investiţii</w:t>
      </w:r>
      <w:proofErr w:type="spellEnd"/>
      <w:r w:rsidRPr="00125FAF">
        <w:rPr>
          <w:rFonts w:ascii="Times New Roman" w:eastAsia="Times New Roman" w:hAnsi="Times New Roman" w:cs="Times New Roman"/>
          <w:color w:val="000000"/>
          <w:sz w:val="24"/>
          <w:szCs w:val="24"/>
          <w:shd w:val="clear" w:color="auto" w:fill="FFFFFF"/>
          <w:lang w:eastAsia="ru-RU"/>
        </w:rPr>
        <w:t xml:space="preserve"> pe sectoare prevăzute de Cadrul bugetar pe termen mediu (2021-2023) aprobat prin HG nr. 776/2020.</w:t>
      </w:r>
    </w:p>
    <w:p w14:paraId="33E68AC4" w14:textId="47EC2706" w:rsidR="006364B2" w:rsidRPr="00125FAF" w:rsidRDefault="006364B2" w:rsidP="006364B2">
      <w:pPr>
        <w:spacing w:after="0" w:line="240" w:lineRule="auto"/>
        <w:ind w:firstLine="720"/>
        <w:jc w:val="both"/>
        <w:rPr>
          <w:rFonts w:ascii="Times New Roman" w:eastAsia="Times New Roman" w:hAnsi="Times New Roman" w:cs="Times New Roman"/>
          <w:sz w:val="24"/>
          <w:szCs w:val="24"/>
          <w:lang w:eastAsia="ru-RU"/>
        </w:rPr>
      </w:pPr>
      <w:r w:rsidRPr="00125FAF">
        <w:rPr>
          <w:rFonts w:ascii="Times New Roman" w:eastAsia="Times New Roman" w:hAnsi="Times New Roman" w:cs="Times New Roman"/>
          <w:color w:val="000000"/>
          <w:sz w:val="24"/>
          <w:szCs w:val="24"/>
          <w:shd w:val="clear" w:color="auto" w:fill="FFFFFF"/>
          <w:lang w:eastAsia="ru-RU"/>
        </w:rPr>
        <w:t xml:space="preserve">Totodată, mijloacele financiare necesare atingerii obiectivului </w:t>
      </w:r>
      <w:proofErr w:type="spellStart"/>
      <w:r w:rsidRPr="00125FAF">
        <w:rPr>
          <w:rFonts w:ascii="Times New Roman" w:eastAsia="Times New Roman" w:hAnsi="Times New Roman" w:cs="Times New Roman"/>
          <w:color w:val="000000"/>
          <w:sz w:val="24"/>
          <w:szCs w:val="24"/>
          <w:shd w:val="clear" w:color="auto" w:fill="FFFFFF"/>
          <w:lang w:eastAsia="ru-RU"/>
        </w:rPr>
        <w:t>condiţionat</w:t>
      </w:r>
      <w:proofErr w:type="spellEnd"/>
      <w:r w:rsidRPr="00125FAF">
        <w:rPr>
          <w:rFonts w:ascii="Times New Roman" w:eastAsia="Times New Roman" w:hAnsi="Times New Roman" w:cs="Times New Roman"/>
          <w:color w:val="000000"/>
          <w:sz w:val="24"/>
          <w:szCs w:val="24"/>
          <w:shd w:val="clear" w:color="auto" w:fill="FFFFFF"/>
          <w:lang w:eastAsia="ru-RU"/>
        </w:rPr>
        <w:t xml:space="preserve"> al prezent</w:t>
      </w:r>
      <w:r w:rsidR="00AD2337" w:rsidRPr="00125FAF">
        <w:rPr>
          <w:rFonts w:ascii="Times New Roman" w:eastAsia="Times New Roman" w:hAnsi="Times New Roman" w:cs="Times New Roman"/>
          <w:color w:val="000000"/>
          <w:sz w:val="24"/>
          <w:szCs w:val="24"/>
          <w:shd w:val="clear" w:color="auto" w:fill="FFFFFF"/>
          <w:lang w:eastAsia="ru-RU"/>
        </w:rPr>
        <w:t>ului</w:t>
      </w:r>
      <w:r w:rsidRPr="00125FAF">
        <w:rPr>
          <w:rFonts w:ascii="Times New Roman" w:eastAsia="Times New Roman" w:hAnsi="Times New Roman" w:cs="Times New Roman"/>
          <w:color w:val="000000"/>
          <w:sz w:val="24"/>
          <w:szCs w:val="24"/>
          <w:shd w:val="clear" w:color="auto" w:fill="FFFFFF"/>
          <w:lang w:eastAsia="ru-RU"/>
        </w:rPr>
        <w:t xml:space="preserve"> </w:t>
      </w:r>
      <w:r w:rsidR="00AD2337" w:rsidRPr="00125FAF">
        <w:rPr>
          <w:rFonts w:ascii="Times New Roman" w:eastAsia="Times New Roman" w:hAnsi="Times New Roman" w:cs="Times New Roman"/>
          <w:color w:val="000000"/>
          <w:sz w:val="24"/>
          <w:szCs w:val="24"/>
          <w:shd w:val="clear" w:color="auto" w:fill="FFFFFF"/>
          <w:lang w:eastAsia="ru-RU"/>
        </w:rPr>
        <w:t>Program</w:t>
      </w:r>
      <w:r w:rsidRPr="00125FAF">
        <w:rPr>
          <w:rFonts w:ascii="Times New Roman" w:eastAsia="Times New Roman" w:hAnsi="Times New Roman" w:cs="Times New Roman"/>
          <w:color w:val="000000"/>
          <w:sz w:val="24"/>
          <w:szCs w:val="24"/>
          <w:shd w:val="clear" w:color="auto" w:fill="FFFFFF"/>
          <w:lang w:eastAsia="ru-RU"/>
        </w:rPr>
        <w:t xml:space="preserve"> depind de </w:t>
      </w:r>
      <w:r w:rsidR="00F773CB" w:rsidRPr="00125FAF">
        <w:rPr>
          <w:rFonts w:ascii="Times New Roman" w:eastAsia="Times New Roman" w:hAnsi="Times New Roman" w:cs="Times New Roman"/>
          <w:color w:val="000000"/>
          <w:sz w:val="24"/>
          <w:szCs w:val="24"/>
          <w:shd w:val="clear" w:color="auto" w:fill="FFFFFF"/>
          <w:lang w:eastAsia="ru-RU"/>
        </w:rPr>
        <w:t xml:space="preserve">realizarea </w:t>
      </w:r>
      <w:r w:rsidRPr="00125FAF">
        <w:rPr>
          <w:rFonts w:ascii="Times New Roman" w:eastAsia="Times New Roman" w:hAnsi="Times New Roman" w:cs="Times New Roman"/>
          <w:color w:val="000000"/>
          <w:sz w:val="24"/>
          <w:szCs w:val="24"/>
          <w:shd w:val="clear" w:color="auto" w:fill="FFFFFF"/>
          <w:lang w:eastAsia="ru-RU"/>
        </w:rPr>
        <w:t>scenariul</w:t>
      </w:r>
      <w:r w:rsidR="00F773CB" w:rsidRPr="00125FAF">
        <w:rPr>
          <w:rFonts w:ascii="Times New Roman" w:eastAsia="Times New Roman" w:hAnsi="Times New Roman" w:cs="Times New Roman"/>
          <w:color w:val="000000"/>
          <w:sz w:val="24"/>
          <w:szCs w:val="24"/>
          <w:shd w:val="clear" w:color="auto" w:fill="FFFFFF"/>
          <w:lang w:eastAsia="ru-RU"/>
        </w:rPr>
        <w:t>ui</w:t>
      </w:r>
      <w:r w:rsidRPr="00125FAF">
        <w:rPr>
          <w:rFonts w:ascii="Times New Roman" w:eastAsia="Times New Roman" w:hAnsi="Times New Roman" w:cs="Times New Roman"/>
          <w:color w:val="000000"/>
          <w:sz w:val="24"/>
          <w:szCs w:val="24"/>
          <w:shd w:val="clear" w:color="auto" w:fill="FFFFFF"/>
          <w:lang w:eastAsia="ru-RU"/>
        </w:rPr>
        <w:t xml:space="preserve"> </w:t>
      </w:r>
      <w:proofErr w:type="spellStart"/>
      <w:r w:rsidRPr="00125FAF">
        <w:rPr>
          <w:rFonts w:ascii="Times New Roman" w:eastAsia="Times New Roman" w:hAnsi="Times New Roman" w:cs="Times New Roman"/>
          <w:color w:val="000000"/>
          <w:sz w:val="24"/>
          <w:szCs w:val="24"/>
          <w:shd w:val="clear" w:color="auto" w:fill="FFFFFF"/>
          <w:lang w:eastAsia="ru-RU"/>
        </w:rPr>
        <w:t>necondiţionat</w:t>
      </w:r>
      <w:proofErr w:type="spellEnd"/>
      <w:r w:rsidRPr="00125FAF">
        <w:rPr>
          <w:rFonts w:ascii="Times New Roman" w:eastAsia="Times New Roman" w:hAnsi="Times New Roman" w:cs="Times New Roman"/>
          <w:color w:val="000000"/>
          <w:sz w:val="24"/>
          <w:szCs w:val="24"/>
          <w:shd w:val="clear" w:color="auto" w:fill="FFFFFF"/>
          <w:lang w:eastAsia="ru-RU"/>
        </w:rPr>
        <w:t xml:space="preserve"> al acesteia </w:t>
      </w:r>
      <w:proofErr w:type="spellStart"/>
      <w:r w:rsidRPr="00125FAF">
        <w:rPr>
          <w:rFonts w:ascii="Times New Roman" w:eastAsia="Times New Roman" w:hAnsi="Times New Roman" w:cs="Times New Roman"/>
          <w:color w:val="000000"/>
          <w:sz w:val="24"/>
          <w:szCs w:val="24"/>
          <w:shd w:val="clear" w:color="auto" w:fill="FFFFFF"/>
          <w:lang w:eastAsia="ru-RU"/>
        </w:rPr>
        <w:t>şi</w:t>
      </w:r>
      <w:proofErr w:type="spellEnd"/>
      <w:r w:rsidRPr="00125FAF">
        <w:rPr>
          <w:rFonts w:ascii="Times New Roman" w:eastAsia="Times New Roman" w:hAnsi="Times New Roman" w:cs="Times New Roman"/>
          <w:color w:val="000000"/>
          <w:sz w:val="24"/>
          <w:szCs w:val="24"/>
          <w:shd w:val="clear" w:color="auto" w:fill="FFFFFF"/>
          <w:lang w:eastAsia="ru-RU"/>
        </w:rPr>
        <w:t xml:space="preserve"> de suportul din partea donatorilor </w:t>
      </w:r>
      <w:proofErr w:type="spellStart"/>
      <w:r w:rsidRPr="00125FAF">
        <w:rPr>
          <w:rFonts w:ascii="Times New Roman" w:eastAsia="Times New Roman" w:hAnsi="Times New Roman" w:cs="Times New Roman"/>
          <w:color w:val="000000"/>
          <w:sz w:val="24"/>
          <w:szCs w:val="24"/>
          <w:shd w:val="clear" w:color="auto" w:fill="FFFFFF"/>
          <w:lang w:eastAsia="ru-RU"/>
        </w:rPr>
        <w:t>şi</w:t>
      </w:r>
      <w:proofErr w:type="spellEnd"/>
      <w:r w:rsidRPr="00125FAF">
        <w:rPr>
          <w:rFonts w:ascii="Times New Roman" w:eastAsia="Times New Roman" w:hAnsi="Times New Roman" w:cs="Times New Roman"/>
          <w:color w:val="000000"/>
          <w:sz w:val="24"/>
          <w:szCs w:val="24"/>
          <w:shd w:val="clear" w:color="auto" w:fill="FFFFFF"/>
          <w:lang w:eastAsia="ru-RU"/>
        </w:rPr>
        <w:t xml:space="preserve"> organismelor financiare </w:t>
      </w:r>
      <w:proofErr w:type="spellStart"/>
      <w:r w:rsidRPr="00125FAF">
        <w:rPr>
          <w:rFonts w:ascii="Times New Roman" w:eastAsia="Times New Roman" w:hAnsi="Times New Roman" w:cs="Times New Roman"/>
          <w:color w:val="000000"/>
          <w:sz w:val="24"/>
          <w:szCs w:val="24"/>
          <w:shd w:val="clear" w:color="auto" w:fill="FFFFFF"/>
          <w:lang w:eastAsia="ru-RU"/>
        </w:rPr>
        <w:t>internaţionale</w:t>
      </w:r>
      <w:proofErr w:type="spellEnd"/>
      <w:r w:rsidRPr="00125FAF">
        <w:rPr>
          <w:rFonts w:ascii="Times New Roman" w:eastAsia="Times New Roman" w:hAnsi="Times New Roman" w:cs="Times New Roman"/>
          <w:color w:val="000000"/>
          <w:sz w:val="24"/>
          <w:szCs w:val="24"/>
          <w:shd w:val="clear" w:color="auto" w:fill="FFFFFF"/>
          <w:lang w:eastAsia="ru-RU"/>
        </w:rPr>
        <w:t>.</w:t>
      </w:r>
    </w:p>
    <w:p w14:paraId="2E6655CC" w14:textId="4C524EB4" w:rsidR="006364B2" w:rsidRPr="00125FAF" w:rsidRDefault="009653C9" w:rsidP="006364B2">
      <w:pPr>
        <w:spacing w:after="0"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125FAF">
        <w:rPr>
          <w:rFonts w:ascii="Times New Roman" w:eastAsia="Times New Roman" w:hAnsi="Times New Roman" w:cs="Times New Roman"/>
          <w:color w:val="000000"/>
          <w:sz w:val="24"/>
          <w:szCs w:val="24"/>
          <w:shd w:val="clear" w:color="auto" w:fill="FFFFFF"/>
          <w:lang w:eastAsia="ru-RU"/>
        </w:rPr>
        <w:t>Astfel că</w:t>
      </w:r>
      <w:r w:rsidR="006364B2" w:rsidRPr="00125FAF">
        <w:rPr>
          <w:rFonts w:ascii="Times New Roman" w:eastAsia="Times New Roman" w:hAnsi="Times New Roman" w:cs="Times New Roman"/>
          <w:color w:val="000000"/>
          <w:sz w:val="24"/>
          <w:szCs w:val="24"/>
          <w:shd w:val="clear" w:color="auto" w:fill="FFFFFF"/>
          <w:lang w:eastAsia="ru-RU"/>
        </w:rPr>
        <w:t xml:space="preserve">, pentru realizarea obiectivului </w:t>
      </w:r>
      <w:proofErr w:type="spellStart"/>
      <w:r w:rsidR="006364B2" w:rsidRPr="00125FAF">
        <w:rPr>
          <w:rFonts w:ascii="Times New Roman" w:eastAsia="Times New Roman" w:hAnsi="Times New Roman" w:cs="Times New Roman"/>
          <w:color w:val="000000"/>
          <w:sz w:val="24"/>
          <w:szCs w:val="24"/>
          <w:shd w:val="clear" w:color="auto" w:fill="FFFFFF"/>
          <w:lang w:eastAsia="ru-RU"/>
        </w:rPr>
        <w:t>necondiţionat</w:t>
      </w:r>
      <w:proofErr w:type="spellEnd"/>
      <w:r w:rsidR="006364B2" w:rsidRPr="00125FAF">
        <w:rPr>
          <w:rFonts w:ascii="Times New Roman" w:eastAsia="Times New Roman" w:hAnsi="Times New Roman" w:cs="Times New Roman"/>
          <w:color w:val="000000"/>
          <w:sz w:val="24"/>
          <w:szCs w:val="24"/>
          <w:shd w:val="clear" w:color="auto" w:fill="FFFFFF"/>
          <w:lang w:eastAsia="ru-RU"/>
        </w:rPr>
        <w:t xml:space="preserve"> al prezent</w:t>
      </w:r>
      <w:r w:rsidR="00AD2337" w:rsidRPr="00125FAF">
        <w:rPr>
          <w:rFonts w:ascii="Times New Roman" w:eastAsia="Times New Roman" w:hAnsi="Times New Roman" w:cs="Times New Roman"/>
          <w:color w:val="000000"/>
          <w:sz w:val="24"/>
          <w:szCs w:val="24"/>
          <w:shd w:val="clear" w:color="auto" w:fill="FFFFFF"/>
          <w:lang w:eastAsia="ru-RU"/>
        </w:rPr>
        <w:t>ului Program</w:t>
      </w:r>
      <w:r w:rsidR="006364B2" w:rsidRPr="00125FAF">
        <w:rPr>
          <w:rFonts w:ascii="Times New Roman" w:eastAsia="Times New Roman" w:hAnsi="Times New Roman" w:cs="Times New Roman"/>
          <w:color w:val="000000"/>
          <w:sz w:val="24"/>
          <w:szCs w:val="24"/>
          <w:shd w:val="clear" w:color="auto" w:fill="FFFFFF"/>
          <w:lang w:eastAsia="ru-RU"/>
        </w:rPr>
        <w:t xml:space="preserve">, prin </w:t>
      </w:r>
      <w:proofErr w:type="spellStart"/>
      <w:r w:rsidR="006364B2" w:rsidRPr="00125FAF">
        <w:rPr>
          <w:rFonts w:ascii="Times New Roman" w:eastAsia="Times New Roman" w:hAnsi="Times New Roman" w:cs="Times New Roman"/>
          <w:color w:val="000000"/>
          <w:sz w:val="24"/>
          <w:szCs w:val="24"/>
          <w:shd w:val="clear" w:color="auto" w:fill="FFFFFF"/>
          <w:lang w:eastAsia="ru-RU"/>
        </w:rPr>
        <w:t>contribuţia</w:t>
      </w:r>
      <w:proofErr w:type="spellEnd"/>
      <w:r w:rsidR="006364B2" w:rsidRPr="00125FAF">
        <w:rPr>
          <w:rFonts w:ascii="Times New Roman" w:eastAsia="Times New Roman" w:hAnsi="Times New Roman" w:cs="Times New Roman"/>
          <w:color w:val="000000"/>
          <w:sz w:val="24"/>
          <w:szCs w:val="24"/>
          <w:shd w:val="clear" w:color="auto" w:fill="FFFFFF"/>
          <w:lang w:eastAsia="ru-RU"/>
        </w:rPr>
        <w:t xml:space="preserve"> doar a mijloacelor financiare proprii, </w:t>
      </w:r>
      <w:proofErr w:type="spellStart"/>
      <w:r w:rsidR="006364B2" w:rsidRPr="00125FAF">
        <w:rPr>
          <w:rFonts w:ascii="Times New Roman" w:eastAsia="Times New Roman" w:hAnsi="Times New Roman" w:cs="Times New Roman"/>
          <w:color w:val="000000"/>
          <w:sz w:val="24"/>
          <w:szCs w:val="24"/>
          <w:shd w:val="clear" w:color="auto" w:fill="FFFFFF"/>
          <w:lang w:eastAsia="ru-RU"/>
        </w:rPr>
        <w:t>sînt</w:t>
      </w:r>
      <w:proofErr w:type="spellEnd"/>
      <w:r w:rsidR="006364B2" w:rsidRPr="00125FAF">
        <w:rPr>
          <w:rFonts w:ascii="Times New Roman" w:eastAsia="Times New Roman" w:hAnsi="Times New Roman" w:cs="Times New Roman"/>
          <w:color w:val="000000"/>
          <w:sz w:val="24"/>
          <w:szCs w:val="24"/>
          <w:shd w:val="clear" w:color="auto" w:fill="FFFFFF"/>
          <w:lang w:eastAsia="ru-RU"/>
        </w:rPr>
        <w:t xml:space="preserve"> necesare în perioada anilor </w:t>
      </w:r>
      <w:r w:rsidRPr="00125FAF">
        <w:rPr>
          <w:rFonts w:ascii="Times New Roman" w:eastAsia="Times New Roman" w:hAnsi="Times New Roman" w:cs="Times New Roman"/>
          <w:color w:val="000000"/>
          <w:sz w:val="24"/>
          <w:szCs w:val="24"/>
          <w:shd w:val="clear" w:color="auto" w:fill="FFFFFF"/>
          <w:lang w:eastAsia="ru-RU"/>
        </w:rPr>
        <w:t>2021</w:t>
      </w:r>
      <w:r w:rsidR="006364B2" w:rsidRPr="00125FAF">
        <w:rPr>
          <w:rFonts w:ascii="Times New Roman" w:eastAsia="Times New Roman" w:hAnsi="Times New Roman" w:cs="Times New Roman"/>
          <w:color w:val="000000"/>
          <w:sz w:val="24"/>
          <w:szCs w:val="24"/>
          <w:shd w:val="clear" w:color="auto" w:fill="FFFFFF"/>
          <w:lang w:eastAsia="ru-RU"/>
        </w:rPr>
        <w:t xml:space="preserve">-2030, </w:t>
      </w:r>
      <w:r w:rsidRPr="00125FAF">
        <w:rPr>
          <w:rFonts w:ascii="Times New Roman" w:eastAsia="Times New Roman" w:hAnsi="Times New Roman" w:cs="Times New Roman"/>
          <w:color w:val="000000"/>
          <w:sz w:val="24"/>
          <w:szCs w:val="24"/>
          <w:shd w:val="clear" w:color="auto" w:fill="FFFFFF"/>
          <w:lang w:eastAsia="ru-RU"/>
        </w:rPr>
        <w:t>8</w:t>
      </w:r>
      <w:r w:rsidR="00DE3C30" w:rsidRPr="00125FAF">
        <w:rPr>
          <w:rFonts w:ascii="Times New Roman" w:eastAsia="Times New Roman" w:hAnsi="Times New Roman" w:cs="Times New Roman"/>
          <w:color w:val="000000"/>
          <w:sz w:val="24"/>
          <w:szCs w:val="24"/>
          <w:shd w:val="clear" w:color="auto" w:fill="FFFFFF"/>
          <w:lang w:eastAsia="ru-RU"/>
        </w:rPr>
        <w:t>,</w:t>
      </w:r>
      <w:r w:rsidRPr="00125FAF">
        <w:rPr>
          <w:rFonts w:ascii="Times New Roman" w:eastAsia="Times New Roman" w:hAnsi="Times New Roman" w:cs="Times New Roman"/>
          <w:color w:val="000000"/>
          <w:sz w:val="24"/>
          <w:szCs w:val="24"/>
          <w:shd w:val="clear" w:color="auto" w:fill="FFFFFF"/>
          <w:lang w:eastAsia="ru-RU"/>
        </w:rPr>
        <w:t>3</w:t>
      </w:r>
      <w:r w:rsidR="006364B2" w:rsidRPr="00125FAF">
        <w:rPr>
          <w:rFonts w:ascii="Times New Roman" w:eastAsia="Times New Roman" w:hAnsi="Times New Roman" w:cs="Times New Roman"/>
          <w:color w:val="000000"/>
          <w:sz w:val="24"/>
          <w:szCs w:val="24"/>
          <w:shd w:val="clear" w:color="auto" w:fill="FFFFFF"/>
          <w:lang w:eastAsia="ru-RU"/>
        </w:rPr>
        <w:t xml:space="preserve"> miliarde dolari SUA</w:t>
      </w:r>
      <w:r w:rsidR="00F773CB" w:rsidRPr="00125FAF">
        <w:rPr>
          <w:rFonts w:ascii="Times New Roman" w:eastAsia="Times New Roman" w:hAnsi="Times New Roman" w:cs="Times New Roman"/>
          <w:color w:val="000000"/>
          <w:sz w:val="24"/>
          <w:szCs w:val="24"/>
          <w:shd w:val="clear" w:color="auto" w:fill="FFFFFF"/>
          <w:lang w:eastAsia="ru-RU"/>
        </w:rPr>
        <w:t>,</w:t>
      </w:r>
      <w:r w:rsidR="006364B2" w:rsidRPr="00125FAF">
        <w:rPr>
          <w:rFonts w:ascii="Times New Roman" w:eastAsia="Times New Roman" w:hAnsi="Times New Roman" w:cs="Times New Roman"/>
          <w:color w:val="000000"/>
          <w:sz w:val="24"/>
          <w:szCs w:val="24"/>
          <w:shd w:val="clear" w:color="auto" w:fill="FFFFFF"/>
          <w:lang w:eastAsia="ru-RU"/>
        </w:rPr>
        <w:t xml:space="preserve"> </w:t>
      </w:r>
      <w:r w:rsidRPr="00125FAF">
        <w:rPr>
          <w:rFonts w:ascii="Times New Roman" w:eastAsia="Times New Roman" w:hAnsi="Times New Roman" w:cs="Times New Roman"/>
          <w:color w:val="000000"/>
          <w:sz w:val="24"/>
          <w:szCs w:val="24"/>
          <w:shd w:val="clear" w:color="auto" w:fill="FFFFFF"/>
          <w:lang w:eastAsia="ru-RU"/>
        </w:rPr>
        <w:t xml:space="preserve">iar pentru realizarea obiectivului </w:t>
      </w:r>
      <w:proofErr w:type="spellStart"/>
      <w:r w:rsidRPr="00125FAF">
        <w:rPr>
          <w:rFonts w:ascii="Times New Roman" w:eastAsia="Times New Roman" w:hAnsi="Times New Roman" w:cs="Times New Roman"/>
          <w:color w:val="000000"/>
          <w:sz w:val="24"/>
          <w:szCs w:val="24"/>
          <w:shd w:val="clear" w:color="auto" w:fill="FFFFFF"/>
          <w:lang w:eastAsia="ru-RU"/>
        </w:rPr>
        <w:t>condiţionat</w:t>
      </w:r>
      <w:proofErr w:type="spellEnd"/>
      <w:r w:rsidR="006364B2" w:rsidRPr="00125FAF">
        <w:rPr>
          <w:rFonts w:ascii="Times New Roman" w:eastAsia="Times New Roman" w:hAnsi="Times New Roman" w:cs="Times New Roman"/>
          <w:color w:val="000000"/>
          <w:sz w:val="24"/>
          <w:szCs w:val="24"/>
          <w:shd w:val="clear" w:color="auto" w:fill="FFFFFF"/>
          <w:lang w:eastAsia="ru-RU"/>
        </w:rPr>
        <w:t>, respectiv</w:t>
      </w:r>
      <w:r w:rsidRPr="00125FAF">
        <w:rPr>
          <w:rFonts w:ascii="Times New Roman" w:eastAsia="Times New Roman" w:hAnsi="Times New Roman" w:cs="Times New Roman"/>
          <w:color w:val="000000"/>
          <w:sz w:val="24"/>
          <w:szCs w:val="24"/>
          <w:shd w:val="clear" w:color="auto" w:fill="FFFFFF"/>
          <w:lang w:eastAsia="ru-RU"/>
        </w:rPr>
        <w:t>,</w:t>
      </w:r>
      <w:r w:rsidR="006364B2" w:rsidRPr="00125FAF">
        <w:rPr>
          <w:rFonts w:ascii="Times New Roman" w:eastAsia="Times New Roman" w:hAnsi="Times New Roman" w:cs="Times New Roman"/>
          <w:color w:val="000000"/>
          <w:sz w:val="24"/>
          <w:szCs w:val="24"/>
          <w:shd w:val="clear" w:color="auto" w:fill="FFFFFF"/>
          <w:lang w:eastAsia="ru-RU"/>
        </w:rPr>
        <w:t xml:space="preserve"> </w:t>
      </w:r>
      <w:r w:rsidRPr="00125FAF">
        <w:rPr>
          <w:rFonts w:ascii="Times New Roman" w:eastAsia="Times New Roman" w:hAnsi="Times New Roman" w:cs="Times New Roman"/>
          <w:color w:val="000000"/>
          <w:sz w:val="24"/>
          <w:szCs w:val="24"/>
          <w:shd w:val="clear" w:color="auto" w:fill="FFFFFF"/>
          <w:lang w:eastAsia="ru-RU"/>
        </w:rPr>
        <w:t>2</w:t>
      </w:r>
      <w:r w:rsidR="00DE3C30" w:rsidRPr="00125FAF">
        <w:rPr>
          <w:rFonts w:ascii="Times New Roman" w:eastAsia="Times New Roman" w:hAnsi="Times New Roman" w:cs="Times New Roman"/>
          <w:color w:val="000000"/>
          <w:sz w:val="24"/>
          <w:szCs w:val="24"/>
          <w:shd w:val="clear" w:color="auto" w:fill="FFFFFF"/>
          <w:lang w:eastAsia="ru-RU"/>
        </w:rPr>
        <w:t>,</w:t>
      </w:r>
      <w:r w:rsidRPr="00125FAF">
        <w:rPr>
          <w:rFonts w:ascii="Times New Roman" w:eastAsia="Times New Roman" w:hAnsi="Times New Roman" w:cs="Times New Roman"/>
          <w:color w:val="000000"/>
          <w:sz w:val="24"/>
          <w:szCs w:val="24"/>
          <w:shd w:val="clear" w:color="auto" w:fill="FFFFFF"/>
          <w:lang w:eastAsia="ru-RU"/>
        </w:rPr>
        <w:t>6</w:t>
      </w:r>
      <w:r w:rsidR="006364B2" w:rsidRPr="00125FAF">
        <w:rPr>
          <w:rFonts w:ascii="Times New Roman" w:eastAsia="Times New Roman" w:hAnsi="Times New Roman" w:cs="Times New Roman"/>
          <w:color w:val="000000"/>
          <w:sz w:val="24"/>
          <w:szCs w:val="24"/>
          <w:shd w:val="clear" w:color="auto" w:fill="FFFFFF"/>
          <w:lang w:eastAsia="ru-RU"/>
        </w:rPr>
        <w:t xml:space="preserve"> miliarde dolari SUA.</w:t>
      </w:r>
    </w:p>
    <w:p w14:paraId="26F64FB9" w14:textId="574A0181" w:rsidR="006364B2" w:rsidRPr="00125FAF" w:rsidRDefault="006364B2" w:rsidP="00151E6F">
      <w:pPr>
        <w:spacing w:after="120" w:line="240" w:lineRule="auto"/>
        <w:ind w:firstLine="720"/>
        <w:jc w:val="both"/>
        <w:rPr>
          <w:rFonts w:ascii="Times New Roman" w:eastAsia="Times New Roman" w:hAnsi="Times New Roman" w:cs="Times New Roman"/>
          <w:sz w:val="24"/>
          <w:szCs w:val="24"/>
          <w:lang w:eastAsia="ru-RU"/>
        </w:rPr>
      </w:pPr>
      <w:r w:rsidRPr="00125FAF">
        <w:rPr>
          <w:rFonts w:ascii="Times New Roman" w:eastAsia="Times New Roman" w:hAnsi="Times New Roman" w:cs="Times New Roman"/>
          <w:sz w:val="24"/>
          <w:szCs w:val="24"/>
          <w:lang w:eastAsia="ru-RU"/>
        </w:rPr>
        <w:t>Pentru prima perioadă de implementare a prezent</w:t>
      </w:r>
      <w:r w:rsidR="00AD2337" w:rsidRPr="00125FAF">
        <w:rPr>
          <w:rFonts w:ascii="Times New Roman" w:eastAsia="Times New Roman" w:hAnsi="Times New Roman" w:cs="Times New Roman"/>
          <w:sz w:val="24"/>
          <w:szCs w:val="24"/>
          <w:lang w:eastAsia="ru-RU"/>
        </w:rPr>
        <w:t>ului Program</w:t>
      </w:r>
      <w:r w:rsidRPr="00125FAF">
        <w:rPr>
          <w:rFonts w:ascii="Times New Roman" w:eastAsia="Times New Roman" w:hAnsi="Times New Roman" w:cs="Times New Roman"/>
          <w:sz w:val="24"/>
          <w:szCs w:val="24"/>
          <w:lang w:eastAsia="ru-RU"/>
        </w:rPr>
        <w:t xml:space="preserve"> (</w:t>
      </w:r>
      <w:proofErr w:type="spellStart"/>
      <w:r w:rsidRPr="00125FAF">
        <w:rPr>
          <w:rFonts w:ascii="Times New Roman" w:eastAsia="Times New Roman" w:hAnsi="Times New Roman" w:cs="Times New Roman"/>
          <w:sz w:val="24"/>
          <w:szCs w:val="24"/>
          <w:lang w:eastAsia="ru-RU"/>
        </w:rPr>
        <w:t>pînă</w:t>
      </w:r>
      <w:proofErr w:type="spellEnd"/>
      <w:r w:rsidRPr="00125FAF">
        <w:rPr>
          <w:rFonts w:ascii="Times New Roman" w:eastAsia="Times New Roman" w:hAnsi="Times New Roman" w:cs="Times New Roman"/>
          <w:sz w:val="24"/>
          <w:szCs w:val="24"/>
          <w:lang w:eastAsia="ru-RU"/>
        </w:rPr>
        <w:t xml:space="preserve"> în anul 202</w:t>
      </w:r>
      <w:r w:rsidR="009653C9" w:rsidRPr="00125FAF">
        <w:rPr>
          <w:rFonts w:ascii="Times New Roman" w:eastAsia="Times New Roman" w:hAnsi="Times New Roman" w:cs="Times New Roman"/>
          <w:sz w:val="24"/>
          <w:szCs w:val="24"/>
          <w:lang w:eastAsia="ru-RU"/>
        </w:rPr>
        <w:t>5</w:t>
      </w:r>
      <w:r w:rsidRPr="00125FAF">
        <w:rPr>
          <w:rFonts w:ascii="Times New Roman" w:eastAsia="Times New Roman" w:hAnsi="Times New Roman" w:cs="Times New Roman"/>
          <w:sz w:val="24"/>
          <w:szCs w:val="24"/>
          <w:lang w:eastAsia="ru-RU"/>
        </w:rPr>
        <w:t xml:space="preserve">), </w:t>
      </w:r>
      <w:r w:rsidR="009653C9" w:rsidRPr="00125FAF">
        <w:rPr>
          <w:rFonts w:ascii="Times New Roman" w:eastAsia="Times New Roman" w:hAnsi="Times New Roman" w:cs="Times New Roman"/>
          <w:sz w:val="24"/>
          <w:szCs w:val="24"/>
          <w:lang w:eastAsia="ru-RU"/>
        </w:rPr>
        <w:t xml:space="preserve">volumul mijloacelor financiare pentru atingerea obiectivului </w:t>
      </w:r>
      <w:proofErr w:type="spellStart"/>
      <w:r w:rsidR="009653C9" w:rsidRPr="00125FAF">
        <w:rPr>
          <w:rFonts w:ascii="Times New Roman" w:eastAsia="Times New Roman" w:hAnsi="Times New Roman" w:cs="Times New Roman"/>
          <w:sz w:val="24"/>
          <w:szCs w:val="24"/>
          <w:lang w:eastAsia="ru-RU"/>
        </w:rPr>
        <w:t>necondiţionat</w:t>
      </w:r>
      <w:proofErr w:type="spellEnd"/>
      <w:r w:rsidR="009653C9" w:rsidRPr="00125FAF">
        <w:rPr>
          <w:rFonts w:ascii="Times New Roman" w:eastAsia="Times New Roman" w:hAnsi="Times New Roman" w:cs="Times New Roman"/>
          <w:sz w:val="24"/>
          <w:szCs w:val="24"/>
          <w:lang w:eastAsia="ru-RU"/>
        </w:rPr>
        <w:t xml:space="preserve"> constituie cca 3</w:t>
      </w:r>
      <w:r w:rsidR="00DE3C30" w:rsidRPr="00125FAF">
        <w:rPr>
          <w:rFonts w:ascii="Times New Roman" w:eastAsia="Times New Roman" w:hAnsi="Times New Roman" w:cs="Times New Roman"/>
          <w:sz w:val="24"/>
          <w:szCs w:val="24"/>
          <w:lang w:eastAsia="ru-RU"/>
        </w:rPr>
        <w:t>,</w:t>
      </w:r>
      <w:r w:rsidR="00F773CB" w:rsidRPr="00125FAF">
        <w:rPr>
          <w:rFonts w:ascii="Times New Roman" w:eastAsia="Times New Roman" w:hAnsi="Times New Roman" w:cs="Times New Roman"/>
          <w:sz w:val="24"/>
          <w:szCs w:val="24"/>
          <w:lang w:eastAsia="ru-RU"/>
        </w:rPr>
        <w:t>3</w:t>
      </w:r>
      <w:r w:rsidR="009653C9" w:rsidRPr="00125FAF">
        <w:rPr>
          <w:rFonts w:ascii="Times New Roman" w:eastAsia="Times New Roman" w:hAnsi="Times New Roman" w:cs="Times New Roman"/>
          <w:sz w:val="24"/>
          <w:szCs w:val="24"/>
          <w:lang w:eastAsia="ru-RU"/>
        </w:rPr>
        <w:t xml:space="preserve"> </w:t>
      </w:r>
      <w:r w:rsidR="00DE3C30" w:rsidRPr="00125FAF">
        <w:rPr>
          <w:rFonts w:ascii="Times New Roman" w:eastAsia="Times New Roman" w:hAnsi="Times New Roman" w:cs="Times New Roman"/>
          <w:sz w:val="24"/>
          <w:szCs w:val="24"/>
          <w:lang w:eastAsia="ru-RU"/>
        </w:rPr>
        <w:t>m</w:t>
      </w:r>
      <w:r w:rsidR="009653C9" w:rsidRPr="00125FAF">
        <w:rPr>
          <w:rFonts w:ascii="Times New Roman" w:eastAsia="Times New Roman" w:hAnsi="Times New Roman" w:cs="Times New Roman"/>
          <w:sz w:val="24"/>
          <w:szCs w:val="24"/>
          <w:lang w:eastAsia="ru-RU"/>
        </w:rPr>
        <w:t xml:space="preserve">iliarde dolari SUA, iar al celui </w:t>
      </w:r>
      <w:proofErr w:type="spellStart"/>
      <w:r w:rsidR="009653C9" w:rsidRPr="00125FAF">
        <w:rPr>
          <w:rFonts w:ascii="Times New Roman" w:eastAsia="Times New Roman" w:hAnsi="Times New Roman" w:cs="Times New Roman"/>
          <w:sz w:val="24"/>
          <w:szCs w:val="24"/>
          <w:lang w:eastAsia="ru-RU"/>
        </w:rPr>
        <w:t>condiţionat</w:t>
      </w:r>
      <w:proofErr w:type="spellEnd"/>
      <w:r w:rsidR="009653C9" w:rsidRPr="00125FAF">
        <w:rPr>
          <w:rFonts w:ascii="Times New Roman" w:eastAsia="Times New Roman" w:hAnsi="Times New Roman" w:cs="Times New Roman"/>
          <w:sz w:val="24"/>
          <w:szCs w:val="24"/>
          <w:lang w:eastAsia="ru-RU"/>
        </w:rPr>
        <w:t xml:space="preserve"> – 1</w:t>
      </w:r>
      <w:r w:rsidR="00DE3C30" w:rsidRPr="00125FAF">
        <w:rPr>
          <w:rFonts w:ascii="Times New Roman" w:eastAsia="Times New Roman" w:hAnsi="Times New Roman" w:cs="Times New Roman"/>
          <w:sz w:val="24"/>
          <w:szCs w:val="24"/>
          <w:lang w:eastAsia="ru-RU"/>
        </w:rPr>
        <w:t>,</w:t>
      </w:r>
      <w:r w:rsidR="009653C9" w:rsidRPr="00125FAF">
        <w:rPr>
          <w:rFonts w:ascii="Times New Roman" w:eastAsia="Times New Roman" w:hAnsi="Times New Roman" w:cs="Times New Roman"/>
          <w:sz w:val="24"/>
          <w:szCs w:val="24"/>
          <w:lang w:eastAsia="ru-RU"/>
        </w:rPr>
        <w:t>0 miliarde dolari SUA.</w:t>
      </w:r>
      <w:r w:rsidR="00B72D56" w:rsidRPr="00125FAF">
        <w:rPr>
          <w:rFonts w:ascii="Times New Roman" w:eastAsia="Times New Roman" w:hAnsi="Times New Roman" w:cs="Times New Roman"/>
          <w:sz w:val="24"/>
          <w:szCs w:val="24"/>
          <w:lang w:eastAsia="ru-RU"/>
        </w:rPr>
        <w:t xml:space="preserve"> </w:t>
      </w:r>
      <w:proofErr w:type="spellStart"/>
      <w:r w:rsidR="00B72D56" w:rsidRPr="00125FAF">
        <w:rPr>
          <w:rFonts w:ascii="Times New Roman" w:eastAsia="Times New Roman" w:hAnsi="Times New Roman" w:cs="Times New Roman"/>
          <w:sz w:val="24"/>
          <w:szCs w:val="24"/>
          <w:lang w:eastAsia="ru-RU"/>
        </w:rPr>
        <w:t>Informaţii</w:t>
      </w:r>
      <w:proofErr w:type="spellEnd"/>
      <w:r w:rsidR="00B72D56" w:rsidRPr="00125FAF">
        <w:rPr>
          <w:rFonts w:ascii="Times New Roman" w:eastAsia="Times New Roman" w:hAnsi="Times New Roman" w:cs="Times New Roman"/>
          <w:sz w:val="24"/>
          <w:szCs w:val="24"/>
          <w:lang w:eastAsia="ru-RU"/>
        </w:rPr>
        <w:t xml:space="preserve"> mai detaliate la capitolul </w:t>
      </w:r>
      <w:proofErr w:type="spellStart"/>
      <w:r w:rsidR="00B72D56" w:rsidRPr="00125FAF">
        <w:rPr>
          <w:rFonts w:ascii="Times New Roman" w:eastAsia="Times New Roman" w:hAnsi="Times New Roman" w:cs="Times New Roman"/>
          <w:sz w:val="24"/>
          <w:szCs w:val="24"/>
          <w:lang w:eastAsia="ru-RU"/>
        </w:rPr>
        <w:t>finanţarea</w:t>
      </w:r>
      <w:proofErr w:type="spellEnd"/>
      <w:r w:rsidR="00B72D56" w:rsidRPr="00125FAF">
        <w:rPr>
          <w:rFonts w:ascii="Times New Roman" w:eastAsia="Times New Roman" w:hAnsi="Times New Roman" w:cs="Times New Roman"/>
          <w:sz w:val="24"/>
          <w:szCs w:val="24"/>
          <w:lang w:eastAsia="ru-RU"/>
        </w:rPr>
        <w:t xml:space="preserve">, inclusiv resursele necesare pentru atingerea obiectivelor pe sectoare, precum </w:t>
      </w:r>
      <w:proofErr w:type="spellStart"/>
      <w:r w:rsidR="00B72D56" w:rsidRPr="00125FAF">
        <w:rPr>
          <w:rFonts w:ascii="Times New Roman" w:eastAsia="Times New Roman" w:hAnsi="Times New Roman" w:cs="Times New Roman"/>
          <w:sz w:val="24"/>
          <w:szCs w:val="24"/>
          <w:lang w:eastAsia="ru-RU"/>
        </w:rPr>
        <w:t>şi</w:t>
      </w:r>
      <w:proofErr w:type="spellEnd"/>
      <w:r w:rsidR="00B72D56" w:rsidRPr="00125FAF">
        <w:rPr>
          <w:rFonts w:ascii="Times New Roman" w:eastAsia="Times New Roman" w:hAnsi="Times New Roman" w:cs="Times New Roman"/>
          <w:sz w:val="24"/>
          <w:szCs w:val="24"/>
          <w:lang w:eastAsia="ru-RU"/>
        </w:rPr>
        <w:t xml:space="preserve"> pentru realizarea </w:t>
      </w:r>
      <w:proofErr w:type="spellStart"/>
      <w:r w:rsidR="00B72D56" w:rsidRPr="00125FAF">
        <w:rPr>
          <w:rFonts w:ascii="Times New Roman" w:eastAsia="Times New Roman" w:hAnsi="Times New Roman" w:cs="Times New Roman"/>
          <w:sz w:val="24"/>
          <w:szCs w:val="24"/>
          <w:lang w:eastAsia="ru-RU"/>
        </w:rPr>
        <w:t>acţiunilor</w:t>
      </w:r>
      <w:proofErr w:type="spellEnd"/>
      <w:r w:rsidR="00B72D56" w:rsidRPr="00125FAF">
        <w:rPr>
          <w:rFonts w:ascii="Times New Roman" w:eastAsia="Times New Roman" w:hAnsi="Times New Roman" w:cs="Times New Roman"/>
          <w:sz w:val="24"/>
          <w:szCs w:val="24"/>
          <w:lang w:eastAsia="ru-RU"/>
        </w:rPr>
        <w:t xml:space="preserve"> de atenuare</w:t>
      </w:r>
      <w:r w:rsidR="00E70219" w:rsidRPr="00125FAF">
        <w:rPr>
          <w:rFonts w:ascii="Times New Roman" w:eastAsia="Times New Roman" w:hAnsi="Times New Roman" w:cs="Times New Roman"/>
          <w:sz w:val="24"/>
          <w:szCs w:val="24"/>
          <w:lang w:eastAsia="ru-RU"/>
        </w:rPr>
        <w:t xml:space="preserve"> </w:t>
      </w:r>
      <w:r w:rsidR="00B72D56" w:rsidRPr="00125FAF">
        <w:rPr>
          <w:rFonts w:ascii="Times New Roman" w:eastAsia="Times New Roman" w:hAnsi="Times New Roman" w:cs="Times New Roman"/>
          <w:sz w:val="24"/>
          <w:szCs w:val="24"/>
          <w:lang w:eastAsia="ru-RU"/>
        </w:rPr>
        <w:t xml:space="preserve">adecvate la nivel </w:t>
      </w:r>
      <w:proofErr w:type="spellStart"/>
      <w:r w:rsidR="00B72D56" w:rsidRPr="00125FAF">
        <w:rPr>
          <w:rFonts w:ascii="Times New Roman" w:eastAsia="Times New Roman" w:hAnsi="Times New Roman" w:cs="Times New Roman"/>
          <w:sz w:val="24"/>
          <w:szCs w:val="24"/>
          <w:lang w:eastAsia="ru-RU"/>
        </w:rPr>
        <w:t>naţional</w:t>
      </w:r>
      <w:proofErr w:type="spellEnd"/>
      <w:r w:rsidR="00B72D56" w:rsidRPr="00125FAF">
        <w:rPr>
          <w:rFonts w:ascii="Times New Roman" w:eastAsia="Times New Roman" w:hAnsi="Times New Roman" w:cs="Times New Roman"/>
          <w:sz w:val="24"/>
          <w:szCs w:val="24"/>
          <w:lang w:eastAsia="ru-RU"/>
        </w:rPr>
        <w:t xml:space="preserve"> identificate în sectoarele </w:t>
      </w:r>
      <w:proofErr w:type="spellStart"/>
      <w:r w:rsidR="00B72D56" w:rsidRPr="00125FAF">
        <w:rPr>
          <w:rFonts w:ascii="Times New Roman" w:eastAsia="Times New Roman" w:hAnsi="Times New Roman" w:cs="Times New Roman"/>
          <w:sz w:val="24"/>
          <w:szCs w:val="24"/>
          <w:lang w:eastAsia="ru-RU"/>
        </w:rPr>
        <w:t>menţionate</w:t>
      </w:r>
      <w:proofErr w:type="spellEnd"/>
      <w:r w:rsidR="00B72D56" w:rsidRPr="00125FAF">
        <w:rPr>
          <w:rFonts w:ascii="Times New Roman" w:eastAsia="Times New Roman" w:hAnsi="Times New Roman" w:cs="Times New Roman"/>
          <w:sz w:val="24"/>
          <w:szCs w:val="24"/>
          <w:lang w:eastAsia="ru-RU"/>
        </w:rPr>
        <w:t xml:space="preserve"> sunt prezentate în Anexa 3.</w:t>
      </w:r>
    </w:p>
    <w:p w14:paraId="25EF09F4" w14:textId="4B697DB2" w:rsidR="00151E6F" w:rsidRPr="00125FAF" w:rsidRDefault="00151E6F" w:rsidP="00151E6F">
      <w:pPr>
        <w:spacing w:after="120" w:line="240" w:lineRule="auto"/>
        <w:ind w:firstLine="720"/>
        <w:jc w:val="both"/>
        <w:rPr>
          <w:rFonts w:ascii="Times New Roman" w:eastAsia="Calibri" w:hAnsi="Times New Roman" w:cs="Times New Roman"/>
          <w:sz w:val="24"/>
          <w:szCs w:val="24"/>
        </w:rPr>
      </w:pPr>
      <w:r w:rsidRPr="00125FAF">
        <w:rPr>
          <w:rFonts w:ascii="Times New Roman" w:eastAsia="Calibri" w:hAnsi="Times New Roman" w:cs="Times New Roman"/>
          <w:sz w:val="24"/>
          <w:szCs w:val="24"/>
        </w:rPr>
        <w:lastRenderedPageBreak/>
        <w:t>Cu regret, din cauza degradării principiilor democratice din țară, finanțele externe de dezvoltare legate de climă în Moldova în anii 2014-2018</w:t>
      </w:r>
      <w:r w:rsidR="00B72D56" w:rsidRPr="00125FAF">
        <w:rPr>
          <w:rFonts w:ascii="Times New Roman" w:eastAsia="Calibri" w:hAnsi="Times New Roman" w:cs="Times New Roman"/>
          <w:sz w:val="24"/>
          <w:szCs w:val="24"/>
        </w:rPr>
        <w:t>,</w:t>
      </w:r>
      <w:r w:rsidRPr="00125FAF">
        <w:rPr>
          <w:rFonts w:ascii="Times New Roman" w:eastAsia="Calibri" w:hAnsi="Times New Roman" w:cs="Times New Roman"/>
          <w:sz w:val="24"/>
          <w:szCs w:val="24"/>
        </w:rPr>
        <w:t xml:space="preserve"> </w:t>
      </w:r>
      <w:r w:rsidR="00B72D56" w:rsidRPr="00125FAF">
        <w:rPr>
          <w:rFonts w:ascii="Times New Roman" w:eastAsia="Calibri" w:hAnsi="Times New Roman" w:cs="Times New Roman"/>
          <w:sz w:val="24"/>
          <w:szCs w:val="24"/>
        </w:rPr>
        <w:t>venite din partea partenerilor de dezvoltare,</w:t>
      </w:r>
      <w:r w:rsidRPr="00125FAF">
        <w:rPr>
          <w:rFonts w:ascii="Times New Roman" w:eastAsia="Calibri" w:hAnsi="Times New Roman" w:cs="Times New Roman"/>
          <w:sz w:val="24"/>
          <w:szCs w:val="24"/>
        </w:rPr>
        <w:t xml:space="preserve"> au </w:t>
      </w:r>
      <w:r w:rsidR="00B72D56" w:rsidRPr="00125FAF">
        <w:rPr>
          <w:rFonts w:ascii="Times New Roman" w:eastAsia="Calibri" w:hAnsi="Times New Roman" w:cs="Times New Roman"/>
          <w:sz w:val="24"/>
          <w:szCs w:val="24"/>
        </w:rPr>
        <w:t>avut</w:t>
      </w:r>
      <w:r w:rsidRPr="00125FAF">
        <w:rPr>
          <w:rFonts w:ascii="Times New Roman" w:eastAsia="Calibri" w:hAnsi="Times New Roman" w:cs="Times New Roman"/>
          <w:sz w:val="24"/>
          <w:szCs w:val="24"/>
        </w:rPr>
        <w:t xml:space="preserve"> o tendință de reducere</w:t>
      </w:r>
      <w:r w:rsidR="00B72D56" w:rsidRPr="00125FAF">
        <w:rPr>
          <w:rFonts w:ascii="Times New Roman" w:eastAsia="Calibri" w:hAnsi="Times New Roman" w:cs="Times New Roman"/>
          <w:sz w:val="24"/>
          <w:szCs w:val="24"/>
        </w:rPr>
        <w:t xml:space="preserve"> </w:t>
      </w:r>
      <w:proofErr w:type="spellStart"/>
      <w:r w:rsidR="00B72D56" w:rsidRPr="00125FAF">
        <w:rPr>
          <w:rFonts w:ascii="Times New Roman" w:eastAsia="Calibri" w:hAnsi="Times New Roman" w:cs="Times New Roman"/>
          <w:sz w:val="24"/>
          <w:szCs w:val="24"/>
        </w:rPr>
        <w:t>pronunţată</w:t>
      </w:r>
      <w:proofErr w:type="spellEnd"/>
      <w:r w:rsidRPr="00125FAF">
        <w:rPr>
          <w:rFonts w:ascii="Times New Roman" w:eastAsia="Calibri" w:hAnsi="Times New Roman" w:cs="Times New Roman"/>
          <w:sz w:val="24"/>
          <w:szCs w:val="24"/>
        </w:rPr>
        <w:t>, începând cu 160</w:t>
      </w:r>
      <w:r w:rsidR="00DE3C30" w:rsidRPr="00125FAF">
        <w:rPr>
          <w:rFonts w:ascii="Times New Roman" w:eastAsia="Calibri" w:hAnsi="Times New Roman" w:cs="Times New Roman"/>
          <w:sz w:val="24"/>
          <w:szCs w:val="24"/>
        </w:rPr>
        <w:t>,</w:t>
      </w:r>
      <w:r w:rsidRPr="00125FAF">
        <w:rPr>
          <w:rFonts w:ascii="Times New Roman" w:eastAsia="Calibri" w:hAnsi="Times New Roman" w:cs="Times New Roman"/>
          <w:sz w:val="24"/>
          <w:szCs w:val="24"/>
        </w:rPr>
        <w:t>9 milioane EUR în 2014 și terminând cu 1</w:t>
      </w:r>
      <w:r w:rsidR="00DE3C30" w:rsidRPr="00125FAF">
        <w:rPr>
          <w:rFonts w:ascii="Times New Roman" w:eastAsia="Calibri" w:hAnsi="Times New Roman" w:cs="Times New Roman"/>
          <w:sz w:val="24"/>
          <w:szCs w:val="24"/>
        </w:rPr>
        <w:t>,</w:t>
      </w:r>
      <w:r w:rsidRPr="00125FAF">
        <w:rPr>
          <w:rFonts w:ascii="Times New Roman" w:eastAsia="Calibri" w:hAnsi="Times New Roman" w:cs="Times New Roman"/>
          <w:sz w:val="24"/>
          <w:szCs w:val="24"/>
        </w:rPr>
        <w:t xml:space="preserve">05 milioane în 2018. Conform </w:t>
      </w:r>
      <w:r w:rsidR="00311AFC" w:rsidRPr="00125FAF">
        <w:rPr>
          <w:rFonts w:ascii="Times New Roman" w:eastAsia="Calibri" w:hAnsi="Times New Roman" w:cs="Times New Roman"/>
          <w:sz w:val="24"/>
          <w:szCs w:val="24"/>
        </w:rPr>
        <w:t>Platformei pentru Gestionarea Asistenței externe a Guvernului Republicii Moldova</w:t>
      </w:r>
      <w:r w:rsidRPr="00125FAF">
        <w:rPr>
          <w:rFonts w:ascii="Times New Roman" w:eastAsia="Calibri" w:hAnsi="Times New Roman" w:cs="Times New Roman"/>
          <w:sz w:val="24"/>
          <w:szCs w:val="24"/>
        </w:rPr>
        <w:t>, finanțarea externă pentru dezvoltare în această perioadă a alcătuit 232</w:t>
      </w:r>
      <w:r w:rsidR="00DE3C30" w:rsidRPr="00125FAF">
        <w:rPr>
          <w:rFonts w:ascii="Times New Roman" w:eastAsia="Calibri" w:hAnsi="Times New Roman" w:cs="Times New Roman"/>
          <w:sz w:val="24"/>
          <w:szCs w:val="24"/>
        </w:rPr>
        <w:t>,</w:t>
      </w:r>
      <w:r w:rsidRPr="00125FAF">
        <w:rPr>
          <w:rFonts w:ascii="Times New Roman" w:eastAsia="Calibri" w:hAnsi="Times New Roman" w:cs="Times New Roman"/>
          <w:sz w:val="24"/>
          <w:szCs w:val="24"/>
        </w:rPr>
        <w:t>05 milioane EUR, din care 58</w:t>
      </w:r>
      <w:r w:rsidR="00DE3C30" w:rsidRPr="00125FAF">
        <w:rPr>
          <w:rFonts w:ascii="Times New Roman" w:eastAsia="Calibri" w:hAnsi="Times New Roman" w:cs="Times New Roman"/>
          <w:sz w:val="24"/>
          <w:szCs w:val="24"/>
        </w:rPr>
        <w:t>,</w:t>
      </w:r>
      <w:r w:rsidRPr="00125FAF">
        <w:rPr>
          <w:rFonts w:ascii="Times New Roman" w:eastAsia="Calibri" w:hAnsi="Times New Roman" w:cs="Times New Roman"/>
          <w:sz w:val="24"/>
          <w:szCs w:val="24"/>
        </w:rPr>
        <w:t>2% au fost angajamente de proiecte de atenuare, 40</w:t>
      </w:r>
      <w:r w:rsidR="00DE3C30" w:rsidRPr="00125FAF">
        <w:rPr>
          <w:rFonts w:ascii="Times New Roman" w:eastAsia="Calibri" w:hAnsi="Times New Roman" w:cs="Times New Roman"/>
          <w:sz w:val="24"/>
          <w:szCs w:val="24"/>
        </w:rPr>
        <w:t>,</w:t>
      </w:r>
      <w:r w:rsidRPr="00125FAF">
        <w:rPr>
          <w:rFonts w:ascii="Times New Roman" w:eastAsia="Calibri" w:hAnsi="Times New Roman" w:cs="Times New Roman"/>
          <w:sz w:val="24"/>
          <w:szCs w:val="24"/>
        </w:rPr>
        <w:t>8% pentru adaptare și 1% pentru proiecte mixte (Fig. 7</w:t>
      </w:r>
      <w:r w:rsidR="00E13B78" w:rsidRPr="00125FAF">
        <w:rPr>
          <w:rFonts w:ascii="Times New Roman" w:eastAsia="Calibri" w:hAnsi="Times New Roman" w:cs="Times New Roman"/>
          <w:sz w:val="24"/>
          <w:szCs w:val="24"/>
        </w:rPr>
        <w:t>.</w:t>
      </w:r>
      <w:r w:rsidRPr="00125FAF">
        <w:rPr>
          <w:rFonts w:ascii="Times New Roman" w:eastAsia="Calibri" w:hAnsi="Times New Roman" w:cs="Times New Roman"/>
          <w:sz w:val="24"/>
          <w:szCs w:val="24"/>
        </w:rPr>
        <w:t>1).</w:t>
      </w:r>
    </w:p>
    <w:p w14:paraId="072D1464" w14:textId="1A42733C" w:rsidR="00151E6F" w:rsidRPr="00125FAF" w:rsidRDefault="00151E6F" w:rsidP="00151E6F">
      <w:pPr>
        <w:spacing w:after="120" w:line="240" w:lineRule="auto"/>
        <w:ind w:firstLine="720"/>
        <w:jc w:val="both"/>
        <w:rPr>
          <w:rFonts w:ascii="Times New Roman" w:eastAsia="Calibri" w:hAnsi="Times New Roman" w:cs="Times New Roman"/>
          <w:sz w:val="24"/>
          <w:szCs w:val="24"/>
        </w:rPr>
      </w:pPr>
      <w:r w:rsidRPr="00125FAF">
        <w:rPr>
          <w:rFonts w:ascii="Times New Roman" w:eastAsia="Calibri" w:hAnsi="Times New Roman" w:cs="Times New Roman"/>
          <w:noProof/>
          <w:sz w:val="24"/>
          <w:szCs w:val="24"/>
          <w:lang w:val="en-US"/>
        </w:rPr>
        <w:drawing>
          <wp:inline distT="0" distB="0" distL="0" distR="0" wp14:anchorId="6741E9B7" wp14:editId="54838A73">
            <wp:extent cx="5295900" cy="273748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95900" cy="2737485"/>
                    </a:xfrm>
                    <a:prstGeom prst="rect">
                      <a:avLst/>
                    </a:prstGeom>
                    <a:noFill/>
                  </pic:spPr>
                </pic:pic>
              </a:graphicData>
            </a:graphic>
          </wp:inline>
        </w:drawing>
      </w:r>
    </w:p>
    <w:p w14:paraId="4BDE44CE" w14:textId="0D31355B" w:rsidR="00151E6F" w:rsidRPr="00125FAF" w:rsidRDefault="00151E6F" w:rsidP="00151E6F">
      <w:pPr>
        <w:spacing w:before="120" w:after="120" w:line="240" w:lineRule="auto"/>
        <w:jc w:val="both"/>
        <w:rPr>
          <w:rFonts w:ascii="Times New Roman" w:eastAsia="Calibri" w:hAnsi="Times New Roman" w:cs="Times New Roman"/>
          <w:b/>
          <w:bCs/>
          <w:iCs/>
          <w:sz w:val="24"/>
          <w:szCs w:val="24"/>
          <w:lang w:eastAsia="ru-RU"/>
        </w:rPr>
      </w:pPr>
      <w:bookmarkStart w:id="6" w:name="_Toc18674663"/>
      <w:r w:rsidRPr="00125FAF">
        <w:rPr>
          <w:rFonts w:ascii="Times New Roman" w:eastAsia="Times New Roman" w:hAnsi="Times New Roman" w:cs="Times New Roman"/>
          <w:b/>
          <w:bCs/>
          <w:sz w:val="24"/>
          <w:szCs w:val="24"/>
          <w:lang w:eastAsia="ru-RU"/>
        </w:rPr>
        <w:t>Figura 7</w:t>
      </w:r>
      <w:r w:rsidR="00E13B78" w:rsidRPr="00125FAF">
        <w:rPr>
          <w:rFonts w:ascii="Times New Roman" w:eastAsia="Times New Roman" w:hAnsi="Times New Roman" w:cs="Times New Roman"/>
          <w:b/>
          <w:bCs/>
          <w:sz w:val="24"/>
          <w:szCs w:val="24"/>
          <w:lang w:eastAsia="ru-RU"/>
        </w:rPr>
        <w:t>.</w:t>
      </w:r>
      <w:r w:rsidRPr="00125FAF">
        <w:rPr>
          <w:rFonts w:ascii="Times New Roman" w:eastAsia="Times New Roman" w:hAnsi="Times New Roman" w:cs="Times New Roman"/>
          <w:b/>
          <w:bCs/>
          <w:sz w:val="24"/>
          <w:szCs w:val="24"/>
          <w:lang w:eastAsia="ru-RU"/>
        </w:rPr>
        <w:t>1:</w:t>
      </w:r>
      <w:r w:rsidRPr="00125FAF">
        <w:rPr>
          <w:rFonts w:ascii="Times New Roman" w:eastAsia="Calibri" w:hAnsi="Times New Roman" w:cs="Times New Roman"/>
          <w:b/>
          <w:bCs/>
          <w:i/>
          <w:sz w:val="24"/>
          <w:szCs w:val="24"/>
          <w:lang w:eastAsia="ru-RU"/>
        </w:rPr>
        <w:t xml:space="preserve"> </w:t>
      </w:r>
      <w:r w:rsidRPr="00125FAF">
        <w:rPr>
          <w:rFonts w:ascii="Times New Roman" w:eastAsia="Calibri" w:hAnsi="Times New Roman" w:cs="Times New Roman"/>
          <w:bCs/>
          <w:iCs/>
          <w:sz w:val="24"/>
          <w:szCs w:val="24"/>
          <w:lang w:eastAsia="ru-RU"/>
        </w:rPr>
        <w:t>Evoluția fluxului AOD legat de climă în 2014-2018, mil €</w:t>
      </w:r>
      <w:bookmarkStart w:id="7" w:name="_Ref67330836"/>
      <w:r w:rsidRPr="00125FAF">
        <w:rPr>
          <w:rFonts w:ascii="Times New Roman" w:eastAsia="Calibri" w:hAnsi="Times New Roman" w:cs="Times New Roman"/>
          <w:bCs/>
          <w:iCs/>
          <w:sz w:val="24"/>
          <w:szCs w:val="24"/>
          <w:vertAlign w:val="superscript"/>
          <w:lang w:eastAsia="ru-RU"/>
        </w:rPr>
        <w:footnoteReference w:id="11"/>
      </w:r>
      <w:bookmarkEnd w:id="6"/>
      <w:bookmarkEnd w:id="7"/>
      <w:r w:rsidRPr="00125FAF">
        <w:rPr>
          <w:rFonts w:ascii="Times New Roman" w:eastAsia="Calibri" w:hAnsi="Times New Roman" w:cs="Times New Roman"/>
          <w:bCs/>
          <w:iCs/>
          <w:sz w:val="24"/>
          <w:szCs w:val="24"/>
          <w:lang w:eastAsia="ru-RU"/>
        </w:rPr>
        <w:t>.</w:t>
      </w:r>
    </w:p>
    <w:p w14:paraId="70B531C4" w14:textId="0DD34013" w:rsidR="00076B19" w:rsidRPr="00125FAF" w:rsidRDefault="00076B19" w:rsidP="007909C8">
      <w:pPr>
        <w:spacing w:before="120" w:after="120" w:line="240" w:lineRule="auto"/>
        <w:ind w:firstLine="720"/>
        <w:jc w:val="both"/>
        <w:rPr>
          <w:rFonts w:ascii="Times New Roman" w:eastAsia="Calibri" w:hAnsi="Times New Roman" w:cs="Times New Roman"/>
          <w:sz w:val="24"/>
          <w:szCs w:val="24"/>
        </w:rPr>
      </w:pPr>
      <w:r w:rsidRPr="00125FAF">
        <w:rPr>
          <w:rFonts w:ascii="Times New Roman" w:eastAsia="Calibri" w:hAnsi="Times New Roman" w:cs="Times New Roman"/>
          <w:sz w:val="24"/>
          <w:szCs w:val="24"/>
        </w:rPr>
        <w:t xml:space="preserve">Începând cu 2019, Republica Moldova anticipă să beneficieze de o creștere semnificativă a sprijinului financiar al donatorilor în economie, inclusiv pentru elaborarea proiectelor legate de climă. În această ordine de idei, se cere de activat în primul rând acordurile încheiate în ultimii ani, care au fost înghețate din cauza compromiterii valorilor democratice din </w:t>
      </w:r>
      <w:proofErr w:type="spellStart"/>
      <w:r w:rsidRPr="00125FAF">
        <w:rPr>
          <w:rFonts w:ascii="Times New Roman" w:eastAsia="Calibri" w:hAnsi="Times New Roman" w:cs="Times New Roman"/>
          <w:sz w:val="24"/>
          <w:szCs w:val="24"/>
        </w:rPr>
        <w:t>ţară</w:t>
      </w:r>
      <w:proofErr w:type="spellEnd"/>
      <w:r w:rsidRPr="00125FAF">
        <w:rPr>
          <w:rFonts w:ascii="Times New Roman" w:eastAsia="Calibri" w:hAnsi="Times New Roman" w:cs="Times New Roman"/>
          <w:sz w:val="24"/>
          <w:szCs w:val="24"/>
        </w:rPr>
        <w:t>. Pentru termen mediu, aceste acorduri, de rând cu altele, aflate în stadiul final al negocierilor, sunt prezentate în Tab. 7</w:t>
      </w:r>
      <w:r w:rsidR="00E13B78" w:rsidRPr="00125FAF">
        <w:rPr>
          <w:rFonts w:ascii="Times New Roman" w:eastAsia="Calibri" w:hAnsi="Times New Roman" w:cs="Times New Roman"/>
          <w:sz w:val="24"/>
          <w:szCs w:val="24"/>
        </w:rPr>
        <w:t>.1</w:t>
      </w:r>
      <w:r w:rsidRPr="00125FAF">
        <w:rPr>
          <w:rFonts w:ascii="Times New Roman" w:eastAsia="Calibri" w:hAnsi="Times New Roman" w:cs="Times New Roman"/>
          <w:sz w:val="24"/>
          <w:szCs w:val="24"/>
        </w:rPr>
        <w:t>.</w:t>
      </w:r>
    </w:p>
    <w:p w14:paraId="4C45705F" w14:textId="4E8FA374" w:rsidR="00E13B78" w:rsidRPr="00125FAF" w:rsidRDefault="00076B19" w:rsidP="00E13B78">
      <w:pPr>
        <w:spacing w:before="120" w:after="0" w:line="240" w:lineRule="auto"/>
        <w:jc w:val="right"/>
        <w:rPr>
          <w:rFonts w:ascii="Times New Roman" w:eastAsia="Times New Roman" w:hAnsi="Times New Roman" w:cs="Times New Roman"/>
          <w:iCs/>
          <w:color w:val="000000"/>
          <w:sz w:val="24"/>
          <w:szCs w:val="24"/>
          <w:shd w:val="clear" w:color="auto" w:fill="FFFFFF"/>
          <w:lang w:eastAsia="ru-RU"/>
        </w:rPr>
      </w:pPr>
      <w:bookmarkStart w:id="8" w:name="_Toc18674800"/>
      <w:r w:rsidRPr="00125FAF">
        <w:rPr>
          <w:rFonts w:ascii="Times New Roman" w:eastAsia="Times New Roman" w:hAnsi="Times New Roman" w:cs="Times New Roman"/>
          <w:sz w:val="24"/>
          <w:szCs w:val="24"/>
          <w:lang w:eastAsia="ru-RU"/>
        </w:rPr>
        <w:t>Tabelul 7</w:t>
      </w:r>
      <w:r w:rsidR="00E13B78" w:rsidRPr="00125FAF">
        <w:rPr>
          <w:rFonts w:ascii="Times New Roman" w:eastAsia="Times New Roman" w:hAnsi="Times New Roman" w:cs="Times New Roman"/>
          <w:sz w:val="24"/>
          <w:szCs w:val="24"/>
          <w:lang w:eastAsia="ru-RU"/>
        </w:rPr>
        <w:t>.1</w:t>
      </w:r>
      <w:r w:rsidRPr="00125FAF">
        <w:rPr>
          <w:rFonts w:ascii="Times New Roman" w:eastAsia="Times New Roman" w:hAnsi="Times New Roman" w:cs="Times New Roman"/>
          <w:i/>
          <w:color w:val="000000"/>
          <w:sz w:val="24"/>
          <w:szCs w:val="24"/>
          <w:shd w:val="clear" w:color="auto" w:fill="FFFFFF"/>
          <w:lang w:eastAsia="ru-RU"/>
        </w:rPr>
        <w:t xml:space="preserve"> </w:t>
      </w:r>
    </w:p>
    <w:p w14:paraId="72431D1E" w14:textId="767A48BD" w:rsidR="00076B19" w:rsidRPr="00125FAF" w:rsidRDefault="00076B19" w:rsidP="00E13B78">
      <w:pPr>
        <w:spacing w:before="120" w:after="0" w:line="240" w:lineRule="auto"/>
        <w:jc w:val="center"/>
        <w:rPr>
          <w:rFonts w:ascii="Times New Roman" w:eastAsia="Times New Roman" w:hAnsi="Times New Roman" w:cs="Times New Roman"/>
          <w:b/>
          <w:i/>
          <w:sz w:val="24"/>
          <w:szCs w:val="24"/>
          <w:lang w:eastAsia="ru-RU"/>
        </w:rPr>
      </w:pPr>
      <w:r w:rsidRPr="00125FAF">
        <w:rPr>
          <w:rFonts w:ascii="Times New Roman" w:eastAsia="Times New Roman" w:hAnsi="Times New Roman" w:cs="Times New Roman"/>
          <w:b/>
          <w:iCs/>
          <w:color w:val="000000"/>
          <w:sz w:val="24"/>
          <w:szCs w:val="24"/>
          <w:shd w:val="clear" w:color="auto" w:fill="FFFFFF"/>
          <w:lang w:eastAsia="ru-RU"/>
        </w:rPr>
        <w:t>Bugetul pentru implementarea proiectelor legate de climă în RM pe termen mediu</w:t>
      </w:r>
      <w:bookmarkEnd w:id="8"/>
    </w:p>
    <w:tbl>
      <w:tblPr>
        <w:tblStyle w:val="TableGrid4"/>
        <w:tblW w:w="0" w:type="auto"/>
        <w:tblLook w:val="04A0" w:firstRow="1" w:lastRow="0" w:firstColumn="1" w:lastColumn="0" w:noHBand="0" w:noVBand="1"/>
      </w:tblPr>
      <w:tblGrid>
        <w:gridCol w:w="2096"/>
        <w:gridCol w:w="3828"/>
        <w:gridCol w:w="1580"/>
        <w:gridCol w:w="1615"/>
      </w:tblGrid>
      <w:tr w:rsidR="00076B19" w:rsidRPr="00125FAF" w14:paraId="694E07AF" w14:textId="77777777" w:rsidTr="00AC461F">
        <w:tc>
          <w:tcPr>
            <w:tcW w:w="2096" w:type="dxa"/>
            <w:shd w:val="clear" w:color="auto" w:fill="E2EFD9"/>
            <w:vAlign w:val="center"/>
          </w:tcPr>
          <w:p w14:paraId="13C0FDEA" w14:textId="77777777" w:rsidR="00076B19" w:rsidRPr="00125FAF" w:rsidRDefault="00076B19" w:rsidP="00076B19">
            <w:pPr>
              <w:autoSpaceDE w:val="0"/>
              <w:autoSpaceDN w:val="0"/>
              <w:adjustRightInd w:val="0"/>
              <w:jc w:val="center"/>
              <w:rPr>
                <w:rFonts w:ascii="Times New Roman" w:eastAsia="Times New Roman" w:hAnsi="Times New Roman" w:cs="Times New Roman"/>
                <w:b/>
                <w:sz w:val="20"/>
                <w:szCs w:val="20"/>
                <w:lang w:eastAsia="ro-RO"/>
              </w:rPr>
            </w:pPr>
            <w:r w:rsidRPr="00125FAF">
              <w:rPr>
                <w:rFonts w:ascii="Times New Roman" w:eastAsia="Calibri" w:hAnsi="Times New Roman" w:cs="Times New Roman"/>
                <w:b/>
                <w:bCs/>
                <w:sz w:val="20"/>
                <w:szCs w:val="20"/>
              </w:rPr>
              <w:t>Donatorii</w:t>
            </w:r>
          </w:p>
        </w:tc>
        <w:tc>
          <w:tcPr>
            <w:tcW w:w="3828" w:type="dxa"/>
            <w:shd w:val="clear" w:color="auto" w:fill="E2EFD9"/>
            <w:vAlign w:val="center"/>
          </w:tcPr>
          <w:p w14:paraId="6DD9B0C7" w14:textId="040FEAB7" w:rsidR="00076B19" w:rsidRPr="00125FAF" w:rsidRDefault="00076B19" w:rsidP="00076B19">
            <w:pPr>
              <w:jc w:val="center"/>
              <w:textAlignment w:val="baseline"/>
              <w:rPr>
                <w:rFonts w:ascii="Times New Roman" w:eastAsia="Times New Roman" w:hAnsi="Times New Roman" w:cs="Times New Roman"/>
                <w:b/>
                <w:sz w:val="20"/>
                <w:szCs w:val="20"/>
                <w:lang w:eastAsia="ro-RO"/>
              </w:rPr>
            </w:pPr>
            <w:r w:rsidRPr="00125FAF">
              <w:rPr>
                <w:rFonts w:ascii="Times New Roman" w:eastAsia="Times New Roman" w:hAnsi="Times New Roman" w:cs="Times New Roman"/>
                <w:b/>
                <w:sz w:val="20"/>
                <w:szCs w:val="20"/>
                <w:lang w:eastAsia="ro-RO"/>
              </w:rPr>
              <w:t>Proiect/</w:t>
            </w:r>
            <w:r w:rsidR="00DE3C30" w:rsidRPr="00125FAF">
              <w:rPr>
                <w:rFonts w:ascii="Times New Roman" w:eastAsia="Times New Roman" w:hAnsi="Times New Roman" w:cs="Times New Roman"/>
                <w:b/>
                <w:sz w:val="20"/>
                <w:szCs w:val="20"/>
                <w:lang w:eastAsia="ro-RO"/>
              </w:rPr>
              <w:t xml:space="preserve"> </w:t>
            </w:r>
            <w:r w:rsidRPr="00125FAF">
              <w:rPr>
                <w:rFonts w:ascii="Times New Roman" w:eastAsia="Times New Roman" w:hAnsi="Times New Roman" w:cs="Times New Roman"/>
                <w:b/>
                <w:sz w:val="20"/>
                <w:szCs w:val="20"/>
                <w:lang w:eastAsia="ro-RO"/>
              </w:rPr>
              <w:t>Program</w:t>
            </w:r>
          </w:p>
        </w:tc>
        <w:tc>
          <w:tcPr>
            <w:tcW w:w="1580" w:type="dxa"/>
            <w:shd w:val="clear" w:color="auto" w:fill="E2EFD9"/>
            <w:vAlign w:val="center"/>
          </w:tcPr>
          <w:p w14:paraId="535FBA07" w14:textId="77777777" w:rsidR="00076B19" w:rsidRPr="00125FAF" w:rsidRDefault="00076B19" w:rsidP="00076B19">
            <w:pPr>
              <w:jc w:val="center"/>
              <w:textAlignment w:val="baseline"/>
              <w:rPr>
                <w:rFonts w:ascii="Times New Roman" w:eastAsia="Times New Roman" w:hAnsi="Times New Roman" w:cs="Times New Roman"/>
                <w:b/>
                <w:sz w:val="20"/>
                <w:szCs w:val="20"/>
                <w:lang w:eastAsia="ro-RO"/>
              </w:rPr>
            </w:pPr>
            <w:r w:rsidRPr="00125FAF">
              <w:rPr>
                <w:rFonts w:ascii="Times New Roman" w:eastAsia="Times New Roman" w:hAnsi="Times New Roman" w:cs="Times New Roman"/>
                <w:b/>
                <w:sz w:val="20"/>
                <w:szCs w:val="20"/>
                <w:lang w:eastAsia="ro-RO"/>
              </w:rPr>
              <w:t>Suma</w:t>
            </w:r>
          </w:p>
        </w:tc>
        <w:tc>
          <w:tcPr>
            <w:tcW w:w="1615" w:type="dxa"/>
            <w:shd w:val="clear" w:color="auto" w:fill="E2EFD9"/>
            <w:vAlign w:val="center"/>
          </w:tcPr>
          <w:p w14:paraId="1A708293" w14:textId="77777777" w:rsidR="00076B19" w:rsidRPr="00125FAF" w:rsidRDefault="00076B19" w:rsidP="00076B19">
            <w:pPr>
              <w:jc w:val="center"/>
              <w:textAlignment w:val="baseline"/>
              <w:rPr>
                <w:rFonts w:ascii="Times New Roman" w:eastAsia="Times New Roman" w:hAnsi="Times New Roman" w:cs="Times New Roman"/>
                <w:b/>
                <w:sz w:val="20"/>
                <w:szCs w:val="20"/>
                <w:lang w:eastAsia="ro-RO"/>
              </w:rPr>
            </w:pPr>
            <w:r w:rsidRPr="00125FAF">
              <w:rPr>
                <w:rFonts w:ascii="Times New Roman" w:eastAsia="Times New Roman" w:hAnsi="Times New Roman" w:cs="Times New Roman"/>
                <w:b/>
                <w:sz w:val="20"/>
                <w:szCs w:val="20"/>
                <w:lang w:eastAsia="ro-RO"/>
              </w:rPr>
              <w:t>Perioadă de implementare</w:t>
            </w:r>
          </w:p>
        </w:tc>
      </w:tr>
      <w:tr w:rsidR="00076B19" w:rsidRPr="00125FAF" w14:paraId="1DC53E90" w14:textId="77777777" w:rsidTr="00AC461F">
        <w:tc>
          <w:tcPr>
            <w:tcW w:w="2096" w:type="dxa"/>
            <w:vAlign w:val="center"/>
          </w:tcPr>
          <w:p w14:paraId="7189ACF2" w14:textId="77777777" w:rsidR="00076B19" w:rsidRPr="00125FAF" w:rsidRDefault="00076B19" w:rsidP="00076B19">
            <w:pPr>
              <w:jc w:val="both"/>
              <w:textAlignment w:val="baseline"/>
              <w:rPr>
                <w:rFonts w:ascii="Times New Roman" w:eastAsia="Times New Roman" w:hAnsi="Times New Roman" w:cs="Times New Roman"/>
                <w:sz w:val="20"/>
                <w:szCs w:val="20"/>
                <w:lang w:eastAsia="ro-RO"/>
              </w:rPr>
            </w:pPr>
            <w:r w:rsidRPr="00125FAF">
              <w:rPr>
                <w:rFonts w:ascii="Times New Roman" w:eastAsia="Times New Roman" w:hAnsi="Times New Roman" w:cs="Times New Roman"/>
                <w:sz w:val="20"/>
                <w:szCs w:val="20"/>
                <w:lang w:eastAsia="ro-RO"/>
              </w:rPr>
              <w:t>BEI</w:t>
            </w:r>
          </w:p>
          <w:p w14:paraId="49BCC117" w14:textId="77777777" w:rsidR="00076B19" w:rsidRPr="00125FAF" w:rsidRDefault="00076B19" w:rsidP="00076B19">
            <w:pPr>
              <w:jc w:val="both"/>
              <w:textAlignment w:val="baseline"/>
              <w:rPr>
                <w:rFonts w:ascii="Times New Roman" w:eastAsia="Times New Roman" w:hAnsi="Times New Roman" w:cs="Times New Roman"/>
                <w:sz w:val="20"/>
                <w:szCs w:val="20"/>
                <w:lang w:eastAsia="ro-RO"/>
              </w:rPr>
            </w:pPr>
            <w:r w:rsidRPr="00125FAF">
              <w:rPr>
                <w:rFonts w:ascii="Times New Roman" w:eastAsia="Times New Roman" w:hAnsi="Times New Roman" w:cs="Times New Roman"/>
                <w:sz w:val="20"/>
                <w:szCs w:val="20"/>
                <w:lang w:eastAsia="ro-RO"/>
              </w:rPr>
              <w:t>BERD</w:t>
            </w:r>
          </w:p>
        </w:tc>
        <w:tc>
          <w:tcPr>
            <w:tcW w:w="3828" w:type="dxa"/>
          </w:tcPr>
          <w:p w14:paraId="69486EE3" w14:textId="77777777" w:rsidR="00076B19" w:rsidRPr="00125FAF" w:rsidRDefault="00076B19" w:rsidP="00076B19">
            <w:pPr>
              <w:jc w:val="both"/>
              <w:textAlignment w:val="baseline"/>
              <w:rPr>
                <w:rFonts w:ascii="Times New Roman" w:eastAsia="Times New Roman" w:hAnsi="Times New Roman" w:cs="Times New Roman"/>
                <w:sz w:val="20"/>
                <w:szCs w:val="20"/>
                <w:lang w:eastAsia="ro-RO"/>
              </w:rPr>
            </w:pPr>
            <w:r w:rsidRPr="00125FAF">
              <w:rPr>
                <w:rFonts w:ascii="Times New Roman" w:eastAsia="Times New Roman" w:hAnsi="Times New Roman" w:cs="Times New Roman"/>
                <w:sz w:val="20"/>
                <w:szCs w:val="20"/>
                <w:lang w:eastAsia="ro-RO"/>
              </w:rPr>
              <w:t>Reabilitarea drumurilor naționale</w:t>
            </w:r>
            <w:bookmarkStart w:id="9" w:name="_Ref16495241"/>
            <w:r w:rsidRPr="00125FAF">
              <w:rPr>
                <w:rFonts w:ascii="Times New Roman" w:eastAsia="Times New Roman" w:hAnsi="Times New Roman" w:cs="Times New Roman"/>
                <w:sz w:val="20"/>
                <w:szCs w:val="20"/>
                <w:vertAlign w:val="superscript"/>
                <w:lang w:eastAsia="ro-RO"/>
              </w:rPr>
              <w:footnoteReference w:id="12"/>
            </w:r>
            <w:bookmarkEnd w:id="9"/>
          </w:p>
        </w:tc>
        <w:tc>
          <w:tcPr>
            <w:tcW w:w="1580" w:type="dxa"/>
            <w:vAlign w:val="center"/>
          </w:tcPr>
          <w:p w14:paraId="1AD2EB02" w14:textId="722416BE" w:rsidR="00076B19" w:rsidRPr="00125FAF" w:rsidRDefault="00076B19" w:rsidP="00076B19">
            <w:pPr>
              <w:jc w:val="center"/>
              <w:textAlignment w:val="baseline"/>
              <w:rPr>
                <w:rFonts w:ascii="Times New Roman" w:eastAsia="Times New Roman" w:hAnsi="Times New Roman" w:cs="Times New Roman"/>
                <w:sz w:val="20"/>
                <w:szCs w:val="20"/>
                <w:lang w:eastAsia="ro-RO"/>
              </w:rPr>
            </w:pPr>
            <w:r w:rsidRPr="00125FAF">
              <w:rPr>
                <w:rFonts w:ascii="Times New Roman" w:eastAsia="Times New Roman" w:hAnsi="Times New Roman" w:cs="Times New Roman"/>
                <w:sz w:val="20"/>
                <w:szCs w:val="20"/>
                <w:lang w:eastAsia="ro-RO"/>
              </w:rPr>
              <w:t>59</w:t>
            </w:r>
            <w:r w:rsidR="00DE3C30" w:rsidRPr="00125FAF">
              <w:rPr>
                <w:rFonts w:ascii="Times New Roman" w:eastAsia="Times New Roman" w:hAnsi="Times New Roman" w:cs="Times New Roman"/>
                <w:sz w:val="20"/>
                <w:szCs w:val="20"/>
                <w:lang w:eastAsia="ro-RO"/>
              </w:rPr>
              <w:t>,</w:t>
            </w:r>
            <w:r w:rsidRPr="00125FAF">
              <w:rPr>
                <w:rFonts w:ascii="Times New Roman" w:eastAsia="Times New Roman" w:hAnsi="Times New Roman" w:cs="Times New Roman"/>
                <w:sz w:val="20"/>
                <w:szCs w:val="20"/>
                <w:lang w:eastAsia="ro-RO"/>
              </w:rPr>
              <w:t>4 mil €</w:t>
            </w:r>
          </w:p>
          <w:p w14:paraId="288E7ED3" w14:textId="4EACB270" w:rsidR="00076B19" w:rsidRPr="00125FAF" w:rsidRDefault="00076B19" w:rsidP="00076B19">
            <w:pPr>
              <w:jc w:val="center"/>
              <w:textAlignment w:val="baseline"/>
              <w:rPr>
                <w:rFonts w:ascii="Times New Roman" w:eastAsia="Times New Roman" w:hAnsi="Times New Roman" w:cs="Times New Roman"/>
                <w:sz w:val="20"/>
                <w:szCs w:val="20"/>
                <w:lang w:eastAsia="ro-RO"/>
              </w:rPr>
            </w:pPr>
            <w:r w:rsidRPr="00125FAF">
              <w:rPr>
                <w:rFonts w:ascii="Times New Roman" w:eastAsia="Times New Roman" w:hAnsi="Times New Roman" w:cs="Times New Roman"/>
                <w:sz w:val="20"/>
                <w:szCs w:val="20"/>
                <w:lang w:eastAsia="ro-RO"/>
              </w:rPr>
              <w:t>32</w:t>
            </w:r>
            <w:r w:rsidR="00DE3C30" w:rsidRPr="00125FAF">
              <w:rPr>
                <w:rFonts w:ascii="Times New Roman" w:eastAsia="Times New Roman" w:hAnsi="Times New Roman" w:cs="Times New Roman"/>
                <w:sz w:val="20"/>
                <w:szCs w:val="20"/>
                <w:lang w:eastAsia="ro-RO"/>
              </w:rPr>
              <w:t>,</w:t>
            </w:r>
            <w:r w:rsidRPr="00125FAF">
              <w:rPr>
                <w:rFonts w:ascii="Times New Roman" w:eastAsia="Times New Roman" w:hAnsi="Times New Roman" w:cs="Times New Roman"/>
                <w:sz w:val="20"/>
                <w:szCs w:val="20"/>
                <w:lang w:eastAsia="ro-RO"/>
              </w:rPr>
              <w:t>4 mil €</w:t>
            </w:r>
          </w:p>
        </w:tc>
        <w:tc>
          <w:tcPr>
            <w:tcW w:w="1615" w:type="dxa"/>
            <w:vAlign w:val="center"/>
          </w:tcPr>
          <w:p w14:paraId="7DA428FC" w14:textId="77777777" w:rsidR="00076B19" w:rsidRPr="00125FAF" w:rsidRDefault="00076B19" w:rsidP="00076B19">
            <w:pPr>
              <w:jc w:val="center"/>
              <w:textAlignment w:val="baseline"/>
              <w:rPr>
                <w:rFonts w:ascii="Times New Roman" w:eastAsia="Times New Roman" w:hAnsi="Times New Roman" w:cs="Times New Roman"/>
                <w:sz w:val="20"/>
                <w:szCs w:val="20"/>
                <w:lang w:eastAsia="ro-RO"/>
              </w:rPr>
            </w:pPr>
            <w:r w:rsidRPr="00125FAF">
              <w:rPr>
                <w:rFonts w:ascii="Times New Roman" w:eastAsia="Times New Roman" w:hAnsi="Times New Roman" w:cs="Times New Roman"/>
                <w:sz w:val="20"/>
                <w:szCs w:val="20"/>
                <w:lang w:eastAsia="ro-RO"/>
              </w:rPr>
              <w:t>2019-2022</w:t>
            </w:r>
          </w:p>
        </w:tc>
      </w:tr>
      <w:tr w:rsidR="00076B19" w:rsidRPr="00125FAF" w14:paraId="1EEEA38E" w14:textId="77777777" w:rsidTr="00AC461F">
        <w:tc>
          <w:tcPr>
            <w:tcW w:w="2096" w:type="dxa"/>
            <w:vAlign w:val="center"/>
          </w:tcPr>
          <w:p w14:paraId="32FDED42" w14:textId="77777777" w:rsidR="00076B19" w:rsidRPr="00125FAF" w:rsidRDefault="00076B19" w:rsidP="00076B19">
            <w:pPr>
              <w:jc w:val="both"/>
              <w:textAlignment w:val="baseline"/>
              <w:rPr>
                <w:rFonts w:ascii="Times New Roman" w:eastAsia="Times New Roman" w:hAnsi="Times New Roman" w:cs="Times New Roman"/>
                <w:sz w:val="20"/>
                <w:szCs w:val="20"/>
                <w:lang w:eastAsia="ro-RO"/>
              </w:rPr>
            </w:pPr>
            <w:r w:rsidRPr="00125FAF">
              <w:rPr>
                <w:rFonts w:ascii="Times New Roman" w:eastAsia="Times New Roman" w:hAnsi="Times New Roman" w:cs="Times New Roman"/>
                <w:sz w:val="20"/>
                <w:szCs w:val="20"/>
                <w:lang w:eastAsia="ro-RO"/>
              </w:rPr>
              <w:t>BERD</w:t>
            </w:r>
          </w:p>
          <w:p w14:paraId="5283D9BD" w14:textId="77777777" w:rsidR="00076B19" w:rsidRPr="00125FAF" w:rsidRDefault="00076B19" w:rsidP="00076B19">
            <w:pPr>
              <w:jc w:val="both"/>
              <w:textAlignment w:val="baseline"/>
              <w:rPr>
                <w:rFonts w:ascii="Times New Roman" w:eastAsia="Times New Roman" w:hAnsi="Times New Roman" w:cs="Times New Roman"/>
                <w:sz w:val="20"/>
                <w:szCs w:val="20"/>
                <w:lang w:eastAsia="ro-RO"/>
              </w:rPr>
            </w:pPr>
            <w:r w:rsidRPr="00125FAF">
              <w:rPr>
                <w:rFonts w:ascii="Times New Roman" w:eastAsia="Times New Roman" w:hAnsi="Times New Roman" w:cs="Times New Roman"/>
                <w:sz w:val="20"/>
                <w:szCs w:val="20"/>
                <w:lang w:eastAsia="ro-RO"/>
              </w:rPr>
              <w:t>BEI</w:t>
            </w:r>
          </w:p>
          <w:p w14:paraId="2744FC8E" w14:textId="77777777" w:rsidR="00076B19" w:rsidRPr="00125FAF" w:rsidRDefault="00076B19" w:rsidP="00076B19">
            <w:pPr>
              <w:jc w:val="both"/>
              <w:textAlignment w:val="baseline"/>
              <w:rPr>
                <w:rFonts w:ascii="Times New Roman" w:eastAsia="Times New Roman" w:hAnsi="Times New Roman" w:cs="Times New Roman"/>
                <w:sz w:val="20"/>
                <w:szCs w:val="20"/>
                <w:lang w:eastAsia="ro-RO"/>
              </w:rPr>
            </w:pPr>
            <w:r w:rsidRPr="00125FAF">
              <w:rPr>
                <w:rFonts w:ascii="Times New Roman" w:eastAsia="Times New Roman" w:hAnsi="Times New Roman" w:cs="Times New Roman"/>
                <w:sz w:val="20"/>
                <w:szCs w:val="20"/>
                <w:lang w:eastAsia="ro-RO"/>
              </w:rPr>
              <w:t>UE</w:t>
            </w:r>
          </w:p>
          <w:p w14:paraId="1C99A5B6" w14:textId="77777777" w:rsidR="00076B19" w:rsidRPr="00125FAF" w:rsidRDefault="00076B19" w:rsidP="00076B19">
            <w:pPr>
              <w:jc w:val="both"/>
              <w:textAlignment w:val="baseline"/>
              <w:rPr>
                <w:rFonts w:ascii="Times New Roman" w:eastAsia="Times New Roman" w:hAnsi="Times New Roman" w:cs="Times New Roman"/>
                <w:sz w:val="20"/>
                <w:szCs w:val="20"/>
                <w:lang w:eastAsia="ro-RO"/>
              </w:rPr>
            </w:pPr>
            <w:r w:rsidRPr="00125FAF">
              <w:rPr>
                <w:rFonts w:ascii="Times New Roman" w:eastAsia="Times New Roman" w:hAnsi="Times New Roman" w:cs="Times New Roman"/>
                <w:sz w:val="20"/>
                <w:szCs w:val="20"/>
                <w:lang w:eastAsia="ro-RO"/>
              </w:rPr>
              <w:t>NIP (component de grant – în proces de negociere)</w:t>
            </w:r>
          </w:p>
        </w:tc>
        <w:tc>
          <w:tcPr>
            <w:tcW w:w="3828" w:type="dxa"/>
          </w:tcPr>
          <w:p w14:paraId="4D76ED97" w14:textId="2D5891A8" w:rsidR="00076B19" w:rsidRPr="00125FAF" w:rsidRDefault="00076B19" w:rsidP="00076B19">
            <w:pPr>
              <w:jc w:val="both"/>
              <w:textAlignment w:val="baseline"/>
              <w:rPr>
                <w:rFonts w:ascii="Times New Roman" w:eastAsia="Calibri" w:hAnsi="Times New Roman" w:cs="Times New Roman"/>
                <w:sz w:val="20"/>
                <w:szCs w:val="20"/>
              </w:rPr>
            </w:pPr>
            <w:r w:rsidRPr="00125FAF">
              <w:rPr>
                <w:rFonts w:ascii="Times New Roman" w:eastAsia="Times New Roman" w:hAnsi="Times New Roman" w:cs="Times New Roman"/>
                <w:sz w:val="20"/>
                <w:szCs w:val="20"/>
                <w:lang w:eastAsia="ro-RO"/>
              </w:rPr>
              <w:t>Îmbunătățirea eficienței energetice a clădirilor publice și rezidențiale din Republica Moldova</w:t>
            </w:r>
            <w:r w:rsidRPr="00AC461F">
              <w:rPr>
                <w:rFonts w:ascii="Times New Roman" w:eastAsia="Times New Roman" w:hAnsi="Times New Roman" w:cs="Times New Roman"/>
                <w:sz w:val="20"/>
                <w:szCs w:val="20"/>
                <w:vertAlign w:val="superscript"/>
                <w:lang w:eastAsia="ro-RO"/>
              </w:rPr>
              <w:fldChar w:fldCharType="begin"/>
            </w:r>
            <w:r w:rsidRPr="00AC461F">
              <w:rPr>
                <w:rFonts w:ascii="Times New Roman" w:eastAsia="Times New Roman" w:hAnsi="Times New Roman" w:cs="Times New Roman"/>
                <w:sz w:val="20"/>
                <w:szCs w:val="20"/>
                <w:vertAlign w:val="superscript"/>
                <w:lang w:eastAsia="ro-RO"/>
              </w:rPr>
              <w:instrText xml:space="preserve"> NOTEREF _Ref16495241 \f \h  \* MERGEFORMAT </w:instrText>
            </w:r>
            <w:r w:rsidRPr="00AC461F">
              <w:rPr>
                <w:rFonts w:ascii="Times New Roman" w:eastAsia="Times New Roman" w:hAnsi="Times New Roman" w:cs="Times New Roman"/>
                <w:sz w:val="20"/>
                <w:szCs w:val="20"/>
                <w:vertAlign w:val="superscript"/>
                <w:lang w:eastAsia="ro-RO"/>
              </w:rPr>
            </w:r>
            <w:r w:rsidRPr="00AC461F">
              <w:rPr>
                <w:rFonts w:ascii="Times New Roman" w:eastAsia="Times New Roman" w:hAnsi="Times New Roman" w:cs="Times New Roman"/>
                <w:sz w:val="20"/>
                <w:szCs w:val="20"/>
                <w:vertAlign w:val="superscript"/>
                <w:lang w:eastAsia="ro-RO"/>
              </w:rPr>
              <w:fldChar w:fldCharType="separate"/>
            </w:r>
            <w:r w:rsidR="00860A28" w:rsidRPr="00AC461F">
              <w:rPr>
                <w:vertAlign w:val="superscript"/>
              </w:rPr>
              <w:t>12</w:t>
            </w:r>
            <w:r w:rsidRPr="00AC461F">
              <w:rPr>
                <w:rFonts w:ascii="Times New Roman" w:eastAsia="Times New Roman" w:hAnsi="Times New Roman" w:cs="Times New Roman"/>
                <w:sz w:val="20"/>
                <w:szCs w:val="20"/>
                <w:vertAlign w:val="superscript"/>
                <w:lang w:eastAsia="ro-RO"/>
              </w:rPr>
              <w:fldChar w:fldCharType="end"/>
            </w:r>
          </w:p>
          <w:p w14:paraId="668595B7" w14:textId="77777777" w:rsidR="00076B19" w:rsidRPr="00125FAF" w:rsidRDefault="00076B19" w:rsidP="00076B19">
            <w:pPr>
              <w:jc w:val="both"/>
              <w:textAlignment w:val="baseline"/>
              <w:rPr>
                <w:rFonts w:ascii="Times New Roman" w:eastAsia="Calibri" w:hAnsi="Times New Roman" w:cs="Times New Roman"/>
                <w:sz w:val="20"/>
                <w:szCs w:val="20"/>
              </w:rPr>
            </w:pPr>
          </w:p>
        </w:tc>
        <w:tc>
          <w:tcPr>
            <w:tcW w:w="1580" w:type="dxa"/>
            <w:vAlign w:val="center"/>
          </w:tcPr>
          <w:p w14:paraId="2DCD81D8" w14:textId="77777777" w:rsidR="00076B19" w:rsidRPr="00125FAF" w:rsidRDefault="00076B19" w:rsidP="00076B19">
            <w:pPr>
              <w:jc w:val="center"/>
              <w:textAlignment w:val="baseline"/>
              <w:rPr>
                <w:rFonts w:ascii="Times New Roman" w:eastAsia="Times New Roman" w:hAnsi="Times New Roman" w:cs="Times New Roman"/>
                <w:sz w:val="20"/>
                <w:szCs w:val="20"/>
                <w:lang w:eastAsia="ro-RO"/>
              </w:rPr>
            </w:pPr>
            <w:r w:rsidRPr="00125FAF">
              <w:rPr>
                <w:rFonts w:ascii="Times New Roman" w:eastAsia="Times New Roman" w:hAnsi="Times New Roman" w:cs="Times New Roman"/>
                <w:sz w:val="20"/>
                <w:szCs w:val="20"/>
                <w:lang w:eastAsia="ro-RO"/>
              </w:rPr>
              <w:t>80 mil €</w:t>
            </w:r>
          </w:p>
        </w:tc>
        <w:tc>
          <w:tcPr>
            <w:tcW w:w="1615" w:type="dxa"/>
            <w:vAlign w:val="center"/>
          </w:tcPr>
          <w:p w14:paraId="3FFB18AE" w14:textId="77777777" w:rsidR="00076B19" w:rsidRPr="00125FAF" w:rsidRDefault="00076B19" w:rsidP="00076B19">
            <w:pPr>
              <w:jc w:val="center"/>
              <w:textAlignment w:val="baseline"/>
              <w:rPr>
                <w:rFonts w:ascii="Times New Roman" w:eastAsia="Times New Roman" w:hAnsi="Times New Roman" w:cs="Times New Roman"/>
                <w:sz w:val="20"/>
                <w:szCs w:val="20"/>
                <w:lang w:eastAsia="ro-RO"/>
              </w:rPr>
            </w:pPr>
            <w:r w:rsidRPr="00125FAF">
              <w:rPr>
                <w:rFonts w:ascii="Times New Roman" w:eastAsia="Times New Roman" w:hAnsi="Times New Roman" w:cs="Times New Roman"/>
                <w:sz w:val="20"/>
                <w:szCs w:val="20"/>
                <w:lang w:eastAsia="ro-RO"/>
              </w:rPr>
              <w:t>2019-2023</w:t>
            </w:r>
          </w:p>
        </w:tc>
      </w:tr>
      <w:tr w:rsidR="00076B19" w:rsidRPr="00125FAF" w14:paraId="155913EA" w14:textId="77777777" w:rsidTr="00AC461F">
        <w:tc>
          <w:tcPr>
            <w:tcW w:w="2096" w:type="dxa"/>
            <w:shd w:val="clear" w:color="auto" w:fill="auto"/>
            <w:vAlign w:val="center"/>
          </w:tcPr>
          <w:p w14:paraId="440537FB" w14:textId="77777777" w:rsidR="00076B19" w:rsidRPr="00125FAF" w:rsidRDefault="00076B19" w:rsidP="00076B19">
            <w:pPr>
              <w:jc w:val="both"/>
              <w:textAlignment w:val="baseline"/>
              <w:rPr>
                <w:rFonts w:ascii="Times New Roman" w:eastAsia="Calibri" w:hAnsi="Times New Roman" w:cs="Times New Roman"/>
                <w:sz w:val="20"/>
                <w:szCs w:val="20"/>
              </w:rPr>
            </w:pPr>
            <w:r w:rsidRPr="00125FAF">
              <w:rPr>
                <w:rFonts w:ascii="Times New Roman" w:eastAsia="Calibri" w:hAnsi="Times New Roman" w:cs="Times New Roman"/>
                <w:sz w:val="20"/>
                <w:szCs w:val="20"/>
              </w:rPr>
              <w:t>Agenția Japoneză de Cooperare Internațională (JIKA)</w:t>
            </w:r>
          </w:p>
        </w:tc>
        <w:tc>
          <w:tcPr>
            <w:tcW w:w="3828" w:type="dxa"/>
            <w:shd w:val="clear" w:color="auto" w:fill="auto"/>
          </w:tcPr>
          <w:p w14:paraId="17417745" w14:textId="4837522B" w:rsidR="00076B19" w:rsidRPr="00125FAF" w:rsidRDefault="00076B19" w:rsidP="00076B19">
            <w:pPr>
              <w:jc w:val="both"/>
              <w:textAlignment w:val="baseline"/>
              <w:rPr>
                <w:rFonts w:ascii="Times New Roman" w:eastAsia="Calibri" w:hAnsi="Times New Roman" w:cs="Times New Roman"/>
                <w:sz w:val="20"/>
                <w:szCs w:val="20"/>
              </w:rPr>
            </w:pPr>
            <w:r w:rsidRPr="00125FAF">
              <w:rPr>
                <w:rFonts w:ascii="Times New Roman" w:eastAsia="Times New Roman" w:hAnsi="Times New Roman" w:cs="Times New Roman"/>
                <w:sz w:val="20"/>
                <w:szCs w:val="20"/>
                <w:lang w:eastAsia="ro-RO"/>
              </w:rPr>
              <w:t>Dezvoltarea capacităților managerilor locali în energetică, în vederea unei implementări bune a politicilor de stat privind eficiența energetică la nivel local</w:t>
            </w:r>
            <w:r w:rsidRPr="00AC461F">
              <w:rPr>
                <w:rFonts w:ascii="Times New Roman" w:eastAsia="Times New Roman" w:hAnsi="Times New Roman" w:cs="Times New Roman"/>
                <w:sz w:val="20"/>
                <w:szCs w:val="20"/>
                <w:vertAlign w:val="superscript"/>
                <w:lang w:eastAsia="ro-RO"/>
              </w:rPr>
              <w:fldChar w:fldCharType="begin"/>
            </w:r>
            <w:r w:rsidRPr="00AC461F">
              <w:rPr>
                <w:rFonts w:ascii="Times New Roman" w:eastAsia="Times New Roman" w:hAnsi="Times New Roman" w:cs="Times New Roman"/>
                <w:sz w:val="20"/>
                <w:szCs w:val="20"/>
                <w:vertAlign w:val="superscript"/>
                <w:lang w:eastAsia="ro-RO"/>
              </w:rPr>
              <w:instrText xml:space="preserve"> NOTEREF _Ref16495241 \f \h  \* MERGEFORMAT </w:instrText>
            </w:r>
            <w:r w:rsidRPr="00AC461F">
              <w:rPr>
                <w:rFonts w:ascii="Times New Roman" w:eastAsia="Times New Roman" w:hAnsi="Times New Roman" w:cs="Times New Roman"/>
                <w:sz w:val="20"/>
                <w:szCs w:val="20"/>
                <w:vertAlign w:val="superscript"/>
                <w:lang w:eastAsia="ro-RO"/>
              </w:rPr>
            </w:r>
            <w:r w:rsidRPr="00AC461F">
              <w:rPr>
                <w:rFonts w:ascii="Times New Roman" w:eastAsia="Times New Roman" w:hAnsi="Times New Roman" w:cs="Times New Roman"/>
                <w:sz w:val="20"/>
                <w:szCs w:val="20"/>
                <w:vertAlign w:val="superscript"/>
                <w:lang w:eastAsia="ro-RO"/>
              </w:rPr>
              <w:fldChar w:fldCharType="separate"/>
            </w:r>
            <w:r w:rsidR="00860A28" w:rsidRPr="00AC461F">
              <w:rPr>
                <w:vertAlign w:val="superscript"/>
              </w:rPr>
              <w:t>12</w:t>
            </w:r>
            <w:r w:rsidRPr="00AC461F">
              <w:rPr>
                <w:rFonts w:ascii="Times New Roman" w:eastAsia="Times New Roman" w:hAnsi="Times New Roman" w:cs="Times New Roman"/>
                <w:sz w:val="20"/>
                <w:szCs w:val="20"/>
                <w:vertAlign w:val="superscript"/>
                <w:lang w:eastAsia="ro-RO"/>
              </w:rPr>
              <w:fldChar w:fldCharType="end"/>
            </w:r>
          </w:p>
        </w:tc>
        <w:tc>
          <w:tcPr>
            <w:tcW w:w="1580" w:type="dxa"/>
            <w:shd w:val="clear" w:color="auto" w:fill="auto"/>
            <w:vAlign w:val="center"/>
          </w:tcPr>
          <w:p w14:paraId="458958CC" w14:textId="77777777" w:rsidR="00076B19" w:rsidRPr="00125FAF" w:rsidRDefault="00076B19" w:rsidP="00076B19">
            <w:pPr>
              <w:jc w:val="center"/>
              <w:textAlignment w:val="baseline"/>
              <w:rPr>
                <w:rFonts w:ascii="Times New Roman" w:eastAsia="Calibri" w:hAnsi="Times New Roman" w:cs="Times New Roman"/>
                <w:sz w:val="20"/>
                <w:szCs w:val="20"/>
              </w:rPr>
            </w:pPr>
            <w:r w:rsidRPr="00125FAF">
              <w:rPr>
                <w:rFonts w:ascii="Times New Roman" w:eastAsia="Calibri" w:hAnsi="Times New Roman" w:cs="Times New Roman"/>
                <w:sz w:val="20"/>
                <w:szCs w:val="20"/>
              </w:rPr>
              <w:t>5 mil US$</w:t>
            </w:r>
          </w:p>
        </w:tc>
        <w:tc>
          <w:tcPr>
            <w:tcW w:w="1615" w:type="dxa"/>
            <w:shd w:val="clear" w:color="auto" w:fill="auto"/>
            <w:vAlign w:val="center"/>
          </w:tcPr>
          <w:p w14:paraId="412075EE" w14:textId="77777777" w:rsidR="00076B19" w:rsidRPr="00125FAF" w:rsidRDefault="00076B19" w:rsidP="00076B19">
            <w:pPr>
              <w:jc w:val="center"/>
              <w:textAlignment w:val="baseline"/>
              <w:rPr>
                <w:rFonts w:ascii="Times New Roman" w:eastAsia="Times New Roman" w:hAnsi="Times New Roman" w:cs="Times New Roman"/>
                <w:sz w:val="20"/>
                <w:szCs w:val="20"/>
                <w:lang w:eastAsia="ro-RO"/>
              </w:rPr>
            </w:pPr>
            <w:r w:rsidRPr="00125FAF">
              <w:rPr>
                <w:rFonts w:ascii="Times New Roman" w:eastAsia="Times New Roman" w:hAnsi="Times New Roman" w:cs="Times New Roman"/>
                <w:sz w:val="20"/>
                <w:szCs w:val="20"/>
                <w:lang w:eastAsia="ro-RO"/>
              </w:rPr>
              <w:t>2019-2021</w:t>
            </w:r>
          </w:p>
        </w:tc>
      </w:tr>
      <w:tr w:rsidR="00076B19" w:rsidRPr="00125FAF" w14:paraId="4DE5600C" w14:textId="77777777" w:rsidTr="00AC461F">
        <w:tc>
          <w:tcPr>
            <w:tcW w:w="2096" w:type="dxa"/>
            <w:vMerge w:val="restart"/>
            <w:shd w:val="clear" w:color="auto" w:fill="auto"/>
            <w:vAlign w:val="center"/>
          </w:tcPr>
          <w:p w14:paraId="155DB36E" w14:textId="77777777" w:rsidR="00076B19" w:rsidRPr="00125FAF" w:rsidRDefault="00076B19" w:rsidP="00076B19">
            <w:pPr>
              <w:jc w:val="both"/>
              <w:textAlignment w:val="baseline"/>
              <w:rPr>
                <w:rFonts w:ascii="Times New Roman" w:eastAsia="Calibri" w:hAnsi="Times New Roman" w:cs="Times New Roman"/>
                <w:sz w:val="20"/>
                <w:szCs w:val="20"/>
              </w:rPr>
            </w:pPr>
            <w:r w:rsidRPr="00125FAF">
              <w:rPr>
                <w:rFonts w:ascii="Times New Roman" w:eastAsia="Calibri" w:hAnsi="Times New Roman" w:cs="Times New Roman"/>
                <w:sz w:val="20"/>
                <w:szCs w:val="20"/>
              </w:rPr>
              <w:t>USAID</w:t>
            </w:r>
          </w:p>
        </w:tc>
        <w:tc>
          <w:tcPr>
            <w:tcW w:w="3828" w:type="dxa"/>
            <w:shd w:val="clear" w:color="auto" w:fill="auto"/>
          </w:tcPr>
          <w:p w14:paraId="46B93803" w14:textId="0758E040" w:rsidR="00076B19" w:rsidRPr="00125FAF" w:rsidRDefault="00076B19" w:rsidP="00076B19">
            <w:pPr>
              <w:jc w:val="both"/>
              <w:textAlignment w:val="baseline"/>
              <w:rPr>
                <w:rFonts w:ascii="Times New Roman" w:eastAsia="Calibri" w:hAnsi="Times New Roman" w:cs="Times New Roman"/>
                <w:sz w:val="20"/>
                <w:szCs w:val="20"/>
              </w:rPr>
            </w:pPr>
            <w:r w:rsidRPr="00125FAF">
              <w:rPr>
                <w:rFonts w:ascii="Times New Roman" w:eastAsia="Times New Roman" w:hAnsi="Times New Roman" w:cs="Times New Roman"/>
                <w:sz w:val="20"/>
                <w:szCs w:val="20"/>
                <w:lang w:eastAsia="ro-RO"/>
              </w:rPr>
              <w:t>Programul de inovare în tehnologii curate pentru ÎMM-uri și start-</w:t>
            </w:r>
            <w:proofErr w:type="spellStart"/>
            <w:r w:rsidRPr="00125FAF">
              <w:rPr>
                <w:rFonts w:ascii="Times New Roman" w:eastAsia="Times New Roman" w:hAnsi="Times New Roman" w:cs="Times New Roman"/>
                <w:sz w:val="20"/>
                <w:szCs w:val="20"/>
                <w:lang w:eastAsia="ro-RO"/>
              </w:rPr>
              <w:t>up</w:t>
            </w:r>
            <w:proofErr w:type="spellEnd"/>
            <w:r w:rsidRPr="00125FAF">
              <w:rPr>
                <w:rFonts w:ascii="Times New Roman" w:eastAsia="Times New Roman" w:hAnsi="Times New Roman" w:cs="Times New Roman"/>
                <w:sz w:val="20"/>
                <w:szCs w:val="20"/>
                <w:lang w:eastAsia="ro-RO"/>
              </w:rPr>
              <w:t>-uri în Republica Moldova</w:t>
            </w:r>
            <w:r w:rsidRPr="00125FAF">
              <w:rPr>
                <w:rFonts w:ascii="Times New Roman" w:eastAsia="Times New Roman" w:hAnsi="Times New Roman" w:cs="Times New Roman"/>
                <w:sz w:val="20"/>
                <w:szCs w:val="20"/>
                <w:lang w:eastAsia="ro-RO"/>
              </w:rPr>
              <w:fldChar w:fldCharType="begin"/>
            </w:r>
            <w:r w:rsidRPr="00125FAF">
              <w:rPr>
                <w:rFonts w:ascii="Times New Roman" w:eastAsia="Times New Roman" w:hAnsi="Times New Roman" w:cs="Times New Roman"/>
                <w:sz w:val="20"/>
                <w:szCs w:val="20"/>
                <w:lang w:eastAsia="ro-RO"/>
              </w:rPr>
              <w:instrText xml:space="preserve"> NOTEREF _Ref16495241 \f \h  \* MERGEFORMAT </w:instrText>
            </w:r>
            <w:r w:rsidRPr="00125FAF">
              <w:rPr>
                <w:rFonts w:ascii="Times New Roman" w:eastAsia="Times New Roman" w:hAnsi="Times New Roman" w:cs="Times New Roman"/>
                <w:sz w:val="20"/>
                <w:szCs w:val="20"/>
                <w:lang w:eastAsia="ro-RO"/>
              </w:rPr>
            </w:r>
            <w:r w:rsidRPr="00125FAF">
              <w:rPr>
                <w:rFonts w:ascii="Times New Roman" w:eastAsia="Times New Roman" w:hAnsi="Times New Roman" w:cs="Times New Roman"/>
                <w:sz w:val="20"/>
                <w:szCs w:val="20"/>
                <w:lang w:eastAsia="ro-RO"/>
              </w:rPr>
              <w:fldChar w:fldCharType="separate"/>
            </w:r>
            <w:r w:rsidR="00860A28" w:rsidRPr="00860A28">
              <w:t>12</w:t>
            </w:r>
            <w:r w:rsidRPr="00125FAF">
              <w:rPr>
                <w:rFonts w:ascii="Times New Roman" w:eastAsia="Times New Roman" w:hAnsi="Times New Roman" w:cs="Times New Roman"/>
                <w:sz w:val="20"/>
                <w:szCs w:val="20"/>
                <w:lang w:eastAsia="ro-RO"/>
              </w:rPr>
              <w:fldChar w:fldCharType="end"/>
            </w:r>
            <w:r w:rsidRPr="00125FAF">
              <w:rPr>
                <w:rFonts w:ascii="Times New Roman" w:eastAsia="Calibri" w:hAnsi="Times New Roman" w:cs="Times New Roman"/>
                <w:sz w:val="20"/>
                <w:szCs w:val="20"/>
              </w:rPr>
              <w:t>;</w:t>
            </w:r>
          </w:p>
        </w:tc>
        <w:tc>
          <w:tcPr>
            <w:tcW w:w="1580" w:type="dxa"/>
            <w:shd w:val="clear" w:color="auto" w:fill="auto"/>
            <w:vAlign w:val="center"/>
          </w:tcPr>
          <w:p w14:paraId="4AA695A5" w14:textId="2D32346B" w:rsidR="00076B19" w:rsidRPr="00125FAF" w:rsidRDefault="00076B19" w:rsidP="00076B19">
            <w:pPr>
              <w:jc w:val="center"/>
              <w:textAlignment w:val="baseline"/>
              <w:rPr>
                <w:rFonts w:ascii="Times New Roman" w:eastAsia="Calibri" w:hAnsi="Times New Roman" w:cs="Times New Roman"/>
                <w:sz w:val="20"/>
                <w:szCs w:val="20"/>
              </w:rPr>
            </w:pPr>
            <w:r w:rsidRPr="00125FAF">
              <w:rPr>
                <w:rFonts w:ascii="Times New Roman" w:eastAsia="Calibri" w:hAnsi="Times New Roman" w:cs="Times New Roman"/>
                <w:sz w:val="20"/>
                <w:szCs w:val="20"/>
              </w:rPr>
              <w:t>2</w:t>
            </w:r>
            <w:r w:rsidR="00DE3C30" w:rsidRPr="00125FAF">
              <w:rPr>
                <w:rFonts w:ascii="Times New Roman" w:eastAsia="Calibri" w:hAnsi="Times New Roman" w:cs="Times New Roman"/>
                <w:sz w:val="20"/>
                <w:szCs w:val="20"/>
              </w:rPr>
              <w:t>,</w:t>
            </w:r>
            <w:r w:rsidR="00AA63F9">
              <w:rPr>
                <w:rFonts w:ascii="Times New Roman" w:eastAsia="Calibri" w:hAnsi="Times New Roman" w:cs="Times New Roman"/>
                <w:sz w:val="20"/>
                <w:szCs w:val="20"/>
              </w:rPr>
              <w:t>3</w:t>
            </w:r>
            <w:r w:rsidR="00AA63F9" w:rsidRPr="00125FAF">
              <w:rPr>
                <w:rFonts w:ascii="Times New Roman" w:eastAsia="Calibri" w:hAnsi="Times New Roman" w:cs="Times New Roman"/>
                <w:sz w:val="20"/>
                <w:szCs w:val="20"/>
              </w:rPr>
              <w:t xml:space="preserve"> </w:t>
            </w:r>
            <w:r w:rsidRPr="00125FAF">
              <w:rPr>
                <w:rFonts w:ascii="Times New Roman" w:eastAsia="Calibri" w:hAnsi="Times New Roman" w:cs="Times New Roman"/>
                <w:sz w:val="20"/>
                <w:szCs w:val="20"/>
              </w:rPr>
              <w:t>mil US$</w:t>
            </w:r>
          </w:p>
        </w:tc>
        <w:tc>
          <w:tcPr>
            <w:tcW w:w="1615" w:type="dxa"/>
            <w:shd w:val="clear" w:color="auto" w:fill="auto"/>
            <w:vAlign w:val="center"/>
          </w:tcPr>
          <w:p w14:paraId="73C7AA83" w14:textId="77777777" w:rsidR="00076B19" w:rsidRPr="00125FAF" w:rsidRDefault="00076B19" w:rsidP="00076B19">
            <w:pPr>
              <w:jc w:val="center"/>
              <w:textAlignment w:val="baseline"/>
              <w:rPr>
                <w:rFonts w:ascii="Times New Roman" w:eastAsia="Times New Roman" w:hAnsi="Times New Roman" w:cs="Times New Roman"/>
                <w:sz w:val="20"/>
                <w:szCs w:val="20"/>
                <w:lang w:eastAsia="ro-RO"/>
              </w:rPr>
            </w:pPr>
            <w:r w:rsidRPr="00125FAF">
              <w:rPr>
                <w:rFonts w:ascii="Times New Roman" w:eastAsia="Times New Roman" w:hAnsi="Times New Roman" w:cs="Times New Roman"/>
                <w:sz w:val="20"/>
                <w:szCs w:val="20"/>
                <w:lang w:eastAsia="ro-RO"/>
              </w:rPr>
              <w:t>2019-2021</w:t>
            </w:r>
          </w:p>
        </w:tc>
      </w:tr>
      <w:tr w:rsidR="00076B19" w:rsidRPr="00125FAF" w14:paraId="31A431FD" w14:textId="77777777" w:rsidTr="00AC461F">
        <w:tc>
          <w:tcPr>
            <w:tcW w:w="2096" w:type="dxa"/>
            <w:vMerge/>
            <w:shd w:val="clear" w:color="auto" w:fill="auto"/>
            <w:vAlign w:val="center"/>
          </w:tcPr>
          <w:p w14:paraId="73A27AF5" w14:textId="77777777" w:rsidR="00076B19" w:rsidRPr="00125FAF" w:rsidRDefault="00076B19" w:rsidP="00076B19">
            <w:pPr>
              <w:jc w:val="both"/>
              <w:textAlignment w:val="baseline"/>
              <w:rPr>
                <w:rFonts w:ascii="Times New Roman" w:eastAsia="Calibri" w:hAnsi="Times New Roman" w:cs="Times New Roman"/>
                <w:sz w:val="20"/>
                <w:szCs w:val="20"/>
              </w:rPr>
            </w:pPr>
          </w:p>
        </w:tc>
        <w:tc>
          <w:tcPr>
            <w:tcW w:w="3828" w:type="dxa"/>
            <w:shd w:val="clear" w:color="auto" w:fill="auto"/>
          </w:tcPr>
          <w:p w14:paraId="3B53F799" w14:textId="77777777" w:rsidR="00076B19" w:rsidRPr="00125FAF" w:rsidRDefault="00076B19" w:rsidP="00076B19">
            <w:pPr>
              <w:jc w:val="both"/>
              <w:textAlignment w:val="baseline"/>
              <w:rPr>
                <w:rFonts w:ascii="Times New Roman" w:eastAsia="Calibri" w:hAnsi="Times New Roman" w:cs="Times New Roman"/>
                <w:sz w:val="20"/>
                <w:szCs w:val="20"/>
              </w:rPr>
            </w:pPr>
            <w:r w:rsidRPr="00125FAF">
              <w:rPr>
                <w:rFonts w:ascii="Times New Roman" w:eastAsia="Calibri" w:hAnsi="Times New Roman" w:cs="Times New Roman"/>
                <w:sz w:val="20"/>
                <w:szCs w:val="20"/>
              </w:rPr>
              <w:t>Programul de la fermier – la fermier în Moldova</w:t>
            </w:r>
            <w:r w:rsidRPr="00125FAF">
              <w:rPr>
                <w:rFonts w:ascii="Times New Roman" w:eastAsia="Calibri" w:hAnsi="Times New Roman" w:cs="Times New Roman"/>
                <w:sz w:val="20"/>
                <w:szCs w:val="20"/>
                <w:vertAlign w:val="superscript"/>
              </w:rPr>
              <w:footnoteReference w:id="13"/>
            </w:r>
          </w:p>
        </w:tc>
        <w:tc>
          <w:tcPr>
            <w:tcW w:w="1580" w:type="dxa"/>
            <w:shd w:val="clear" w:color="auto" w:fill="auto"/>
            <w:vAlign w:val="center"/>
          </w:tcPr>
          <w:p w14:paraId="1F4E8652" w14:textId="663AE4E3" w:rsidR="00076B19" w:rsidRPr="00125FAF" w:rsidRDefault="00076B19" w:rsidP="00076B19">
            <w:pPr>
              <w:jc w:val="center"/>
              <w:textAlignment w:val="baseline"/>
              <w:rPr>
                <w:rFonts w:ascii="Times New Roman" w:eastAsia="Calibri" w:hAnsi="Times New Roman" w:cs="Times New Roman"/>
                <w:sz w:val="20"/>
                <w:szCs w:val="20"/>
              </w:rPr>
            </w:pPr>
            <w:r w:rsidRPr="00125FAF">
              <w:rPr>
                <w:rFonts w:ascii="Times New Roman" w:eastAsia="Calibri" w:hAnsi="Times New Roman" w:cs="Times New Roman"/>
                <w:sz w:val="20"/>
                <w:szCs w:val="20"/>
              </w:rPr>
              <w:t>1</w:t>
            </w:r>
            <w:r w:rsidR="00AA63F9">
              <w:rPr>
                <w:rFonts w:ascii="Times New Roman" w:eastAsia="Calibri" w:hAnsi="Times New Roman" w:cs="Times New Roman"/>
                <w:sz w:val="20"/>
                <w:szCs w:val="20"/>
              </w:rPr>
              <w:t>,</w:t>
            </w:r>
            <w:r w:rsidRPr="00125FAF">
              <w:rPr>
                <w:rFonts w:ascii="Times New Roman" w:eastAsia="Calibri" w:hAnsi="Times New Roman" w:cs="Times New Roman"/>
                <w:sz w:val="20"/>
                <w:szCs w:val="20"/>
              </w:rPr>
              <w:t>3</w:t>
            </w:r>
            <w:r w:rsidR="00AA63F9">
              <w:rPr>
                <w:rFonts w:ascii="Times New Roman" w:eastAsia="Calibri" w:hAnsi="Times New Roman" w:cs="Times New Roman"/>
                <w:sz w:val="20"/>
                <w:szCs w:val="20"/>
              </w:rPr>
              <w:t xml:space="preserve"> mil</w:t>
            </w:r>
            <w:r w:rsidRPr="00125FAF">
              <w:rPr>
                <w:rFonts w:ascii="Times New Roman" w:eastAsia="Calibri" w:hAnsi="Times New Roman" w:cs="Times New Roman"/>
                <w:sz w:val="20"/>
                <w:szCs w:val="20"/>
              </w:rPr>
              <w:t xml:space="preserve"> US$</w:t>
            </w:r>
          </w:p>
        </w:tc>
        <w:tc>
          <w:tcPr>
            <w:tcW w:w="1615" w:type="dxa"/>
            <w:shd w:val="clear" w:color="auto" w:fill="auto"/>
            <w:vAlign w:val="center"/>
          </w:tcPr>
          <w:p w14:paraId="2283B42F" w14:textId="77777777" w:rsidR="00076B19" w:rsidRPr="00125FAF" w:rsidRDefault="00076B19" w:rsidP="00076B19">
            <w:pPr>
              <w:jc w:val="center"/>
              <w:textAlignment w:val="baseline"/>
              <w:rPr>
                <w:rFonts w:ascii="Times New Roman" w:eastAsia="Times New Roman" w:hAnsi="Times New Roman" w:cs="Times New Roman"/>
                <w:sz w:val="20"/>
                <w:szCs w:val="20"/>
                <w:lang w:eastAsia="ro-RO"/>
              </w:rPr>
            </w:pPr>
            <w:r w:rsidRPr="00125FAF">
              <w:rPr>
                <w:rFonts w:ascii="Times New Roman" w:eastAsia="Times New Roman" w:hAnsi="Times New Roman" w:cs="Times New Roman"/>
                <w:sz w:val="20"/>
                <w:szCs w:val="20"/>
                <w:lang w:eastAsia="ro-RO"/>
              </w:rPr>
              <w:t>2018-2021</w:t>
            </w:r>
          </w:p>
        </w:tc>
      </w:tr>
      <w:tr w:rsidR="00076B19" w:rsidRPr="00125FAF" w14:paraId="49B1DA61" w14:textId="77777777" w:rsidTr="00AC461F">
        <w:tc>
          <w:tcPr>
            <w:tcW w:w="2096" w:type="dxa"/>
            <w:shd w:val="clear" w:color="auto" w:fill="auto"/>
            <w:vAlign w:val="center"/>
          </w:tcPr>
          <w:p w14:paraId="031E7242" w14:textId="77777777" w:rsidR="00076B19" w:rsidRPr="00125FAF" w:rsidRDefault="00076B19" w:rsidP="00076B19">
            <w:pPr>
              <w:jc w:val="both"/>
              <w:textAlignment w:val="baseline"/>
              <w:rPr>
                <w:rFonts w:ascii="Times New Roman" w:eastAsia="Calibri" w:hAnsi="Times New Roman" w:cs="Times New Roman"/>
                <w:sz w:val="20"/>
                <w:szCs w:val="20"/>
              </w:rPr>
            </w:pPr>
            <w:r w:rsidRPr="00125FAF">
              <w:rPr>
                <w:rFonts w:ascii="Times New Roman" w:eastAsia="Calibri" w:hAnsi="Times New Roman" w:cs="Times New Roman"/>
                <w:sz w:val="20"/>
                <w:szCs w:val="20"/>
              </w:rPr>
              <w:lastRenderedPageBreak/>
              <w:t>CPIU-IFAD</w:t>
            </w:r>
          </w:p>
        </w:tc>
        <w:tc>
          <w:tcPr>
            <w:tcW w:w="3828" w:type="dxa"/>
            <w:shd w:val="clear" w:color="auto" w:fill="auto"/>
          </w:tcPr>
          <w:p w14:paraId="4211FC0F" w14:textId="77777777" w:rsidR="00076B19" w:rsidRPr="00125FAF" w:rsidRDefault="00076B19" w:rsidP="00076B19">
            <w:pPr>
              <w:jc w:val="both"/>
              <w:textAlignment w:val="baseline"/>
              <w:rPr>
                <w:rFonts w:ascii="Times New Roman" w:eastAsia="Calibri" w:hAnsi="Times New Roman" w:cs="Times New Roman"/>
                <w:sz w:val="20"/>
                <w:szCs w:val="20"/>
              </w:rPr>
            </w:pPr>
            <w:r w:rsidRPr="00125FAF">
              <w:rPr>
                <w:rFonts w:ascii="Times New Roman" w:eastAsia="Times New Roman" w:hAnsi="Times New Roman" w:cs="Times New Roman"/>
                <w:sz w:val="20"/>
                <w:szCs w:val="20"/>
                <w:lang w:eastAsia="ro-RO"/>
              </w:rPr>
              <w:t>Programul de dezvoltare economică incluzivă rurală și reziliență climatică (IFAD VI)</w:t>
            </w:r>
            <w:r w:rsidRPr="00125FAF">
              <w:rPr>
                <w:rFonts w:ascii="Times New Roman" w:eastAsia="Calibri" w:hAnsi="Times New Roman" w:cs="Times New Roman"/>
                <w:sz w:val="20"/>
                <w:szCs w:val="20"/>
                <w:vertAlign w:val="superscript"/>
              </w:rPr>
              <w:t xml:space="preserve"> </w:t>
            </w:r>
            <w:r w:rsidRPr="00125FAF">
              <w:rPr>
                <w:rFonts w:ascii="Times New Roman" w:eastAsia="Calibri" w:hAnsi="Times New Roman" w:cs="Times New Roman"/>
                <w:sz w:val="20"/>
                <w:szCs w:val="20"/>
                <w:vertAlign w:val="superscript"/>
              </w:rPr>
              <w:footnoteReference w:id="14"/>
            </w:r>
            <w:r w:rsidRPr="00125FAF">
              <w:rPr>
                <w:rFonts w:ascii="Times New Roman" w:eastAsia="Calibri" w:hAnsi="Times New Roman" w:cs="Times New Roman"/>
                <w:sz w:val="20"/>
                <w:szCs w:val="20"/>
              </w:rPr>
              <w:t xml:space="preserve"> </w:t>
            </w:r>
            <w:r w:rsidRPr="00125FAF">
              <w:rPr>
                <w:rFonts w:ascii="Times New Roman" w:eastAsia="Times New Roman" w:hAnsi="Times New Roman" w:cs="Times New Roman"/>
                <w:sz w:val="20"/>
                <w:szCs w:val="20"/>
                <w:lang w:eastAsia="ro-RO"/>
              </w:rPr>
              <w:t>și proiectul de reziliență rurală (IFAD VII)</w:t>
            </w:r>
            <w:r w:rsidRPr="00125FAF">
              <w:rPr>
                <w:rFonts w:ascii="Times New Roman" w:eastAsia="Calibri" w:hAnsi="Times New Roman" w:cs="Times New Roman"/>
                <w:sz w:val="20"/>
                <w:szCs w:val="20"/>
                <w:vertAlign w:val="superscript"/>
              </w:rPr>
              <w:footnoteReference w:id="15"/>
            </w:r>
          </w:p>
        </w:tc>
        <w:tc>
          <w:tcPr>
            <w:tcW w:w="1580" w:type="dxa"/>
            <w:shd w:val="clear" w:color="auto" w:fill="auto"/>
            <w:vAlign w:val="center"/>
          </w:tcPr>
          <w:p w14:paraId="46FF9A20" w14:textId="7C6BB958" w:rsidR="00076B19" w:rsidRPr="00125FAF" w:rsidRDefault="00076B19" w:rsidP="00076B19">
            <w:pPr>
              <w:jc w:val="center"/>
              <w:textAlignment w:val="baseline"/>
              <w:rPr>
                <w:rFonts w:ascii="Times New Roman" w:eastAsia="Calibri" w:hAnsi="Times New Roman" w:cs="Times New Roman"/>
                <w:sz w:val="20"/>
                <w:szCs w:val="20"/>
              </w:rPr>
            </w:pPr>
            <w:r w:rsidRPr="00125FAF">
              <w:rPr>
                <w:rFonts w:ascii="Times New Roman" w:eastAsia="Calibri" w:hAnsi="Times New Roman" w:cs="Times New Roman"/>
                <w:sz w:val="20"/>
                <w:szCs w:val="20"/>
              </w:rPr>
              <w:t>26</w:t>
            </w:r>
            <w:r w:rsidR="00DE3C30" w:rsidRPr="00125FAF">
              <w:rPr>
                <w:rFonts w:ascii="Times New Roman" w:eastAsia="Calibri" w:hAnsi="Times New Roman" w:cs="Times New Roman"/>
                <w:sz w:val="20"/>
                <w:szCs w:val="20"/>
              </w:rPr>
              <w:t>,</w:t>
            </w:r>
            <w:r w:rsidR="00AA63F9">
              <w:rPr>
                <w:rFonts w:ascii="Times New Roman" w:eastAsia="Calibri" w:hAnsi="Times New Roman" w:cs="Times New Roman"/>
                <w:sz w:val="20"/>
                <w:szCs w:val="20"/>
              </w:rPr>
              <w:t>1</w:t>
            </w:r>
            <w:r w:rsidRPr="00125FAF">
              <w:rPr>
                <w:rFonts w:ascii="Times New Roman" w:eastAsia="Calibri" w:hAnsi="Times New Roman" w:cs="Times New Roman"/>
                <w:sz w:val="20"/>
                <w:szCs w:val="20"/>
              </w:rPr>
              <w:t xml:space="preserve"> mil US$</w:t>
            </w:r>
          </w:p>
          <w:p w14:paraId="56C8A3D3" w14:textId="2563763D" w:rsidR="00076B19" w:rsidRPr="00125FAF" w:rsidRDefault="00076B19" w:rsidP="00076B19">
            <w:pPr>
              <w:jc w:val="center"/>
              <w:textAlignment w:val="baseline"/>
              <w:rPr>
                <w:rFonts w:ascii="Times New Roman" w:eastAsia="Calibri" w:hAnsi="Times New Roman" w:cs="Times New Roman"/>
                <w:sz w:val="20"/>
                <w:szCs w:val="20"/>
              </w:rPr>
            </w:pPr>
            <w:r w:rsidRPr="00125FAF">
              <w:rPr>
                <w:rFonts w:ascii="Times New Roman" w:eastAsia="Calibri" w:hAnsi="Times New Roman" w:cs="Times New Roman"/>
                <w:sz w:val="20"/>
                <w:szCs w:val="20"/>
              </w:rPr>
              <w:t>23</w:t>
            </w:r>
            <w:r w:rsidR="00DE3C30" w:rsidRPr="00125FAF">
              <w:rPr>
                <w:rFonts w:ascii="Times New Roman" w:eastAsia="Calibri" w:hAnsi="Times New Roman" w:cs="Times New Roman"/>
                <w:sz w:val="20"/>
                <w:szCs w:val="20"/>
              </w:rPr>
              <w:t>,</w:t>
            </w:r>
            <w:r w:rsidRPr="00125FAF">
              <w:rPr>
                <w:rFonts w:ascii="Times New Roman" w:eastAsia="Calibri" w:hAnsi="Times New Roman" w:cs="Times New Roman"/>
                <w:sz w:val="20"/>
                <w:szCs w:val="20"/>
              </w:rPr>
              <w:t>7 mil US$</w:t>
            </w:r>
          </w:p>
        </w:tc>
        <w:tc>
          <w:tcPr>
            <w:tcW w:w="1615" w:type="dxa"/>
            <w:shd w:val="clear" w:color="auto" w:fill="auto"/>
            <w:vAlign w:val="center"/>
          </w:tcPr>
          <w:p w14:paraId="6A41CC90" w14:textId="77777777" w:rsidR="00076B19" w:rsidRPr="00125FAF" w:rsidRDefault="00076B19" w:rsidP="00076B19">
            <w:pPr>
              <w:jc w:val="center"/>
              <w:textAlignment w:val="baseline"/>
              <w:rPr>
                <w:rFonts w:ascii="Times New Roman" w:eastAsia="Times New Roman" w:hAnsi="Times New Roman" w:cs="Times New Roman"/>
                <w:sz w:val="20"/>
                <w:szCs w:val="20"/>
                <w:lang w:eastAsia="ro-RO"/>
              </w:rPr>
            </w:pPr>
            <w:r w:rsidRPr="00125FAF">
              <w:rPr>
                <w:rFonts w:ascii="Times New Roman" w:eastAsia="Times New Roman" w:hAnsi="Times New Roman" w:cs="Times New Roman"/>
                <w:sz w:val="20"/>
                <w:szCs w:val="20"/>
                <w:lang w:eastAsia="ro-RO"/>
              </w:rPr>
              <w:t>2014-2020</w:t>
            </w:r>
          </w:p>
          <w:p w14:paraId="79519443" w14:textId="77777777" w:rsidR="00076B19" w:rsidRPr="00125FAF" w:rsidRDefault="00076B19" w:rsidP="00076B19">
            <w:pPr>
              <w:jc w:val="center"/>
              <w:textAlignment w:val="baseline"/>
              <w:rPr>
                <w:rFonts w:ascii="Times New Roman" w:eastAsia="Times New Roman" w:hAnsi="Times New Roman" w:cs="Times New Roman"/>
                <w:sz w:val="20"/>
                <w:szCs w:val="20"/>
                <w:lang w:eastAsia="ro-RO"/>
              </w:rPr>
            </w:pPr>
            <w:r w:rsidRPr="00125FAF">
              <w:rPr>
                <w:rFonts w:ascii="Times New Roman" w:eastAsia="Times New Roman" w:hAnsi="Times New Roman" w:cs="Times New Roman"/>
                <w:sz w:val="20"/>
                <w:szCs w:val="20"/>
                <w:lang w:eastAsia="ro-RO"/>
              </w:rPr>
              <w:t>2017-2022</w:t>
            </w:r>
          </w:p>
        </w:tc>
      </w:tr>
      <w:tr w:rsidR="00076B19" w:rsidRPr="00125FAF" w14:paraId="0DDE6247" w14:textId="77777777" w:rsidTr="00AC461F">
        <w:tc>
          <w:tcPr>
            <w:tcW w:w="2096" w:type="dxa"/>
            <w:shd w:val="clear" w:color="auto" w:fill="auto"/>
            <w:vAlign w:val="center"/>
          </w:tcPr>
          <w:p w14:paraId="4713A7CF" w14:textId="77777777" w:rsidR="00076B19" w:rsidRPr="00125FAF" w:rsidRDefault="00076B19" w:rsidP="00076B19">
            <w:pPr>
              <w:jc w:val="both"/>
              <w:textAlignment w:val="baseline"/>
              <w:rPr>
                <w:rFonts w:ascii="Times New Roman" w:eastAsia="Calibri" w:hAnsi="Times New Roman" w:cs="Times New Roman"/>
                <w:sz w:val="20"/>
                <w:szCs w:val="20"/>
              </w:rPr>
            </w:pPr>
            <w:r w:rsidRPr="00125FAF">
              <w:rPr>
                <w:rFonts w:ascii="Times New Roman" w:eastAsia="Calibri" w:hAnsi="Times New Roman" w:cs="Times New Roman"/>
                <w:sz w:val="20"/>
                <w:szCs w:val="20"/>
              </w:rPr>
              <w:t>ADA/PNUD</w:t>
            </w:r>
          </w:p>
        </w:tc>
        <w:tc>
          <w:tcPr>
            <w:tcW w:w="3828" w:type="dxa"/>
            <w:shd w:val="clear" w:color="auto" w:fill="auto"/>
          </w:tcPr>
          <w:p w14:paraId="5819919B" w14:textId="77777777" w:rsidR="00076B19" w:rsidRPr="00125FAF" w:rsidRDefault="00076B19" w:rsidP="00076B19">
            <w:pPr>
              <w:jc w:val="both"/>
              <w:textAlignment w:val="baseline"/>
              <w:rPr>
                <w:rFonts w:ascii="Times New Roman" w:eastAsia="Calibri" w:hAnsi="Times New Roman" w:cs="Times New Roman"/>
                <w:sz w:val="20"/>
                <w:szCs w:val="20"/>
              </w:rPr>
            </w:pPr>
            <w:r w:rsidRPr="00125FAF">
              <w:rPr>
                <w:rFonts w:ascii="Times New Roman" w:eastAsia="Times New Roman" w:hAnsi="Times New Roman" w:cs="Times New Roman"/>
                <w:sz w:val="20"/>
                <w:szCs w:val="20"/>
                <w:lang w:eastAsia="ro-RO"/>
              </w:rPr>
              <w:t>Promovarea schimbărilor climatice și a soluțiilor de reducere a riscurilor de dezastre în sectoarele apă și protecție civilă pentru reziliență rurală sporită</w:t>
            </w:r>
            <w:r w:rsidRPr="00125FAF">
              <w:rPr>
                <w:rFonts w:ascii="Times New Roman" w:eastAsia="Calibri" w:hAnsi="Times New Roman" w:cs="Times New Roman"/>
                <w:sz w:val="20"/>
                <w:szCs w:val="20"/>
                <w:vertAlign w:val="superscript"/>
              </w:rPr>
              <w:footnoteReference w:id="16"/>
            </w:r>
          </w:p>
        </w:tc>
        <w:tc>
          <w:tcPr>
            <w:tcW w:w="1580" w:type="dxa"/>
            <w:shd w:val="clear" w:color="auto" w:fill="auto"/>
            <w:vAlign w:val="center"/>
          </w:tcPr>
          <w:p w14:paraId="67F3C63E" w14:textId="3891E06C" w:rsidR="00076B19" w:rsidRPr="00125FAF" w:rsidRDefault="00076B19" w:rsidP="00076B19">
            <w:pPr>
              <w:jc w:val="center"/>
              <w:textAlignment w:val="baseline"/>
              <w:rPr>
                <w:rFonts w:ascii="Times New Roman" w:eastAsia="Calibri" w:hAnsi="Times New Roman" w:cs="Times New Roman"/>
                <w:sz w:val="20"/>
                <w:szCs w:val="20"/>
              </w:rPr>
            </w:pPr>
            <w:r w:rsidRPr="00125FAF">
              <w:rPr>
                <w:rFonts w:ascii="Times New Roman" w:eastAsia="Calibri" w:hAnsi="Times New Roman" w:cs="Times New Roman"/>
                <w:sz w:val="20"/>
                <w:szCs w:val="20"/>
              </w:rPr>
              <w:t>1</w:t>
            </w:r>
            <w:r w:rsidR="00AA63F9">
              <w:rPr>
                <w:rFonts w:ascii="Times New Roman" w:eastAsia="Calibri" w:hAnsi="Times New Roman" w:cs="Times New Roman"/>
                <w:sz w:val="20"/>
                <w:szCs w:val="20"/>
              </w:rPr>
              <w:t>,3 mil</w:t>
            </w:r>
            <w:r w:rsidRPr="00125FAF">
              <w:rPr>
                <w:rFonts w:ascii="Times New Roman" w:eastAsia="Calibri" w:hAnsi="Times New Roman" w:cs="Times New Roman"/>
                <w:sz w:val="20"/>
                <w:szCs w:val="20"/>
              </w:rPr>
              <w:t xml:space="preserve"> US$</w:t>
            </w:r>
          </w:p>
        </w:tc>
        <w:tc>
          <w:tcPr>
            <w:tcW w:w="1615" w:type="dxa"/>
            <w:shd w:val="clear" w:color="auto" w:fill="auto"/>
            <w:vAlign w:val="center"/>
          </w:tcPr>
          <w:p w14:paraId="0E0917B0" w14:textId="77777777" w:rsidR="00076B19" w:rsidRPr="00125FAF" w:rsidRDefault="00076B19" w:rsidP="00076B19">
            <w:pPr>
              <w:jc w:val="center"/>
              <w:textAlignment w:val="baseline"/>
              <w:rPr>
                <w:rFonts w:ascii="Times New Roman" w:eastAsia="Times New Roman" w:hAnsi="Times New Roman" w:cs="Times New Roman"/>
                <w:sz w:val="20"/>
                <w:szCs w:val="20"/>
                <w:lang w:eastAsia="ro-RO"/>
              </w:rPr>
            </w:pPr>
            <w:r w:rsidRPr="00125FAF">
              <w:rPr>
                <w:rFonts w:ascii="Times New Roman" w:eastAsia="Times New Roman" w:hAnsi="Times New Roman" w:cs="Times New Roman"/>
                <w:sz w:val="20"/>
                <w:szCs w:val="20"/>
                <w:lang w:eastAsia="ro-RO"/>
              </w:rPr>
              <w:t>2019-2021</w:t>
            </w:r>
          </w:p>
        </w:tc>
      </w:tr>
      <w:tr w:rsidR="00076B19" w:rsidRPr="00125FAF" w14:paraId="361EDF52" w14:textId="77777777" w:rsidTr="00AC461F">
        <w:trPr>
          <w:trHeight w:val="292"/>
        </w:trPr>
        <w:tc>
          <w:tcPr>
            <w:tcW w:w="2096" w:type="dxa"/>
            <w:vMerge w:val="restart"/>
            <w:shd w:val="clear" w:color="auto" w:fill="auto"/>
            <w:vAlign w:val="center"/>
          </w:tcPr>
          <w:p w14:paraId="32325794" w14:textId="77777777" w:rsidR="00076B19" w:rsidRPr="00125FAF" w:rsidRDefault="00076B19" w:rsidP="00076B19">
            <w:pPr>
              <w:jc w:val="both"/>
              <w:textAlignment w:val="baseline"/>
              <w:rPr>
                <w:rFonts w:ascii="Times New Roman" w:eastAsia="Calibri" w:hAnsi="Times New Roman" w:cs="Times New Roman"/>
                <w:sz w:val="20"/>
                <w:szCs w:val="20"/>
              </w:rPr>
            </w:pPr>
            <w:r w:rsidRPr="00125FAF">
              <w:rPr>
                <w:rFonts w:ascii="Times New Roman" w:eastAsia="Calibri" w:hAnsi="Times New Roman" w:cs="Times New Roman"/>
                <w:sz w:val="20"/>
                <w:szCs w:val="20"/>
              </w:rPr>
              <w:t>Guvernul României</w:t>
            </w:r>
          </w:p>
        </w:tc>
        <w:tc>
          <w:tcPr>
            <w:tcW w:w="3828" w:type="dxa"/>
            <w:shd w:val="clear" w:color="auto" w:fill="auto"/>
          </w:tcPr>
          <w:p w14:paraId="5056848F" w14:textId="77777777" w:rsidR="00076B19" w:rsidRPr="00125FAF" w:rsidRDefault="00076B19" w:rsidP="00076B19">
            <w:pPr>
              <w:jc w:val="both"/>
              <w:textAlignment w:val="baseline"/>
              <w:rPr>
                <w:rFonts w:ascii="Times New Roman" w:eastAsia="Calibri" w:hAnsi="Times New Roman" w:cs="Times New Roman"/>
                <w:sz w:val="20"/>
                <w:szCs w:val="20"/>
              </w:rPr>
            </w:pPr>
            <w:r w:rsidRPr="00125FAF">
              <w:rPr>
                <w:rFonts w:ascii="Times New Roman" w:eastAsia="Times New Roman" w:hAnsi="Times New Roman" w:cs="Times New Roman"/>
                <w:sz w:val="20"/>
                <w:szCs w:val="20"/>
                <w:lang w:eastAsia="ro-RO"/>
              </w:rPr>
              <w:t>Eliminarea surselor directe de poluare a apelor subterane prin conservarea sau lichidarea fântânilor arteziene abandonate sau deteriorate pe teritoriul Republicii Moldova.</w:t>
            </w:r>
          </w:p>
        </w:tc>
        <w:tc>
          <w:tcPr>
            <w:tcW w:w="1580" w:type="dxa"/>
            <w:shd w:val="clear" w:color="auto" w:fill="auto"/>
            <w:vAlign w:val="center"/>
          </w:tcPr>
          <w:p w14:paraId="222839D8" w14:textId="4D21C986" w:rsidR="00076B19" w:rsidRPr="00125FAF" w:rsidRDefault="00076B19" w:rsidP="00076B19">
            <w:pPr>
              <w:jc w:val="center"/>
              <w:textAlignment w:val="baseline"/>
              <w:rPr>
                <w:rFonts w:ascii="Times New Roman" w:eastAsia="Calibri" w:hAnsi="Times New Roman" w:cs="Times New Roman"/>
                <w:sz w:val="20"/>
                <w:szCs w:val="20"/>
              </w:rPr>
            </w:pPr>
            <w:r w:rsidRPr="00125FAF">
              <w:rPr>
                <w:rFonts w:ascii="Times New Roman" w:eastAsia="Calibri" w:hAnsi="Times New Roman" w:cs="Times New Roman"/>
                <w:sz w:val="20"/>
                <w:szCs w:val="20"/>
              </w:rPr>
              <w:t>2</w:t>
            </w:r>
            <w:r w:rsidR="00AA63F9">
              <w:rPr>
                <w:rFonts w:ascii="Times New Roman" w:eastAsia="Calibri" w:hAnsi="Times New Roman" w:cs="Times New Roman"/>
                <w:sz w:val="20"/>
                <w:szCs w:val="20"/>
              </w:rPr>
              <w:t>,</w:t>
            </w:r>
            <w:r w:rsidRPr="00125FAF">
              <w:rPr>
                <w:rFonts w:ascii="Times New Roman" w:eastAsia="Calibri" w:hAnsi="Times New Roman" w:cs="Times New Roman"/>
                <w:sz w:val="20"/>
                <w:szCs w:val="20"/>
              </w:rPr>
              <w:t>6</w:t>
            </w:r>
            <w:r w:rsidR="00AA63F9">
              <w:rPr>
                <w:rFonts w:ascii="Times New Roman" w:eastAsia="Calibri" w:hAnsi="Times New Roman" w:cs="Times New Roman"/>
                <w:sz w:val="20"/>
                <w:szCs w:val="20"/>
              </w:rPr>
              <w:t xml:space="preserve"> mil</w:t>
            </w:r>
            <w:r w:rsidRPr="00125FAF">
              <w:rPr>
                <w:rFonts w:ascii="Times New Roman" w:eastAsia="Calibri" w:hAnsi="Times New Roman" w:cs="Times New Roman"/>
                <w:sz w:val="20"/>
                <w:szCs w:val="20"/>
              </w:rPr>
              <w:t xml:space="preserve"> €</w:t>
            </w:r>
          </w:p>
        </w:tc>
        <w:tc>
          <w:tcPr>
            <w:tcW w:w="1615" w:type="dxa"/>
            <w:shd w:val="clear" w:color="auto" w:fill="auto"/>
            <w:vAlign w:val="center"/>
          </w:tcPr>
          <w:p w14:paraId="7C3FC96A" w14:textId="77777777" w:rsidR="00076B19" w:rsidRPr="00125FAF" w:rsidRDefault="00076B19" w:rsidP="00076B19">
            <w:pPr>
              <w:jc w:val="center"/>
              <w:textAlignment w:val="baseline"/>
              <w:rPr>
                <w:rFonts w:ascii="Times New Roman" w:eastAsia="Times New Roman" w:hAnsi="Times New Roman" w:cs="Times New Roman"/>
                <w:sz w:val="20"/>
                <w:szCs w:val="20"/>
                <w:lang w:eastAsia="ro-RO"/>
              </w:rPr>
            </w:pPr>
            <w:r w:rsidRPr="00125FAF">
              <w:rPr>
                <w:rFonts w:ascii="Times New Roman" w:eastAsia="Times New Roman" w:hAnsi="Times New Roman" w:cs="Times New Roman"/>
                <w:sz w:val="20"/>
                <w:szCs w:val="20"/>
                <w:lang w:eastAsia="ro-RO"/>
              </w:rPr>
              <w:t>2016-2019</w:t>
            </w:r>
          </w:p>
        </w:tc>
      </w:tr>
      <w:tr w:rsidR="00076B19" w:rsidRPr="00125FAF" w14:paraId="37B9B258" w14:textId="77777777" w:rsidTr="00AC461F">
        <w:trPr>
          <w:trHeight w:val="292"/>
        </w:trPr>
        <w:tc>
          <w:tcPr>
            <w:tcW w:w="2096" w:type="dxa"/>
            <w:vMerge/>
            <w:shd w:val="clear" w:color="auto" w:fill="auto"/>
            <w:vAlign w:val="center"/>
          </w:tcPr>
          <w:p w14:paraId="596A1159" w14:textId="77777777" w:rsidR="00076B19" w:rsidRPr="00125FAF" w:rsidRDefault="00076B19" w:rsidP="00076B19">
            <w:pPr>
              <w:jc w:val="both"/>
              <w:textAlignment w:val="baseline"/>
              <w:rPr>
                <w:rFonts w:ascii="Times New Roman" w:eastAsia="Calibri" w:hAnsi="Times New Roman" w:cs="Times New Roman"/>
                <w:sz w:val="20"/>
                <w:szCs w:val="20"/>
              </w:rPr>
            </w:pPr>
          </w:p>
        </w:tc>
        <w:tc>
          <w:tcPr>
            <w:tcW w:w="3828" w:type="dxa"/>
            <w:shd w:val="clear" w:color="auto" w:fill="auto"/>
          </w:tcPr>
          <w:p w14:paraId="552864E3" w14:textId="77777777" w:rsidR="00076B19" w:rsidRPr="00125FAF" w:rsidRDefault="00076B19" w:rsidP="00076B19">
            <w:pPr>
              <w:jc w:val="both"/>
              <w:textAlignment w:val="baseline"/>
              <w:rPr>
                <w:rFonts w:ascii="Times New Roman" w:eastAsia="Calibri" w:hAnsi="Times New Roman" w:cs="Times New Roman"/>
                <w:sz w:val="20"/>
                <w:szCs w:val="20"/>
              </w:rPr>
            </w:pPr>
            <w:r w:rsidRPr="00125FAF">
              <w:rPr>
                <w:rFonts w:ascii="Times New Roman" w:eastAsia="Calibri" w:hAnsi="Times New Roman" w:cs="Times New Roman"/>
                <w:sz w:val="20"/>
                <w:szCs w:val="20"/>
              </w:rPr>
              <w:t xml:space="preserve">Restaurarea și întreținerea ecosistemelor lacustre din lunca Prutul inferior (Manta, </w:t>
            </w:r>
            <w:proofErr w:type="spellStart"/>
            <w:r w:rsidRPr="00125FAF">
              <w:rPr>
                <w:rFonts w:ascii="Times New Roman" w:eastAsia="Calibri" w:hAnsi="Times New Roman" w:cs="Times New Roman"/>
                <w:sz w:val="20"/>
                <w:szCs w:val="20"/>
              </w:rPr>
              <w:t>Beleu</w:t>
            </w:r>
            <w:proofErr w:type="spellEnd"/>
            <w:r w:rsidRPr="00125FAF">
              <w:rPr>
                <w:rFonts w:ascii="Times New Roman" w:eastAsia="Calibri" w:hAnsi="Times New Roman" w:cs="Times New Roman"/>
                <w:sz w:val="20"/>
                <w:szCs w:val="20"/>
              </w:rPr>
              <w:t>), parte a zonei umede RAMSAR</w:t>
            </w:r>
          </w:p>
        </w:tc>
        <w:tc>
          <w:tcPr>
            <w:tcW w:w="1580" w:type="dxa"/>
            <w:shd w:val="clear" w:color="auto" w:fill="auto"/>
            <w:vAlign w:val="center"/>
          </w:tcPr>
          <w:p w14:paraId="09B34557" w14:textId="2D2F7575" w:rsidR="00076B19" w:rsidRPr="00125FAF" w:rsidRDefault="00076B19" w:rsidP="00076B19">
            <w:pPr>
              <w:jc w:val="center"/>
              <w:textAlignment w:val="baseline"/>
              <w:rPr>
                <w:rFonts w:ascii="Times New Roman" w:eastAsia="Calibri" w:hAnsi="Times New Roman" w:cs="Times New Roman"/>
                <w:sz w:val="20"/>
                <w:szCs w:val="20"/>
              </w:rPr>
            </w:pPr>
            <w:r w:rsidRPr="00125FAF">
              <w:rPr>
                <w:rFonts w:ascii="Times New Roman" w:eastAsia="Calibri" w:hAnsi="Times New Roman" w:cs="Times New Roman"/>
                <w:sz w:val="20"/>
                <w:szCs w:val="20"/>
              </w:rPr>
              <w:t>1</w:t>
            </w:r>
            <w:r w:rsidR="00AA63F9">
              <w:rPr>
                <w:rFonts w:ascii="Times New Roman" w:eastAsia="Calibri" w:hAnsi="Times New Roman" w:cs="Times New Roman"/>
                <w:sz w:val="20"/>
                <w:szCs w:val="20"/>
              </w:rPr>
              <w:t>,</w:t>
            </w:r>
            <w:r w:rsidRPr="00125FAF">
              <w:rPr>
                <w:rFonts w:ascii="Times New Roman" w:eastAsia="Calibri" w:hAnsi="Times New Roman" w:cs="Times New Roman"/>
                <w:sz w:val="20"/>
                <w:szCs w:val="20"/>
              </w:rPr>
              <w:t>5</w:t>
            </w:r>
            <w:r w:rsidR="00AA63F9">
              <w:rPr>
                <w:rFonts w:ascii="Times New Roman" w:eastAsia="Calibri" w:hAnsi="Times New Roman" w:cs="Times New Roman"/>
                <w:sz w:val="20"/>
                <w:szCs w:val="20"/>
              </w:rPr>
              <w:t xml:space="preserve"> mil</w:t>
            </w:r>
            <w:r w:rsidRPr="00125FAF">
              <w:rPr>
                <w:rFonts w:ascii="Times New Roman" w:eastAsia="Calibri" w:hAnsi="Times New Roman" w:cs="Times New Roman"/>
                <w:sz w:val="20"/>
                <w:szCs w:val="20"/>
              </w:rPr>
              <w:t xml:space="preserve"> €</w:t>
            </w:r>
          </w:p>
        </w:tc>
        <w:tc>
          <w:tcPr>
            <w:tcW w:w="1615" w:type="dxa"/>
            <w:shd w:val="clear" w:color="auto" w:fill="auto"/>
            <w:vAlign w:val="center"/>
          </w:tcPr>
          <w:p w14:paraId="3D77CB29" w14:textId="77777777" w:rsidR="00076B19" w:rsidRPr="00125FAF" w:rsidRDefault="00076B19" w:rsidP="00076B19">
            <w:pPr>
              <w:jc w:val="center"/>
              <w:textAlignment w:val="baseline"/>
              <w:rPr>
                <w:rFonts w:ascii="Times New Roman" w:eastAsia="Times New Roman" w:hAnsi="Times New Roman" w:cs="Times New Roman"/>
                <w:sz w:val="20"/>
                <w:szCs w:val="20"/>
                <w:lang w:eastAsia="ro-RO"/>
              </w:rPr>
            </w:pPr>
            <w:r w:rsidRPr="00125FAF">
              <w:rPr>
                <w:rFonts w:ascii="Times New Roman" w:eastAsia="Times New Roman" w:hAnsi="Times New Roman" w:cs="Times New Roman"/>
                <w:sz w:val="20"/>
                <w:szCs w:val="20"/>
                <w:lang w:eastAsia="ro-RO"/>
              </w:rPr>
              <w:t>2016-2019</w:t>
            </w:r>
          </w:p>
        </w:tc>
      </w:tr>
      <w:tr w:rsidR="00076B19" w:rsidRPr="00125FAF" w14:paraId="10B6F247" w14:textId="77777777" w:rsidTr="00AC461F">
        <w:trPr>
          <w:trHeight w:val="292"/>
        </w:trPr>
        <w:tc>
          <w:tcPr>
            <w:tcW w:w="2096" w:type="dxa"/>
            <w:vMerge/>
            <w:shd w:val="clear" w:color="auto" w:fill="auto"/>
            <w:vAlign w:val="center"/>
          </w:tcPr>
          <w:p w14:paraId="69FBBAA0" w14:textId="77777777" w:rsidR="00076B19" w:rsidRPr="00125FAF" w:rsidRDefault="00076B19" w:rsidP="00076B19">
            <w:pPr>
              <w:jc w:val="both"/>
              <w:textAlignment w:val="baseline"/>
              <w:rPr>
                <w:rFonts w:ascii="Times New Roman" w:eastAsia="Calibri" w:hAnsi="Times New Roman" w:cs="Times New Roman"/>
                <w:sz w:val="20"/>
                <w:szCs w:val="20"/>
              </w:rPr>
            </w:pPr>
          </w:p>
        </w:tc>
        <w:tc>
          <w:tcPr>
            <w:tcW w:w="3828" w:type="dxa"/>
            <w:shd w:val="clear" w:color="auto" w:fill="auto"/>
          </w:tcPr>
          <w:p w14:paraId="79337219" w14:textId="77777777" w:rsidR="00076B19" w:rsidRPr="00125FAF" w:rsidRDefault="00076B19" w:rsidP="00076B19">
            <w:pPr>
              <w:jc w:val="both"/>
              <w:textAlignment w:val="baseline"/>
              <w:rPr>
                <w:rFonts w:ascii="Times New Roman" w:eastAsia="Calibri" w:hAnsi="Times New Roman" w:cs="Times New Roman"/>
                <w:sz w:val="20"/>
                <w:szCs w:val="20"/>
              </w:rPr>
            </w:pPr>
            <w:r w:rsidRPr="00125FAF">
              <w:rPr>
                <w:rFonts w:ascii="Times New Roman" w:eastAsia="Calibri" w:hAnsi="Times New Roman" w:cs="Times New Roman"/>
                <w:sz w:val="20"/>
                <w:szCs w:val="20"/>
              </w:rPr>
              <w:t>Soluții pentru adaptarea la schimbările climatice a bazinului hidrografic Bâc.</w:t>
            </w:r>
          </w:p>
        </w:tc>
        <w:tc>
          <w:tcPr>
            <w:tcW w:w="1580" w:type="dxa"/>
            <w:shd w:val="clear" w:color="auto" w:fill="auto"/>
            <w:vAlign w:val="center"/>
          </w:tcPr>
          <w:p w14:paraId="45AD3174" w14:textId="7A28F603" w:rsidR="00076B19" w:rsidRPr="00125FAF" w:rsidRDefault="00076B19" w:rsidP="00076B19">
            <w:pPr>
              <w:jc w:val="center"/>
              <w:textAlignment w:val="baseline"/>
              <w:rPr>
                <w:rFonts w:ascii="Times New Roman" w:eastAsia="Calibri" w:hAnsi="Times New Roman" w:cs="Times New Roman"/>
                <w:sz w:val="20"/>
                <w:szCs w:val="20"/>
              </w:rPr>
            </w:pPr>
            <w:r w:rsidRPr="00125FAF">
              <w:rPr>
                <w:rFonts w:ascii="Times New Roman" w:eastAsia="Calibri" w:hAnsi="Times New Roman" w:cs="Times New Roman"/>
                <w:sz w:val="20"/>
                <w:szCs w:val="20"/>
              </w:rPr>
              <w:t>10</w:t>
            </w:r>
            <w:r w:rsidR="00AA63F9">
              <w:rPr>
                <w:rFonts w:ascii="Times New Roman" w:eastAsia="Calibri" w:hAnsi="Times New Roman" w:cs="Times New Roman"/>
                <w:sz w:val="20"/>
                <w:szCs w:val="20"/>
              </w:rPr>
              <w:t>,0 mil</w:t>
            </w:r>
            <w:r w:rsidRPr="00125FAF">
              <w:rPr>
                <w:rFonts w:ascii="Times New Roman" w:eastAsia="Calibri" w:hAnsi="Times New Roman" w:cs="Times New Roman"/>
                <w:sz w:val="20"/>
                <w:szCs w:val="20"/>
              </w:rPr>
              <w:t xml:space="preserve"> €</w:t>
            </w:r>
          </w:p>
        </w:tc>
        <w:tc>
          <w:tcPr>
            <w:tcW w:w="1615" w:type="dxa"/>
            <w:shd w:val="clear" w:color="auto" w:fill="auto"/>
            <w:vAlign w:val="center"/>
          </w:tcPr>
          <w:p w14:paraId="204EF919" w14:textId="77777777" w:rsidR="00076B19" w:rsidRPr="00125FAF" w:rsidRDefault="00076B19" w:rsidP="00076B19">
            <w:pPr>
              <w:jc w:val="center"/>
              <w:textAlignment w:val="baseline"/>
              <w:rPr>
                <w:rFonts w:ascii="Times New Roman" w:eastAsia="Times New Roman" w:hAnsi="Times New Roman" w:cs="Times New Roman"/>
                <w:sz w:val="20"/>
                <w:szCs w:val="20"/>
                <w:lang w:eastAsia="ro-RO"/>
              </w:rPr>
            </w:pPr>
            <w:r w:rsidRPr="00125FAF">
              <w:rPr>
                <w:rFonts w:ascii="Times New Roman" w:eastAsia="Times New Roman" w:hAnsi="Times New Roman" w:cs="Times New Roman"/>
                <w:sz w:val="20"/>
                <w:szCs w:val="20"/>
                <w:lang w:eastAsia="ro-RO"/>
              </w:rPr>
              <w:t>2016-2019</w:t>
            </w:r>
          </w:p>
        </w:tc>
      </w:tr>
      <w:tr w:rsidR="00076B19" w:rsidRPr="00125FAF" w14:paraId="4C0EB829" w14:textId="77777777" w:rsidTr="00AC461F">
        <w:trPr>
          <w:trHeight w:val="292"/>
        </w:trPr>
        <w:tc>
          <w:tcPr>
            <w:tcW w:w="2096" w:type="dxa"/>
            <w:vMerge/>
            <w:shd w:val="clear" w:color="auto" w:fill="auto"/>
            <w:vAlign w:val="center"/>
          </w:tcPr>
          <w:p w14:paraId="55793820" w14:textId="77777777" w:rsidR="00076B19" w:rsidRPr="00125FAF" w:rsidRDefault="00076B19" w:rsidP="00076B19">
            <w:pPr>
              <w:jc w:val="both"/>
              <w:textAlignment w:val="baseline"/>
              <w:rPr>
                <w:rFonts w:ascii="Times New Roman" w:eastAsia="Calibri" w:hAnsi="Times New Roman" w:cs="Times New Roman"/>
                <w:sz w:val="20"/>
                <w:szCs w:val="20"/>
              </w:rPr>
            </w:pPr>
          </w:p>
        </w:tc>
        <w:tc>
          <w:tcPr>
            <w:tcW w:w="3828" w:type="dxa"/>
            <w:shd w:val="clear" w:color="auto" w:fill="auto"/>
          </w:tcPr>
          <w:p w14:paraId="266B1585" w14:textId="77777777" w:rsidR="00076B19" w:rsidRPr="00125FAF" w:rsidRDefault="00076B19" w:rsidP="00076B19">
            <w:pPr>
              <w:jc w:val="both"/>
              <w:textAlignment w:val="baseline"/>
              <w:rPr>
                <w:rFonts w:ascii="Times New Roman" w:eastAsia="Calibri" w:hAnsi="Times New Roman" w:cs="Times New Roman"/>
                <w:sz w:val="20"/>
                <w:szCs w:val="20"/>
              </w:rPr>
            </w:pPr>
            <w:r w:rsidRPr="00125FAF">
              <w:rPr>
                <w:rFonts w:ascii="Times New Roman" w:eastAsia="Calibri" w:hAnsi="Times New Roman" w:cs="Times New Roman"/>
                <w:sz w:val="20"/>
                <w:szCs w:val="20"/>
              </w:rPr>
              <w:t>Reducerea emisiilor de GES prin îmbunătățirea gestionării deșeurilor periculoase în Republica Moldova</w:t>
            </w:r>
          </w:p>
        </w:tc>
        <w:tc>
          <w:tcPr>
            <w:tcW w:w="1580" w:type="dxa"/>
            <w:shd w:val="clear" w:color="auto" w:fill="auto"/>
            <w:vAlign w:val="center"/>
          </w:tcPr>
          <w:p w14:paraId="75254663" w14:textId="30820AB9" w:rsidR="00076B19" w:rsidRPr="00125FAF" w:rsidRDefault="00AA63F9" w:rsidP="00076B19">
            <w:pPr>
              <w:jc w:val="center"/>
              <w:textAlignment w:val="baseline"/>
              <w:rPr>
                <w:rFonts w:ascii="Times New Roman" w:eastAsia="Calibri" w:hAnsi="Times New Roman" w:cs="Times New Roman"/>
                <w:sz w:val="20"/>
                <w:szCs w:val="20"/>
              </w:rPr>
            </w:pPr>
            <w:r>
              <w:rPr>
                <w:rFonts w:ascii="Times New Roman" w:eastAsia="Calibri" w:hAnsi="Times New Roman" w:cs="Times New Roman"/>
                <w:sz w:val="20"/>
                <w:szCs w:val="20"/>
              </w:rPr>
              <w:t>0,</w:t>
            </w:r>
            <w:r w:rsidR="00076B19" w:rsidRPr="00125FAF">
              <w:rPr>
                <w:rFonts w:ascii="Times New Roman" w:eastAsia="Calibri" w:hAnsi="Times New Roman" w:cs="Times New Roman"/>
                <w:sz w:val="20"/>
                <w:szCs w:val="20"/>
              </w:rPr>
              <w:t>8</w:t>
            </w:r>
            <w:r>
              <w:rPr>
                <w:rFonts w:ascii="Times New Roman" w:eastAsia="Calibri" w:hAnsi="Times New Roman" w:cs="Times New Roman"/>
                <w:sz w:val="20"/>
                <w:szCs w:val="20"/>
              </w:rPr>
              <w:t xml:space="preserve"> mil</w:t>
            </w:r>
            <w:r w:rsidR="00076B19" w:rsidRPr="00125FAF">
              <w:rPr>
                <w:rFonts w:ascii="Times New Roman" w:eastAsia="Calibri" w:hAnsi="Times New Roman" w:cs="Times New Roman"/>
                <w:sz w:val="20"/>
                <w:szCs w:val="20"/>
              </w:rPr>
              <w:t xml:space="preserve"> €</w:t>
            </w:r>
          </w:p>
        </w:tc>
        <w:tc>
          <w:tcPr>
            <w:tcW w:w="1615" w:type="dxa"/>
            <w:shd w:val="clear" w:color="auto" w:fill="auto"/>
            <w:vAlign w:val="center"/>
          </w:tcPr>
          <w:p w14:paraId="320A3136" w14:textId="77777777" w:rsidR="00076B19" w:rsidRPr="00125FAF" w:rsidRDefault="00076B19" w:rsidP="00076B19">
            <w:pPr>
              <w:jc w:val="center"/>
              <w:textAlignment w:val="baseline"/>
              <w:rPr>
                <w:rFonts w:ascii="Times New Roman" w:eastAsia="Times New Roman" w:hAnsi="Times New Roman" w:cs="Times New Roman"/>
                <w:sz w:val="20"/>
                <w:szCs w:val="20"/>
                <w:lang w:eastAsia="ro-RO"/>
              </w:rPr>
            </w:pPr>
            <w:r w:rsidRPr="00125FAF">
              <w:rPr>
                <w:rFonts w:ascii="Times New Roman" w:eastAsia="Times New Roman" w:hAnsi="Times New Roman" w:cs="Times New Roman"/>
                <w:sz w:val="20"/>
                <w:szCs w:val="20"/>
                <w:lang w:eastAsia="ro-RO"/>
              </w:rPr>
              <w:t>2016-2019</w:t>
            </w:r>
          </w:p>
        </w:tc>
      </w:tr>
      <w:tr w:rsidR="00580268" w:rsidRPr="00125FAF" w14:paraId="48E18A4B" w14:textId="77777777" w:rsidTr="00AC461F">
        <w:trPr>
          <w:trHeight w:val="292"/>
        </w:trPr>
        <w:tc>
          <w:tcPr>
            <w:tcW w:w="2096" w:type="dxa"/>
            <w:shd w:val="clear" w:color="auto" w:fill="auto"/>
            <w:vAlign w:val="center"/>
          </w:tcPr>
          <w:p w14:paraId="30991FA0" w14:textId="5EAF696B" w:rsidR="00580268" w:rsidRPr="00125FAF" w:rsidRDefault="00580268" w:rsidP="00076B19">
            <w:pPr>
              <w:jc w:val="both"/>
              <w:textAlignment w:val="baseline"/>
              <w:rPr>
                <w:rFonts w:ascii="Times New Roman" w:eastAsia="Calibri" w:hAnsi="Times New Roman" w:cs="Times New Roman"/>
                <w:sz w:val="20"/>
                <w:szCs w:val="20"/>
              </w:rPr>
            </w:pPr>
            <w:r>
              <w:rPr>
                <w:rFonts w:ascii="Times New Roman" w:eastAsia="Calibri" w:hAnsi="Times New Roman" w:cs="Times New Roman"/>
                <w:sz w:val="20"/>
                <w:szCs w:val="20"/>
              </w:rPr>
              <w:t>Banca Mondială</w:t>
            </w:r>
          </w:p>
        </w:tc>
        <w:tc>
          <w:tcPr>
            <w:tcW w:w="3828" w:type="dxa"/>
            <w:shd w:val="clear" w:color="auto" w:fill="auto"/>
          </w:tcPr>
          <w:p w14:paraId="7D5F06B3" w14:textId="0787BA98" w:rsidR="00580268" w:rsidRPr="00125FAF" w:rsidRDefault="00580268" w:rsidP="00076B19">
            <w:pPr>
              <w:jc w:val="both"/>
              <w:textAlignment w:val="baseline"/>
              <w:rPr>
                <w:rFonts w:ascii="Times New Roman" w:eastAsia="Calibri" w:hAnsi="Times New Roman" w:cs="Times New Roman"/>
                <w:sz w:val="20"/>
                <w:szCs w:val="20"/>
              </w:rPr>
            </w:pPr>
            <w:r w:rsidRPr="00505AD8">
              <w:rPr>
                <w:rFonts w:ascii="Times New Roman" w:eastAsia="Calibri" w:hAnsi="Times New Roman" w:cs="Times New Roman"/>
                <w:sz w:val="20"/>
                <w:szCs w:val="20"/>
              </w:rPr>
              <w:t>Proiectul „Agricultura Competitivă în Moldova” (MAC-P), Faza II</w:t>
            </w:r>
            <w:r>
              <w:rPr>
                <w:rStyle w:val="Referinnotdesubsol"/>
                <w:rFonts w:ascii="Times New Roman" w:eastAsia="Calibri" w:hAnsi="Times New Roman" w:cs="Times New Roman"/>
                <w:sz w:val="20"/>
                <w:szCs w:val="20"/>
              </w:rPr>
              <w:footnoteReference w:id="17"/>
            </w:r>
          </w:p>
        </w:tc>
        <w:tc>
          <w:tcPr>
            <w:tcW w:w="1580" w:type="dxa"/>
            <w:shd w:val="clear" w:color="auto" w:fill="auto"/>
            <w:vAlign w:val="center"/>
          </w:tcPr>
          <w:p w14:paraId="41910F77" w14:textId="216E1ECB" w:rsidR="00580268" w:rsidRPr="00125FAF" w:rsidRDefault="00580268" w:rsidP="00076B19">
            <w:pPr>
              <w:jc w:val="center"/>
              <w:textAlignment w:val="baseline"/>
              <w:rPr>
                <w:rFonts w:ascii="Times New Roman" w:eastAsia="Calibri" w:hAnsi="Times New Roman" w:cs="Times New Roman"/>
                <w:sz w:val="20"/>
                <w:szCs w:val="20"/>
              </w:rPr>
            </w:pPr>
            <w:r w:rsidRPr="00505AD8">
              <w:rPr>
                <w:rFonts w:ascii="Times New Roman" w:eastAsia="Calibri" w:hAnsi="Times New Roman" w:cs="Times New Roman"/>
                <w:sz w:val="20"/>
                <w:szCs w:val="20"/>
              </w:rPr>
              <w:t xml:space="preserve">1,5 mil </w:t>
            </w:r>
            <w:r>
              <w:rPr>
                <w:rFonts w:ascii="Times New Roman" w:eastAsia="Calibri" w:hAnsi="Times New Roman" w:cs="Times New Roman"/>
                <w:sz w:val="20"/>
                <w:szCs w:val="20"/>
              </w:rPr>
              <w:t>US$</w:t>
            </w:r>
          </w:p>
        </w:tc>
        <w:tc>
          <w:tcPr>
            <w:tcW w:w="1615" w:type="dxa"/>
            <w:shd w:val="clear" w:color="auto" w:fill="auto"/>
            <w:vAlign w:val="center"/>
          </w:tcPr>
          <w:p w14:paraId="750B2D9B" w14:textId="18A0096C" w:rsidR="00580268" w:rsidRPr="00125FAF" w:rsidRDefault="00580268" w:rsidP="00076B19">
            <w:pPr>
              <w:jc w:val="center"/>
              <w:textAlignment w:val="baseline"/>
              <w:rPr>
                <w:rFonts w:ascii="Times New Roman" w:eastAsia="Times New Roman" w:hAnsi="Times New Roman" w:cs="Times New Roman"/>
                <w:sz w:val="20"/>
                <w:szCs w:val="20"/>
                <w:lang w:eastAsia="ro-RO"/>
              </w:rPr>
            </w:pPr>
            <w:r>
              <w:rPr>
                <w:rFonts w:ascii="Times New Roman" w:eastAsia="Times New Roman" w:hAnsi="Times New Roman" w:cs="Times New Roman"/>
                <w:sz w:val="20"/>
                <w:szCs w:val="20"/>
                <w:lang w:eastAsia="ro-RO"/>
              </w:rPr>
              <w:t>2021-2023</w:t>
            </w:r>
          </w:p>
        </w:tc>
      </w:tr>
    </w:tbl>
    <w:p w14:paraId="5D51CB3F" w14:textId="77777777" w:rsidR="00151E6F" w:rsidRPr="00125FAF" w:rsidRDefault="00151E6F" w:rsidP="006364B2">
      <w:pPr>
        <w:spacing w:after="0" w:line="240" w:lineRule="auto"/>
        <w:ind w:firstLine="720"/>
        <w:jc w:val="both"/>
        <w:rPr>
          <w:rFonts w:ascii="Times New Roman" w:eastAsia="Times New Roman" w:hAnsi="Times New Roman" w:cs="Times New Roman"/>
          <w:color w:val="000000"/>
          <w:sz w:val="24"/>
          <w:szCs w:val="24"/>
          <w:shd w:val="clear" w:color="auto" w:fill="FFFFFF"/>
          <w:lang w:eastAsia="ru-RU"/>
        </w:rPr>
      </w:pPr>
    </w:p>
    <w:p w14:paraId="525D332A" w14:textId="7E79F4F3" w:rsidR="006364B2" w:rsidRPr="00125FAF" w:rsidRDefault="00311AFC" w:rsidP="00FA0C4E">
      <w:pPr>
        <w:spacing w:after="120" w:line="240" w:lineRule="auto"/>
        <w:ind w:firstLine="720"/>
        <w:jc w:val="both"/>
        <w:rPr>
          <w:rFonts w:ascii="Times New Roman" w:eastAsia="Times New Roman" w:hAnsi="Times New Roman" w:cs="Times New Roman"/>
          <w:b/>
          <w:bCs/>
          <w:sz w:val="24"/>
          <w:szCs w:val="24"/>
          <w:lang w:eastAsia="ru-RU"/>
        </w:rPr>
      </w:pPr>
      <w:r w:rsidRPr="00125FAF">
        <w:rPr>
          <w:rFonts w:ascii="Times New Roman" w:eastAsia="Times New Roman" w:hAnsi="Times New Roman" w:cs="Times New Roman"/>
          <w:b/>
          <w:bCs/>
          <w:sz w:val="24"/>
          <w:szCs w:val="24"/>
          <w:lang w:eastAsia="ru-RU"/>
        </w:rPr>
        <w:t>VIII. RISCURILE DE IMPLEMENTARE A PROGRAMULUI</w:t>
      </w:r>
    </w:p>
    <w:p w14:paraId="683E2DDE" w14:textId="07E217FA" w:rsidR="00092913" w:rsidRPr="00125FAF" w:rsidRDefault="007909C8" w:rsidP="007909C8">
      <w:pPr>
        <w:spacing w:after="120" w:line="240" w:lineRule="auto"/>
        <w:ind w:firstLine="720"/>
        <w:jc w:val="both"/>
        <w:rPr>
          <w:rFonts w:ascii="Times New Roman" w:eastAsia="Times New Roman" w:hAnsi="Times New Roman" w:cs="Times New Roman"/>
          <w:sz w:val="24"/>
          <w:szCs w:val="24"/>
          <w:lang w:eastAsia="ru-RU"/>
        </w:rPr>
      </w:pPr>
      <w:r w:rsidRPr="00125FAF">
        <w:rPr>
          <w:rFonts w:ascii="Times New Roman" w:eastAsia="Times New Roman" w:hAnsi="Times New Roman" w:cs="Times New Roman"/>
          <w:sz w:val="24"/>
          <w:szCs w:val="24"/>
          <w:lang w:eastAsia="ru-RU"/>
        </w:rPr>
        <w:t xml:space="preserve">47. </w:t>
      </w:r>
      <w:r w:rsidR="00E95230" w:rsidRPr="00125FAF">
        <w:rPr>
          <w:rFonts w:ascii="Times New Roman" w:eastAsia="Times New Roman" w:hAnsi="Times New Roman" w:cs="Times New Roman"/>
          <w:sz w:val="24"/>
          <w:szCs w:val="24"/>
          <w:lang w:eastAsia="ru-RU"/>
        </w:rPr>
        <w:t xml:space="preserve">După cum a fost subliniat deja mai sus, prezentul Program reflectă politicile </w:t>
      </w:r>
      <w:proofErr w:type="spellStart"/>
      <w:r w:rsidR="00E95230" w:rsidRPr="00125FAF">
        <w:rPr>
          <w:rFonts w:ascii="Times New Roman" w:eastAsia="Times New Roman" w:hAnsi="Times New Roman" w:cs="Times New Roman"/>
          <w:sz w:val="24"/>
          <w:szCs w:val="24"/>
          <w:lang w:eastAsia="ru-RU"/>
        </w:rPr>
        <w:t>şi</w:t>
      </w:r>
      <w:proofErr w:type="spellEnd"/>
      <w:r w:rsidR="00E95230" w:rsidRPr="00125FAF">
        <w:rPr>
          <w:rFonts w:ascii="Times New Roman" w:eastAsia="Times New Roman" w:hAnsi="Times New Roman" w:cs="Times New Roman"/>
          <w:sz w:val="24"/>
          <w:szCs w:val="24"/>
          <w:lang w:eastAsia="ru-RU"/>
        </w:rPr>
        <w:t xml:space="preserve"> măsurile sectoriale ale statului exprimate în actele normative ale </w:t>
      </w:r>
      <w:proofErr w:type="spellStart"/>
      <w:r w:rsidR="00E95230" w:rsidRPr="00125FAF">
        <w:rPr>
          <w:rFonts w:ascii="Times New Roman" w:eastAsia="Times New Roman" w:hAnsi="Times New Roman" w:cs="Times New Roman"/>
          <w:sz w:val="24"/>
          <w:szCs w:val="24"/>
          <w:lang w:eastAsia="ru-RU"/>
        </w:rPr>
        <w:t>ţării</w:t>
      </w:r>
      <w:proofErr w:type="spellEnd"/>
      <w:r w:rsidR="00E95230" w:rsidRPr="00125FAF">
        <w:rPr>
          <w:rFonts w:ascii="Times New Roman" w:eastAsia="Times New Roman" w:hAnsi="Times New Roman" w:cs="Times New Roman"/>
          <w:sz w:val="24"/>
          <w:szCs w:val="24"/>
          <w:lang w:eastAsia="ru-RU"/>
        </w:rPr>
        <w:t xml:space="preserve">. Cu alte cuvinte, Programul nu impune sectoarelor economiei promovarea unor politici </w:t>
      </w:r>
      <w:proofErr w:type="spellStart"/>
      <w:r w:rsidR="00E95230" w:rsidRPr="00125FAF">
        <w:rPr>
          <w:rFonts w:ascii="Times New Roman" w:eastAsia="Times New Roman" w:hAnsi="Times New Roman" w:cs="Times New Roman"/>
          <w:sz w:val="24"/>
          <w:szCs w:val="24"/>
          <w:lang w:eastAsia="ru-RU"/>
        </w:rPr>
        <w:t>şi</w:t>
      </w:r>
      <w:proofErr w:type="spellEnd"/>
      <w:r w:rsidR="00E95230" w:rsidRPr="00125FAF">
        <w:rPr>
          <w:rFonts w:ascii="Times New Roman" w:eastAsia="Times New Roman" w:hAnsi="Times New Roman" w:cs="Times New Roman"/>
          <w:sz w:val="24"/>
          <w:szCs w:val="24"/>
          <w:lang w:eastAsia="ru-RU"/>
        </w:rPr>
        <w:t xml:space="preserve"> măsuri determinate de aceasta, ci înglobează în sine politicile </w:t>
      </w:r>
      <w:proofErr w:type="spellStart"/>
      <w:r w:rsidR="00E95230" w:rsidRPr="00125FAF">
        <w:rPr>
          <w:rFonts w:ascii="Times New Roman" w:eastAsia="Times New Roman" w:hAnsi="Times New Roman" w:cs="Times New Roman"/>
          <w:sz w:val="24"/>
          <w:szCs w:val="24"/>
          <w:lang w:eastAsia="ru-RU"/>
        </w:rPr>
        <w:t>şi</w:t>
      </w:r>
      <w:proofErr w:type="spellEnd"/>
      <w:r w:rsidR="00E95230" w:rsidRPr="00125FAF">
        <w:rPr>
          <w:rFonts w:ascii="Times New Roman" w:eastAsia="Times New Roman" w:hAnsi="Times New Roman" w:cs="Times New Roman"/>
          <w:sz w:val="24"/>
          <w:szCs w:val="24"/>
          <w:lang w:eastAsia="ru-RU"/>
        </w:rPr>
        <w:t xml:space="preserve"> măsurile stabilite la nivel sectorial. </w:t>
      </w:r>
      <w:r w:rsidR="00FA39BD" w:rsidRPr="00125FAF">
        <w:rPr>
          <w:rFonts w:ascii="Times New Roman" w:eastAsia="Times New Roman" w:hAnsi="Times New Roman" w:cs="Times New Roman"/>
          <w:sz w:val="24"/>
          <w:szCs w:val="24"/>
          <w:lang w:eastAsia="ru-RU"/>
        </w:rPr>
        <w:t xml:space="preserve">Drept urmare, riscurile de implementare a Programului corespund celor asociate cu activitatea </w:t>
      </w:r>
      <w:proofErr w:type="spellStart"/>
      <w:r w:rsidR="00FA39BD" w:rsidRPr="00125FAF">
        <w:rPr>
          <w:rFonts w:ascii="Times New Roman" w:eastAsia="Times New Roman" w:hAnsi="Times New Roman" w:cs="Times New Roman"/>
          <w:sz w:val="24"/>
          <w:szCs w:val="24"/>
          <w:lang w:eastAsia="ru-RU"/>
        </w:rPr>
        <w:t>autorităţilor</w:t>
      </w:r>
      <w:proofErr w:type="spellEnd"/>
      <w:r w:rsidR="00FA39BD" w:rsidRPr="00125FAF">
        <w:rPr>
          <w:rFonts w:ascii="Times New Roman" w:eastAsia="Times New Roman" w:hAnsi="Times New Roman" w:cs="Times New Roman"/>
          <w:sz w:val="24"/>
          <w:szCs w:val="24"/>
          <w:lang w:eastAsia="ru-RU"/>
        </w:rPr>
        <w:t xml:space="preserve"> publice centrale respective. Acestea din urmă, responsabile de implementarea politicilor în domeniu, vor asigura gestionarea riscurilor proprii privind realizarea prezentului Program și a Planului de implementare a acest</w:t>
      </w:r>
      <w:r w:rsidR="00092913" w:rsidRPr="00125FAF">
        <w:rPr>
          <w:rFonts w:ascii="Times New Roman" w:eastAsia="Times New Roman" w:hAnsi="Times New Roman" w:cs="Times New Roman"/>
          <w:sz w:val="24"/>
          <w:szCs w:val="24"/>
          <w:lang w:eastAsia="ru-RU"/>
        </w:rPr>
        <w:t>uia</w:t>
      </w:r>
      <w:r w:rsidR="00FA39BD" w:rsidRPr="00125FAF">
        <w:rPr>
          <w:rFonts w:ascii="Times New Roman" w:eastAsia="Times New Roman" w:hAnsi="Times New Roman" w:cs="Times New Roman"/>
          <w:sz w:val="24"/>
          <w:szCs w:val="24"/>
          <w:lang w:eastAsia="ru-RU"/>
        </w:rPr>
        <w:t xml:space="preserve">. Acestea vor informa </w:t>
      </w:r>
      <w:r w:rsidR="002C1CB9">
        <w:rPr>
          <w:rFonts w:ascii="Times New Roman" w:eastAsia="Times New Roman" w:hAnsi="Times New Roman" w:cs="Times New Roman"/>
          <w:sz w:val="24"/>
          <w:szCs w:val="24"/>
          <w:lang w:eastAsia="ru-RU"/>
        </w:rPr>
        <w:t>Ministerul Mediului</w:t>
      </w:r>
      <w:r w:rsidR="00FA39BD" w:rsidRPr="00125FAF">
        <w:rPr>
          <w:rFonts w:ascii="Times New Roman" w:eastAsia="Times New Roman" w:hAnsi="Times New Roman" w:cs="Times New Roman"/>
          <w:sz w:val="24"/>
          <w:szCs w:val="24"/>
          <w:lang w:eastAsia="ru-RU"/>
        </w:rPr>
        <w:t xml:space="preserve"> despre riscurile care pot crea impedimente în atingerea obiectivelor stabilite.</w:t>
      </w:r>
    </w:p>
    <w:p w14:paraId="0663DB20" w14:textId="307543FF" w:rsidR="00E95230" w:rsidRPr="00125FAF" w:rsidRDefault="00FA39BD" w:rsidP="007909C8">
      <w:pPr>
        <w:spacing w:after="120" w:line="240" w:lineRule="auto"/>
        <w:ind w:firstLine="720"/>
        <w:jc w:val="both"/>
        <w:rPr>
          <w:rFonts w:ascii="Times New Roman" w:eastAsia="Times New Roman" w:hAnsi="Times New Roman" w:cs="Times New Roman"/>
          <w:sz w:val="24"/>
          <w:szCs w:val="24"/>
          <w:lang w:eastAsia="ru-RU"/>
        </w:rPr>
      </w:pPr>
      <w:r w:rsidRPr="00125FAF">
        <w:rPr>
          <w:rFonts w:ascii="Times New Roman" w:eastAsia="Times New Roman" w:hAnsi="Times New Roman" w:cs="Times New Roman"/>
          <w:sz w:val="24"/>
          <w:szCs w:val="24"/>
          <w:lang w:eastAsia="ru-RU"/>
        </w:rPr>
        <w:t xml:space="preserve">Pe lângă riscurile specifice sectorului </w:t>
      </w:r>
      <w:r w:rsidR="00220DC1" w:rsidRPr="00125FAF">
        <w:rPr>
          <w:rFonts w:ascii="Times New Roman" w:eastAsia="Times New Roman" w:hAnsi="Times New Roman" w:cs="Times New Roman"/>
          <w:sz w:val="24"/>
          <w:szCs w:val="24"/>
          <w:lang w:eastAsia="ru-RU"/>
        </w:rPr>
        <w:t>corespunzător</w:t>
      </w:r>
      <w:r w:rsidRPr="00125FAF">
        <w:rPr>
          <w:rFonts w:ascii="Times New Roman" w:eastAsia="Times New Roman" w:hAnsi="Times New Roman" w:cs="Times New Roman"/>
          <w:sz w:val="24"/>
          <w:szCs w:val="24"/>
          <w:lang w:eastAsia="ru-RU"/>
        </w:rPr>
        <w:t xml:space="preserve">, inclusiv aferente implementării </w:t>
      </w:r>
      <w:proofErr w:type="spellStart"/>
      <w:r w:rsidRPr="00125FAF">
        <w:rPr>
          <w:rFonts w:ascii="Times New Roman" w:eastAsia="Times New Roman" w:hAnsi="Times New Roman" w:cs="Times New Roman"/>
          <w:sz w:val="24"/>
          <w:szCs w:val="24"/>
          <w:lang w:eastAsia="ru-RU"/>
        </w:rPr>
        <w:t>acţiunilor</w:t>
      </w:r>
      <w:proofErr w:type="spellEnd"/>
      <w:r w:rsidRPr="00125FAF">
        <w:rPr>
          <w:rFonts w:ascii="Times New Roman" w:eastAsia="Times New Roman" w:hAnsi="Times New Roman" w:cs="Times New Roman"/>
          <w:sz w:val="24"/>
          <w:szCs w:val="24"/>
          <w:lang w:eastAsia="ru-RU"/>
        </w:rPr>
        <w:t xml:space="preserve"> de atenuare a emisiilor de GES concrete, există o gamă </w:t>
      </w:r>
      <w:r w:rsidR="00134432" w:rsidRPr="00125FAF">
        <w:rPr>
          <w:rFonts w:ascii="Times New Roman" w:eastAsia="Times New Roman" w:hAnsi="Times New Roman" w:cs="Times New Roman"/>
          <w:sz w:val="24"/>
          <w:szCs w:val="24"/>
          <w:lang w:eastAsia="ru-RU"/>
        </w:rPr>
        <w:t xml:space="preserve">largă de riscuri comune economiei </w:t>
      </w:r>
      <w:proofErr w:type="spellStart"/>
      <w:r w:rsidR="00134432" w:rsidRPr="00125FAF">
        <w:rPr>
          <w:rFonts w:ascii="Times New Roman" w:eastAsia="Times New Roman" w:hAnsi="Times New Roman" w:cs="Times New Roman"/>
          <w:sz w:val="24"/>
          <w:szCs w:val="24"/>
          <w:lang w:eastAsia="ru-RU"/>
        </w:rPr>
        <w:t>naţionale</w:t>
      </w:r>
      <w:proofErr w:type="spellEnd"/>
      <w:r w:rsidR="00134432" w:rsidRPr="00125FAF">
        <w:rPr>
          <w:rFonts w:ascii="Times New Roman" w:eastAsia="Times New Roman" w:hAnsi="Times New Roman" w:cs="Times New Roman"/>
          <w:sz w:val="24"/>
          <w:szCs w:val="24"/>
          <w:lang w:eastAsia="ru-RU"/>
        </w:rPr>
        <w:t xml:space="preserve"> care vor trebui </w:t>
      </w:r>
      <w:proofErr w:type="spellStart"/>
      <w:r w:rsidR="00134432" w:rsidRPr="00125FAF">
        <w:rPr>
          <w:rFonts w:ascii="Times New Roman" w:eastAsia="Times New Roman" w:hAnsi="Times New Roman" w:cs="Times New Roman"/>
          <w:sz w:val="24"/>
          <w:szCs w:val="24"/>
          <w:lang w:eastAsia="ru-RU"/>
        </w:rPr>
        <w:t>depăşite</w:t>
      </w:r>
      <w:proofErr w:type="spellEnd"/>
      <w:r w:rsidR="00134432" w:rsidRPr="00125FAF">
        <w:rPr>
          <w:rFonts w:ascii="Times New Roman" w:eastAsia="Times New Roman" w:hAnsi="Times New Roman" w:cs="Times New Roman"/>
          <w:sz w:val="24"/>
          <w:szCs w:val="24"/>
          <w:lang w:eastAsia="ru-RU"/>
        </w:rPr>
        <w:t xml:space="preserve"> prin </w:t>
      </w:r>
      <w:proofErr w:type="spellStart"/>
      <w:r w:rsidR="00134432" w:rsidRPr="00125FAF">
        <w:rPr>
          <w:rFonts w:ascii="Times New Roman" w:eastAsia="Times New Roman" w:hAnsi="Times New Roman" w:cs="Times New Roman"/>
          <w:sz w:val="24"/>
          <w:szCs w:val="24"/>
          <w:lang w:eastAsia="ru-RU"/>
        </w:rPr>
        <w:t>acţiuni</w:t>
      </w:r>
      <w:proofErr w:type="spellEnd"/>
      <w:r w:rsidR="00134432" w:rsidRPr="00125FAF">
        <w:rPr>
          <w:rFonts w:ascii="Times New Roman" w:eastAsia="Times New Roman" w:hAnsi="Times New Roman" w:cs="Times New Roman"/>
          <w:sz w:val="24"/>
          <w:szCs w:val="24"/>
          <w:lang w:eastAsia="ru-RU"/>
        </w:rPr>
        <w:t xml:space="preserve"> conjugate. Acestea sunt reflectate în Tab. </w:t>
      </w:r>
      <w:r w:rsidR="00E13B78" w:rsidRPr="00125FAF">
        <w:rPr>
          <w:rFonts w:ascii="Times New Roman" w:eastAsia="Times New Roman" w:hAnsi="Times New Roman" w:cs="Times New Roman"/>
          <w:sz w:val="24"/>
          <w:szCs w:val="24"/>
          <w:lang w:eastAsia="ru-RU"/>
        </w:rPr>
        <w:t>8.1</w:t>
      </w:r>
      <w:r w:rsidR="00134432" w:rsidRPr="00125FAF">
        <w:rPr>
          <w:rFonts w:ascii="Times New Roman" w:eastAsia="Times New Roman" w:hAnsi="Times New Roman" w:cs="Times New Roman"/>
          <w:sz w:val="24"/>
          <w:szCs w:val="24"/>
          <w:lang w:eastAsia="ru-RU"/>
        </w:rPr>
        <w:t xml:space="preserve">, alături cu măsurile de </w:t>
      </w:r>
      <w:r w:rsidR="00220DC1" w:rsidRPr="00125FAF">
        <w:rPr>
          <w:rFonts w:ascii="Times New Roman" w:eastAsia="Times New Roman" w:hAnsi="Times New Roman" w:cs="Times New Roman"/>
          <w:sz w:val="24"/>
          <w:szCs w:val="24"/>
          <w:lang w:eastAsia="ru-RU"/>
        </w:rPr>
        <w:t>diminuare sau înlăturare a riscurilor pr</w:t>
      </w:r>
      <w:r w:rsidR="00BB2D54" w:rsidRPr="00125FAF">
        <w:rPr>
          <w:rFonts w:ascii="Times New Roman" w:eastAsia="Times New Roman" w:hAnsi="Times New Roman" w:cs="Times New Roman"/>
          <w:sz w:val="24"/>
          <w:szCs w:val="24"/>
          <w:lang w:eastAsia="ru-RU"/>
        </w:rPr>
        <w:t>e</w:t>
      </w:r>
      <w:r w:rsidR="00220DC1" w:rsidRPr="00125FAF">
        <w:rPr>
          <w:rFonts w:ascii="Times New Roman" w:eastAsia="Times New Roman" w:hAnsi="Times New Roman" w:cs="Times New Roman"/>
          <w:sz w:val="24"/>
          <w:szCs w:val="24"/>
          <w:lang w:eastAsia="ru-RU"/>
        </w:rPr>
        <w:t>conizate</w:t>
      </w:r>
      <w:r w:rsidR="00134432" w:rsidRPr="00125FAF">
        <w:rPr>
          <w:rFonts w:ascii="Times New Roman" w:eastAsia="Times New Roman" w:hAnsi="Times New Roman" w:cs="Times New Roman"/>
          <w:sz w:val="24"/>
          <w:szCs w:val="24"/>
          <w:lang w:eastAsia="ru-RU"/>
        </w:rPr>
        <w:t>.</w:t>
      </w:r>
    </w:p>
    <w:p w14:paraId="2841F615" w14:textId="77777777" w:rsidR="00E13B78" w:rsidRPr="00125FAF" w:rsidRDefault="00134432" w:rsidP="00E13B78">
      <w:pPr>
        <w:spacing w:after="120" w:line="240" w:lineRule="auto"/>
        <w:jc w:val="right"/>
        <w:rPr>
          <w:rFonts w:ascii="Times New Roman" w:eastAsia="Times New Roman" w:hAnsi="Times New Roman" w:cs="Times New Roman"/>
          <w:sz w:val="24"/>
          <w:szCs w:val="24"/>
          <w:lang w:eastAsia="ru-RU"/>
        </w:rPr>
      </w:pPr>
      <w:r w:rsidRPr="00125FAF">
        <w:rPr>
          <w:rFonts w:ascii="Times New Roman" w:eastAsia="Times New Roman" w:hAnsi="Times New Roman" w:cs="Times New Roman"/>
          <w:sz w:val="24"/>
          <w:szCs w:val="24"/>
          <w:lang w:eastAsia="ru-RU"/>
        </w:rPr>
        <w:t xml:space="preserve">Tabelul </w:t>
      </w:r>
      <w:r w:rsidR="00E13B78" w:rsidRPr="00125FAF">
        <w:rPr>
          <w:rFonts w:ascii="Times New Roman" w:eastAsia="Times New Roman" w:hAnsi="Times New Roman" w:cs="Times New Roman"/>
          <w:sz w:val="24"/>
          <w:szCs w:val="24"/>
          <w:lang w:eastAsia="ru-RU"/>
        </w:rPr>
        <w:t>8.1</w:t>
      </w:r>
    </w:p>
    <w:p w14:paraId="1DFD158A" w14:textId="644E9728" w:rsidR="00134432" w:rsidRPr="00125FAF" w:rsidRDefault="00134432" w:rsidP="00E13B78">
      <w:pPr>
        <w:spacing w:after="0" w:line="240" w:lineRule="auto"/>
        <w:jc w:val="center"/>
        <w:rPr>
          <w:rFonts w:ascii="Times New Roman" w:eastAsia="Times New Roman" w:hAnsi="Times New Roman" w:cs="Times New Roman"/>
          <w:b/>
          <w:bCs/>
          <w:sz w:val="24"/>
          <w:szCs w:val="24"/>
          <w:lang w:eastAsia="ru-RU"/>
        </w:rPr>
      </w:pPr>
      <w:r w:rsidRPr="00125FAF">
        <w:rPr>
          <w:rFonts w:ascii="Times New Roman" w:eastAsia="Times New Roman" w:hAnsi="Times New Roman" w:cs="Times New Roman"/>
          <w:b/>
          <w:bCs/>
          <w:sz w:val="24"/>
          <w:szCs w:val="24"/>
          <w:lang w:eastAsia="ru-RU"/>
        </w:rPr>
        <w:t>Riscurile de implementare a Programului</w:t>
      </w:r>
    </w:p>
    <w:tbl>
      <w:tblPr>
        <w:tblStyle w:val="Tabelgril"/>
        <w:tblW w:w="0" w:type="auto"/>
        <w:tblLook w:val="04A0" w:firstRow="1" w:lastRow="0" w:firstColumn="1" w:lastColumn="0" w:noHBand="0" w:noVBand="1"/>
      </w:tblPr>
      <w:tblGrid>
        <w:gridCol w:w="4559"/>
        <w:gridCol w:w="4560"/>
      </w:tblGrid>
      <w:tr w:rsidR="00134432" w:rsidRPr="00125FAF" w14:paraId="4D7B21E6" w14:textId="77777777" w:rsidTr="00E4241A">
        <w:tc>
          <w:tcPr>
            <w:tcW w:w="4559" w:type="dxa"/>
            <w:vAlign w:val="center"/>
          </w:tcPr>
          <w:p w14:paraId="7FE52E9C" w14:textId="04EE4936" w:rsidR="00134432" w:rsidRPr="00125FAF" w:rsidRDefault="00134432" w:rsidP="00E4241A">
            <w:pPr>
              <w:jc w:val="center"/>
              <w:rPr>
                <w:rFonts w:ascii="Times New Roman" w:eastAsia="Times New Roman" w:hAnsi="Times New Roman"/>
                <w:b/>
                <w:bCs/>
                <w:sz w:val="24"/>
                <w:szCs w:val="24"/>
                <w:lang w:val="ro-RO" w:eastAsia="ru-RU"/>
              </w:rPr>
            </w:pPr>
            <w:r w:rsidRPr="00125FAF">
              <w:rPr>
                <w:rFonts w:ascii="Times New Roman" w:eastAsia="Times New Roman" w:hAnsi="Times New Roman"/>
                <w:b/>
                <w:bCs/>
                <w:sz w:val="24"/>
                <w:szCs w:val="24"/>
                <w:lang w:val="ro-RO" w:eastAsia="ru-RU"/>
              </w:rPr>
              <w:t>Riscuri posibile</w:t>
            </w:r>
          </w:p>
        </w:tc>
        <w:tc>
          <w:tcPr>
            <w:tcW w:w="4560" w:type="dxa"/>
            <w:vAlign w:val="center"/>
          </w:tcPr>
          <w:p w14:paraId="163A166D" w14:textId="69B1EDBA" w:rsidR="00134432" w:rsidRPr="00125FAF" w:rsidRDefault="00134432" w:rsidP="00E4241A">
            <w:pPr>
              <w:jc w:val="center"/>
              <w:rPr>
                <w:rFonts w:ascii="Times New Roman" w:eastAsia="Times New Roman" w:hAnsi="Times New Roman"/>
                <w:b/>
                <w:bCs/>
                <w:sz w:val="24"/>
                <w:szCs w:val="24"/>
                <w:lang w:val="ro-RO" w:eastAsia="ru-RU"/>
              </w:rPr>
            </w:pPr>
            <w:r w:rsidRPr="00125FAF">
              <w:rPr>
                <w:rFonts w:ascii="Times New Roman" w:eastAsia="Times New Roman" w:hAnsi="Times New Roman"/>
                <w:b/>
                <w:bCs/>
                <w:sz w:val="24"/>
                <w:szCs w:val="24"/>
                <w:lang w:val="ro-RO" w:eastAsia="ru-RU"/>
              </w:rPr>
              <w:t xml:space="preserve">Măsuri de </w:t>
            </w:r>
            <w:proofErr w:type="spellStart"/>
            <w:r w:rsidRPr="00125FAF">
              <w:rPr>
                <w:rFonts w:ascii="Times New Roman" w:eastAsia="Times New Roman" w:hAnsi="Times New Roman"/>
                <w:b/>
                <w:bCs/>
                <w:sz w:val="24"/>
                <w:szCs w:val="24"/>
                <w:lang w:val="ro-RO" w:eastAsia="ru-RU"/>
              </w:rPr>
              <w:t>depăşire</w:t>
            </w:r>
            <w:proofErr w:type="spellEnd"/>
            <w:r w:rsidRPr="00125FAF">
              <w:rPr>
                <w:rFonts w:ascii="Times New Roman" w:eastAsia="Times New Roman" w:hAnsi="Times New Roman"/>
                <w:b/>
                <w:bCs/>
                <w:sz w:val="24"/>
                <w:szCs w:val="24"/>
                <w:lang w:val="ro-RO" w:eastAsia="ru-RU"/>
              </w:rPr>
              <w:t xml:space="preserve"> a riscurilor</w:t>
            </w:r>
          </w:p>
        </w:tc>
      </w:tr>
      <w:tr w:rsidR="00134432" w:rsidRPr="00125FAF" w14:paraId="4C7C5F90" w14:textId="77777777" w:rsidTr="00134432">
        <w:tc>
          <w:tcPr>
            <w:tcW w:w="4559" w:type="dxa"/>
          </w:tcPr>
          <w:p w14:paraId="07D04747" w14:textId="5BC8C5B4" w:rsidR="00134432" w:rsidRPr="00125FAF" w:rsidRDefault="00134432" w:rsidP="00134432">
            <w:pPr>
              <w:jc w:val="both"/>
              <w:rPr>
                <w:rFonts w:ascii="Times New Roman" w:eastAsia="Times New Roman" w:hAnsi="Times New Roman"/>
                <w:sz w:val="24"/>
                <w:szCs w:val="24"/>
                <w:lang w:val="ro-RO" w:eastAsia="ru-RU"/>
              </w:rPr>
            </w:pPr>
            <w:r w:rsidRPr="00125FAF">
              <w:rPr>
                <w:rFonts w:ascii="Times New Roman" w:eastAsia="Times New Roman" w:hAnsi="Times New Roman"/>
                <w:sz w:val="24"/>
                <w:szCs w:val="24"/>
                <w:lang w:val="ro-RO" w:eastAsia="ru-RU"/>
              </w:rPr>
              <w:t xml:space="preserve">Provocările cu impact negativ asupra situației sociale, politice și economice a țării, care pot cauza nerealizarea </w:t>
            </w:r>
            <w:proofErr w:type="spellStart"/>
            <w:r w:rsidR="00E4241A" w:rsidRPr="00125FAF">
              <w:rPr>
                <w:rFonts w:ascii="Times New Roman" w:eastAsia="Times New Roman" w:hAnsi="Times New Roman"/>
                <w:sz w:val="24"/>
                <w:szCs w:val="24"/>
                <w:lang w:val="ro-RO" w:eastAsia="ru-RU"/>
              </w:rPr>
              <w:t>acţiunilor</w:t>
            </w:r>
            <w:proofErr w:type="spellEnd"/>
            <w:r w:rsidRPr="00125FAF">
              <w:rPr>
                <w:rFonts w:ascii="Times New Roman" w:eastAsia="Times New Roman" w:hAnsi="Times New Roman"/>
                <w:sz w:val="24"/>
                <w:szCs w:val="24"/>
                <w:lang w:val="ro-RO" w:eastAsia="ru-RU"/>
              </w:rPr>
              <w:t xml:space="preserve"> stabilite</w:t>
            </w:r>
          </w:p>
        </w:tc>
        <w:tc>
          <w:tcPr>
            <w:tcW w:w="4560" w:type="dxa"/>
          </w:tcPr>
          <w:p w14:paraId="5C4B36A6" w14:textId="2A80ABF1" w:rsidR="00134432" w:rsidRPr="00125FAF" w:rsidRDefault="00134432" w:rsidP="00134432">
            <w:pPr>
              <w:jc w:val="both"/>
              <w:rPr>
                <w:rFonts w:ascii="Times New Roman" w:eastAsia="Times New Roman" w:hAnsi="Times New Roman"/>
                <w:sz w:val="24"/>
                <w:szCs w:val="24"/>
                <w:lang w:val="ro-RO" w:eastAsia="ru-RU"/>
              </w:rPr>
            </w:pPr>
            <w:r w:rsidRPr="00125FAF">
              <w:rPr>
                <w:rFonts w:ascii="Times New Roman" w:eastAsia="Times New Roman" w:hAnsi="Times New Roman"/>
                <w:sz w:val="24"/>
                <w:szCs w:val="24"/>
                <w:lang w:val="ro-RO" w:eastAsia="ru-RU"/>
              </w:rPr>
              <w:t>Monitorizarea permanentă</w:t>
            </w:r>
            <w:r w:rsidR="00E4241A" w:rsidRPr="00125FAF">
              <w:rPr>
                <w:rFonts w:ascii="Times New Roman" w:eastAsia="Times New Roman" w:hAnsi="Times New Roman"/>
                <w:sz w:val="24"/>
                <w:szCs w:val="24"/>
                <w:lang w:val="ro-RO" w:eastAsia="ru-RU"/>
              </w:rPr>
              <w:t xml:space="preserve">, revizuirea </w:t>
            </w:r>
            <w:proofErr w:type="spellStart"/>
            <w:r w:rsidR="00E4241A" w:rsidRPr="00125FAF">
              <w:rPr>
                <w:rFonts w:ascii="Times New Roman" w:eastAsia="Times New Roman" w:hAnsi="Times New Roman"/>
                <w:sz w:val="24"/>
                <w:szCs w:val="24"/>
                <w:lang w:val="ro-RO" w:eastAsia="ru-RU"/>
              </w:rPr>
              <w:t>acţiunilor</w:t>
            </w:r>
            <w:proofErr w:type="spellEnd"/>
            <w:r w:rsidR="00E4241A" w:rsidRPr="00125FAF">
              <w:rPr>
                <w:rFonts w:ascii="Times New Roman" w:eastAsia="Times New Roman" w:hAnsi="Times New Roman"/>
                <w:sz w:val="24"/>
                <w:szCs w:val="24"/>
                <w:lang w:val="ro-RO" w:eastAsia="ru-RU"/>
              </w:rPr>
              <w:t xml:space="preserve"> </w:t>
            </w:r>
            <w:r w:rsidRPr="00125FAF">
              <w:rPr>
                <w:rFonts w:ascii="Times New Roman" w:eastAsia="Times New Roman" w:hAnsi="Times New Roman"/>
                <w:sz w:val="24"/>
                <w:szCs w:val="24"/>
                <w:lang w:val="ro-RO" w:eastAsia="ru-RU"/>
              </w:rPr>
              <w:t>și identifica</w:t>
            </w:r>
            <w:r w:rsidR="00E4241A" w:rsidRPr="00125FAF">
              <w:rPr>
                <w:rFonts w:ascii="Times New Roman" w:eastAsia="Times New Roman" w:hAnsi="Times New Roman"/>
                <w:sz w:val="24"/>
                <w:szCs w:val="24"/>
                <w:lang w:val="ro-RO" w:eastAsia="ru-RU"/>
              </w:rPr>
              <w:t>rea</w:t>
            </w:r>
            <w:r w:rsidRPr="00125FAF">
              <w:rPr>
                <w:rFonts w:ascii="Times New Roman" w:eastAsia="Times New Roman" w:hAnsi="Times New Roman"/>
                <w:sz w:val="24"/>
                <w:szCs w:val="24"/>
                <w:lang w:val="ro-RO" w:eastAsia="ru-RU"/>
              </w:rPr>
              <w:t xml:space="preserve"> soluțiil</w:t>
            </w:r>
            <w:r w:rsidR="00E4241A" w:rsidRPr="00125FAF">
              <w:rPr>
                <w:rFonts w:ascii="Times New Roman" w:eastAsia="Times New Roman" w:hAnsi="Times New Roman"/>
                <w:sz w:val="24"/>
                <w:szCs w:val="24"/>
                <w:lang w:val="ro-RO" w:eastAsia="ru-RU"/>
              </w:rPr>
              <w:t>or</w:t>
            </w:r>
            <w:r w:rsidRPr="00125FAF">
              <w:rPr>
                <w:rFonts w:ascii="Times New Roman" w:eastAsia="Times New Roman" w:hAnsi="Times New Roman"/>
                <w:sz w:val="24"/>
                <w:szCs w:val="24"/>
                <w:lang w:val="ro-RO" w:eastAsia="ru-RU"/>
              </w:rPr>
              <w:t xml:space="preserve"> de alternativă</w:t>
            </w:r>
          </w:p>
        </w:tc>
      </w:tr>
      <w:tr w:rsidR="00E4241A" w:rsidRPr="00125FAF" w14:paraId="6263052C" w14:textId="77777777" w:rsidTr="00134432">
        <w:tc>
          <w:tcPr>
            <w:tcW w:w="4559" w:type="dxa"/>
          </w:tcPr>
          <w:p w14:paraId="443B7723" w14:textId="33C1552E" w:rsidR="00E4241A" w:rsidRPr="00125FAF" w:rsidRDefault="00E4241A" w:rsidP="00E4241A">
            <w:pPr>
              <w:jc w:val="both"/>
              <w:rPr>
                <w:rFonts w:ascii="Times New Roman" w:eastAsia="Times New Roman" w:hAnsi="Times New Roman"/>
                <w:sz w:val="24"/>
                <w:szCs w:val="24"/>
                <w:lang w:val="ro-RO" w:eastAsia="ru-RU"/>
              </w:rPr>
            </w:pPr>
            <w:r w:rsidRPr="00125FAF">
              <w:rPr>
                <w:rFonts w:ascii="Times New Roman" w:eastAsia="Times New Roman" w:hAnsi="Times New Roman"/>
                <w:sz w:val="24"/>
                <w:szCs w:val="24"/>
                <w:lang w:val="ro-RO" w:eastAsia="ru-RU"/>
              </w:rPr>
              <w:t xml:space="preserve">Coordonarea deficitară între ministere </w:t>
            </w:r>
            <w:proofErr w:type="spellStart"/>
            <w:r w:rsidRPr="00125FAF">
              <w:rPr>
                <w:rFonts w:ascii="Times New Roman" w:eastAsia="Times New Roman" w:hAnsi="Times New Roman"/>
                <w:sz w:val="24"/>
                <w:szCs w:val="24"/>
                <w:lang w:val="ro-RO" w:eastAsia="ru-RU"/>
              </w:rPr>
              <w:t>şi</w:t>
            </w:r>
            <w:proofErr w:type="spellEnd"/>
            <w:r w:rsidRPr="00125FAF">
              <w:rPr>
                <w:rFonts w:ascii="Times New Roman" w:eastAsia="Times New Roman" w:hAnsi="Times New Roman"/>
                <w:sz w:val="24"/>
                <w:szCs w:val="24"/>
                <w:lang w:val="ro-RO" w:eastAsia="ru-RU"/>
              </w:rPr>
              <w:t xml:space="preserve"> </w:t>
            </w:r>
            <w:proofErr w:type="spellStart"/>
            <w:r w:rsidRPr="00125FAF">
              <w:rPr>
                <w:rFonts w:ascii="Times New Roman" w:eastAsia="Times New Roman" w:hAnsi="Times New Roman"/>
                <w:sz w:val="24"/>
                <w:szCs w:val="24"/>
                <w:lang w:val="ro-RO" w:eastAsia="ru-RU"/>
              </w:rPr>
              <w:t>autorităţi</w:t>
            </w:r>
            <w:proofErr w:type="spellEnd"/>
            <w:r w:rsidRPr="00125FAF">
              <w:rPr>
                <w:rFonts w:ascii="Times New Roman" w:eastAsia="Times New Roman" w:hAnsi="Times New Roman"/>
                <w:sz w:val="24"/>
                <w:szCs w:val="24"/>
                <w:lang w:val="ro-RO" w:eastAsia="ru-RU"/>
              </w:rPr>
              <w:t xml:space="preserve"> administrative </w:t>
            </w:r>
            <w:proofErr w:type="spellStart"/>
            <w:r w:rsidRPr="00125FAF">
              <w:rPr>
                <w:rFonts w:ascii="Times New Roman" w:eastAsia="Times New Roman" w:hAnsi="Times New Roman"/>
                <w:sz w:val="24"/>
                <w:szCs w:val="24"/>
                <w:lang w:val="ro-RO" w:eastAsia="ru-RU"/>
              </w:rPr>
              <w:t>responsable</w:t>
            </w:r>
            <w:proofErr w:type="spellEnd"/>
            <w:r w:rsidRPr="00125FAF">
              <w:rPr>
                <w:rFonts w:ascii="Times New Roman" w:eastAsia="Times New Roman" w:hAnsi="Times New Roman"/>
                <w:sz w:val="24"/>
                <w:szCs w:val="24"/>
                <w:lang w:val="ro-RO" w:eastAsia="ru-RU"/>
              </w:rPr>
              <w:t xml:space="preserve"> în procesul de implementare a Programului</w:t>
            </w:r>
          </w:p>
        </w:tc>
        <w:tc>
          <w:tcPr>
            <w:tcW w:w="4560" w:type="dxa"/>
          </w:tcPr>
          <w:p w14:paraId="385650B5" w14:textId="27F88884" w:rsidR="00E4241A" w:rsidRPr="00125FAF" w:rsidRDefault="004C50AD" w:rsidP="00E4241A">
            <w:pPr>
              <w:jc w:val="both"/>
              <w:rPr>
                <w:rFonts w:ascii="Times New Roman" w:eastAsia="Times New Roman" w:hAnsi="Times New Roman"/>
                <w:sz w:val="24"/>
                <w:szCs w:val="24"/>
                <w:lang w:val="ro-RO" w:eastAsia="ru-RU"/>
              </w:rPr>
            </w:pPr>
            <w:r w:rsidRPr="00125FAF">
              <w:rPr>
                <w:rFonts w:ascii="Times New Roman" w:eastAsia="Times New Roman" w:hAnsi="Times New Roman"/>
                <w:sz w:val="24"/>
                <w:szCs w:val="24"/>
                <w:lang w:val="ro-RO" w:eastAsia="ru-RU"/>
              </w:rPr>
              <w:t xml:space="preserve">Comisia </w:t>
            </w:r>
            <w:proofErr w:type="spellStart"/>
            <w:r w:rsidRPr="00125FAF">
              <w:rPr>
                <w:rFonts w:ascii="Times New Roman" w:eastAsia="Times New Roman" w:hAnsi="Times New Roman"/>
                <w:sz w:val="24"/>
                <w:szCs w:val="24"/>
                <w:lang w:val="ro-RO" w:eastAsia="ru-RU"/>
              </w:rPr>
              <w:t>naţională</w:t>
            </w:r>
            <w:proofErr w:type="spellEnd"/>
            <w:r w:rsidRPr="00125FAF">
              <w:rPr>
                <w:rFonts w:ascii="Times New Roman" w:eastAsia="Times New Roman" w:hAnsi="Times New Roman"/>
                <w:sz w:val="24"/>
                <w:szCs w:val="24"/>
                <w:lang w:val="ro-RO" w:eastAsia="ru-RU"/>
              </w:rPr>
              <w:t xml:space="preserve"> privind schimbările climatice, aprobată prin HG nr. 444/2020, va coordina </w:t>
            </w:r>
            <w:proofErr w:type="spellStart"/>
            <w:r w:rsidRPr="00125FAF">
              <w:rPr>
                <w:rFonts w:ascii="Times New Roman" w:eastAsia="Times New Roman" w:hAnsi="Times New Roman"/>
                <w:sz w:val="24"/>
                <w:szCs w:val="24"/>
                <w:lang w:val="ro-RO" w:eastAsia="ru-RU"/>
              </w:rPr>
              <w:t>şi</w:t>
            </w:r>
            <w:proofErr w:type="spellEnd"/>
            <w:r w:rsidRPr="00125FAF">
              <w:rPr>
                <w:rFonts w:ascii="Times New Roman" w:eastAsia="Times New Roman" w:hAnsi="Times New Roman"/>
                <w:sz w:val="24"/>
                <w:szCs w:val="24"/>
                <w:lang w:val="ro-RO" w:eastAsia="ru-RU"/>
              </w:rPr>
              <w:t xml:space="preserve"> monitoriza implementarea.</w:t>
            </w:r>
          </w:p>
        </w:tc>
      </w:tr>
      <w:tr w:rsidR="004C50AD" w:rsidRPr="00125FAF" w14:paraId="3758F4F6" w14:textId="77777777" w:rsidTr="00134432">
        <w:tc>
          <w:tcPr>
            <w:tcW w:w="4559" w:type="dxa"/>
          </w:tcPr>
          <w:p w14:paraId="4CB79D83" w14:textId="44C5AB75" w:rsidR="004C50AD" w:rsidRPr="00125FAF" w:rsidRDefault="004C50AD" w:rsidP="00E4241A">
            <w:pPr>
              <w:jc w:val="both"/>
              <w:rPr>
                <w:rFonts w:ascii="Times New Roman" w:eastAsia="Times New Roman" w:hAnsi="Times New Roman"/>
                <w:sz w:val="24"/>
                <w:szCs w:val="24"/>
                <w:lang w:val="ro-RO" w:eastAsia="ru-RU"/>
              </w:rPr>
            </w:pPr>
            <w:r w:rsidRPr="00125FAF">
              <w:rPr>
                <w:rFonts w:ascii="Times New Roman" w:eastAsia="Times New Roman" w:hAnsi="Times New Roman"/>
                <w:sz w:val="24"/>
                <w:szCs w:val="24"/>
                <w:lang w:val="ro-RO" w:eastAsia="ru-RU"/>
              </w:rPr>
              <w:t xml:space="preserve">Capacitatea redusă a personalului din cadrul </w:t>
            </w:r>
            <w:proofErr w:type="spellStart"/>
            <w:r w:rsidRPr="00125FAF">
              <w:rPr>
                <w:rFonts w:ascii="Times New Roman" w:eastAsia="Times New Roman" w:hAnsi="Times New Roman"/>
                <w:sz w:val="24"/>
                <w:szCs w:val="24"/>
                <w:lang w:val="ro-RO" w:eastAsia="ru-RU"/>
              </w:rPr>
              <w:t>autorităţilor</w:t>
            </w:r>
            <w:proofErr w:type="spellEnd"/>
            <w:r w:rsidRPr="00125FAF">
              <w:rPr>
                <w:rFonts w:ascii="Times New Roman" w:eastAsia="Times New Roman" w:hAnsi="Times New Roman"/>
                <w:sz w:val="24"/>
                <w:szCs w:val="24"/>
                <w:lang w:val="ro-RO" w:eastAsia="ru-RU"/>
              </w:rPr>
              <w:t xml:space="preserve"> </w:t>
            </w:r>
            <w:proofErr w:type="spellStart"/>
            <w:r w:rsidRPr="00125FAF">
              <w:rPr>
                <w:rFonts w:ascii="Times New Roman" w:eastAsia="Times New Roman" w:hAnsi="Times New Roman"/>
                <w:sz w:val="24"/>
                <w:szCs w:val="24"/>
                <w:lang w:val="ro-RO" w:eastAsia="ru-RU"/>
              </w:rPr>
              <w:t>responsable</w:t>
            </w:r>
            <w:proofErr w:type="spellEnd"/>
            <w:r w:rsidRPr="00125FAF">
              <w:rPr>
                <w:rFonts w:ascii="Times New Roman" w:eastAsia="Times New Roman" w:hAnsi="Times New Roman"/>
                <w:sz w:val="24"/>
                <w:szCs w:val="24"/>
                <w:lang w:val="ro-RO" w:eastAsia="ru-RU"/>
              </w:rPr>
              <w:t xml:space="preserve"> de implementarea Programului</w:t>
            </w:r>
          </w:p>
        </w:tc>
        <w:tc>
          <w:tcPr>
            <w:tcW w:w="4560" w:type="dxa"/>
          </w:tcPr>
          <w:p w14:paraId="3B228BC6" w14:textId="0A6104E2" w:rsidR="004C50AD" w:rsidRPr="00125FAF" w:rsidRDefault="004C50AD" w:rsidP="00E4241A">
            <w:pPr>
              <w:jc w:val="both"/>
              <w:rPr>
                <w:rFonts w:ascii="Times New Roman" w:eastAsia="Times New Roman" w:hAnsi="Times New Roman"/>
                <w:sz w:val="24"/>
                <w:szCs w:val="24"/>
                <w:lang w:val="ro-RO" w:eastAsia="ru-RU"/>
              </w:rPr>
            </w:pPr>
            <w:r w:rsidRPr="00125FAF">
              <w:rPr>
                <w:rFonts w:ascii="Times New Roman" w:eastAsia="Times New Roman" w:hAnsi="Times New Roman"/>
                <w:sz w:val="24"/>
                <w:szCs w:val="24"/>
                <w:lang w:val="ro-RO" w:eastAsia="ru-RU"/>
              </w:rPr>
              <w:t>Formarea profesional</w:t>
            </w:r>
            <w:r w:rsidR="00092913" w:rsidRPr="00125FAF">
              <w:rPr>
                <w:rFonts w:ascii="Times New Roman" w:eastAsia="Times New Roman" w:hAnsi="Times New Roman"/>
                <w:sz w:val="24"/>
                <w:szCs w:val="24"/>
                <w:lang w:val="ro-RO" w:eastAsia="ru-RU"/>
              </w:rPr>
              <w:t>ă</w:t>
            </w:r>
            <w:r w:rsidRPr="00125FAF">
              <w:rPr>
                <w:rFonts w:ascii="Times New Roman" w:eastAsia="Times New Roman" w:hAnsi="Times New Roman"/>
                <w:sz w:val="24"/>
                <w:szCs w:val="24"/>
                <w:lang w:val="ro-RO" w:eastAsia="ru-RU"/>
              </w:rPr>
              <w:t xml:space="preserve"> continuă a personalului. Dezvoltarea de programe de </w:t>
            </w:r>
            <w:proofErr w:type="spellStart"/>
            <w:r w:rsidRPr="00125FAF">
              <w:rPr>
                <w:rFonts w:ascii="Times New Roman" w:eastAsia="Times New Roman" w:hAnsi="Times New Roman"/>
                <w:sz w:val="24"/>
                <w:szCs w:val="24"/>
                <w:lang w:val="ro-RO" w:eastAsia="ru-RU"/>
              </w:rPr>
              <w:t>perfecţionare</w:t>
            </w:r>
            <w:proofErr w:type="spellEnd"/>
            <w:r w:rsidRPr="00125FAF">
              <w:rPr>
                <w:rFonts w:ascii="Times New Roman" w:eastAsia="Times New Roman" w:hAnsi="Times New Roman"/>
                <w:sz w:val="24"/>
                <w:szCs w:val="24"/>
                <w:lang w:val="ro-RO" w:eastAsia="ru-RU"/>
              </w:rPr>
              <w:t xml:space="preserve"> în domeniu, în cadrul </w:t>
            </w:r>
            <w:r w:rsidRPr="00125FAF">
              <w:rPr>
                <w:rFonts w:ascii="Times New Roman" w:eastAsia="Times New Roman" w:hAnsi="Times New Roman"/>
                <w:sz w:val="24"/>
                <w:szCs w:val="24"/>
                <w:lang w:val="ro-RO" w:eastAsia="ru-RU"/>
              </w:rPr>
              <w:lastRenderedPageBreak/>
              <w:t xml:space="preserve">Academiei de </w:t>
            </w:r>
            <w:proofErr w:type="spellStart"/>
            <w:r w:rsidRPr="00125FAF">
              <w:rPr>
                <w:rFonts w:ascii="Times New Roman" w:eastAsia="Times New Roman" w:hAnsi="Times New Roman"/>
                <w:sz w:val="24"/>
                <w:szCs w:val="24"/>
                <w:lang w:val="ro-RO" w:eastAsia="ru-RU"/>
              </w:rPr>
              <w:t>Administraţie</w:t>
            </w:r>
            <w:proofErr w:type="spellEnd"/>
            <w:r w:rsidRPr="00125FAF">
              <w:rPr>
                <w:rFonts w:ascii="Times New Roman" w:eastAsia="Times New Roman" w:hAnsi="Times New Roman"/>
                <w:sz w:val="24"/>
                <w:szCs w:val="24"/>
                <w:lang w:val="ro-RO" w:eastAsia="ru-RU"/>
              </w:rPr>
              <w:t xml:space="preserve"> Publică de pe lângă Guvern</w:t>
            </w:r>
          </w:p>
        </w:tc>
      </w:tr>
      <w:tr w:rsidR="00134432" w:rsidRPr="00125FAF" w14:paraId="2279E066" w14:textId="77777777" w:rsidTr="00134432">
        <w:tc>
          <w:tcPr>
            <w:tcW w:w="4559" w:type="dxa"/>
          </w:tcPr>
          <w:p w14:paraId="384FBA11" w14:textId="1DBE50C6" w:rsidR="00E4241A" w:rsidRPr="00125FAF" w:rsidRDefault="00E4241A" w:rsidP="00E4241A">
            <w:pPr>
              <w:jc w:val="both"/>
              <w:rPr>
                <w:rFonts w:ascii="Times New Roman" w:eastAsia="Times New Roman" w:hAnsi="Times New Roman"/>
                <w:sz w:val="24"/>
                <w:szCs w:val="24"/>
                <w:lang w:val="ro-RO" w:eastAsia="ru-RU"/>
              </w:rPr>
            </w:pPr>
            <w:r w:rsidRPr="00125FAF">
              <w:rPr>
                <w:rFonts w:ascii="Times New Roman" w:eastAsia="Times New Roman" w:hAnsi="Times New Roman"/>
                <w:sz w:val="24"/>
                <w:szCs w:val="24"/>
                <w:lang w:val="ro-RO" w:eastAsia="ru-RU"/>
              </w:rPr>
              <w:lastRenderedPageBreak/>
              <w:t>Neîndeplinirea acțiunilor din Plan și/sau nerespectarea termenelor</w:t>
            </w:r>
          </w:p>
          <w:p w14:paraId="5A6AE84F" w14:textId="5A173358" w:rsidR="00134432" w:rsidRPr="00125FAF" w:rsidRDefault="00134432" w:rsidP="00E4241A">
            <w:pPr>
              <w:jc w:val="both"/>
              <w:rPr>
                <w:rFonts w:ascii="Times New Roman" w:eastAsia="Times New Roman" w:hAnsi="Times New Roman"/>
                <w:sz w:val="24"/>
                <w:szCs w:val="24"/>
                <w:lang w:val="ro-RO" w:eastAsia="ru-RU"/>
              </w:rPr>
            </w:pPr>
          </w:p>
        </w:tc>
        <w:tc>
          <w:tcPr>
            <w:tcW w:w="4560" w:type="dxa"/>
          </w:tcPr>
          <w:p w14:paraId="525F0619" w14:textId="32D6ECA6" w:rsidR="00134432" w:rsidRPr="00125FAF" w:rsidRDefault="00E4241A" w:rsidP="00E4241A">
            <w:pPr>
              <w:jc w:val="both"/>
              <w:rPr>
                <w:rFonts w:ascii="Times New Roman" w:eastAsia="Times New Roman" w:hAnsi="Times New Roman"/>
                <w:sz w:val="24"/>
                <w:szCs w:val="24"/>
                <w:lang w:val="ro-RO" w:eastAsia="ru-RU"/>
              </w:rPr>
            </w:pPr>
            <w:r w:rsidRPr="00125FAF">
              <w:rPr>
                <w:rFonts w:ascii="Times New Roman" w:eastAsia="Times New Roman" w:hAnsi="Times New Roman"/>
                <w:sz w:val="24"/>
                <w:szCs w:val="24"/>
                <w:lang w:val="ro-RO" w:eastAsia="ru-RU"/>
              </w:rPr>
              <w:t>Va fi monitorizată evoluția situației, identificate și evaluate motivele, efectuate măsuri de repunere în grafic a activităților și de înlăturare a consecințelor negative</w:t>
            </w:r>
          </w:p>
        </w:tc>
      </w:tr>
      <w:tr w:rsidR="00134432" w:rsidRPr="00125FAF" w14:paraId="0BD50327" w14:textId="77777777" w:rsidTr="00134432">
        <w:tc>
          <w:tcPr>
            <w:tcW w:w="4559" w:type="dxa"/>
          </w:tcPr>
          <w:p w14:paraId="6AFA4F1B" w14:textId="292D8C2E" w:rsidR="00E4241A" w:rsidRPr="00125FAF" w:rsidRDefault="00E4241A" w:rsidP="00E4241A">
            <w:pPr>
              <w:jc w:val="both"/>
              <w:rPr>
                <w:rFonts w:ascii="Times New Roman" w:eastAsia="Times New Roman" w:hAnsi="Times New Roman"/>
                <w:sz w:val="24"/>
                <w:szCs w:val="24"/>
                <w:lang w:val="ro-RO" w:eastAsia="ru-RU"/>
              </w:rPr>
            </w:pPr>
            <w:r w:rsidRPr="00125FAF">
              <w:rPr>
                <w:rFonts w:ascii="Times New Roman" w:eastAsia="Times New Roman" w:hAnsi="Times New Roman"/>
                <w:sz w:val="24"/>
                <w:szCs w:val="24"/>
                <w:lang w:val="ro-RO" w:eastAsia="ru-RU"/>
              </w:rPr>
              <w:t>Lipsa specialiștilor în domeniu</w:t>
            </w:r>
          </w:p>
          <w:p w14:paraId="38A27170" w14:textId="1F8C57DB" w:rsidR="00134432" w:rsidRPr="00125FAF" w:rsidRDefault="00134432" w:rsidP="00E4241A">
            <w:pPr>
              <w:jc w:val="both"/>
              <w:rPr>
                <w:rFonts w:ascii="Times New Roman" w:eastAsia="Times New Roman" w:hAnsi="Times New Roman"/>
                <w:sz w:val="24"/>
                <w:szCs w:val="24"/>
                <w:lang w:val="ro-RO" w:eastAsia="ru-RU"/>
              </w:rPr>
            </w:pPr>
          </w:p>
        </w:tc>
        <w:tc>
          <w:tcPr>
            <w:tcW w:w="4560" w:type="dxa"/>
          </w:tcPr>
          <w:p w14:paraId="76F33806" w14:textId="18594491" w:rsidR="00E4241A" w:rsidRPr="00125FAF" w:rsidRDefault="00E4241A" w:rsidP="00E4241A">
            <w:pPr>
              <w:jc w:val="both"/>
              <w:rPr>
                <w:rFonts w:ascii="Times New Roman" w:eastAsia="Times New Roman" w:hAnsi="Times New Roman"/>
                <w:sz w:val="24"/>
                <w:szCs w:val="24"/>
                <w:lang w:val="ro-RO" w:eastAsia="ru-RU"/>
              </w:rPr>
            </w:pPr>
            <w:r w:rsidRPr="00125FAF">
              <w:rPr>
                <w:rFonts w:ascii="Times New Roman" w:eastAsia="Times New Roman" w:hAnsi="Times New Roman"/>
                <w:sz w:val="24"/>
                <w:szCs w:val="24"/>
                <w:lang w:val="ro-RO" w:eastAsia="ru-RU"/>
              </w:rPr>
              <w:t>Va fi monitorizată permanent situația,</w:t>
            </w:r>
          </w:p>
          <w:p w14:paraId="6BB92A26" w14:textId="47051743" w:rsidR="00E4241A" w:rsidRPr="00125FAF" w:rsidRDefault="00092913" w:rsidP="00E4241A">
            <w:pPr>
              <w:jc w:val="both"/>
              <w:rPr>
                <w:rFonts w:ascii="Times New Roman" w:eastAsia="Times New Roman" w:hAnsi="Times New Roman"/>
                <w:sz w:val="24"/>
                <w:szCs w:val="24"/>
                <w:lang w:val="ro-RO" w:eastAsia="ru-RU"/>
              </w:rPr>
            </w:pPr>
            <w:r w:rsidRPr="00125FAF">
              <w:rPr>
                <w:rFonts w:ascii="Times New Roman" w:eastAsia="Times New Roman" w:hAnsi="Times New Roman"/>
                <w:sz w:val="24"/>
                <w:szCs w:val="24"/>
                <w:lang w:val="ro-RO" w:eastAsia="ru-RU"/>
              </w:rPr>
              <w:t xml:space="preserve">Identificate </w:t>
            </w:r>
            <w:proofErr w:type="spellStart"/>
            <w:r w:rsidRPr="00125FAF">
              <w:rPr>
                <w:rFonts w:ascii="Times New Roman" w:eastAsia="Times New Roman" w:hAnsi="Times New Roman"/>
                <w:sz w:val="24"/>
                <w:szCs w:val="24"/>
                <w:lang w:val="ro-RO" w:eastAsia="ru-RU"/>
              </w:rPr>
              <w:t>motivaţiile</w:t>
            </w:r>
            <w:proofErr w:type="spellEnd"/>
            <w:r w:rsidRPr="00125FAF">
              <w:rPr>
                <w:rFonts w:ascii="Times New Roman" w:eastAsia="Times New Roman" w:hAnsi="Times New Roman"/>
                <w:sz w:val="24"/>
                <w:szCs w:val="24"/>
                <w:lang w:val="ro-RO" w:eastAsia="ru-RU"/>
              </w:rPr>
              <w:t xml:space="preserve"> pentru atragerea de personal cu </w:t>
            </w:r>
            <w:proofErr w:type="spellStart"/>
            <w:r w:rsidRPr="00125FAF">
              <w:rPr>
                <w:rFonts w:ascii="Times New Roman" w:eastAsia="Times New Roman" w:hAnsi="Times New Roman"/>
                <w:sz w:val="24"/>
                <w:szCs w:val="24"/>
                <w:lang w:val="ro-RO" w:eastAsia="ru-RU"/>
              </w:rPr>
              <w:t>capacităţi</w:t>
            </w:r>
            <w:proofErr w:type="spellEnd"/>
            <w:r w:rsidRPr="00125FAF">
              <w:rPr>
                <w:rFonts w:ascii="Times New Roman" w:eastAsia="Times New Roman" w:hAnsi="Times New Roman"/>
                <w:sz w:val="24"/>
                <w:szCs w:val="24"/>
                <w:lang w:val="ro-RO" w:eastAsia="ru-RU"/>
              </w:rPr>
              <w:t xml:space="preserve">, cu ulterioara pregătire a acestuia în cadrul </w:t>
            </w:r>
            <w:r w:rsidR="00E4241A" w:rsidRPr="00125FAF">
              <w:rPr>
                <w:rFonts w:ascii="Times New Roman" w:eastAsia="Times New Roman" w:hAnsi="Times New Roman"/>
                <w:sz w:val="24"/>
                <w:szCs w:val="24"/>
                <w:lang w:val="ro-RO" w:eastAsia="ru-RU"/>
              </w:rPr>
              <w:t>autorităților publice centrale responsabile de implementarea</w:t>
            </w:r>
          </w:p>
          <w:p w14:paraId="4AE69AFF" w14:textId="3992EA44" w:rsidR="00134432" w:rsidRPr="00125FAF" w:rsidRDefault="00E4241A" w:rsidP="00E4241A">
            <w:pPr>
              <w:jc w:val="both"/>
              <w:rPr>
                <w:rFonts w:ascii="Times New Roman" w:eastAsia="Times New Roman" w:hAnsi="Times New Roman"/>
                <w:sz w:val="24"/>
                <w:szCs w:val="24"/>
                <w:lang w:val="ro-RO" w:eastAsia="ru-RU"/>
              </w:rPr>
            </w:pPr>
            <w:r w:rsidRPr="00125FAF">
              <w:rPr>
                <w:rFonts w:ascii="Times New Roman" w:eastAsia="Times New Roman" w:hAnsi="Times New Roman"/>
                <w:sz w:val="24"/>
                <w:szCs w:val="24"/>
                <w:lang w:val="ro-RO" w:eastAsia="ru-RU"/>
              </w:rPr>
              <w:t>politicilor în domeniu</w:t>
            </w:r>
          </w:p>
        </w:tc>
      </w:tr>
      <w:tr w:rsidR="00134432" w:rsidRPr="00125FAF" w14:paraId="5B8269CE" w14:textId="77777777" w:rsidTr="00134432">
        <w:tc>
          <w:tcPr>
            <w:tcW w:w="4559" w:type="dxa"/>
          </w:tcPr>
          <w:p w14:paraId="0DADF20F" w14:textId="536788CB" w:rsidR="00E4241A" w:rsidRPr="00125FAF" w:rsidRDefault="00092913" w:rsidP="00E4241A">
            <w:pPr>
              <w:jc w:val="both"/>
              <w:rPr>
                <w:rFonts w:ascii="Times New Roman" w:eastAsia="Times New Roman" w:hAnsi="Times New Roman"/>
                <w:sz w:val="24"/>
                <w:szCs w:val="24"/>
                <w:lang w:val="ro-RO" w:eastAsia="ru-RU"/>
              </w:rPr>
            </w:pPr>
            <w:r w:rsidRPr="00125FAF">
              <w:rPr>
                <w:rFonts w:ascii="Times New Roman" w:eastAsia="Times New Roman" w:hAnsi="Times New Roman"/>
                <w:sz w:val="24"/>
                <w:szCs w:val="24"/>
                <w:lang w:val="ro-RO" w:eastAsia="ru-RU"/>
              </w:rPr>
              <w:t>Întârzierea</w:t>
            </w:r>
            <w:r w:rsidR="00E4241A" w:rsidRPr="00125FAF">
              <w:rPr>
                <w:rFonts w:ascii="Times New Roman" w:eastAsia="Times New Roman" w:hAnsi="Times New Roman"/>
                <w:sz w:val="24"/>
                <w:szCs w:val="24"/>
                <w:lang w:val="ro-RO" w:eastAsia="ru-RU"/>
              </w:rPr>
              <w:t xml:space="preserve"> finanțărilor</w:t>
            </w:r>
          </w:p>
          <w:p w14:paraId="05E6B2D5" w14:textId="74225B1F" w:rsidR="00134432" w:rsidRPr="00125FAF" w:rsidRDefault="00134432" w:rsidP="00E4241A">
            <w:pPr>
              <w:jc w:val="both"/>
              <w:rPr>
                <w:rFonts w:ascii="Times New Roman" w:eastAsia="Times New Roman" w:hAnsi="Times New Roman"/>
                <w:sz w:val="24"/>
                <w:szCs w:val="24"/>
                <w:lang w:val="ro-RO" w:eastAsia="ru-RU"/>
              </w:rPr>
            </w:pPr>
          </w:p>
        </w:tc>
        <w:tc>
          <w:tcPr>
            <w:tcW w:w="4560" w:type="dxa"/>
          </w:tcPr>
          <w:p w14:paraId="102A33AE" w14:textId="44B8DE4D" w:rsidR="00E4241A" w:rsidRPr="00125FAF" w:rsidRDefault="00E4241A" w:rsidP="00E4241A">
            <w:pPr>
              <w:jc w:val="both"/>
              <w:rPr>
                <w:rFonts w:ascii="Times New Roman" w:eastAsia="Times New Roman" w:hAnsi="Times New Roman"/>
                <w:sz w:val="24"/>
                <w:szCs w:val="24"/>
                <w:lang w:val="ro-RO" w:eastAsia="ru-RU"/>
              </w:rPr>
            </w:pPr>
            <w:r w:rsidRPr="00125FAF">
              <w:rPr>
                <w:rFonts w:ascii="Times New Roman" w:eastAsia="Times New Roman" w:hAnsi="Times New Roman"/>
                <w:sz w:val="24"/>
                <w:szCs w:val="24"/>
                <w:lang w:val="ro-RO" w:eastAsia="ru-RU"/>
              </w:rPr>
              <w:t>Va fi monitorizată permanent situația, revizuite măsurile și identificate soluțiile financiare de alternativ</w:t>
            </w:r>
            <w:r w:rsidR="004C400C" w:rsidRPr="00125FAF">
              <w:rPr>
                <w:rFonts w:ascii="Times New Roman" w:eastAsia="Times New Roman" w:hAnsi="Times New Roman"/>
                <w:sz w:val="24"/>
                <w:szCs w:val="24"/>
                <w:lang w:val="ro-RO" w:eastAsia="ru-RU"/>
              </w:rPr>
              <w:t>ă</w:t>
            </w:r>
            <w:r w:rsidRPr="00125FAF">
              <w:rPr>
                <w:rFonts w:ascii="Times New Roman" w:eastAsia="Times New Roman" w:hAnsi="Times New Roman"/>
                <w:sz w:val="24"/>
                <w:szCs w:val="24"/>
                <w:lang w:val="ro-RO" w:eastAsia="ru-RU"/>
              </w:rPr>
              <w:t>, pregătit personalul</w:t>
            </w:r>
          </w:p>
          <w:p w14:paraId="3E0D497E" w14:textId="77777777" w:rsidR="00E4241A" w:rsidRPr="00125FAF" w:rsidRDefault="00E4241A" w:rsidP="00E4241A">
            <w:pPr>
              <w:jc w:val="both"/>
              <w:rPr>
                <w:rFonts w:ascii="Times New Roman" w:eastAsia="Times New Roman" w:hAnsi="Times New Roman"/>
                <w:sz w:val="24"/>
                <w:szCs w:val="24"/>
                <w:lang w:val="ro-RO" w:eastAsia="ru-RU"/>
              </w:rPr>
            </w:pPr>
            <w:r w:rsidRPr="00125FAF">
              <w:rPr>
                <w:rFonts w:ascii="Times New Roman" w:eastAsia="Times New Roman" w:hAnsi="Times New Roman"/>
                <w:sz w:val="24"/>
                <w:szCs w:val="24"/>
                <w:lang w:val="ro-RO" w:eastAsia="ru-RU"/>
              </w:rPr>
              <w:t>autorităților publice centrale responsabile de implementarea politicilor în domeniu</w:t>
            </w:r>
          </w:p>
          <w:p w14:paraId="7E6749AD" w14:textId="62B228A8" w:rsidR="00134432" w:rsidRPr="00125FAF" w:rsidRDefault="00E4241A" w:rsidP="00E4241A">
            <w:pPr>
              <w:jc w:val="both"/>
              <w:rPr>
                <w:rFonts w:ascii="Times New Roman" w:eastAsia="Times New Roman" w:hAnsi="Times New Roman"/>
                <w:sz w:val="24"/>
                <w:szCs w:val="24"/>
                <w:lang w:val="ro-RO" w:eastAsia="ru-RU"/>
              </w:rPr>
            </w:pPr>
            <w:r w:rsidRPr="00125FAF">
              <w:rPr>
                <w:rFonts w:ascii="Times New Roman" w:eastAsia="Times New Roman" w:hAnsi="Times New Roman"/>
                <w:sz w:val="24"/>
                <w:szCs w:val="24"/>
                <w:lang w:val="ro-RO" w:eastAsia="ru-RU"/>
              </w:rPr>
              <w:t>în scopul accesării finanțărilor externe</w:t>
            </w:r>
          </w:p>
        </w:tc>
      </w:tr>
      <w:tr w:rsidR="00134432" w:rsidRPr="00125FAF" w14:paraId="29069171" w14:textId="77777777" w:rsidTr="00134432">
        <w:tc>
          <w:tcPr>
            <w:tcW w:w="4559" w:type="dxa"/>
          </w:tcPr>
          <w:p w14:paraId="3521FCB2" w14:textId="4CDA1B2E" w:rsidR="00134432" w:rsidRPr="00125FAF" w:rsidRDefault="004C50AD" w:rsidP="00134432">
            <w:pPr>
              <w:jc w:val="both"/>
              <w:rPr>
                <w:rFonts w:ascii="Times New Roman" w:eastAsia="Times New Roman" w:hAnsi="Times New Roman"/>
                <w:sz w:val="24"/>
                <w:szCs w:val="24"/>
                <w:lang w:val="ro-RO" w:eastAsia="ru-RU"/>
              </w:rPr>
            </w:pPr>
            <w:r w:rsidRPr="00125FAF">
              <w:rPr>
                <w:rFonts w:ascii="Times New Roman" w:eastAsia="Times New Roman" w:hAnsi="Times New Roman"/>
                <w:sz w:val="24"/>
                <w:szCs w:val="24"/>
                <w:lang w:val="ro-RO" w:eastAsia="ru-RU"/>
              </w:rPr>
              <w:t xml:space="preserve">Capacitatea scăzută a consumatorilor de energie </w:t>
            </w:r>
            <w:r w:rsidR="00092913" w:rsidRPr="00125FAF">
              <w:rPr>
                <w:rFonts w:ascii="Times New Roman" w:eastAsia="Times New Roman" w:hAnsi="Times New Roman"/>
                <w:sz w:val="24"/>
                <w:szCs w:val="24"/>
                <w:lang w:val="ro-RO" w:eastAsia="ru-RU"/>
              </w:rPr>
              <w:t>de a îndura tarife mai înalte în legătură cu promovarea Surselor regenerabile de energie</w:t>
            </w:r>
          </w:p>
        </w:tc>
        <w:tc>
          <w:tcPr>
            <w:tcW w:w="4560" w:type="dxa"/>
          </w:tcPr>
          <w:p w14:paraId="73E811FA" w14:textId="491F1E07" w:rsidR="00134432" w:rsidRPr="00125FAF" w:rsidRDefault="00092913" w:rsidP="00134432">
            <w:pPr>
              <w:jc w:val="both"/>
              <w:rPr>
                <w:rFonts w:ascii="Times New Roman" w:eastAsia="Times New Roman" w:hAnsi="Times New Roman"/>
                <w:sz w:val="24"/>
                <w:szCs w:val="24"/>
                <w:lang w:val="ro-RO" w:eastAsia="ru-RU"/>
              </w:rPr>
            </w:pPr>
            <w:r w:rsidRPr="00125FAF">
              <w:rPr>
                <w:rFonts w:ascii="Times New Roman" w:eastAsia="Times New Roman" w:hAnsi="Times New Roman"/>
                <w:sz w:val="24"/>
                <w:szCs w:val="24"/>
                <w:lang w:val="ro-RO" w:eastAsia="ru-RU"/>
              </w:rPr>
              <w:t xml:space="preserve">Introducerea tarifelor sociale pentru </w:t>
            </w:r>
            <w:r w:rsidR="00BB2D54" w:rsidRPr="00125FAF">
              <w:rPr>
                <w:rFonts w:ascii="Times New Roman" w:eastAsia="Times New Roman" w:hAnsi="Times New Roman"/>
                <w:sz w:val="24"/>
                <w:szCs w:val="24"/>
                <w:lang w:val="ro-RO" w:eastAsia="ru-RU"/>
              </w:rPr>
              <w:t xml:space="preserve">păturile </w:t>
            </w:r>
            <w:proofErr w:type="spellStart"/>
            <w:r w:rsidR="004C400C" w:rsidRPr="00125FAF">
              <w:rPr>
                <w:rFonts w:ascii="Times New Roman" w:eastAsia="Times New Roman" w:hAnsi="Times New Roman"/>
                <w:sz w:val="24"/>
                <w:szCs w:val="24"/>
                <w:lang w:val="ro-RO" w:eastAsia="ru-RU"/>
              </w:rPr>
              <w:t>populaţi</w:t>
            </w:r>
            <w:r w:rsidR="00BB2D54" w:rsidRPr="00125FAF">
              <w:rPr>
                <w:rFonts w:ascii="Times New Roman" w:eastAsia="Times New Roman" w:hAnsi="Times New Roman"/>
                <w:sz w:val="24"/>
                <w:szCs w:val="24"/>
                <w:lang w:val="ro-RO" w:eastAsia="ru-RU"/>
              </w:rPr>
              <w:t>ei</w:t>
            </w:r>
            <w:proofErr w:type="spellEnd"/>
            <w:r w:rsidR="004C400C" w:rsidRPr="00125FAF">
              <w:rPr>
                <w:rFonts w:ascii="Times New Roman" w:eastAsia="Times New Roman" w:hAnsi="Times New Roman"/>
                <w:sz w:val="24"/>
                <w:szCs w:val="24"/>
                <w:lang w:val="ro-RO" w:eastAsia="ru-RU"/>
              </w:rPr>
              <w:t xml:space="preserve"> social vulnerabil</w:t>
            </w:r>
            <w:r w:rsidR="00BB2D54" w:rsidRPr="00125FAF">
              <w:rPr>
                <w:rFonts w:ascii="Times New Roman" w:eastAsia="Times New Roman" w:hAnsi="Times New Roman"/>
                <w:sz w:val="24"/>
                <w:szCs w:val="24"/>
                <w:lang w:val="ro-RO" w:eastAsia="ru-RU"/>
              </w:rPr>
              <w:t>e</w:t>
            </w:r>
            <w:r w:rsidR="009777F8" w:rsidRPr="00125FAF">
              <w:rPr>
                <w:rFonts w:ascii="Times New Roman" w:eastAsia="Times New Roman" w:hAnsi="Times New Roman"/>
                <w:sz w:val="24"/>
                <w:szCs w:val="24"/>
                <w:lang w:val="ro-RO" w:eastAsia="ru-RU"/>
              </w:rPr>
              <w:t xml:space="preserve">, având în vedere aspectele de gen și incluziune </w:t>
            </w:r>
            <w:r w:rsidR="004C400C" w:rsidRPr="00125FAF">
              <w:rPr>
                <w:rFonts w:ascii="Times New Roman" w:eastAsia="Times New Roman" w:hAnsi="Times New Roman"/>
                <w:sz w:val="24"/>
                <w:szCs w:val="24"/>
                <w:lang w:val="ro-RO" w:eastAsia="ru-RU"/>
              </w:rPr>
              <w:t xml:space="preserve"> </w:t>
            </w:r>
          </w:p>
        </w:tc>
      </w:tr>
      <w:tr w:rsidR="00220DC1" w:rsidRPr="00125FAF" w14:paraId="46949104" w14:textId="77777777" w:rsidTr="00134432">
        <w:tc>
          <w:tcPr>
            <w:tcW w:w="4559" w:type="dxa"/>
          </w:tcPr>
          <w:p w14:paraId="68748B55" w14:textId="77777777" w:rsidR="00220DC1" w:rsidRPr="00125FAF" w:rsidRDefault="00220DC1" w:rsidP="00220DC1">
            <w:pPr>
              <w:jc w:val="both"/>
              <w:rPr>
                <w:rFonts w:ascii="Times New Roman" w:eastAsia="Times New Roman" w:hAnsi="Times New Roman"/>
                <w:sz w:val="24"/>
                <w:szCs w:val="24"/>
                <w:lang w:val="ro-RO" w:eastAsia="ru-RU"/>
              </w:rPr>
            </w:pPr>
            <w:r w:rsidRPr="00125FAF">
              <w:rPr>
                <w:rFonts w:ascii="Times New Roman" w:eastAsia="Times New Roman" w:hAnsi="Times New Roman"/>
                <w:sz w:val="24"/>
                <w:szCs w:val="24"/>
                <w:lang w:val="ro-RO" w:eastAsia="ru-RU"/>
              </w:rPr>
              <w:t>Implicarea limitată a sectorului privat și</w:t>
            </w:r>
          </w:p>
          <w:p w14:paraId="0C81E6FB" w14:textId="4F2107B9" w:rsidR="00220DC1" w:rsidRPr="00125FAF" w:rsidRDefault="00220DC1" w:rsidP="00220DC1">
            <w:pPr>
              <w:jc w:val="both"/>
              <w:rPr>
                <w:rFonts w:ascii="Times New Roman" w:eastAsia="Times New Roman" w:hAnsi="Times New Roman"/>
                <w:sz w:val="24"/>
                <w:szCs w:val="24"/>
                <w:lang w:val="ro-RO" w:eastAsia="ru-RU"/>
              </w:rPr>
            </w:pPr>
            <w:r w:rsidRPr="00125FAF">
              <w:rPr>
                <w:rFonts w:ascii="Times New Roman" w:eastAsia="Times New Roman" w:hAnsi="Times New Roman"/>
                <w:sz w:val="24"/>
                <w:szCs w:val="24"/>
                <w:lang w:val="ro-RO" w:eastAsia="ru-RU"/>
              </w:rPr>
              <w:t>asociativ în procesul de implementare a Programului</w:t>
            </w:r>
          </w:p>
        </w:tc>
        <w:tc>
          <w:tcPr>
            <w:tcW w:w="4560" w:type="dxa"/>
          </w:tcPr>
          <w:p w14:paraId="6E86DB36" w14:textId="298F7287" w:rsidR="00220DC1" w:rsidRPr="00125FAF" w:rsidRDefault="00220DC1" w:rsidP="00134432">
            <w:pPr>
              <w:jc w:val="both"/>
              <w:rPr>
                <w:rFonts w:ascii="Times New Roman" w:eastAsia="Times New Roman" w:hAnsi="Times New Roman"/>
                <w:sz w:val="24"/>
                <w:szCs w:val="24"/>
                <w:lang w:val="ro-RO" w:eastAsia="ru-RU"/>
              </w:rPr>
            </w:pPr>
            <w:r w:rsidRPr="00125FAF">
              <w:rPr>
                <w:rFonts w:ascii="Times New Roman" w:eastAsia="Times New Roman" w:hAnsi="Times New Roman"/>
                <w:sz w:val="24"/>
                <w:szCs w:val="24"/>
                <w:lang w:val="ro-RO" w:eastAsia="ru-RU"/>
              </w:rPr>
              <w:t xml:space="preserve">Promovarea unei companii de informare a sectorului privat privind beneficiile pe care le pot avea </w:t>
            </w:r>
            <w:proofErr w:type="spellStart"/>
            <w:r w:rsidRPr="00125FAF">
              <w:rPr>
                <w:rFonts w:ascii="Times New Roman" w:eastAsia="Times New Roman" w:hAnsi="Times New Roman"/>
                <w:sz w:val="24"/>
                <w:szCs w:val="24"/>
                <w:lang w:val="ro-RO" w:eastAsia="ru-RU"/>
              </w:rPr>
              <w:t>aceştea</w:t>
            </w:r>
            <w:proofErr w:type="spellEnd"/>
            <w:r w:rsidRPr="00125FAF">
              <w:rPr>
                <w:rFonts w:ascii="Times New Roman" w:eastAsia="Times New Roman" w:hAnsi="Times New Roman"/>
                <w:sz w:val="24"/>
                <w:szCs w:val="24"/>
                <w:lang w:val="ro-RO" w:eastAsia="ru-RU"/>
              </w:rPr>
              <w:t xml:space="preserve"> </w:t>
            </w:r>
            <w:proofErr w:type="spellStart"/>
            <w:r w:rsidRPr="00125FAF">
              <w:rPr>
                <w:rFonts w:ascii="Times New Roman" w:eastAsia="Times New Roman" w:hAnsi="Times New Roman"/>
                <w:sz w:val="24"/>
                <w:szCs w:val="24"/>
                <w:lang w:val="ro-RO" w:eastAsia="ru-RU"/>
              </w:rPr>
              <w:t>şi</w:t>
            </w:r>
            <w:proofErr w:type="spellEnd"/>
            <w:r w:rsidRPr="00125FAF">
              <w:rPr>
                <w:rFonts w:ascii="Times New Roman" w:eastAsia="Times New Roman" w:hAnsi="Times New Roman"/>
                <w:sz w:val="24"/>
                <w:szCs w:val="24"/>
                <w:lang w:val="ro-RO" w:eastAsia="ru-RU"/>
              </w:rPr>
              <w:t xml:space="preserve"> </w:t>
            </w:r>
            <w:proofErr w:type="spellStart"/>
            <w:r w:rsidRPr="00125FAF">
              <w:rPr>
                <w:rFonts w:ascii="Times New Roman" w:eastAsia="Times New Roman" w:hAnsi="Times New Roman"/>
                <w:sz w:val="24"/>
                <w:szCs w:val="24"/>
                <w:lang w:val="ro-RO" w:eastAsia="ru-RU"/>
              </w:rPr>
              <w:t>ţara</w:t>
            </w:r>
            <w:proofErr w:type="spellEnd"/>
            <w:r w:rsidRPr="00125FAF">
              <w:rPr>
                <w:rFonts w:ascii="Times New Roman" w:eastAsia="Times New Roman" w:hAnsi="Times New Roman"/>
                <w:sz w:val="24"/>
                <w:szCs w:val="24"/>
                <w:lang w:val="ro-RO" w:eastAsia="ru-RU"/>
              </w:rPr>
              <w:t xml:space="preserve"> în ansamblu în urma participării active la</w:t>
            </w:r>
            <w:r w:rsidR="00E70219" w:rsidRPr="00125FAF">
              <w:rPr>
                <w:rFonts w:ascii="Times New Roman" w:eastAsia="Times New Roman" w:hAnsi="Times New Roman"/>
                <w:sz w:val="24"/>
                <w:szCs w:val="24"/>
                <w:lang w:val="ro-RO" w:eastAsia="ru-RU"/>
              </w:rPr>
              <w:t xml:space="preserve"> </w:t>
            </w:r>
            <w:r w:rsidRPr="00125FAF">
              <w:rPr>
                <w:rFonts w:ascii="Times New Roman" w:eastAsia="Times New Roman" w:hAnsi="Times New Roman"/>
                <w:sz w:val="24"/>
                <w:szCs w:val="24"/>
                <w:lang w:val="ro-RO" w:eastAsia="ru-RU"/>
              </w:rPr>
              <w:t>îndeplinirea Programului</w:t>
            </w:r>
          </w:p>
        </w:tc>
      </w:tr>
    </w:tbl>
    <w:p w14:paraId="1424622D" w14:textId="52D71D6E" w:rsidR="00134432" w:rsidRPr="00125FAF" w:rsidRDefault="00134432" w:rsidP="00134432">
      <w:pPr>
        <w:spacing w:after="0" w:line="240" w:lineRule="auto"/>
        <w:jc w:val="both"/>
        <w:rPr>
          <w:rFonts w:ascii="Times New Roman" w:eastAsia="Times New Roman" w:hAnsi="Times New Roman" w:cs="Times New Roman"/>
          <w:sz w:val="24"/>
          <w:szCs w:val="24"/>
          <w:lang w:eastAsia="ru-RU"/>
        </w:rPr>
      </w:pPr>
    </w:p>
    <w:p w14:paraId="2FAC79F1" w14:textId="5CD96E2D" w:rsidR="00052ABD" w:rsidRPr="00125FAF" w:rsidRDefault="00076C37" w:rsidP="00E13B78">
      <w:pPr>
        <w:spacing w:after="120" w:line="240" w:lineRule="auto"/>
        <w:ind w:firstLine="720"/>
        <w:jc w:val="both"/>
        <w:rPr>
          <w:rFonts w:ascii="Times New Roman" w:eastAsia="Times New Roman" w:hAnsi="Times New Roman" w:cs="Times New Roman"/>
          <w:b/>
          <w:bCs/>
          <w:sz w:val="24"/>
          <w:szCs w:val="24"/>
          <w:lang w:eastAsia="ru-RU"/>
        </w:rPr>
      </w:pPr>
      <w:r w:rsidRPr="00125FAF">
        <w:rPr>
          <w:rFonts w:ascii="Times New Roman" w:eastAsia="Times New Roman" w:hAnsi="Times New Roman" w:cs="Times New Roman"/>
          <w:b/>
          <w:bCs/>
          <w:sz w:val="24"/>
          <w:szCs w:val="24"/>
          <w:lang w:eastAsia="ru-RU"/>
        </w:rPr>
        <w:t>IX.</w:t>
      </w:r>
      <w:r w:rsidR="00052ABD" w:rsidRPr="00125FAF">
        <w:rPr>
          <w:rFonts w:ascii="Times New Roman" w:eastAsia="Times New Roman" w:hAnsi="Times New Roman" w:cs="Times New Roman"/>
          <w:b/>
          <w:bCs/>
          <w:sz w:val="24"/>
          <w:szCs w:val="24"/>
          <w:lang w:eastAsia="ru-RU"/>
        </w:rPr>
        <w:t xml:space="preserve"> Autorități/</w:t>
      </w:r>
      <w:r w:rsidRPr="00125FAF">
        <w:rPr>
          <w:rFonts w:ascii="Times New Roman" w:eastAsia="Times New Roman" w:hAnsi="Times New Roman" w:cs="Times New Roman"/>
          <w:b/>
          <w:bCs/>
          <w:sz w:val="24"/>
          <w:szCs w:val="24"/>
          <w:lang w:eastAsia="ru-RU"/>
        </w:rPr>
        <w:t xml:space="preserve"> </w:t>
      </w:r>
      <w:r w:rsidR="00052ABD" w:rsidRPr="00125FAF">
        <w:rPr>
          <w:rFonts w:ascii="Times New Roman" w:eastAsia="Times New Roman" w:hAnsi="Times New Roman" w:cs="Times New Roman"/>
          <w:b/>
          <w:bCs/>
          <w:sz w:val="24"/>
          <w:szCs w:val="24"/>
          <w:lang w:eastAsia="ru-RU"/>
        </w:rPr>
        <w:t>instituții responsabile de implementare</w:t>
      </w:r>
      <w:r w:rsidRPr="00125FAF">
        <w:rPr>
          <w:rFonts w:ascii="Times New Roman" w:eastAsia="Times New Roman" w:hAnsi="Times New Roman" w:cs="Times New Roman"/>
          <w:b/>
          <w:bCs/>
          <w:sz w:val="24"/>
          <w:szCs w:val="24"/>
          <w:lang w:eastAsia="ru-RU"/>
        </w:rPr>
        <w:t>a Programului</w:t>
      </w:r>
    </w:p>
    <w:p w14:paraId="4031D206" w14:textId="45F7A38B" w:rsidR="00076C37" w:rsidRPr="00125FAF" w:rsidRDefault="007909C8" w:rsidP="00076C37">
      <w:pPr>
        <w:spacing w:after="0" w:line="240" w:lineRule="auto"/>
        <w:ind w:firstLine="720"/>
        <w:jc w:val="both"/>
        <w:rPr>
          <w:rFonts w:ascii="Times New Roman" w:eastAsia="Times New Roman" w:hAnsi="Times New Roman" w:cs="Times New Roman"/>
          <w:sz w:val="24"/>
          <w:szCs w:val="24"/>
          <w:lang w:eastAsia="ru-RU"/>
        </w:rPr>
      </w:pPr>
      <w:r w:rsidRPr="00125FAF">
        <w:rPr>
          <w:rFonts w:ascii="Times New Roman" w:eastAsia="Times New Roman" w:hAnsi="Times New Roman" w:cs="Times New Roman"/>
          <w:sz w:val="24"/>
          <w:szCs w:val="24"/>
          <w:lang w:eastAsia="ru-RU"/>
        </w:rPr>
        <w:t xml:space="preserve">48. </w:t>
      </w:r>
      <w:proofErr w:type="spellStart"/>
      <w:r w:rsidR="00076C37" w:rsidRPr="00125FAF">
        <w:rPr>
          <w:rFonts w:ascii="Times New Roman" w:eastAsia="Times New Roman" w:hAnsi="Times New Roman" w:cs="Times New Roman"/>
          <w:sz w:val="24"/>
          <w:szCs w:val="24"/>
          <w:lang w:eastAsia="ru-RU"/>
        </w:rPr>
        <w:t>Instituţiile</w:t>
      </w:r>
      <w:proofErr w:type="spellEnd"/>
      <w:r w:rsidR="00076C37" w:rsidRPr="00125FAF">
        <w:rPr>
          <w:rFonts w:ascii="Times New Roman" w:eastAsia="Times New Roman" w:hAnsi="Times New Roman" w:cs="Times New Roman"/>
          <w:sz w:val="24"/>
          <w:szCs w:val="24"/>
          <w:lang w:eastAsia="ru-RU"/>
        </w:rPr>
        <w:t xml:space="preserve"> responsabile de implementarea Programului sunt specificate în Planul de </w:t>
      </w:r>
      <w:proofErr w:type="spellStart"/>
      <w:r w:rsidR="00076C37" w:rsidRPr="00125FAF">
        <w:rPr>
          <w:rFonts w:ascii="Times New Roman" w:eastAsia="Times New Roman" w:hAnsi="Times New Roman" w:cs="Times New Roman"/>
          <w:sz w:val="24"/>
          <w:szCs w:val="24"/>
          <w:lang w:eastAsia="ru-RU"/>
        </w:rPr>
        <w:t>acţiuni</w:t>
      </w:r>
      <w:proofErr w:type="spellEnd"/>
      <w:r w:rsidR="00076C37" w:rsidRPr="00125FAF">
        <w:rPr>
          <w:rFonts w:ascii="Times New Roman" w:eastAsia="Times New Roman" w:hAnsi="Times New Roman" w:cs="Times New Roman"/>
          <w:sz w:val="24"/>
          <w:szCs w:val="24"/>
          <w:lang w:eastAsia="ru-RU"/>
        </w:rPr>
        <w:t xml:space="preserve"> pentru implementarea acestuia din Anexa 3, </w:t>
      </w:r>
      <w:proofErr w:type="spellStart"/>
      <w:r w:rsidR="00076C37" w:rsidRPr="00125FAF">
        <w:rPr>
          <w:rFonts w:ascii="Times New Roman" w:eastAsia="Times New Roman" w:hAnsi="Times New Roman" w:cs="Times New Roman"/>
          <w:sz w:val="24"/>
          <w:szCs w:val="24"/>
          <w:lang w:eastAsia="ru-RU"/>
        </w:rPr>
        <w:t>autorităţile</w:t>
      </w:r>
      <w:proofErr w:type="spellEnd"/>
      <w:r w:rsidR="00076C37" w:rsidRPr="00125FAF">
        <w:rPr>
          <w:rFonts w:ascii="Times New Roman" w:eastAsia="Times New Roman" w:hAnsi="Times New Roman" w:cs="Times New Roman"/>
          <w:sz w:val="24"/>
          <w:szCs w:val="24"/>
          <w:lang w:eastAsia="ru-RU"/>
        </w:rPr>
        <w:t xml:space="preserve"> </w:t>
      </w:r>
      <w:proofErr w:type="spellStart"/>
      <w:r w:rsidR="00076C37" w:rsidRPr="00125FAF">
        <w:rPr>
          <w:rFonts w:ascii="Times New Roman" w:eastAsia="Times New Roman" w:hAnsi="Times New Roman" w:cs="Times New Roman"/>
          <w:sz w:val="24"/>
          <w:szCs w:val="24"/>
          <w:lang w:eastAsia="ru-RU"/>
        </w:rPr>
        <w:t>şi</w:t>
      </w:r>
      <w:proofErr w:type="spellEnd"/>
      <w:r w:rsidR="00076C37" w:rsidRPr="00125FAF">
        <w:rPr>
          <w:rFonts w:ascii="Times New Roman" w:eastAsia="Times New Roman" w:hAnsi="Times New Roman" w:cs="Times New Roman"/>
          <w:sz w:val="24"/>
          <w:szCs w:val="24"/>
          <w:lang w:eastAsia="ru-RU"/>
        </w:rPr>
        <w:t xml:space="preserve"> partenerii fiind </w:t>
      </w:r>
      <w:proofErr w:type="spellStart"/>
      <w:r w:rsidR="00076C37" w:rsidRPr="00125FAF">
        <w:rPr>
          <w:rFonts w:ascii="Times New Roman" w:eastAsia="Times New Roman" w:hAnsi="Times New Roman" w:cs="Times New Roman"/>
          <w:sz w:val="24"/>
          <w:szCs w:val="24"/>
          <w:lang w:eastAsia="ru-RU"/>
        </w:rPr>
        <w:t>indicaţi</w:t>
      </w:r>
      <w:proofErr w:type="spellEnd"/>
      <w:r w:rsidR="00076C37" w:rsidRPr="00125FAF">
        <w:rPr>
          <w:rFonts w:ascii="Times New Roman" w:eastAsia="Times New Roman" w:hAnsi="Times New Roman" w:cs="Times New Roman"/>
          <w:sz w:val="24"/>
          <w:szCs w:val="24"/>
          <w:lang w:eastAsia="ru-RU"/>
        </w:rPr>
        <w:t xml:space="preserve"> pentru fiecare </w:t>
      </w:r>
      <w:proofErr w:type="spellStart"/>
      <w:r w:rsidR="00076C37" w:rsidRPr="00125FAF">
        <w:rPr>
          <w:rFonts w:ascii="Times New Roman" w:eastAsia="Times New Roman" w:hAnsi="Times New Roman" w:cs="Times New Roman"/>
          <w:sz w:val="24"/>
          <w:szCs w:val="24"/>
          <w:lang w:eastAsia="ru-RU"/>
        </w:rPr>
        <w:t>acţiune</w:t>
      </w:r>
      <w:proofErr w:type="spellEnd"/>
      <w:r w:rsidR="00076C37" w:rsidRPr="00125FAF">
        <w:rPr>
          <w:rFonts w:ascii="Times New Roman" w:eastAsia="Times New Roman" w:hAnsi="Times New Roman" w:cs="Times New Roman"/>
          <w:sz w:val="24"/>
          <w:szCs w:val="24"/>
          <w:lang w:eastAsia="ru-RU"/>
        </w:rPr>
        <w:t xml:space="preserve"> de atenuare a emisiilor de GES.</w:t>
      </w:r>
    </w:p>
    <w:p w14:paraId="1D76D26E" w14:textId="34D591B8" w:rsidR="00076C37" w:rsidRPr="00125FAF" w:rsidRDefault="00076C37" w:rsidP="002446B1">
      <w:pPr>
        <w:spacing w:after="0" w:line="240" w:lineRule="auto"/>
        <w:ind w:firstLine="720"/>
        <w:jc w:val="both"/>
        <w:rPr>
          <w:rFonts w:ascii="Times New Roman" w:eastAsia="Times New Roman" w:hAnsi="Times New Roman" w:cs="Times New Roman"/>
          <w:sz w:val="24"/>
          <w:szCs w:val="24"/>
          <w:lang w:eastAsia="ru-RU"/>
        </w:rPr>
      </w:pPr>
      <w:r w:rsidRPr="00125FAF">
        <w:rPr>
          <w:rFonts w:ascii="Times New Roman" w:eastAsia="Times New Roman" w:hAnsi="Times New Roman" w:cs="Times New Roman"/>
          <w:sz w:val="24"/>
          <w:szCs w:val="24"/>
          <w:lang w:eastAsia="ru-RU"/>
        </w:rPr>
        <w:t xml:space="preserve">Actorul coordonator al Programului este </w:t>
      </w:r>
      <w:r w:rsidR="002C1CB9">
        <w:rPr>
          <w:rFonts w:ascii="Times New Roman" w:eastAsia="Times New Roman" w:hAnsi="Times New Roman" w:cs="Times New Roman"/>
          <w:sz w:val="24"/>
          <w:szCs w:val="24"/>
          <w:lang w:eastAsia="ru-RU"/>
        </w:rPr>
        <w:t>Ministerul Mediului</w:t>
      </w:r>
      <w:r w:rsidR="0020344E" w:rsidRPr="00125FAF">
        <w:rPr>
          <w:rFonts w:ascii="Times New Roman" w:eastAsia="Times New Roman" w:hAnsi="Times New Roman" w:cs="Times New Roman"/>
          <w:sz w:val="24"/>
          <w:szCs w:val="24"/>
          <w:lang w:eastAsia="ru-RU"/>
        </w:rPr>
        <w:t xml:space="preserve">, cu organismele din </w:t>
      </w:r>
      <w:proofErr w:type="spellStart"/>
      <w:r w:rsidR="0020344E" w:rsidRPr="00125FAF">
        <w:rPr>
          <w:rFonts w:ascii="Times New Roman" w:eastAsia="Times New Roman" w:hAnsi="Times New Roman" w:cs="Times New Roman"/>
          <w:sz w:val="24"/>
          <w:szCs w:val="24"/>
          <w:lang w:eastAsia="ru-RU"/>
        </w:rPr>
        <w:t>componenţa</w:t>
      </w:r>
      <w:proofErr w:type="spellEnd"/>
      <w:r w:rsidR="0020344E" w:rsidRPr="00125FAF">
        <w:rPr>
          <w:rFonts w:ascii="Times New Roman" w:eastAsia="Times New Roman" w:hAnsi="Times New Roman" w:cs="Times New Roman"/>
          <w:sz w:val="24"/>
          <w:szCs w:val="24"/>
          <w:lang w:eastAsia="ru-RU"/>
        </w:rPr>
        <w:t xml:space="preserve"> acestuia, inclusiv: Agenția ”</w:t>
      </w:r>
      <w:proofErr w:type="spellStart"/>
      <w:r w:rsidR="0020344E" w:rsidRPr="00125FAF">
        <w:rPr>
          <w:rFonts w:ascii="Times New Roman" w:eastAsia="Times New Roman" w:hAnsi="Times New Roman" w:cs="Times New Roman"/>
          <w:sz w:val="24"/>
          <w:szCs w:val="24"/>
          <w:lang w:eastAsia="ru-RU"/>
        </w:rPr>
        <w:t>Moldsilva</w:t>
      </w:r>
      <w:proofErr w:type="spellEnd"/>
      <w:r w:rsidR="0020344E" w:rsidRPr="00125FAF">
        <w:rPr>
          <w:rFonts w:ascii="Times New Roman" w:eastAsia="Times New Roman" w:hAnsi="Times New Roman" w:cs="Times New Roman"/>
          <w:sz w:val="24"/>
          <w:szCs w:val="24"/>
          <w:lang w:eastAsia="ru-RU"/>
        </w:rPr>
        <w:t>”, Agenția ”Apele Moldovei”</w:t>
      </w:r>
      <w:r w:rsidR="002446B1" w:rsidRPr="00125FAF">
        <w:rPr>
          <w:rFonts w:ascii="Times New Roman" w:eastAsia="Times New Roman" w:hAnsi="Times New Roman" w:cs="Times New Roman"/>
          <w:sz w:val="24"/>
          <w:szCs w:val="24"/>
          <w:lang w:eastAsia="ru-RU"/>
        </w:rPr>
        <w:t xml:space="preserve">, </w:t>
      </w:r>
      <w:proofErr w:type="spellStart"/>
      <w:r w:rsidR="002446B1" w:rsidRPr="00125FAF">
        <w:rPr>
          <w:rFonts w:ascii="Times New Roman" w:eastAsia="Times New Roman" w:hAnsi="Times New Roman" w:cs="Times New Roman"/>
          <w:sz w:val="24"/>
          <w:szCs w:val="24"/>
          <w:lang w:eastAsia="ru-RU"/>
        </w:rPr>
        <w:t>Agenţia</w:t>
      </w:r>
      <w:proofErr w:type="spellEnd"/>
      <w:r w:rsidR="002446B1" w:rsidRPr="00125FAF">
        <w:rPr>
          <w:rFonts w:ascii="Times New Roman" w:eastAsia="Times New Roman" w:hAnsi="Times New Roman" w:cs="Times New Roman"/>
          <w:sz w:val="24"/>
          <w:szCs w:val="24"/>
          <w:lang w:eastAsia="ru-RU"/>
        </w:rPr>
        <w:t xml:space="preserve"> de mediu, Agenția de Intervenție și Plăți pentru Agricultură (AIPA), Unitatea consolidată pentru implementarea Programelor Fondului Internațional pentru Dezvoltare Agricolă (IFAD)</w:t>
      </w:r>
      <w:r w:rsidR="00E70219" w:rsidRPr="00125FAF">
        <w:rPr>
          <w:rFonts w:ascii="Times New Roman" w:eastAsia="Times New Roman" w:hAnsi="Times New Roman" w:cs="Times New Roman"/>
          <w:sz w:val="24"/>
          <w:szCs w:val="24"/>
          <w:lang w:eastAsia="ru-RU"/>
        </w:rPr>
        <w:t xml:space="preserve"> </w:t>
      </w:r>
      <w:r w:rsidR="002446B1" w:rsidRPr="00125FAF">
        <w:rPr>
          <w:rFonts w:ascii="Times New Roman" w:eastAsia="Times New Roman" w:hAnsi="Times New Roman" w:cs="Times New Roman"/>
          <w:sz w:val="24"/>
          <w:szCs w:val="24"/>
          <w:lang w:eastAsia="ru-RU"/>
        </w:rPr>
        <w:t>etc</w:t>
      </w:r>
      <w:r w:rsidRPr="00125FAF">
        <w:rPr>
          <w:rFonts w:ascii="Times New Roman" w:eastAsia="Times New Roman" w:hAnsi="Times New Roman" w:cs="Times New Roman"/>
          <w:sz w:val="24"/>
          <w:szCs w:val="24"/>
          <w:lang w:eastAsia="ru-RU"/>
        </w:rPr>
        <w:t xml:space="preserve">. </w:t>
      </w:r>
      <w:r w:rsidR="00B36396" w:rsidRPr="00B36396">
        <w:rPr>
          <w:rFonts w:ascii="Times New Roman" w:eastAsia="Times New Roman" w:hAnsi="Times New Roman" w:cs="Times New Roman"/>
          <w:sz w:val="24"/>
          <w:szCs w:val="24"/>
          <w:lang w:eastAsia="ru-RU"/>
        </w:rPr>
        <w:t>Ministerul Mediului</w:t>
      </w:r>
      <w:r w:rsidRPr="00125FAF">
        <w:rPr>
          <w:rFonts w:ascii="Times New Roman" w:eastAsia="Times New Roman" w:hAnsi="Times New Roman" w:cs="Times New Roman"/>
          <w:sz w:val="24"/>
          <w:szCs w:val="24"/>
          <w:lang w:eastAsia="ru-RU"/>
        </w:rPr>
        <w:t xml:space="preserve"> poartă responsabilitate pentru monitorizarea, raportarea </w:t>
      </w:r>
      <w:proofErr w:type="spellStart"/>
      <w:r w:rsidRPr="00125FAF">
        <w:rPr>
          <w:rFonts w:ascii="Times New Roman" w:eastAsia="Times New Roman" w:hAnsi="Times New Roman" w:cs="Times New Roman"/>
          <w:sz w:val="24"/>
          <w:szCs w:val="24"/>
          <w:lang w:eastAsia="ru-RU"/>
        </w:rPr>
        <w:t>şi</w:t>
      </w:r>
      <w:proofErr w:type="spellEnd"/>
      <w:r w:rsidRPr="00125FAF">
        <w:rPr>
          <w:rFonts w:ascii="Times New Roman" w:eastAsia="Times New Roman" w:hAnsi="Times New Roman" w:cs="Times New Roman"/>
          <w:sz w:val="24"/>
          <w:szCs w:val="24"/>
          <w:lang w:eastAsia="ru-RU"/>
        </w:rPr>
        <w:t xml:space="preserve"> verificarea </w:t>
      </w:r>
      <w:proofErr w:type="spellStart"/>
      <w:r w:rsidRPr="00125FAF">
        <w:rPr>
          <w:rFonts w:ascii="Times New Roman" w:eastAsia="Times New Roman" w:hAnsi="Times New Roman" w:cs="Times New Roman"/>
          <w:sz w:val="24"/>
          <w:szCs w:val="24"/>
          <w:lang w:eastAsia="ru-RU"/>
        </w:rPr>
        <w:t>acţiunilor</w:t>
      </w:r>
      <w:proofErr w:type="spellEnd"/>
      <w:r w:rsidRPr="00125FAF">
        <w:rPr>
          <w:rFonts w:ascii="Times New Roman" w:eastAsia="Times New Roman" w:hAnsi="Times New Roman" w:cs="Times New Roman"/>
          <w:sz w:val="24"/>
          <w:szCs w:val="24"/>
          <w:lang w:eastAsia="ru-RU"/>
        </w:rPr>
        <w:t xml:space="preserve"> prevăzute de Program. În procesul de implementare vor fi implicate, în principal:</w:t>
      </w:r>
    </w:p>
    <w:p w14:paraId="727378D6" w14:textId="063585D8" w:rsidR="00076C37" w:rsidRPr="00125FAF" w:rsidRDefault="00076C37" w:rsidP="00076C37">
      <w:pPr>
        <w:spacing w:after="0" w:line="240" w:lineRule="auto"/>
        <w:ind w:firstLine="720"/>
        <w:jc w:val="both"/>
        <w:rPr>
          <w:rFonts w:ascii="Times New Roman" w:eastAsia="Times New Roman" w:hAnsi="Times New Roman" w:cs="Times New Roman"/>
          <w:sz w:val="24"/>
          <w:szCs w:val="24"/>
          <w:lang w:eastAsia="ru-RU"/>
        </w:rPr>
      </w:pPr>
      <w:r w:rsidRPr="00125FAF">
        <w:rPr>
          <w:rFonts w:ascii="Times New Roman" w:eastAsia="Times New Roman" w:hAnsi="Times New Roman" w:cs="Times New Roman"/>
          <w:sz w:val="24"/>
          <w:szCs w:val="24"/>
          <w:lang w:eastAsia="ru-RU"/>
        </w:rPr>
        <w:t>1.</w:t>
      </w:r>
      <w:r w:rsidRPr="00125FAF">
        <w:rPr>
          <w:rFonts w:ascii="Times New Roman" w:eastAsia="Times New Roman" w:hAnsi="Times New Roman" w:cs="Times New Roman"/>
          <w:sz w:val="24"/>
          <w:szCs w:val="24"/>
          <w:lang w:eastAsia="ru-RU"/>
        </w:rPr>
        <w:tab/>
      </w:r>
      <w:r w:rsidR="0024706D">
        <w:rPr>
          <w:rFonts w:ascii="Times New Roman" w:eastAsia="Times New Roman" w:hAnsi="Times New Roman" w:cs="Times New Roman"/>
          <w:sz w:val="24"/>
          <w:szCs w:val="24"/>
          <w:lang w:eastAsia="ru-RU"/>
        </w:rPr>
        <w:t>Ministerul Infrastructurii și Dezvoltării Regionale</w:t>
      </w:r>
      <w:r w:rsidR="0020344E" w:rsidRPr="00125FAF">
        <w:rPr>
          <w:rFonts w:ascii="Times New Roman" w:eastAsia="Times New Roman" w:hAnsi="Times New Roman" w:cs="Times New Roman"/>
          <w:sz w:val="24"/>
          <w:szCs w:val="24"/>
          <w:lang w:eastAsia="ru-RU"/>
        </w:rPr>
        <w:t xml:space="preserve"> cu </w:t>
      </w:r>
      <w:proofErr w:type="spellStart"/>
      <w:r w:rsidR="0020344E" w:rsidRPr="00125FAF">
        <w:rPr>
          <w:rFonts w:ascii="Times New Roman" w:eastAsia="Times New Roman" w:hAnsi="Times New Roman" w:cs="Times New Roman"/>
          <w:sz w:val="24"/>
          <w:szCs w:val="24"/>
          <w:lang w:eastAsia="ru-RU"/>
        </w:rPr>
        <w:t>entităţile</w:t>
      </w:r>
      <w:proofErr w:type="spellEnd"/>
      <w:r w:rsidR="0020344E" w:rsidRPr="00125FAF">
        <w:rPr>
          <w:rFonts w:ascii="Times New Roman" w:eastAsia="Times New Roman" w:hAnsi="Times New Roman" w:cs="Times New Roman"/>
          <w:sz w:val="24"/>
          <w:szCs w:val="24"/>
          <w:lang w:eastAsia="ru-RU"/>
        </w:rPr>
        <w:t xml:space="preserve"> subordonate, inclusiv ÎS </w:t>
      </w:r>
      <w:proofErr w:type="spellStart"/>
      <w:r w:rsidR="0020344E" w:rsidRPr="00125FAF">
        <w:rPr>
          <w:rFonts w:ascii="Times New Roman" w:eastAsia="Times New Roman" w:hAnsi="Times New Roman" w:cs="Times New Roman"/>
          <w:sz w:val="24"/>
          <w:szCs w:val="24"/>
          <w:lang w:eastAsia="ru-RU"/>
        </w:rPr>
        <w:t>Moldelectrica</w:t>
      </w:r>
      <w:proofErr w:type="spellEnd"/>
      <w:r w:rsidR="0020344E" w:rsidRPr="00125FAF">
        <w:rPr>
          <w:rFonts w:ascii="Times New Roman" w:eastAsia="Times New Roman" w:hAnsi="Times New Roman" w:cs="Times New Roman"/>
          <w:sz w:val="24"/>
          <w:szCs w:val="24"/>
          <w:lang w:eastAsia="ru-RU"/>
        </w:rPr>
        <w:t xml:space="preserve">, </w:t>
      </w:r>
      <w:proofErr w:type="spellStart"/>
      <w:r w:rsidR="0020344E" w:rsidRPr="00125FAF">
        <w:rPr>
          <w:rFonts w:ascii="Times New Roman" w:eastAsia="Times New Roman" w:hAnsi="Times New Roman" w:cs="Times New Roman"/>
          <w:sz w:val="24"/>
          <w:szCs w:val="24"/>
          <w:lang w:eastAsia="ru-RU"/>
        </w:rPr>
        <w:t>Agenţia</w:t>
      </w:r>
      <w:proofErr w:type="spellEnd"/>
      <w:r w:rsidR="0020344E" w:rsidRPr="00125FAF">
        <w:rPr>
          <w:rFonts w:ascii="Times New Roman" w:eastAsia="Times New Roman" w:hAnsi="Times New Roman" w:cs="Times New Roman"/>
          <w:sz w:val="24"/>
          <w:szCs w:val="24"/>
          <w:lang w:eastAsia="ru-RU"/>
        </w:rPr>
        <w:t xml:space="preserve"> de </w:t>
      </w:r>
      <w:proofErr w:type="spellStart"/>
      <w:r w:rsidR="0020344E" w:rsidRPr="00125FAF">
        <w:rPr>
          <w:rFonts w:ascii="Times New Roman" w:eastAsia="Times New Roman" w:hAnsi="Times New Roman" w:cs="Times New Roman"/>
          <w:sz w:val="24"/>
          <w:szCs w:val="24"/>
          <w:lang w:eastAsia="ru-RU"/>
        </w:rPr>
        <w:t>Eficienţă</w:t>
      </w:r>
      <w:proofErr w:type="spellEnd"/>
      <w:r w:rsidR="0020344E" w:rsidRPr="00125FAF">
        <w:rPr>
          <w:rFonts w:ascii="Times New Roman" w:eastAsia="Times New Roman" w:hAnsi="Times New Roman" w:cs="Times New Roman"/>
          <w:sz w:val="24"/>
          <w:szCs w:val="24"/>
          <w:lang w:eastAsia="ru-RU"/>
        </w:rPr>
        <w:t xml:space="preserve"> Energetică, Institutul </w:t>
      </w:r>
      <w:proofErr w:type="spellStart"/>
      <w:r w:rsidR="0020344E" w:rsidRPr="00125FAF">
        <w:rPr>
          <w:rFonts w:ascii="Times New Roman" w:eastAsia="Times New Roman" w:hAnsi="Times New Roman" w:cs="Times New Roman"/>
          <w:sz w:val="24"/>
          <w:szCs w:val="24"/>
          <w:lang w:eastAsia="ru-RU"/>
        </w:rPr>
        <w:t>Naţional</w:t>
      </w:r>
      <w:proofErr w:type="spellEnd"/>
      <w:r w:rsidR="0020344E" w:rsidRPr="00125FAF">
        <w:rPr>
          <w:rFonts w:ascii="Times New Roman" w:eastAsia="Times New Roman" w:hAnsi="Times New Roman" w:cs="Times New Roman"/>
          <w:sz w:val="24"/>
          <w:szCs w:val="24"/>
          <w:lang w:eastAsia="ru-RU"/>
        </w:rPr>
        <w:t xml:space="preserve"> de Standardizare, Î.S. “Fabrica de Sticlă din Chișinău"</w:t>
      </w:r>
    </w:p>
    <w:p w14:paraId="52EF9065" w14:textId="77777777" w:rsidR="00076C37" w:rsidRPr="00125FAF" w:rsidRDefault="00076C37" w:rsidP="00076C37">
      <w:pPr>
        <w:spacing w:after="0" w:line="240" w:lineRule="auto"/>
        <w:ind w:firstLine="720"/>
        <w:jc w:val="both"/>
        <w:rPr>
          <w:rFonts w:ascii="Times New Roman" w:eastAsia="Times New Roman" w:hAnsi="Times New Roman" w:cs="Times New Roman"/>
          <w:sz w:val="24"/>
          <w:szCs w:val="24"/>
          <w:lang w:eastAsia="ru-RU"/>
        </w:rPr>
      </w:pPr>
      <w:r w:rsidRPr="00125FAF">
        <w:rPr>
          <w:rFonts w:ascii="Times New Roman" w:eastAsia="Times New Roman" w:hAnsi="Times New Roman" w:cs="Times New Roman"/>
          <w:sz w:val="24"/>
          <w:szCs w:val="24"/>
          <w:lang w:eastAsia="ru-RU"/>
        </w:rPr>
        <w:t>2.</w:t>
      </w:r>
      <w:r w:rsidRPr="00125FAF">
        <w:rPr>
          <w:rFonts w:ascii="Times New Roman" w:eastAsia="Times New Roman" w:hAnsi="Times New Roman" w:cs="Times New Roman"/>
          <w:sz w:val="24"/>
          <w:szCs w:val="24"/>
          <w:lang w:eastAsia="ru-RU"/>
        </w:rPr>
        <w:tab/>
        <w:t xml:space="preserve">Ministerul </w:t>
      </w:r>
      <w:proofErr w:type="spellStart"/>
      <w:r w:rsidRPr="00125FAF">
        <w:rPr>
          <w:rFonts w:ascii="Times New Roman" w:eastAsia="Times New Roman" w:hAnsi="Times New Roman" w:cs="Times New Roman"/>
          <w:sz w:val="24"/>
          <w:szCs w:val="24"/>
          <w:lang w:eastAsia="ru-RU"/>
        </w:rPr>
        <w:t>Finanţelor</w:t>
      </w:r>
      <w:proofErr w:type="spellEnd"/>
    </w:p>
    <w:p w14:paraId="510D07D7" w14:textId="27E6796B" w:rsidR="0020344E" w:rsidRPr="00125FAF" w:rsidRDefault="00076C37" w:rsidP="002446B1">
      <w:pPr>
        <w:spacing w:after="0" w:line="240" w:lineRule="auto"/>
        <w:ind w:firstLine="720"/>
        <w:jc w:val="both"/>
        <w:rPr>
          <w:rFonts w:ascii="Times New Roman" w:eastAsia="Times New Roman" w:hAnsi="Times New Roman" w:cs="Times New Roman"/>
          <w:sz w:val="24"/>
          <w:szCs w:val="24"/>
          <w:lang w:eastAsia="ru-RU"/>
        </w:rPr>
      </w:pPr>
      <w:r w:rsidRPr="00125FAF">
        <w:rPr>
          <w:rFonts w:ascii="Times New Roman" w:eastAsia="Times New Roman" w:hAnsi="Times New Roman" w:cs="Times New Roman"/>
          <w:sz w:val="24"/>
          <w:szCs w:val="24"/>
          <w:lang w:eastAsia="ru-RU"/>
        </w:rPr>
        <w:t>3.</w:t>
      </w:r>
      <w:r w:rsidRPr="00125FAF">
        <w:rPr>
          <w:rFonts w:ascii="Times New Roman" w:eastAsia="Times New Roman" w:hAnsi="Times New Roman" w:cs="Times New Roman"/>
          <w:sz w:val="24"/>
          <w:szCs w:val="24"/>
          <w:lang w:eastAsia="ru-RU"/>
        </w:rPr>
        <w:tab/>
        <w:t xml:space="preserve">Ministerul </w:t>
      </w:r>
      <w:proofErr w:type="spellStart"/>
      <w:r w:rsidRPr="00125FAF">
        <w:rPr>
          <w:rFonts w:ascii="Times New Roman" w:eastAsia="Times New Roman" w:hAnsi="Times New Roman" w:cs="Times New Roman"/>
          <w:sz w:val="24"/>
          <w:szCs w:val="24"/>
          <w:lang w:eastAsia="ru-RU"/>
        </w:rPr>
        <w:t>Educaţiei</w:t>
      </w:r>
      <w:proofErr w:type="spellEnd"/>
      <w:r w:rsidRPr="00125FAF">
        <w:rPr>
          <w:rFonts w:ascii="Times New Roman" w:eastAsia="Times New Roman" w:hAnsi="Times New Roman" w:cs="Times New Roman"/>
          <w:sz w:val="24"/>
          <w:szCs w:val="24"/>
          <w:lang w:eastAsia="ru-RU"/>
        </w:rPr>
        <w:t xml:space="preserve">, Culturii </w:t>
      </w:r>
      <w:proofErr w:type="spellStart"/>
      <w:r w:rsidRPr="00125FAF">
        <w:rPr>
          <w:rFonts w:ascii="Times New Roman" w:eastAsia="Times New Roman" w:hAnsi="Times New Roman" w:cs="Times New Roman"/>
          <w:sz w:val="24"/>
          <w:szCs w:val="24"/>
          <w:lang w:eastAsia="ru-RU"/>
        </w:rPr>
        <w:t>şi</w:t>
      </w:r>
      <w:proofErr w:type="spellEnd"/>
      <w:r w:rsidRPr="00125FAF">
        <w:rPr>
          <w:rFonts w:ascii="Times New Roman" w:eastAsia="Times New Roman" w:hAnsi="Times New Roman" w:cs="Times New Roman"/>
          <w:sz w:val="24"/>
          <w:szCs w:val="24"/>
          <w:lang w:eastAsia="ru-RU"/>
        </w:rPr>
        <w:t xml:space="preserve"> </w:t>
      </w:r>
      <w:r w:rsidR="00A91AD8">
        <w:rPr>
          <w:rFonts w:ascii="Times New Roman" w:eastAsia="Times New Roman" w:hAnsi="Times New Roman" w:cs="Times New Roman"/>
          <w:sz w:val="24"/>
          <w:szCs w:val="24"/>
          <w:lang w:eastAsia="ru-RU"/>
        </w:rPr>
        <w:t>Cercetării</w:t>
      </w:r>
      <w:r w:rsidR="0020344E" w:rsidRPr="00125FAF">
        <w:rPr>
          <w:rFonts w:ascii="Times New Roman" w:eastAsia="Times New Roman" w:hAnsi="Times New Roman" w:cs="Times New Roman"/>
          <w:sz w:val="24"/>
          <w:szCs w:val="24"/>
          <w:lang w:eastAsia="ru-RU"/>
        </w:rPr>
        <w:t>, cu subdiviziunile</w:t>
      </w:r>
      <w:r w:rsidR="00BB2D54" w:rsidRPr="00125FAF">
        <w:rPr>
          <w:rFonts w:ascii="Times New Roman" w:eastAsia="Times New Roman" w:hAnsi="Times New Roman" w:cs="Times New Roman"/>
          <w:sz w:val="24"/>
          <w:szCs w:val="24"/>
          <w:lang w:eastAsia="ru-RU"/>
        </w:rPr>
        <w:t>,</w:t>
      </w:r>
      <w:r w:rsidR="0020344E" w:rsidRPr="00125FAF">
        <w:rPr>
          <w:rFonts w:ascii="Times New Roman" w:eastAsia="Times New Roman" w:hAnsi="Times New Roman" w:cs="Times New Roman"/>
          <w:sz w:val="24"/>
          <w:szCs w:val="24"/>
          <w:lang w:eastAsia="ru-RU"/>
        </w:rPr>
        <w:t xml:space="preserve"> cărui</w:t>
      </w:r>
      <w:r w:rsidR="00BB2D54" w:rsidRPr="00125FAF">
        <w:rPr>
          <w:rFonts w:ascii="Times New Roman" w:eastAsia="Times New Roman" w:hAnsi="Times New Roman" w:cs="Times New Roman"/>
          <w:sz w:val="24"/>
          <w:szCs w:val="24"/>
          <w:lang w:eastAsia="ru-RU"/>
        </w:rPr>
        <w:t>a</w:t>
      </w:r>
      <w:r w:rsidR="0020344E" w:rsidRPr="00125FAF">
        <w:rPr>
          <w:rFonts w:ascii="Times New Roman" w:eastAsia="Times New Roman" w:hAnsi="Times New Roman" w:cs="Times New Roman"/>
          <w:sz w:val="24"/>
          <w:szCs w:val="24"/>
          <w:lang w:eastAsia="ru-RU"/>
        </w:rPr>
        <w:t xml:space="preserve"> îi </w:t>
      </w:r>
      <w:proofErr w:type="spellStart"/>
      <w:r w:rsidR="0020344E" w:rsidRPr="00125FAF">
        <w:rPr>
          <w:rFonts w:ascii="Times New Roman" w:eastAsia="Times New Roman" w:hAnsi="Times New Roman" w:cs="Times New Roman"/>
          <w:sz w:val="24"/>
          <w:szCs w:val="24"/>
          <w:lang w:eastAsia="ru-RU"/>
        </w:rPr>
        <w:t>aparţin</w:t>
      </w:r>
      <w:proofErr w:type="spellEnd"/>
      <w:r w:rsidR="0020344E" w:rsidRPr="00125FAF">
        <w:rPr>
          <w:rFonts w:ascii="Times New Roman" w:eastAsia="Times New Roman" w:hAnsi="Times New Roman" w:cs="Times New Roman"/>
          <w:sz w:val="24"/>
          <w:szCs w:val="24"/>
          <w:lang w:eastAsia="ru-RU"/>
        </w:rPr>
        <w:t>, inclusiv Institutul de Energetică, Universitatea Tehnică, Universitatea Agrară de Stat din Moldova</w:t>
      </w:r>
      <w:r w:rsidR="002446B1" w:rsidRPr="00125FAF">
        <w:rPr>
          <w:rFonts w:ascii="Times New Roman" w:eastAsia="Times New Roman" w:hAnsi="Times New Roman" w:cs="Times New Roman"/>
          <w:sz w:val="24"/>
          <w:szCs w:val="24"/>
          <w:lang w:eastAsia="ru-RU"/>
        </w:rPr>
        <w:t>, I.P. „Institutul de Pedologie, Agrochimie și Protecția Solului „N. DIMO”</w:t>
      </w:r>
      <w:r w:rsidR="00E70219" w:rsidRPr="00125FAF">
        <w:rPr>
          <w:rFonts w:ascii="Times New Roman" w:eastAsia="Times New Roman" w:hAnsi="Times New Roman" w:cs="Times New Roman"/>
          <w:sz w:val="24"/>
          <w:szCs w:val="24"/>
          <w:lang w:eastAsia="ru-RU"/>
        </w:rPr>
        <w:t xml:space="preserve"> </w:t>
      </w:r>
      <w:r w:rsidR="0020344E" w:rsidRPr="00125FAF">
        <w:rPr>
          <w:rFonts w:ascii="Times New Roman" w:eastAsia="Times New Roman" w:hAnsi="Times New Roman" w:cs="Times New Roman"/>
          <w:sz w:val="24"/>
          <w:szCs w:val="24"/>
          <w:lang w:eastAsia="ru-RU"/>
        </w:rPr>
        <w:t>etc.</w:t>
      </w:r>
    </w:p>
    <w:p w14:paraId="50A92FFE" w14:textId="6CE22382" w:rsidR="00076C37" w:rsidRPr="00125FAF" w:rsidRDefault="00076C37" w:rsidP="00076C37">
      <w:pPr>
        <w:spacing w:after="0" w:line="240" w:lineRule="auto"/>
        <w:ind w:firstLine="720"/>
        <w:jc w:val="both"/>
        <w:rPr>
          <w:rFonts w:ascii="Times New Roman" w:eastAsia="Times New Roman" w:hAnsi="Times New Roman" w:cs="Times New Roman"/>
          <w:sz w:val="24"/>
          <w:szCs w:val="24"/>
          <w:lang w:eastAsia="ru-RU"/>
        </w:rPr>
      </w:pPr>
      <w:r w:rsidRPr="00125FAF">
        <w:rPr>
          <w:rFonts w:ascii="Times New Roman" w:eastAsia="Times New Roman" w:hAnsi="Times New Roman" w:cs="Times New Roman"/>
          <w:sz w:val="24"/>
          <w:szCs w:val="24"/>
          <w:lang w:eastAsia="ru-RU"/>
        </w:rPr>
        <w:t>La realizarea Programului vor participa</w:t>
      </w:r>
      <w:r w:rsidR="002446B1" w:rsidRPr="00125FAF">
        <w:rPr>
          <w:rFonts w:ascii="Times New Roman" w:eastAsia="Times New Roman" w:hAnsi="Times New Roman" w:cs="Times New Roman"/>
          <w:sz w:val="24"/>
          <w:szCs w:val="24"/>
          <w:lang w:eastAsia="ru-RU"/>
        </w:rPr>
        <w:t>,</w:t>
      </w:r>
      <w:r w:rsidRPr="00125FAF">
        <w:rPr>
          <w:rFonts w:ascii="Times New Roman" w:eastAsia="Times New Roman" w:hAnsi="Times New Roman" w:cs="Times New Roman"/>
          <w:sz w:val="24"/>
          <w:szCs w:val="24"/>
          <w:lang w:eastAsia="ru-RU"/>
        </w:rPr>
        <w:t xml:space="preserve"> </w:t>
      </w:r>
      <w:r w:rsidR="002446B1" w:rsidRPr="00125FAF">
        <w:rPr>
          <w:rFonts w:ascii="Times New Roman" w:eastAsia="Times New Roman" w:hAnsi="Times New Roman" w:cs="Times New Roman"/>
          <w:sz w:val="24"/>
          <w:szCs w:val="24"/>
          <w:lang w:eastAsia="ru-RU"/>
        </w:rPr>
        <w:t xml:space="preserve">de asemenea, </w:t>
      </w:r>
      <w:proofErr w:type="spellStart"/>
      <w:r w:rsidRPr="00125FAF">
        <w:rPr>
          <w:rFonts w:ascii="Times New Roman" w:eastAsia="Times New Roman" w:hAnsi="Times New Roman" w:cs="Times New Roman"/>
          <w:sz w:val="24"/>
          <w:szCs w:val="24"/>
          <w:lang w:eastAsia="ru-RU"/>
        </w:rPr>
        <w:t>agenţii</w:t>
      </w:r>
      <w:proofErr w:type="spellEnd"/>
      <w:r w:rsidRPr="00125FAF">
        <w:rPr>
          <w:rFonts w:ascii="Times New Roman" w:eastAsia="Times New Roman" w:hAnsi="Times New Roman" w:cs="Times New Roman"/>
          <w:sz w:val="24"/>
          <w:szCs w:val="24"/>
          <w:lang w:eastAsia="ru-RU"/>
        </w:rPr>
        <w:t xml:space="preserve"> economici, </w:t>
      </w:r>
      <w:r w:rsidR="002446B1" w:rsidRPr="00125FAF">
        <w:rPr>
          <w:rFonts w:ascii="Times New Roman" w:eastAsia="Times New Roman" w:hAnsi="Times New Roman" w:cs="Times New Roman"/>
          <w:sz w:val="24"/>
          <w:szCs w:val="24"/>
          <w:lang w:eastAsia="ru-RU"/>
        </w:rPr>
        <w:t xml:space="preserve">inclusiv Lafarge Ciment (Moldova), </w:t>
      </w:r>
      <w:proofErr w:type="spellStart"/>
      <w:r w:rsidRPr="00125FAF">
        <w:rPr>
          <w:rFonts w:ascii="Times New Roman" w:eastAsia="Times New Roman" w:hAnsi="Times New Roman" w:cs="Times New Roman"/>
          <w:sz w:val="24"/>
          <w:szCs w:val="24"/>
          <w:lang w:eastAsia="ru-RU"/>
        </w:rPr>
        <w:t>autorităţile</w:t>
      </w:r>
      <w:proofErr w:type="spellEnd"/>
      <w:r w:rsidRPr="00125FAF">
        <w:rPr>
          <w:rFonts w:ascii="Times New Roman" w:eastAsia="Times New Roman" w:hAnsi="Times New Roman" w:cs="Times New Roman"/>
          <w:sz w:val="24"/>
          <w:szCs w:val="24"/>
          <w:lang w:eastAsia="ru-RU"/>
        </w:rPr>
        <w:t xml:space="preserve"> centrale </w:t>
      </w:r>
      <w:proofErr w:type="spellStart"/>
      <w:r w:rsidRPr="00125FAF">
        <w:rPr>
          <w:rFonts w:ascii="Times New Roman" w:eastAsia="Times New Roman" w:hAnsi="Times New Roman" w:cs="Times New Roman"/>
          <w:sz w:val="24"/>
          <w:szCs w:val="24"/>
          <w:lang w:eastAsia="ru-RU"/>
        </w:rPr>
        <w:t>şi</w:t>
      </w:r>
      <w:proofErr w:type="spellEnd"/>
      <w:r w:rsidRPr="00125FAF">
        <w:rPr>
          <w:rFonts w:ascii="Times New Roman" w:eastAsia="Times New Roman" w:hAnsi="Times New Roman" w:cs="Times New Roman"/>
          <w:sz w:val="24"/>
          <w:szCs w:val="24"/>
          <w:lang w:eastAsia="ru-RU"/>
        </w:rPr>
        <w:t xml:space="preserve"> locale, societatea civilă, </w:t>
      </w:r>
      <w:proofErr w:type="spellStart"/>
      <w:r w:rsidRPr="00125FAF">
        <w:rPr>
          <w:rFonts w:ascii="Times New Roman" w:eastAsia="Times New Roman" w:hAnsi="Times New Roman" w:cs="Times New Roman"/>
          <w:sz w:val="24"/>
          <w:szCs w:val="24"/>
          <w:lang w:eastAsia="ru-RU"/>
        </w:rPr>
        <w:t>cetăţenii</w:t>
      </w:r>
      <w:proofErr w:type="spellEnd"/>
      <w:r w:rsidRPr="00125FAF">
        <w:rPr>
          <w:rFonts w:ascii="Times New Roman" w:eastAsia="Times New Roman" w:hAnsi="Times New Roman" w:cs="Times New Roman"/>
          <w:sz w:val="24"/>
          <w:szCs w:val="24"/>
          <w:lang w:eastAsia="ru-RU"/>
        </w:rPr>
        <w:t xml:space="preserve"> de rând.</w:t>
      </w:r>
      <w:r w:rsidR="009621C0" w:rsidRPr="00125FAF">
        <w:rPr>
          <w:rFonts w:ascii="Times New Roman" w:eastAsia="Times New Roman" w:hAnsi="Times New Roman" w:cs="Times New Roman"/>
          <w:sz w:val="24"/>
          <w:szCs w:val="24"/>
          <w:lang w:eastAsia="ru-RU"/>
        </w:rPr>
        <w:t xml:space="preserve"> Totodată, la formarea grupurilor de lucru, comitetelor de implementare, monitorizare și evaluare, se va ține cont de reprezentarea echilibrată a femeilor și bărbaților.</w:t>
      </w:r>
    </w:p>
    <w:p w14:paraId="5C1C6D71" w14:textId="77777777" w:rsidR="00076C37" w:rsidRPr="00125FAF" w:rsidRDefault="00076C37" w:rsidP="00052ABD">
      <w:pPr>
        <w:spacing w:after="0" w:line="240" w:lineRule="auto"/>
        <w:ind w:firstLine="720"/>
        <w:jc w:val="both"/>
        <w:rPr>
          <w:rFonts w:ascii="Times New Roman" w:eastAsia="Times New Roman" w:hAnsi="Times New Roman" w:cs="Times New Roman"/>
          <w:sz w:val="24"/>
          <w:szCs w:val="24"/>
          <w:lang w:eastAsia="ru-RU"/>
        </w:rPr>
      </w:pPr>
    </w:p>
    <w:p w14:paraId="39809E26" w14:textId="7A783D57" w:rsidR="006364B2" w:rsidRPr="00125FAF" w:rsidRDefault="00AF4926" w:rsidP="00A70510">
      <w:pPr>
        <w:spacing w:after="120" w:line="240" w:lineRule="auto"/>
        <w:jc w:val="center"/>
        <w:rPr>
          <w:rFonts w:ascii="Times New Roman" w:eastAsia="Times New Roman" w:hAnsi="Times New Roman" w:cs="Times New Roman"/>
          <w:b/>
          <w:bCs/>
          <w:color w:val="000000"/>
          <w:sz w:val="24"/>
          <w:szCs w:val="24"/>
          <w:lang w:eastAsia="ru-RU"/>
        </w:rPr>
      </w:pPr>
      <w:r w:rsidRPr="00125FAF">
        <w:rPr>
          <w:rFonts w:ascii="Times New Roman" w:eastAsia="Times New Roman" w:hAnsi="Times New Roman" w:cs="Times New Roman"/>
          <w:b/>
          <w:bCs/>
          <w:color w:val="000000"/>
          <w:sz w:val="24"/>
          <w:szCs w:val="24"/>
          <w:lang w:eastAsia="ru-RU"/>
        </w:rPr>
        <w:t>X</w:t>
      </w:r>
      <w:r w:rsidR="006364B2" w:rsidRPr="00125FAF">
        <w:rPr>
          <w:rFonts w:ascii="Times New Roman" w:eastAsia="Times New Roman" w:hAnsi="Times New Roman" w:cs="Times New Roman"/>
          <w:b/>
          <w:bCs/>
          <w:color w:val="000000"/>
          <w:sz w:val="24"/>
          <w:szCs w:val="24"/>
          <w:lang w:eastAsia="ru-RU"/>
        </w:rPr>
        <w:t xml:space="preserve">. </w:t>
      </w:r>
      <w:r w:rsidR="000354D9" w:rsidRPr="00125FAF">
        <w:rPr>
          <w:rFonts w:ascii="Times New Roman" w:eastAsia="Times New Roman" w:hAnsi="Times New Roman" w:cs="Times New Roman"/>
          <w:b/>
          <w:bCs/>
          <w:color w:val="000000"/>
          <w:sz w:val="24"/>
          <w:szCs w:val="24"/>
          <w:lang w:eastAsia="ru-RU"/>
        </w:rPr>
        <w:t>PROCEDURI DE RAPORTARE</w:t>
      </w:r>
    </w:p>
    <w:p w14:paraId="54B0F375" w14:textId="519DAC58" w:rsidR="00A70510" w:rsidRPr="00125FAF" w:rsidRDefault="00A70510" w:rsidP="00E13B78">
      <w:pPr>
        <w:spacing w:before="120" w:after="120" w:line="240" w:lineRule="auto"/>
        <w:jc w:val="center"/>
        <w:rPr>
          <w:rFonts w:ascii="Times New Roman" w:eastAsia="Times New Roman" w:hAnsi="Times New Roman" w:cs="Times New Roman"/>
          <w:b/>
          <w:bCs/>
          <w:iCs/>
          <w:color w:val="000000"/>
          <w:sz w:val="24"/>
          <w:szCs w:val="24"/>
          <w:lang w:eastAsia="ru-RU"/>
        </w:rPr>
      </w:pPr>
      <w:r w:rsidRPr="00125FAF">
        <w:rPr>
          <w:rFonts w:ascii="Times New Roman" w:eastAsia="Times New Roman" w:hAnsi="Times New Roman" w:cs="Times New Roman"/>
          <w:b/>
          <w:bCs/>
          <w:iCs/>
          <w:color w:val="000000"/>
          <w:sz w:val="24"/>
          <w:szCs w:val="24"/>
          <w:lang w:eastAsia="ru-RU"/>
        </w:rPr>
        <w:t xml:space="preserve">10.1. Cadrul legal </w:t>
      </w:r>
      <w:proofErr w:type="spellStart"/>
      <w:r w:rsidRPr="00125FAF">
        <w:rPr>
          <w:rFonts w:ascii="Times New Roman" w:eastAsia="Times New Roman" w:hAnsi="Times New Roman" w:cs="Times New Roman"/>
          <w:b/>
          <w:bCs/>
          <w:iCs/>
          <w:color w:val="000000"/>
          <w:sz w:val="24"/>
          <w:szCs w:val="24"/>
          <w:lang w:eastAsia="ru-RU"/>
        </w:rPr>
        <w:t>şi</w:t>
      </w:r>
      <w:proofErr w:type="spellEnd"/>
      <w:r w:rsidRPr="00125FAF">
        <w:rPr>
          <w:rFonts w:ascii="Times New Roman" w:eastAsia="Times New Roman" w:hAnsi="Times New Roman" w:cs="Times New Roman"/>
          <w:b/>
          <w:bCs/>
          <w:iCs/>
          <w:color w:val="000000"/>
          <w:sz w:val="24"/>
          <w:szCs w:val="24"/>
          <w:lang w:eastAsia="ru-RU"/>
        </w:rPr>
        <w:t xml:space="preserve"> administrativ al sistemului de măsurare, raportare </w:t>
      </w:r>
      <w:proofErr w:type="spellStart"/>
      <w:r w:rsidRPr="00125FAF">
        <w:rPr>
          <w:rFonts w:ascii="Times New Roman" w:eastAsia="Times New Roman" w:hAnsi="Times New Roman" w:cs="Times New Roman"/>
          <w:b/>
          <w:bCs/>
          <w:iCs/>
          <w:color w:val="000000"/>
          <w:sz w:val="24"/>
          <w:szCs w:val="24"/>
          <w:lang w:eastAsia="ru-RU"/>
        </w:rPr>
        <w:t>şi</w:t>
      </w:r>
      <w:proofErr w:type="spellEnd"/>
      <w:r w:rsidRPr="00125FAF">
        <w:rPr>
          <w:rFonts w:ascii="Times New Roman" w:eastAsia="Times New Roman" w:hAnsi="Times New Roman" w:cs="Times New Roman"/>
          <w:b/>
          <w:bCs/>
          <w:iCs/>
          <w:color w:val="000000"/>
          <w:sz w:val="24"/>
          <w:szCs w:val="24"/>
          <w:lang w:eastAsia="ru-RU"/>
        </w:rPr>
        <w:t xml:space="preserve"> verificare</w:t>
      </w:r>
    </w:p>
    <w:p w14:paraId="6963EB5A" w14:textId="192A3557" w:rsidR="00A70510" w:rsidRPr="00125FAF" w:rsidRDefault="007909C8" w:rsidP="00A70510">
      <w:pPr>
        <w:spacing w:after="0" w:line="240" w:lineRule="auto"/>
        <w:ind w:firstLine="720"/>
        <w:jc w:val="both"/>
        <w:rPr>
          <w:rFonts w:ascii="Times New Roman" w:eastAsia="Times New Roman" w:hAnsi="Times New Roman" w:cs="Times New Roman"/>
          <w:sz w:val="24"/>
          <w:szCs w:val="24"/>
          <w:lang w:eastAsia="ru-RU"/>
        </w:rPr>
      </w:pPr>
      <w:r w:rsidRPr="00125FAF">
        <w:rPr>
          <w:rFonts w:ascii="Times New Roman" w:eastAsia="Times New Roman" w:hAnsi="Times New Roman" w:cs="Times New Roman"/>
          <w:color w:val="000000"/>
          <w:sz w:val="24"/>
          <w:szCs w:val="24"/>
          <w:lang w:eastAsia="ru-RU"/>
        </w:rPr>
        <w:lastRenderedPageBreak/>
        <w:t xml:space="preserve">49. </w:t>
      </w:r>
      <w:r w:rsidR="00A70510" w:rsidRPr="00125FAF">
        <w:rPr>
          <w:rFonts w:ascii="Times New Roman" w:eastAsia="Times New Roman" w:hAnsi="Times New Roman" w:cs="Times New Roman"/>
          <w:color w:val="000000"/>
          <w:sz w:val="24"/>
          <w:szCs w:val="24"/>
          <w:lang w:eastAsia="ru-RU"/>
        </w:rPr>
        <w:t xml:space="preserve">În conformitate cu Planul de </w:t>
      </w:r>
      <w:proofErr w:type="spellStart"/>
      <w:r w:rsidR="00A70510" w:rsidRPr="00125FAF">
        <w:rPr>
          <w:rFonts w:ascii="Times New Roman" w:eastAsia="Times New Roman" w:hAnsi="Times New Roman" w:cs="Times New Roman"/>
          <w:color w:val="000000"/>
          <w:sz w:val="24"/>
          <w:szCs w:val="24"/>
          <w:lang w:eastAsia="ru-RU"/>
        </w:rPr>
        <w:t>acţiuni</w:t>
      </w:r>
      <w:proofErr w:type="spellEnd"/>
      <w:r w:rsidR="00A70510" w:rsidRPr="00125FAF">
        <w:rPr>
          <w:rFonts w:ascii="Times New Roman" w:eastAsia="Times New Roman" w:hAnsi="Times New Roman" w:cs="Times New Roman"/>
          <w:color w:val="000000"/>
          <w:sz w:val="24"/>
          <w:szCs w:val="24"/>
          <w:lang w:eastAsia="ru-RU"/>
        </w:rPr>
        <w:t xml:space="preserve"> al </w:t>
      </w:r>
      <w:proofErr w:type="spellStart"/>
      <w:r w:rsidR="00A70510" w:rsidRPr="00125FAF">
        <w:rPr>
          <w:rFonts w:ascii="Times New Roman" w:eastAsia="Times New Roman" w:hAnsi="Times New Roman" w:cs="Times New Roman"/>
          <w:color w:val="000000"/>
          <w:sz w:val="24"/>
          <w:szCs w:val="24"/>
          <w:lang w:eastAsia="ru-RU"/>
        </w:rPr>
        <w:t>Conferinţei</w:t>
      </w:r>
      <w:proofErr w:type="spellEnd"/>
      <w:r w:rsidR="00A70510" w:rsidRPr="00125FAF">
        <w:rPr>
          <w:rFonts w:ascii="Times New Roman" w:eastAsia="Times New Roman" w:hAnsi="Times New Roman" w:cs="Times New Roman"/>
          <w:color w:val="000000"/>
          <w:sz w:val="24"/>
          <w:szCs w:val="24"/>
          <w:lang w:eastAsia="ru-RU"/>
        </w:rPr>
        <w:t xml:space="preserve"> </w:t>
      </w:r>
      <w:proofErr w:type="spellStart"/>
      <w:r w:rsidR="00A70510" w:rsidRPr="00125FAF">
        <w:rPr>
          <w:rFonts w:ascii="Times New Roman" w:eastAsia="Times New Roman" w:hAnsi="Times New Roman" w:cs="Times New Roman"/>
          <w:color w:val="000000"/>
          <w:sz w:val="24"/>
          <w:szCs w:val="24"/>
          <w:lang w:eastAsia="ru-RU"/>
        </w:rPr>
        <w:t>Părţilor</w:t>
      </w:r>
      <w:proofErr w:type="spellEnd"/>
      <w:r w:rsidR="00A70510" w:rsidRPr="00125FAF">
        <w:rPr>
          <w:rFonts w:ascii="Times New Roman" w:eastAsia="Times New Roman" w:hAnsi="Times New Roman" w:cs="Times New Roman"/>
          <w:color w:val="000000"/>
          <w:sz w:val="24"/>
          <w:szCs w:val="24"/>
          <w:lang w:eastAsia="ru-RU"/>
        </w:rPr>
        <w:t xml:space="preserve"> de la Bali (2007), Republica Moldova </w:t>
      </w:r>
      <w:proofErr w:type="spellStart"/>
      <w:r w:rsidR="00A70510" w:rsidRPr="00125FAF">
        <w:rPr>
          <w:rFonts w:ascii="Times New Roman" w:eastAsia="Times New Roman" w:hAnsi="Times New Roman" w:cs="Times New Roman"/>
          <w:color w:val="000000"/>
          <w:sz w:val="24"/>
          <w:szCs w:val="24"/>
          <w:lang w:eastAsia="ru-RU"/>
        </w:rPr>
        <w:t>şi</w:t>
      </w:r>
      <w:proofErr w:type="spellEnd"/>
      <w:r w:rsidR="00A70510" w:rsidRPr="00125FAF">
        <w:rPr>
          <w:rFonts w:ascii="Times New Roman" w:eastAsia="Times New Roman" w:hAnsi="Times New Roman" w:cs="Times New Roman"/>
          <w:color w:val="000000"/>
          <w:sz w:val="24"/>
          <w:szCs w:val="24"/>
          <w:lang w:eastAsia="ru-RU"/>
        </w:rPr>
        <w:t xml:space="preserve">-a luat angajamentul de a pune în aplicare un sistem </w:t>
      </w:r>
      <w:proofErr w:type="spellStart"/>
      <w:r w:rsidR="00A70510" w:rsidRPr="00125FAF">
        <w:rPr>
          <w:rFonts w:ascii="Times New Roman" w:eastAsia="Times New Roman" w:hAnsi="Times New Roman" w:cs="Times New Roman"/>
          <w:color w:val="000000"/>
          <w:sz w:val="24"/>
          <w:szCs w:val="24"/>
          <w:lang w:eastAsia="ru-RU"/>
        </w:rPr>
        <w:t>naţional</w:t>
      </w:r>
      <w:proofErr w:type="spellEnd"/>
      <w:r w:rsidR="00A70510" w:rsidRPr="00125FAF">
        <w:rPr>
          <w:rFonts w:ascii="Times New Roman" w:eastAsia="Times New Roman" w:hAnsi="Times New Roman" w:cs="Times New Roman"/>
          <w:color w:val="000000"/>
          <w:sz w:val="24"/>
          <w:szCs w:val="24"/>
          <w:lang w:eastAsia="ru-RU"/>
        </w:rPr>
        <w:t xml:space="preserve"> de monitorizare, raportare </w:t>
      </w:r>
      <w:proofErr w:type="spellStart"/>
      <w:r w:rsidR="00A70510" w:rsidRPr="00125FAF">
        <w:rPr>
          <w:rFonts w:ascii="Times New Roman" w:eastAsia="Times New Roman" w:hAnsi="Times New Roman" w:cs="Times New Roman"/>
          <w:color w:val="000000"/>
          <w:sz w:val="24"/>
          <w:szCs w:val="24"/>
          <w:lang w:eastAsia="ru-RU"/>
        </w:rPr>
        <w:t>şi</w:t>
      </w:r>
      <w:proofErr w:type="spellEnd"/>
      <w:r w:rsidR="00A70510" w:rsidRPr="00125FAF">
        <w:rPr>
          <w:rFonts w:ascii="Times New Roman" w:eastAsia="Times New Roman" w:hAnsi="Times New Roman" w:cs="Times New Roman"/>
          <w:color w:val="000000"/>
          <w:sz w:val="24"/>
          <w:szCs w:val="24"/>
          <w:lang w:eastAsia="ru-RU"/>
        </w:rPr>
        <w:t xml:space="preserve"> verificare adecvat. Angajamentul dat a fost onorat prin aprobarea HG nr. 1277/2018 cu privire la instituirea și funcționarea Sistemului național de monitorizare și raportare a emisiilor de gaze cu efect de seră și altor informații relevante pentru schimbările climatice, precum </w:t>
      </w:r>
      <w:proofErr w:type="spellStart"/>
      <w:r w:rsidR="00A70510" w:rsidRPr="00125FAF">
        <w:rPr>
          <w:rFonts w:ascii="Times New Roman" w:eastAsia="Times New Roman" w:hAnsi="Times New Roman" w:cs="Times New Roman"/>
          <w:color w:val="000000"/>
          <w:sz w:val="24"/>
          <w:szCs w:val="24"/>
          <w:lang w:eastAsia="ru-RU"/>
        </w:rPr>
        <w:t>şi</w:t>
      </w:r>
      <w:proofErr w:type="spellEnd"/>
      <w:r w:rsidR="00A70510" w:rsidRPr="00125FAF">
        <w:rPr>
          <w:rFonts w:ascii="Times New Roman" w:eastAsia="Times New Roman" w:hAnsi="Times New Roman" w:cs="Times New Roman"/>
          <w:color w:val="000000"/>
          <w:sz w:val="24"/>
          <w:szCs w:val="24"/>
          <w:lang w:eastAsia="ru-RU"/>
        </w:rPr>
        <w:t xml:space="preserve"> HG nr. 444/2020 din 01.07.2020 cu privire la instituirea mecanismului de coordonare a activităților în domeniul schimbărilor climatice. Conform HG nr. 444/2020, Comisia națională asigură cadrul instituțional de coordonare în domeniul monitorizării, raportării și verificării, precum și a facilitării integrării aspectelor privind schimbarea climei în programele și planurile naționale și sectoriale.</w:t>
      </w:r>
    </w:p>
    <w:p w14:paraId="3948C1E6" w14:textId="77777777" w:rsidR="00A70510" w:rsidRPr="00125FAF" w:rsidRDefault="00A70510" w:rsidP="00A70510">
      <w:pPr>
        <w:spacing w:after="0" w:line="240" w:lineRule="auto"/>
        <w:ind w:firstLine="720"/>
        <w:jc w:val="both"/>
        <w:rPr>
          <w:rFonts w:ascii="Times New Roman" w:eastAsia="Calibri" w:hAnsi="Times New Roman" w:cs="Times New Roman"/>
          <w:sz w:val="24"/>
          <w:szCs w:val="24"/>
        </w:rPr>
      </w:pPr>
      <w:r w:rsidRPr="00125FAF">
        <w:rPr>
          <w:rFonts w:ascii="Times New Roman" w:eastAsia="Calibri" w:hAnsi="Times New Roman" w:cs="Times New Roman"/>
          <w:sz w:val="24"/>
          <w:szCs w:val="24"/>
        </w:rPr>
        <w:t xml:space="preserve">Anexa nr. 4 la HG nr. 444/2020 </w:t>
      </w:r>
      <w:proofErr w:type="spellStart"/>
      <w:r w:rsidRPr="00125FAF">
        <w:rPr>
          <w:rFonts w:ascii="Times New Roman" w:eastAsia="Calibri" w:hAnsi="Times New Roman" w:cs="Times New Roman"/>
          <w:sz w:val="24"/>
          <w:szCs w:val="24"/>
        </w:rPr>
        <w:t>stabileşte</w:t>
      </w:r>
      <w:proofErr w:type="spellEnd"/>
      <w:r w:rsidRPr="00125FAF">
        <w:rPr>
          <w:rFonts w:ascii="Times New Roman" w:eastAsia="Calibri" w:hAnsi="Times New Roman" w:cs="Times New Roman"/>
          <w:sz w:val="24"/>
          <w:szCs w:val="24"/>
        </w:rPr>
        <w:t xml:space="preserve"> mecanismul de coordonare a acțiunilor adecvate de atenuare la nivel </w:t>
      </w:r>
      <w:proofErr w:type="spellStart"/>
      <w:r w:rsidRPr="00125FAF">
        <w:rPr>
          <w:rFonts w:ascii="Times New Roman" w:eastAsia="Calibri" w:hAnsi="Times New Roman" w:cs="Times New Roman"/>
          <w:sz w:val="24"/>
          <w:szCs w:val="24"/>
        </w:rPr>
        <w:t>naţional</w:t>
      </w:r>
      <w:proofErr w:type="spellEnd"/>
      <w:r w:rsidRPr="00125FAF">
        <w:rPr>
          <w:rFonts w:ascii="Times New Roman" w:eastAsia="Calibri" w:hAnsi="Times New Roman" w:cs="Times New Roman"/>
          <w:sz w:val="24"/>
          <w:szCs w:val="24"/>
        </w:rPr>
        <w:t xml:space="preserve"> (AAANN, engl. NAMA). Acest mecanism este elaborat în scopul instituirii cadrului normativ și instituțional pentru desfășurarea procesului de elaborare, evaluare, aprobare, monitorizare, raportare și verificare a acțiunilor adecvate de atenuare la nivel național. El are drept obiectiv stabilirea responsabilităților și cadrului de elaborare, evaluare și aprobare a proiectelor de implementare a acțiunilor adecvate de atenuare la nivel național.</w:t>
      </w:r>
    </w:p>
    <w:p w14:paraId="3743651A" w14:textId="77777777" w:rsidR="00A70510" w:rsidRPr="00125FAF" w:rsidRDefault="00A70510" w:rsidP="00A70510">
      <w:pPr>
        <w:spacing w:after="120" w:line="240" w:lineRule="auto"/>
        <w:jc w:val="both"/>
        <w:rPr>
          <w:rFonts w:ascii="Times New Roman" w:eastAsia="Calibri" w:hAnsi="Times New Roman" w:cs="Times New Roman"/>
          <w:sz w:val="24"/>
          <w:szCs w:val="24"/>
        </w:rPr>
      </w:pPr>
      <w:r w:rsidRPr="00125FAF">
        <w:rPr>
          <w:rFonts w:ascii="Times New Roman" w:eastAsia="Calibri" w:hAnsi="Times New Roman" w:cs="Times New Roman"/>
          <w:sz w:val="24"/>
          <w:szCs w:val="24"/>
        </w:rPr>
        <w:t>În acest sens, Comisia națională privind schimbările climatice (în continuare – Comisie națională) are următoarele responsabilități și atribuții:</w:t>
      </w:r>
    </w:p>
    <w:p w14:paraId="2F8A7A67" w14:textId="77777777" w:rsidR="00A70510" w:rsidRPr="00125FAF" w:rsidRDefault="00A70510" w:rsidP="003E24C5">
      <w:pPr>
        <w:pStyle w:val="Listparagraf"/>
        <w:numPr>
          <w:ilvl w:val="0"/>
          <w:numId w:val="11"/>
        </w:numPr>
        <w:spacing w:after="0" w:line="240" w:lineRule="auto"/>
        <w:jc w:val="both"/>
        <w:rPr>
          <w:rFonts w:ascii="Times New Roman" w:eastAsia="Calibri" w:hAnsi="Times New Roman" w:cs="Times New Roman"/>
          <w:sz w:val="24"/>
          <w:szCs w:val="24"/>
        </w:rPr>
      </w:pPr>
      <w:r w:rsidRPr="00125FAF">
        <w:rPr>
          <w:rFonts w:ascii="Times New Roman" w:eastAsia="Calibri" w:hAnsi="Times New Roman" w:cs="Times New Roman"/>
          <w:sz w:val="24"/>
          <w:szCs w:val="24"/>
        </w:rPr>
        <w:t>coordonează procesul de elaborare a proiectelor;</w:t>
      </w:r>
    </w:p>
    <w:p w14:paraId="6E8680BB" w14:textId="77777777" w:rsidR="00A70510" w:rsidRPr="00125FAF" w:rsidRDefault="00A70510" w:rsidP="003E24C5">
      <w:pPr>
        <w:pStyle w:val="Listparagraf"/>
        <w:numPr>
          <w:ilvl w:val="0"/>
          <w:numId w:val="11"/>
        </w:numPr>
        <w:spacing w:after="0" w:line="240" w:lineRule="auto"/>
        <w:jc w:val="both"/>
        <w:rPr>
          <w:rFonts w:ascii="Times New Roman" w:eastAsia="Calibri" w:hAnsi="Times New Roman" w:cs="Times New Roman"/>
          <w:sz w:val="24"/>
          <w:szCs w:val="24"/>
        </w:rPr>
      </w:pPr>
      <w:r w:rsidRPr="00125FAF">
        <w:rPr>
          <w:rFonts w:ascii="Times New Roman" w:eastAsia="Calibri" w:hAnsi="Times New Roman" w:cs="Times New Roman"/>
          <w:sz w:val="24"/>
          <w:szCs w:val="24"/>
        </w:rPr>
        <w:t>examinează în ședință proiectele și decide asupra acceptării spre aprobare sau respingerii lor;</w:t>
      </w:r>
    </w:p>
    <w:p w14:paraId="3905726E" w14:textId="77777777" w:rsidR="00A70510" w:rsidRPr="00125FAF" w:rsidRDefault="00A70510" w:rsidP="003E24C5">
      <w:pPr>
        <w:pStyle w:val="Listparagraf"/>
        <w:numPr>
          <w:ilvl w:val="0"/>
          <w:numId w:val="11"/>
        </w:numPr>
        <w:spacing w:after="120" w:line="240" w:lineRule="auto"/>
        <w:jc w:val="both"/>
        <w:rPr>
          <w:rFonts w:ascii="Times New Roman" w:eastAsia="Calibri" w:hAnsi="Times New Roman" w:cs="Times New Roman"/>
          <w:sz w:val="24"/>
          <w:szCs w:val="24"/>
        </w:rPr>
      </w:pPr>
      <w:r w:rsidRPr="00125FAF">
        <w:rPr>
          <w:rFonts w:ascii="Times New Roman" w:eastAsia="Calibri" w:hAnsi="Times New Roman" w:cs="Times New Roman"/>
          <w:sz w:val="24"/>
          <w:szCs w:val="24"/>
        </w:rPr>
        <w:t>solicită autorităților administrației publice centrale și recomandă autorităților publice locale să ia măsurile necesare în vederea promovării acțiunilor adecvate de atenuare la nivel național și local;</w:t>
      </w:r>
    </w:p>
    <w:p w14:paraId="2103C067" w14:textId="77777777" w:rsidR="00A70510" w:rsidRPr="00125FAF" w:rsidRDefault="00A70510" w:rsidP="003E24C5">
      <w:pPr>
        <w:pStyle w:val="Listparagraf"/>
        <w:numPr>
          <w:ilvl w:val="0"/>
          <w:numId w:val="11"/>
        </w:numPr>
        <w:spacing w:after="120" w:line="240" w:lineRule="auto"/>
        <w:jc w:val="both"/>
        <w:rPr>
          <w:rFonts w:ascii="Times New Roman" w:eastAsia="Calibri" w:hAnsi="Times New Roman" w:cs="Times New Roman"/>
          <w:sz w:val="24"/>
          <w:szCs w:val="24"/>
        </w:rPr>
      </w:pPr>
      <w:r w:rsidRPr="00125FAF">
        <w:rPr>
          <w:rFonts w:ascii="Times New Roman" w:eastAsia="Calibri" w:hAnsi="Times New Roman" w:cs="Times New Roman"/>
          <w:sz w:val="24"/>
          <w:szCs w:val="24"/>
        </w:rPr>
        <w:t>solicită rapoarte semestriale și anuale privind implementarea proiectelor.</w:t>
      </w:r>
    </w:p>
    <w:p w14:paraId="27F8EC1D" w14:textId="77777777" w:rsidR="00A70510" w:rsidRPr="00125FAF" w:rsidRDefault="00A70510" w:rsidP="007909C8">
      <w:pPr>
        <w:spacing w:after="120" w:line="240" w:lineRule="auto"/>
        <w:ind w:firstLine="720"/>
        <w:jc w:val="both"/>
        <w:rPr>
          <w:rFonts w:ascii="Times New Roman" w:eastAsia="Calibri" w:hAnsi="Times New Roman" w:cs="Times New Roman"/>
          <w:sz w:val="24"/>
          <w:szCs w:val="24"/>
        </w:rPr>
      </w:pPr>
      <w:r w:rsidRPr="00125FAF">
        <w:rPr>
          <w:rFonts w:ascii="Times New Roman" w:eastAsia="Calibri" w:hAnsi="Times New Roman" w:cs="Times New Roman"/>
          <w:sz w:val="24"/>
          <w:szCs w:val="24"/>
        </w:rPr>
        <w:t>Pentru implementarea acțiunilor adecvate de atenuare la nivel național sunt elaborate proiecte NAMA în sectoarele economiei naționale. Implementarea acestora este asigurată prin transfer tehnologic, finanțare și consolidare a capacităților, aplicând mecanismul de monitorizare, raportare și verificare.</w:t>
      </w:r>
    </w:p>
    <w:p w14:paraId="5C37290A" w14:textId="77777777" w:rsidR="00A70510" w:rsidRPr="00125FAF" w:rsidRDefault="00A70510" w:rsidP="007909C8">
      <w:pPr>
        <w:spacing w:after="0" w:line="240" w:lineRule="auto"/>
        <w:ind w:firstLine="720"/>
        <w:jc w:val="both"/>
        <w:rPr>
          <w:rFonts w:ascii="Times New Roman" w:eastAsia="Calibri" w:hAnsi="Times New Roman" w:cs="Times New Roman"/>
          <w:sz w:val="24"/>
          <w:szCs w:val="24"/>
        </w:rPr>
      </w:pPr>
      <w:r w:rsidRPr="00125FAF">
        <w:rPr>
          <w:rFonts w:ascii="Times New Roman" w:eastAsia="Calibri" w:hAnsi="Times New Roman" w:cs="Times New Roman"/>
          <w:sz w:val="24"/>
          <w:szCs w:val="24"/>
        </w:rPr>
        <w:t xml:space="preserve">Proiectele NAMA </w:t>
      </w:r>
      <w:proofErr w:type="spellStart"/>
      <w:r w:rsidRPr="00125FAF">
        <w:rPr>
          <w:rFonts w:ascii="Times New Roman" w:eastAsia="Calibri" w:hAnsi="Times New Roman" w:cs="Times New Roman"/>
          <w:sz w:val="24"/>
          <w:szCs w:val="24"/>
        </w:rPr>
        <w:t>necondiţionate</w:t>
      </w:r>
      <w:proofErr w:type="spellEnd"/>
      <w:r w:rsidRPr="00125FAF">
        <w:rPr>
          <w:rFonts w:ascii="Times New Roman" w:eastAsia="Calibri" w:hAnsi="Times New Roman" w:cs="Times New Roman"/>
          <w:sz w:val="24"/>
          <w:szCs w:val="24"/>
        </w:rPr>
        <w:t xml:space="preserve"> sunt supuse procedurii simplificate de monitorizare, raportare și verificare, prevăzute la pct. 36 din HG nr. 444/2020.</w:t>
      </w:r>
    </w:p>
    <w:p w14:paraId="4B2E5480" w14:textId="77777777" w:rsidR="00A70510" w:rsidRPr="00125FAF" w:rsidRDefault="00A70510" w:rsidP="00A70510">
      <w:pPr>
        <w:spacing w:after="120" w:line="240" w:lineRule="auto"/>
        <w:jc w:val="both"/>
        <w:rPr>
          <w:rFonts w:ascii="Times New Roman" w:eastAsia="Calibri" w:hAnsi="Times New Roman" w:cs="Times New Roman"/>
          <w:sz w:val="24"/>
          <w:szCs w:val="24"/>
        </w:rPr>
      </w:pPr>
      <w:r w:rsidRPr="00125FAF">
        <w:rPr>
          <w:rFonts w:ascii="Times New Roman" w:eastAsia="Calibri" w:hAnsi="Times New Roman" w:cs="Times New Roman"/>
          <w:sz w:val="24"/>
          <w:szCs w:val="24"/>
        </w:rPr>
        <w:t>Proiectele NAMA susținute din fonduri externe parcurg ciclul de elaborare, evaluare, aprobare și de monitorizare, raportare și verificare prevăzut în capitolul IV a aceleiași HG. Procedurile, termenele, elementele de monitorizare, raportare și verificare, precum și documentele tip pentru elaborarea, evaluarea și aprobarea proiectelor NAMA susținute din fonduri externe se stabilesc în Manualul operațional privind mecanismul de coordonare a acțiunilor adecvate de atenuare la nivel național, elaborat de către autoritatea centrală de mediu și gestionare a resurselor naturale, și aprobat prin ordin al ministrului.</w:t>
      </w:r>
    </w:p>
    <w:p w14:paraId="4B6C939B" w14:textId="77777777" w:rsidR="00A70510" w:rsidRPr="00125FAF" w:rsidRDefault="00A70510" w:rsidP="00A70510">
      <w:pPr>
        <w:spacing w:after="0" w:line="240" w:lineRule="auto"/>
        <w:jc w:val="both"/>
        <w:rPr>
          <w:rFonts w:ascii="Times New Roman" w:eastAsia="Calibri" w:hAnsi="Times New Roman" w:cs="Times New Roman"/>
          <w:i/>
          <w:sz w:val="24"/>
          <w:szCs w:val="24"/>
        </w:rPr>
      </w:pPr>
      <w:r w:rsidRPr="00125FAF">
        <w:rPr>
          <w:rFonts w:ascii="Times New Roman" w:eastAsia="Calibri" w:hAnsi="Times New Roman" w:cs="Times New Roman"/>
          <w:i/>
          <w:sz w:val="24"/>
          <w:szCs w:val="24"/>
        </w:rPr>
        <w:t>Monitorizarea, raportarea și verificarea NAMA</w:t>
      </w:r>
    </w:p>
    <w:p w14:paraId="1F678ABC" w14:textId="77777777" w:rsidR="00A70510" w:rsidRPr="00125FAF" w:rsidRDefault="00A70510" w:rsidP="003E24C5">
      <w:pPr>
        <w:numPr>
          <w:ilvl w:val="0"/>
          <w:numId w:val="9"/>
        </w:numPr>
        <w:spacing w:after="0" w:line="240" w:lineRule="auto"/>
        <w:contextualSpacing/>
        <w:jc w:val="both"/>
        <w:rPr>
          <w:rFonts w:ascii="Times New Roman" w:eastAsia="Calibri" w:hAnsi="Times New Roman" w:cs="Times New Roman"/>
          <w:sz w:val="24"/>
          <w:szCs w:val="24"/>
        </w:rPr>
      </w:pPr>
      <w:r w:rsidRPr="00125FAF">
        <w:rPr>
          <w:rFonts w:ascii="Times New Roman" w:eastAsia="Calibri" w:hAnsi="Times New Roman" w:cs="Times New Roman"/>
          <w:sz w:val="24"/>
          <w:szCs w:val="24"/>
        </w:rPr>
        <w:t>Procedura de monitorizare, raportare și verificare are drept obiectiv urmărirea performanței generale a proiectelor NAMA și include următoarele activități: 1) măsurarea reducerii emisiilor de gaze cu efect de seră; 2) raportarea informației; 3) verificarea informației raportate.</w:t>
      </w:r>
    </w:p>
    <w:p w14:paraId="62421793" w14:textId="77777777" w:rsidR="00A70510" w:rsidRPr="00125FAF" w:rsidRDefault="00A70510" w:rsidP="003E24C5">
      <w:pPr>
        <w:numPr>
          <w:ilvl w:val="0"/>
          <w:numId w:val="9"/>
        </w:numPr>
        <w:spacing w:after="0" w:line="240" w:lineRule="auto"/>
        <w:contextualSpacing/>
        <w:jc w:val="both"/>
        <w:rPr>
          <w:rFonts w:ascii="Times New Roman" w:eastAsia="Calibri" w:hAnsi="Times New Roman" w:cs="Times New Roman"/>
          <w:sz w:val="24"/>
          <w:szCs w:val="24"/>
        </w:rPr>
      </w:pPr>
      <w:r w:rsidRPr="00125FAF">
        <w:rPr>
          <w:rFonts w:ascii="Times New Roman" w:eastAsia="Calibri" w:hAnsi="Times New Roman" w:cs="Times New Roman"/>
          <w:sz w:val="24"/>
          <w:szCs w:val="24"/>
        </w:rPr>
        <w:t>Procedura de monitorizare, raportare și verificare se aplică atât la etapa de implementare, cât și după finalizarea proiectului.</w:t>
      </w:r>
    </w:p>
    <w:p w14:paraId="1C8F54F8" w14:textId="77777777" w:rsidR="00A70510" w:rsidRPr="00125FAF" w:rsidRDefault="00A70510" w:rsidP="003E24C5">
      <w:pPr>
        <w:numPr>
          <w:ilvl w:val="0"/>
          <w:numId w:val="9"/>
        </w:numPr>
        <w:spacing w:after="0" w:line="240" w:lineRule="auto"/>
        <w:contextualSpacing/>
        <w:jc w:val="both"/>
        <w:rPr>
          <w:rFonts w:ascii="Times New Roman" w:eastAsia="Calibri" w:hAnsi="Times New Roman" w:cs="Times New Roman"/>
          <w:sz w:val="24"/>
          <w:szCs w:val="24"/>
        </w:rPr>
      </w:pPr>
      <w:r w:rsidRPr="00125FAF">
        <w:rPr>
          <w:rFonts w:ascii="Times New Roman" w:eastAsia="Calibri" w:hAnsi="Times New Roman" w:cs="Times New Roman"/>
          <w:sz w:val="24"/>
          <w:szCs w:val="24"/>
        </w:rPr>
        <w:t>Monitorizarea și raportarea sunt asigurate de către beneficiarul proiectului NAMA, iar verificarea – de către verificator.</w:t>
      </w:r>
    </w:p>
    <w:p w14:paraId="41BB7D85" w14:textId="77777777" w:rsidR="00A70510" w:rsidRPr="00125FAF" w:rsidRDefault="00A70510" w:rsidP="003E24C5">
      <w:pPr>
        <w:numPr>
          <w:ilvl w:val="0"/>
          <w:numId w:val="9"/>
        </w:numPr>
        <w:spacing w:after="0" w:line="240" w:lineRule="auto"/>
        <w:contextualSpacing/>
        <w:jc w:val="both"/>
        <w:rPr>
          <w:rFonts w:ascii="Times New Roman" w:eastAsia="Calibri" w:hAnsi="Times New Roman" w:cs="Times New Roman"/>
          <w:sz w:val="24"/>
          <w:szCs w:val="24"/>
        </w:rPr>
      </w:pPr>
      <w:r w:rsidRPr="00125FAF">
        <w:rPr>
          <w:rFonts w:ascii="Times New Roman" w:eastAsia="Calibri" w:hAnsi="Times New Roman" w:cs="Times New Roman"/>
          <w:sz w:val="24"/>
          <w:szCs w:val="24"/>
        </w:rPr>
        <w:t xml:space="preserve">Monitorizarea proiectului se realizează în perioada de implementare a proiectului. În cadrul etapei de monitorizare, beneficiarul măsoară și calculează reducerile de emisii de gaze cu efect de seră obținute în urma implementării proiectului NAMA conform </w:t>
      </w:r>
      <w:r w:rsidRPr="00125FAF">
        <w:rPr>
          <w:rFonts w:ascii="Times New Roman" w:eastAsia="Calibri" w:hAnsi="Times New Roman" w:cs="Times New Roman"/>
          <w:sz w:val="24"/>
          <w:szCs w:val="24"/>
        </w:rPr>
        <w:lastRenderedPageBreak/>
        <w:t>metodologiilor și instrumentelor standardizate de măsurare și de calcul expuse în documentul proiectului.</w:t>
      </w:r>
    </w:p>
    <w:p w14:paraId="50CB1F79" w14:textId="77777777" w:rsidR="00A70510" w:rsidRPr="00125FAF" w:rsidRDefault="00A70510" w:rsidP="003E24C5">
      <w:pPr>
        <w:numPr>
          <w:ilvl w:val="0"/>
          <w:numId w:val="9"/>
        </w:numPr>
        <w:spacing w:after="0" w:line="240" w:lineRule="auto"/>
        <w:contextualSpacing/>
        <w:jc w:val="both"/>
        <w:rPr>
          <w:rFonts w:ascii="Times New Roman" w:eastAsia="Calibri" w:hAnsi="Times New Roman" w:cs="Times New Roman"/>
          <w:sz w:val="24"/>
          <w:szCs w:val="24"/>
        </w:rPr>
      </w:pPr>
      <w:r w:rsidRPr="00125FAF">
        <w:rPr>
          <w:rFonts w:ascii="Times New Roman" w:eastAsia="Calibri" w:hAnsi="Times New Roman" w:cs="Times New Roman"/>
          <w:sz w:val="24"/>
          <w:szCs w:val="24"/>
        </w:rPr>
        <w:t>Raportarea se realizează în perioada de implementare a proiectului prin prezentarea rapoartelor semestriale, iar la finalizarea proiectului beneficiarul prezintă raportul final.</w:t>
      </w:r>
    </w:p>
    <w:p w14:paraId="1B833BBA" w14:textId="77777777" w:rsidR="00A70510" w:rsidRPr="00125FAF" w:rsidRDefault="00A70510" w:rsidP="003E24C5">
      <w:pPr>
        <w:numPr>
          <w:ilvl w:val="0"/>
          <w:numId w:val="9"/>
        </w:numPr>
        <w:spacing w:after="0" w:line="240" w:lineRule="auto"/>
        <w:contextualSpacing/>
        <w:jc w:val="both"/>
        <w:rPr>
          <w:rFonts w:ascii="Times New Roman" w:eastAsia="Calibri" w:hAnsi="Times New Roman" w:cs="Times New Roman"/>
          <w:sz w:val="24"/>
          <w:szCs w:val="24"/>
        </w:rPr>
      </w:pPr>
      <w:r w:rsidRPr="00125FAF">
        <w:rPr>
          <w:rFonts w:ascii="Times New Roman" w:eastAsia="Calibri" w:hAnsi="Times New Roman" w:cs="Times New Roman"/>
          <w:sz w:val="24"/>
          <w:szCs w:val="24"/>
        </w:rPr>
        <w:t>Beneficiarul prezintă rapoartele în baza formularelor de raportare în conformitate cu procedura stabilită în Manualul operațional privind mecanismul de coordonare a acțiunilor adecvate de atenuare la nivel național. Rapoartele conțin datele privind rezultatele monitorizării reducerii emisiilor de gaze cu efect de seră. Acestea sunt prezentate în baza indicatorilor de monitorizare stabiliți în formularul de raportare anexă la Manualul operațional privind mecanismul de coordonare a acțiunilor adecvate de atenuare la nivel național.</w:t>
      </w:r>
    </w:p>
    <w:p w14:paraId="14970F16" w14:textId="77777777" w:rsidR="00A70510" w:rsidRPr="00125FAF" w:rsidRDefault="00A70510" w:rsidP="003E24C5">
      <w:pPr>
        <w:numPr>
          <w:ilvl w:val="0"/>
          <w:numId w:val="9"/>
        </w:numPr>
        <w:spacing w:after="0" w:line="240" w:lineRule="auto"/>
        <w:contextualSpacing/>
        <w:jc w:val="both"/>
        <w:rPr>
          <w:rFonts w:ascii="Times New Roman" w:eastAsia="Calibri" w:hAnsi="Times New Roman" w:cs="Times New Roman"/>
          <w:sz w:val="24"/>
          <w:szCs w:val="24"/>
        </w:rPr>
      </w:pPr>
      <w:r w:rsidRPr="00125FAF">
        <w:rPr>
          <w:rFonts w:ascii="Times New Roman" w:eastAsia="Calibri" w:hAnsi="Times New Roman" w:cs="Times New Roman"/>
          <w:sz w:val="24"/>
          <w:szCs w:val="24"/>
        </w:rPr>
        <w:t>Raportul elaborat este supus în mod obligatoriu procedurii de verificare, în scopul asigurării veridicității și fiabilității informațiilor raportate de către beneficiarul proiectului.</w:t>
      </w:r>
    </w:p>
    <w:p w14:paraId="022A8188" w14:textId="77777777" w:rsidR="00A70510" w:rsidRPr="00125FAF" w:rsidRDefault="00A70510" w:rsidP="003E24C5">
      <w:pPr>
        <w:numPr>
          <w:ilvl w:val="0"/>
          <w:numId w:val="9"/>
        </w:numPr>
        <w:spacing w:after="0" w:line="240" w:lineRule="auto"/>
        <w:contextualSpacing/>
        <w:jc w:val="both"/>
        <w:rPr>
          <w:rFonts w:ascii="Times New Roman" w:eastAsia="Calibri" w:hAnsi="Times New Roman" w:cs="Times New Roman"/>
          <w:sz w:val="24"/>
          <w:szCs w:val="24"/>
        </w:rPr>
      </w:pPr>
      <w:r w:rsidRPr="00125FAF">
        <w:rPr>
          <w:rFonts w:ascii="Times New Roman" w:eastAsia="Calibri" w:hAnsi="Times New Roman" w:cs="Times New Roman"/>
          <w:sz w:val="24"/>
          <w:szCs w:val="24"/>
        </w:rPr>
        <w:t>Verificatorul elaborează raportul de verificare și îl prezintă beneficiarului, care, în baza acestuia, perfectează și prezintă Comisiei naționale raportul de reducere a emisiilor de gaze cu efect de seră.</w:t>
      </w:r>
    </w:p>
    <w:p w14:paraId="33B7FD46" w14:textId="77777777" w:rsidR="00A70510" w:rsidRPr="00125FAF" w:rsidRDefault="00A70510" w:rsidP="003E24C5">
      <w:pPr>
        <w:numPr>
          <w:ilvl w:val="0"/>
          <w:numId w:val="9"/>
        </w:numPr>
        <w:spacing w:after="0" w:line="240" w:lineRule="auto"/>
        <w:contextualSpacing/>
        <w:jc w:val="both"/>
        <w:rPr>
          <w:rFonts w:ascii="Times New Roman" w:eastAsia="Calibri" w:hAnsi="Times New Roman" w:cs="Times New Roman"/>
          <w:sz w:val="24"/>
          <w:szCs w:val="24"/>
        </w:rPr>
      </w:pPr>
      <w:r w:rsidRPr="00125FAF">
        <w:rPr>
          <w:rFonts w:ascii="Times New Roman" w:eastAsia="Calibri" w:hAnsi="Times New Roman" w:cs="Times New Roman"/>
          <w:sz w:val="24"/>
          <w:szCs w:val="24"/>
        </w:rPr>
        <w:t>Beneficiarul proiectului angajează și achită serviciile verificatorului.</w:t>
      </w:r>
    </w:p>
    <w:p w14:paraId="347C291F" w14:textId="77777777" w:rsidR="00A70510" w:rsidRPr="00125FAF" w:rsidRDefault="00A70510" w:rsidP="003E24C5">
      <w:pPr>
        <w:numPr>
          <w:ilvl w:val="0"/>
          <w:numId w:val="9"/>
        </w:numPr>
        <w:spacing w:after="0" w:line="240" w:lineRule="auto"/>
        <w:contextualSpacing/>
        <w:jc w:val="both"/>
        <w:rPr>
          <w:rFonts w:ascii="Times New Roman" w:eastAsia="Calibri" w:hAnsi="Times New Roman" w:cs="Times New Roman"/>
          <w:sz w:val="24"/>
          <w:szCs w:val="24"/>
        </w:rPr>
      </w:pPr>
      <w:r w:rsidRPr="00125FAF">
        <w:rPr>
          <w:rFonts w:ascii="Times New Roman" w:eastAsia="Calibri" w:hAnsi="Times New Roman" w:cs="Times New Roman"/>
          <w:sz w:val="24"/>
          <w:szCs w:val="24"/>
        </w:rPr>
        <w:t xml:space="preserve">Autoritățile și instituțiile care implementează proiecte NAMA </w:t>
      </w:r>
      <w:proofErr w:type="spellStart"/>
      <w:r w:rsidRPr="00125FAF">
        <w:rPr>
          <w:rFonts w:ascii="Times New Roman" w:eastAsia="Calibri" w:hAnsi="Times New Roman" w:cs="Times New Roman"/>
          <w:sz w:val="24"/>
          <w:szCs w:val="24"/>
        </w:rPr>
        <w:t>necondiţionate</w:t>
      </w:r>
      <w:proofErr w:type="spellEnd"/>
      <w:r w:rsidRPr="00125FAF">
        <w:rPr>
          <w:rFonts w:ascii="Times New Roman" w:eastAsia="Calibri" w:hAnsi="Times New Roman" w:cs="Times New Roman"/>
          <w:sz w:val="24"/>
          <w:szCs w:val="24"/>
        </w:rPr>
        <w:t>, ce nu sunt înregistrate în Registrul NAMA al CONUSC, aplică procedura simplificată de monitorizare, raportare și verificare. Acestea prezintă Comisiei naționale rapoarte anuale privind acțiunile întreprinse și rezultatele obținute în cadrul proiectelor. Formatul de raportare și termenul de prezentare a rapoartelor sunt stabilite în Manualul operațional privind mecanismul de coordonare a acțiunilor adecvate de atenuare la nivel național.</w:t>
      </w:r>
    </w:p>
    <w:p w14:paraId="1A4247B5" w14:textId="77777777" w:rsidR="00A70510" w:rsidRPr="00125FAF" w:rsidRDefault="00A70510" w:rsidP="003E24C5">
      <w:pPr>
        <w:numPr>
          <w:ilvl w:val="0"/>
          <w:numId w:val="9"/>
        </w:numPr>
        <w:spacing w:after="0" w:line="240" w:lineRule="auto"/>
        <w:contextualSpacing/>
        <w:jc w:val="both"/>
        <w:rPr>
          <w:rFonts w:ascii="Times New Roman" w:eastAsia="Calibri" w:hAnsi="Times New Roman" w:cs="Times New Roman"/>
          <w:sz w:val="24"/>
          <w:szCs w:val="24"/>
        </w:rPr>
      </w:pPr>
      <w:r w:rsidRPr="00125FAF">
        <w:rPr>
          <w:rFonts w:ascii="Times New Roman" w:eastAsia="Calibri" w:hAnsi="Times New Roman" w:cs="Times New Roman"/>
          <w:sz w:val="24"/>
          <w:szCs w:val="24"/>
        </w:rPr>
        <w:t xml:space="preserve">Secretariatul Comisiei naționale procesează datele prezentate de către beneficiari și calculează cantitatea totală de emisii de gaze cu efect de seră redusă, ca urmare a implementării proiectelor NAMA </w:t>
      </w:r>
      <w:proofErr w:type="spellStart"/>
      <w:r w:rsidRPr="00125FAF">
        <w:rPr>
          <w:rFonts w:ascii="Times New Roman" w:eastAsia="Calibri" w:hAnsi="Times New Roman" w:cs="Times New Roman"/>
          <w:sz w:val="24"/>
          <w:szCs w:val="24"/>
        </w:rPr>
        <w:t>necondiţionate</w:t>
      </w:r>
      <w:proofErr w:type="spellEnd"/>
      <w:r w:rsidRPr="00125FAF">
        <w:rPr>
          <w:rFonts w:ascii="Times New Roman" w:eastAsia="Calibri" w:hAnsi="Times New Roman" w:cs="Times New Roman"/>
          <w:sz w:val="24"/>
          <w:szCs w:val="24"/>
        </w:rPr>
        <w:t xml:space="preserve"> și susținute din fonduri externe.</w:t>
      </w:r>
    </w:p>
    <w:p w14:paraId="7BC59C21" w14:textId="5223284D" w:rsidR="00A70510" w:rsidRPr="00125FAF" w:rsidRDefault="00A70510" w:rsidP="003E24C5">
      <w:pPr>
        <w:numPr>
          <w:ilvl w:val="0"/>
          <w:numId w:val="9"/>
        </w:numPr>
        <w:spacing w:after="120" w:line="240" w:lineRule="auto"/>
        <w:jc w:val="both"/>
        <w:rPr>
          <w:rFonts w:ascii="Times New Roman" w:eastAsia="Calibri" w:hAnsi="Times New Roman" w:cs="Times New Roman"/>
          <w:sz w:val="24"/>
          <w:szCs w:val="24"/>
        </w:rPr>
      </w:pPr>
      <w:r w:rsidRPr="00125FAF">
        <w:rPr>
          <w:rFonts w:ascii="Times New Roman" w:eastAsia="Calibri" w:hAnsi="Times New Roman" w:cs="Times New Roman"/>
          <w:sz w:val="24"/>
          <w:szCs w:val="24"/>
        </w:rPr>
        <w:t>Informația primară privind cantitatea de emisii de gaze cu efect de seră reduse ca urmare a implementării proiectelor NAMA este utilizată la elaborarea inventarului național al emisiilor de gaze cu efect de seră, raportului bienal actualizat și comunicării naționale în cadrul CONUSC.</w:t>
      </w:r>
    </w:p>
    <w:p w14:paraId="188CBD94" w14:textId="54E39FC5" w:rsidR="00AD6FD5" w:rsidRPr="00125FAF" w:rsidRDefault="007909C8" w:rsidP="00AD6FD5">
      <w:pPr>
        <w:spacing w:before="120" w:after="0" w:line="240" w:lineRule="auto"/>
        <w:ind w:firstLine="720"/>
        <w:jc w:val="both"/>
        <w:rPr>
          <w:rFonts w:ascii="Times New Roman" w:eastAsia="Times New Roman" w:hAnsi="Times New Roman" w:cs="Times New Roman"/>
          <w:sz w:val="24"/>
          <w:szCs w:val="24"/>
          <w:lang w:eastAsia="ru-RU"/>
        </w:rPr>
      </w:pPr>
      <w:r w:rsidRPr="00125FAF">
        <w:rPr>
          <w:rFonts w:ascii="Times New Roman" w:eastAsia="Times New Roman" w:hAnsi="Times New Roman" w:cs="Times New Roman"/>
          <w:bCs/>
          <w:color w:val="000000"/>
          <w:sz w:val="24"/>
          <w:szCs w:val="24"/>
          <w:lang w:eastAsia="ru-RU"/>
        </w:rPr>
        <w:t>50</w:t>
      </w:r>
      <w:r w:rsidR="00AD6FD5" w:rsidRPr="00125FAF">
        <w:rPr>
          <w:rFonts w:ascii="Times New Roman" w:eastAsia="Times New Roman" w:hAnsi="Times New Roman" w:cs="Times New Roman"/>
          <w:bCs/>
          <w:color w:val="000000"/>
          <w:sz w:val="24"/>
          <w:szCs w:val="24"/>
          <w:lang w:eastAsia="ru-RU"/>
        </w:rPr>
        <w:t>.</w:t>
      </w:r>
      <w:r w:rsidR="00AD6FD5" w:rsidRPr="00125FAF">
        <w:rPr>
          <w:rFonts w:ascii="Times New Roman" w:eastAsia="Times New Roman" w:hAnsi="Times New Roman" w:cs="Times New Roman"/>
          <w:b/>
          <w:bCs/>
          <w:color w:val="000000"/>
          <w:sz w:val="24"/>
          <w:szCs w:val="24"/>
          <w:lang w:eastAsia="ru-RU"/>
        </w:rPr>
        <w:t xml:space="preserve"> </w:t>
      </w:r>
      <w:r w:rsidR="00AD6FD5" w:rsidRPr="00125FAF">
        <w:rPr>
          <w:rFonts w:ascii="Times New Roman" w:eastAsia="Times New Roman" w:hAnsi="Times New Roman" w:cs="Times New Roman"/>
          <w:color w:val="000000"/>
          <w:sz w:val="24"/>
          <w:szCs w:val="24"/>
          <w:lang w:eastAsia="ru-RU"/>
        </w:rPr>
        <w:t xml:space="preserve">Rapoartele </w:t>
      </w:r>
      <w:proofErr w:type="spellStart"/>
      <w:r w:rsidR="00AD6FD5" w:rsidRPr="00125FAF">
        <w:rPr>
          <w:rFonts w:ascii="Times New Roman" w:eastAsia="Times New Roman" w:hAnsi="Times New Roman" w:cs="Times New Roman"/>
          <w:color w:val="000000"/>
          <w:sz w:val="24"/>
          <w:szCs w:val="24"/>
          <w:lang w:eastAsia="ru-RU"/>
        </w:rPr>
        <w:t>naţionale</w:t>
      </w:r>
      <w:proofErr w:type="spellEnd"/>
      <w:r w:rsidR="00AD6FD5" w:rsidRPr="00125FAF">
        <w:rPr>
          <w:rFonts w:ascii="Times New Roman" w:eastAsia="Times New Roman" w:hAnsi="Times New Roman" w:cs="Times New Roman"/>
          <w:color w:val="000000"/>
          <w:sz w:val="24"/>
          <w:szCs w:val="24"/>
          <w:lang w:eastAsia="ru-RU"/>
        </w:rPr>
        <w:t xml:space="preserve"> de inventariere, rapoartele bienale actualizate, comunicările </w:t>
      </w:r>
      <w:proofErr w:type="spellStart"/>
      <w:r w:rsidR="00AD6FD5" w:rsidRPr="00125FAF">
        <w:rPr>
          <w:rFonts w:ascii="Times New Roman" w:eastAsia="Times New Roman" w:hAnsi="Times New Roman" w:cs="Times New Roman"/>
          <w:color w:val="000000"/>
          <w:sz w:val="24"/>
          <w:szCs w:val="24"/>
          <w:lang w:eastAsia="ru-RU"/>
        </w:rPr>
        <w:t>naţionale</w:t>
      </w:r>
      <w:proofErr w:type="spellEnd"/>
      <w:r w:rsidR="00AD6FD5" w:rsidRPr="00125FAF">
        <w:rPr>
          <w:rFonts w:ascii="Times New Roman" w:eastAsia="Times New Roman" w:hAnsi="Times New Roman" w:cs="Times New Roman"/>
          <w:color w:val="000000"/>
          <w:sz w:val="24"/>
          <w:szCs w:val="24"/>
          <w:lang w:eastAsia="ru-RU"/>
        </w:rPr>
        <w:t xml:space="preserve"> </w:t>
      </w:r>
      <w:proofErr w:type="spellStart"/>
      <w:r w:rsidR="00AD6FD5" w:rsidRPr="00125FAF">
        <w:rPr>
          <w:rFonts w:ascii="Times New Roman" w:eastAsia="Times New Roman" w:hAnsi="Times New Roman" w:cs="Times New Roman"/>
          <w:color w:val="000000"/>
          <w:sz w:val="24"/>
          <w:szCs w:val="24"/>
          <w:lang w:eastAsia="ru-RU"/>
        </w:rPr>
        <w:t>şi</w:t>
      </w:r>
      <w:proofErr w:type="spellEnd"/>
      <w:r w:rsidR="00AD6FD5" w:rsidRPr="00125FAF">
        <w:rPr>
          <w:rFonts w:ascii="Times New Roman" w:eastAsia="Times New Roman" w:hAnsi="Times New Roman" w:cs="Times New Roman"/>
          <w:color w:val="000000"/>
          <w:sz w:val="24"/>
          <w:szCs w:val="24"/>
          <w:lang w:eastAsia="ru-RU"/>
        </w:rPr>
        <w:t xml:space="preserve"> </w:t>
      </w:r>
      <w:proofErr w:type="spellStart"/>
      <w:r w:rsidR="00AD6FD5" w:rsidRPr="00125FAF">
        <w:rPr>
          <w:rFonts w:ascii="Times New Roman" w:eastAsia="Times New Roman" w:hAnsi="Times New Roman" w:cs="Times New Roman"/>
          <w:color w:val="000000"/>
          <w:sz w:val="24"/>
          <w:szCs w:val="24"/>
          <w:lang w:eastAsia="ru-RU"/>
        </w:rPr>
        <w:t>Contibuţiile</w:t>
      </w:r>
      <w:proofErr w:type="spellEnd"/>
      <w:r w:rsidR="00AD6FD5" w:rsidRPr="00125FAF">
        <w:rPr>
          <w:rFonts w:ascii="Times New Roman" w:eastAsia="Times New Roman" w:hAnsi="Times New Roman" w:cs="Times New Roman"/>
          <w:color w:val="000000"/>
          <w:sz w:val="24"/>
          <w:szCs w:val="24"/>
          <w:lang w:eastAsia="ru-RU"/>
        </w:rPr>
        <w:t xml:space="preserve"> </w:t>
      </w:r>
      <w:proofErr w:type="spellStart"/>
      <w:r w:rsidR="00AD6FD5" w:rsidRPr="00125FAF">
        <w:rPr>
          <w:rFonts w:ascii="Times New Roman" w:eastAsia="Times New Roman" w:hAnsi="Times New Roman" w:cs="Times New Roman"/>
          <w:color w:val="000000"/>
          <w:sz w:val="24"/>
          <w:szCs w:val="24"/>
          <w:lang w:eastAsia="ru-RU"/>
        </w:rPr>
        <w:t>Naţionale</w:t>
      </w:r>
      <w:proofErr w:type="spellEnd"/>
      <w:r w:rsidR="00AD6FD5" w:rsidRPr="00125FAF">
        <w:rPr>
          <w:rFonts w:ascii="Times New Roman" w:eastAsia="Times New Roman" w:hAnsi="Times New Roman" w:cs="Times New Roman"/>
          <w:color w:val="000000"/>
          <w:sz w:val="24"/>
          <w:szCs w:val="24"/>
          <w:lang w:eastAsia="ru-RU"/>
        </w:rPr>
        <w:t xml:space="preserve"> Determinate ale Republicii Moldova către </w:t>
      </w:r>
      <w:proofErr w:type="spellStart"/>
      <w:r w:rsidR="00AD6FD5" w:rsidRPr="00125FAF">
        <w:rPr>
          <w:rFonts w:ascii="Times New Roman" w:eastAsia="Times New Roman" w:hAnsi="Times New Roman" w:cs="Times New Roman"/>
          <w:color w:val="000000"/>
          <w:sz w:val="24"/>
          <w:szCs w:val="24"/>
          <w:lang w:eastAsia="ru-RU"/>
        </w:rPr>
        <w:t>Convenţia</w:t>
      </w:r>
      <w:proofErr w:type="spellEnd"/>
      <w:r w:rsidR="00AD6FD5" w:rsidRPr="00125FAF">
        <w:rPr>
          <w:rFonts w:ascii="Times New Roman" w:eastAsia="Times New Roman" w:hAnsi="Times New Roman" w:cs="Times New Roman"/>
          <w:color w:val="000000"/>
          <w:sz w:val="24"/>
          <w:szCs w:val="24"/>
          <w:lang w:eastAsia="ru-RU"/>
        </w:rPr>
        <w:t xml:space="preserve">-cadru </w:t>
      </w:r>
      <w:proofErr w:type="spellStart"/>
      <w:r w:rsidR="00AD6FD5" w:rsidRPr="00125FAF">
        <w:rPr>
          <w:rFonts w:ascii="Times New Roman" w:eastAsia="Times New Roman" w:hAnsi="Times New Roman" w:cs="Times New Roman"/>
          <w:color w:val="000000"/>
          <w:sz w:val="24"/>
          <w:szCs w:val="24"/>
          <w:lang w:eastAsia="ru-RU"/>
        </w:rPr>
        <w:t>sînt</w:t>
      </w:r>
      <w:proofErr w:type="spellEnd"/>
      <w:r w:rsidR="00AD6FD5" w:rsidRPr="00125FAF">
        <w:rPr>
          <w:rFonts w:ascii="Times New Roman" w:eastAsia="Times New Roman" w:hAnsi="Times New Roman" w:cs="Times New Roman"/>
          <w:color w:val="000000"/>
          <w:sz w:val="24"/>
          <w:szCs w:val="24"/>
          <w:lang w:eastAsia="ru-RU"/>
        </w:rPr>
        <w:t xml:space="preserve"> elaborate de către </w:t>
      </w:r>
      <w:r w:rsidR="002C1CB9">
        <w:rPr>
          <w:rFonts w:ascii="Times New Roman" w:eastAsia="Times New Roman" w:hAnsi="Times New Roman" w:cs="Times New Roman"/>
          <w:color w:val="000000"/>
          <w:sz w:val="24"/>
          <w:szCs w:val="24"/>
          <w:lang w:eastAsia="ru-RU"/>
        </w:rPr>
        <w:t>Ministerul Mediului</w:t>
      </w:r>
      <w:r w:rsidR="00AD6FD5" w:rsidRPr="00125FAF">
        <w:rPr>
          <w:rFonts w:ascii="Times New Roman" w:eastAsia="Times New Roman" w:hAnsi="Times New Roman" w:cs="Times New Roman"/>
          <w:color w:val="000000"/>
          <w:sz w:val="24"/>
          <w:szCs w:val="24"/>
          <w:lang w:eastAsia="ru-RU"/>
        </w:rPr>
        <w:t xml:space="preserve"> prin intermediul </w:t>
      </w:r>
      <w:proofErr w:type="spellStart"/>
      <w:r w:rsidR="00AD6FD5" w:rsidRPr="00125FAF">
        <w:rPr>
          <w:rFonts w:ascii="Times New Roman" w:eastAsia="Times New Roman" w:hAnsi="Times New Roman" w:cs="Times New Roman"/>
          <w:color w:val="000000"/>
          <w:sz w:val="24"/>
          <w:szCs w:val="24"/>
          <w:lang w:eastAsia="ru-RU"/>
        </w:rPr>
        <w:t>Agenţiei</w:t>
      </w:r>
      <w:proofErr w:type="spellEnd"/>
      <w:r w:rsidR="00AD6FD5" w:rsidRPr="00125FAF">
        <w:rPr>
          <w:rFonts w:ascii="Times New Roman" w:eastAsia="Times New Roman" w:hAnsi="Times New Roman" w:cs="Times New Roman"/>
          <w:color w:val="000000"/>
          <w:sz w:val="24"/>
          <w:szCs w:val="24"/>
          <w:lang w:eastAsia="ru-RU"/>
        </w:rPr>
        <w:t xml:space="preserve"> de mediu, aflată în subordinea </w:t>
      </w:r>
      <w:r w:rsidR="00B36396" w:rsidRPr="00B36396">
        <w:rPr>
          <w:rFonts w:ascii="Times New Roman" w:eastAsia="Times New Roman" w:hAnsi="Times New Roman" w:cs="Times New Roman"/>
          <w:color w:val="000000"/>
          <w:sz w:val="24"/>
          <w:szCs w:val="24"/>
          <w:lang w:eastAsia="ru-RU"/>
        </w:rPr>
        <w:t>Ministerul Mediului</w:t>
      </w:r>
      <w:r w:rsidR="00AD6FD5" w:rsidRPr="00125FAF">
        <w:rPr>
          <w:rFonts w:ascii="Times New Roman" w:eastAsia="Times New Roman" w:hAnsi="Times New Roman" w:cs="Times New Roman"/>
          <w:color w:val="000000"/>
          <w:sz w:val="24"/>
          <w:szCs w:val="24"/>
          <w:lang w:eastAsia="ru-RU"/>
        </w:rPr>
        <w:t xml:space="preserve">. </w:t>
      </w:r>
      <w:proofErr w:type="spellStart"/>
      <w:r w:rsidR="00AD6FD5" w:rsidRPr="00125FAF">
        <w:rPr>
          <w:rFonts w:ascii="Times New Roman" w:eastAsia="Times New Roman" w:hAnsi="Times New Roman" w:cs="Times New Roman"/>
          <w:color w:val="000000"/>
          <w:sz w:val="24"/>
          <w:szCs w:val="24"/>
          <w:lang w:eastAsia="ru-RU"/>
        </w:rPr>
        <w:t>Agenţia</w:t>
      </w:r>
      <w:proofErr w:type="spellEnd"/>
      <w:r w:rsidR="00AD6FD5" w:rsidRPr="00125FAF">
        <w:rPr>
          <w:rFonts w:ascii="Times New Roman" w:eastAsia="Times New Roman" w:hAnsi="Times New Roman" w:cs="Times New Roman"/>
          <w:color w:val="000000"/>
          <w:sz w:val="24"/>
          <w:szCs w:val="24"/>
          <w:lang w:eastAsia="ru-RU"/>
        </w:rPr>
        <w:t xml:space="preserve"> de mediu este responsabilă de evaluarea emisiilor după categorii de surse </w:t>
      </w:r>
      <w:proofErr w:type="spellStart"/>
      <w:r w:rsidR="00AD6FD5" w:rsidRPr="00125FAF">
        <w:rPr>
          <w:rFonts w:ascii="Times New Roman" w:eastAsia="Times New Roman" w:hAnsi="Times New Roman" w:cs="Times New Roman"/>
          <w:color w:val="000000"/>
          <w:sz w:val="24"/>
          <w:szCs w:val="24"/>
          <w:lang w:eastAsia="ru-RU"/>
        </w:rPr>
        <w:t>şi</w:t>
      </w:r>
      <w:proofErr w:type="spellEnd"/>
      <w:r w:rsidR="00AD6FD5" w:rsidRPr="00125FAF">
        <w:rPr>
          <w:rFonts w:ascii="Times New Roman" w:eastAsia="Times New Roman" w:hAnsi="Times New Roman" w:cs="Times New Roman"/>
          <w:color w:val="000000"/>
          <w:sz w:val="24"/>
          <w:szCs w:val="24"/>
          <w:lang w:eastAsia="ru-RU"/>
        </w:rPr>
        <w:t xml:space="preserve"> sechestrărilor după categorii de stocare, analiza surselor de emisie-cheie, verificarea </w:t>
      </w:r>
      <w:proofErr w:type="spellStart"/>
      <w:r w:rsidR="00AD6FD5" w:rsidRPr="00125FAF">
        <w:rPr>
          <w:rFonts w:ascii="Times New Roman" w:eastAsia="Times New Roman" w:hAnsi="Times New Roman" w:cs="Times New Roman"/>
          <w:color w:val="000000"/>
          <w:sz w:val="24"/>
          <w:szCs w:val="24"/>
          <w:lang w:eastAsia="ru-RU"/>
        </w:rPr>
        <w:t>şi</w:t>
      </w:r>
      <w:proofErr w:type="spellEnd"/>
      <w:r w:rsidR="00AD6FD5" w:rsidRPr="00125FAF">
        <w:rPr>
          <w:rFonts w:ascii="Times New Roman" w:eastAsia="Times New Roman" w:hAnsi="Times New Roman" w:cs="Times New Roman"/>
          <w:color w:val="000000"/>
          <w:sz w:val="24"/>
          <w:szCs w:val="24"/>
          <w:lang w:eastAsia="ru-RU"/>
        </w:rPr>
        <w:t xml:space="preserve"> controlul </w:t>
      </w:r>
      <w:proofErr w:type="spellStart"/>
      <w:r w:rsidR="00AD6FD5" w:rsidRPr="00125FAF">
        <w:rPr>
          <w:rFonts w:ascii="Times New Roman" w:eastAsia="Times New Roman" w:hAnsi="Times New Roman" w:cs="Times New Roman"/>
          <w:color w:val="000000"/>
          <w:sz w:val="24"/>
          <w:szCs w:val="24"/>
          <w:lang w:eastAsia="ru-RU"/>
        </w:rPr>
        <w:t>calităţii</w:t>
      </w:r>
      <w:proofErr w:type="spellEnd"/>
      <w:r w:rsidR="00AD6FD5" w:rsidRPr="00125FAF">
        <w:rPr>
          <w:rFonts w:ascii="Times New Roman" w:eastAsia="Times New Roman" w:hAnsi="Times New Roman" w:cs="Times New Roman"/>
          <w:color w:val="000000"/>
          <w:sz w:val="24"/>
          <w:szCs w:val="24"/>
          <w:lang w:eastAsia="ru-RU"/>
        </w:rPr>
        <w:t xml:space="preserve"> inventarului, analiza incertitudinilor, documentarea </w:t>
      </w:r>
      <w:proofErr w:type="spellStart"/>
      <w:r w:rsidR="00AD6FD5" w:rsidRPr="00125FAF">
        <w:rPr>
          <w:rFonts w:ascii="Times New Roman" w:eastAsia="Times New Roman" w:hAnsi="Times New Roman" w:cs="Times New Roman"/>
          <w:color w:val="000000"/>
          <w:sz w:val="24"/>
          <w:szCs w:val="24"/>
          <w:lang w:eastAsia="ru-RU"/>
        </w:rPr>
        <w:t>şi</w:t>
      </w:r>
      <w:proofErr w:type="spellEnd"/>
      <w:r w:rsidR="00AD6FD5" w:rsidRPr="00125FAF">
        <w:rPr>
          <w:rFonts w:ascii="Times New Roman" w:eastAsia="Times New Roman" w:hAnsi="Times New Roman" w:cs="Times New Roman"/>
          <w:color w:val="000000"/>
          <w:sz w:val="24"/>
          <w:szCs w:val="24"/>
          <w:lang w:eastAsia="ru-RU"/>
        </w:rPr>
        <w:t xml:space="preserve"> arhivarea </w:t>
      </w:r>
      <w:proofErr w:type="spellStart"/>
      <w:r w:rsidR="00AD6FD5" w:rsidRPr="00125FAF">
        <w:rPr>
          <w:rFonts w:ascii="Times New Roman" w:eastAsia="Times New Roman" w:hAnsi="Times New Roman" w:cs="Times New Roman"/>
          <w:color w:val="000000"/>
          <w:sz w:val="24"/>
          <w:szCs w:val="24"/>
          <w:lang w:eastAsia="ru-RU"/>
        </w:rPr>
        <w:t>informaţiei</w:t>
      </w:r>
      <w:proofErr w:type="spellEnd"/>
      <w:r w:rsidR="00AD6FD5" w:rsidRPr="00125FAF">
        <w:rPr>
          <w:rFonts w:ascii="Times New Roman" w:eastAsia="Times New Roman" w:hAnsi="Times New Roman" w:cs="Times New Roman"/>
          <w:color w:val="000000"/>
          <w:sz w:val="24"/>
          <w:szCs w:val="24"/>
          <w:lang w:eastAsia="ru-RU"/>
        </w:rPr>
        <w:t xml:space="preserve"> asociate cu procesul de pregătire a inventarului </w:t>
      </w:r>
      <w:proofErr w:type="spellStart"/>
      <w:r w:rsidR="00AD6FD5" w:rsidRPr="00125FAF">
        <w:rPr>
          <w:rFonts w:ascii="Times New Roman" w:eastAsia="Times New Roman" w:hAnsi="Times New Roman" w:cs="Times New Roman"/>
          <w:color w:val="000000"/>
          <w:sz w:val="24"/>
          <w:szCs w:val="24"/>
          <w:lang w:eastAsia="ru-RU"/>
        </w:rPr>
        <w:t>naţional</w:t>
      </w:r>
      <w:proofErr w:type="spellEnd"/>
      <w:r w:rsidR="00AD6FD5" w:rsidRPr="00125FAF">
        <w:rPr>
          <w:rFonts w:ascii="Times New Roman" w:eastAsia="Times New Roman" w:hAnsi="Times New Roman" w:cs="Times New Roman"/>
          <w:color w:val="000000"/>
          <w:sz w:val="24"/>
          <w:szCs w:val="24"/>
          <w:lang w:eastAsia="ru-RU"/>
        </w:rPr>
        <w:t xml:space="preserve"> al emisiilor de gaze cu efect de seră.</w:t>
      </w:r>
    </w:p>
    <w:p w14:paraId="325C7D65" w14:textId="3541FB51" w:rsidR="006364B2" w:rsidRPr="00125FAF" w:rsidRDefault="00AF4926" w:rsidP="00A70510">
      <w:pPr>
        <w:spacing w:before="120" w:after="120" w:line="240" w:lineRule="auto"/>
        <w:jc w:val="center"/>
        <w:rPr>
          <w:rFonts w:ascii="Times New Roman" w:eastAsia="Times New Roman" w:hAnsi="Times New Roman" w:cs="Times New Roman"/>
          <w:sz w:val="24"/>
          <w:szCs w:val="24"/>
          <w:lang w:eastAsia="ru-RU"/>
        </w:rPr>
      </w:pPr>
      <w:r w:rsidRPr="00125FAF">
        <w:rPr>
          <w:rFonts w:ascii="Times New Roman" w:eastAsia="Times New Roman" w:hAnsi="Times New Roman" w:cs="Times New Roman"/>
          <w:b/>
          <w:bCs/>
          <w:color w:val="000000"/>
          <w:sz w:val="24"/>
          <w:szCs w:val="24"/>
          <w:lang w:eastAsia="ru-RU"/>
        </w:rPr>
        <w:t>10.</w:t>
      </w:r>
      <w:r w:rsidR="00A70510" w:rsidRPr="00125FAF">
        <w:rPr>
          <w:rFonts w:ascii="Times New Roman" w:eastAsia="Times New Roman" w:hAnsi="Times New Roman" w:cs="Times New Roman"/>
          <w:b/>
          <w:bCs/>
          <w:color w:val="000000"/>
          <w:sz w:val="24"/>
          <w:szCs w:val="24"/>
          <w:lang w:eastAsia="ru-RU"/>
        </w:rPr>
        <w:t>2</w:t>
      </w:r>
      <w:r w:rsidRPr="00125FAF">
        <w:rPr>
          <w:rFonts w:ascii="Times New Roman" w:eastAsia="Times New Roman" w:hAnsi="Times New Roman" w:cs="Times New Roman"/>
          <w:b/>
          <w:bCs/>
          <w:color w:val="000000"/>
          <w:sz w:val="24"/>
          <w:szCs w:val="24"/>
          <w:lang w:eastAsia="ru-RU"/>
        </w:rPr>
        <w:t xml:space="preserve">. </w:t>
      </w:r>
      <w:r w:rsidR="006364B2" w:rsidRPr="00125FAF">
        <w:rPr>
          <w:rFonts w:ascii="Times New Roman" w:eastAsia="Times New Roman" w:hAnsi="Times New Roman" w:cs="Times New Roman"/>
          <w:b/>
          <w:bCs/>
          <w:color w:val="000000"/>
          <w:sz w:val="24"/>
          <w:szCs w:val="24"/>
          <w:lang w:eastAsia="ru-RU"/>
        </w:rPr>
        <w:t>Monitorizarea</w:t>
      </w:r>
      <w:r w:rsidR="00A70510" w:rsidRPr="00125FAF">
        <w:rPr>
          <w:rFonts w:ascii="Times New Roman" w:eastAsia="Times New Roman" w:hAnsi="Times New Roman" w:cs="Times New Roman"/>
          <w:b/>
          <w:bCs/>
          <w:color w:val="000000"/>
          <w:sz w:val="24"/>
          <w:szCs w:val="24"/>
          <w:lang w:eastAsia="ru-RU"/>
        </w:rPr>
        <w:t xml:space="preserve"> implementării Programului</w:t>
      </w:r>
    </w:p>
    <w:p w14:paraId="214367DB" w14:textId="16A4ADBE" w:rsidR="006364B2" w:rsidRPr="00125FAF" w:rsidRDefault="007909C8" w:rsidP="009B5050">
      <w:pPr>
        <w:spacing w:after="0" w:line="240" w:lineRule="auto"/>
        <w:ind w:firstLine="720"/>
        <w:jc w:val="both"/>
        <w:rPr>
          <w:rFonts w:ascii="Times New Roman" w:eastAsia="Times New Roman" w:hAnsi="Times New Roman" w:cs="Times New Roman"/>
          <w:sz w:val="24"/>
          <w:szCs w:val="24"/>
          <w:lang w:eastAsia="ru-RU"/>
        </w:rPr>
      </w:pPr>
      <w:r w:rsidRPr="00125FAF">
        <w:rPr>
          <w:rFonts w:ascii="Times New Roman" w:eastAsia="Times New Roman" w:hAnsi="Times New Roman" w:cs="Times New Roman"/>
          <w:color w:val="000000"/>
          <w:sz w:val="24"/>
          <w:szCs w:val="24"/>
          <w:lang w:eastAsia="ru-RU"/>
        </w:rPr>
        <w:t>51</w:t>
      </w:r>
      <w:r w:rsidR="006364B2" w:rsidRPr="00125FAF">
        <w:rPr>
          <w:rFonts w:ascii="Times New Roman" w:eastAsia="Times New Roman" w:hAnsi="Times New Roman" w:cs="Times New Roman"/>
          <w:color w:val="000000"/>
          <w:sz w:val="24"/>
          <w:szCs w:val="24"/>
          <w:lang w:eastAsia="ru-RU"/>
        </w:rPr>
        <w:t>. Monitorizarea implementării prezent</w:t>
      </w:r>
      <w:r w:rsidR="00D81BE2" w:rsidRPr="00125FAF">
        <w:rPr>
          <w:rFonts w:ascii="Times New Roman" w:eastAsia="Times New Roman" w:hAnsi="Times New Roman" w:cs="Times New Roman"/>
          <w:color w:val="000000"/>
          <w:sz w:val="24"/>
          <w:szCs w:val="24"/>
          <w:lang w:eastAsia="ru-RU"/>
        </w:rPr>
        <w:t>ului Program</w:t>
      </w:r>
      <w:r w:rsidR="006364B2" w:rsidRPr="00125FAF">
        <w:rPr>
          <w:rFonts w:ascii="Times New Roman" w:eastAsia="Times New Roman" w:hAnsi="Times New Roman" w:cs="Times New Roman"/>
          <w:color w:val="000000"/>
          <w:sz w:val="24"/>
          <w:szCs w:val="24"/>
          <w:lang w:eastAsia="ru-RU"/>
        </w:rPr>
        <w:t xml:space="preserve"> va fi realizată de către </w:t>
      </w:r>
      <w:r w:rsidR="002C1CB9">
        <w:rPr>
          <w:rFonts w:ascii="Times New Roman" w:eastAsia="Times New Roman" w:hAnsi="Times New Roman" w:cs="Times New Roman"/>
          <w:color w:val="000000"/>
          <w:sz w:val="24"/>
          <w:szCs w:val="24"/>
          <w:lang w:eastAsia="ru-RU"/>
        </w:rPr>
        <w:t>Ministerul Mediului</w:t>
      </w:r>
      <w:r w:rsidR="009B5050" w:rsidRPr="00125FAF">
        <w:rPr>
          <w:rFonts w:ascii="Times New Roman" w:eastAsia="Times New Roman" w:hAnsi="Times New Roman" w:cs="Times New Roman"/>
          <w:color w:val="000000"/>
          <w:sz w:val="24"/>
          <w:szCs w:val="24"/>
          <w:lang w:eastAsia="ru-RU"/>
        </w:rPr>
        <w:t xml:space="preserve">, iar monitorizează implementării </w:t>
      </w:r>
      <w:proofErr w:type="spellStart"/>
      <w:r w:rsidR="00D81BE2" w:rsidRPr="00125FAF">
        <w:rPr>
          <w:rFonts w:ascii="Times New Roman" w:eastAsia="Times New Roman" w:hAnsi="Times New Roman" w:cs="Times New Roman"/>
          <w:color w:val="000000"/>
          <w:sz w:val="24"/>
          <w:szCs w:val="24"/>
          <w:lang w:eastAsia="ru-RU"/>
        </w:rPr>
        <w:t>acţiunilor</w:t>
      </w:r>
      <w:proofErr w:type="spellEnd"/>
      <w:r w:rsidR="00D81BE2" w:rsidRPr="00125FAF">
        <w:rPr>
          <w:rFonts w:ascii="Times New Roman" w:eastAsia="Times New Roman" w:hAnsi="Times New Roman" w:cs="Times New Roman"/>
          <w:color w:val="000000"/>
          <w:sz w:val="24"/>
          <w:szCs w:val="24"/>
          <w:lang w:eastAsia="ru-RU"/>
        </w:rPr>
        <w:t xml:space="preserve"> de atenuare</w:t>
      </w:r>
      <w:r w:rsidR="00E70219" w:rsidRPr="00125FAF">
        <w:rPr>
          <w:rFonts w:ascii="Times New Roman" w:eastAsia="Times New Roman" w:hAnsi="Times New Roman" w:cs="Times New Roman"/>
          <w:color w:val="000000"/>
          <w:sz w:val="24"/>
          <w:szCs w:val="24"/>
          <w:lang w:eastAsia="ru-RU"/>
        </w:rPr>
        <w:t xml:space="preserve"> </w:t>
      </w:r>
      <w:r w:rsidR="00D81BE2" w:rsidRPr="00125FAF">
        <w:rPr>
          <w:rFonts w:ascii="Times New Roman" w:eastAsia="Times New Roman" w:hAnsi="Times New Roman" w:cs="Times New Roman"/>
          <w:color w:val="000000"/>
          <w:sz w:val="24"/>
          <w:szCs w:val="24"/>
          <w:lang w:eastAsia="ru-RU"/>
        </w:rPr>
        <w:t xml:space="preserve">adecvate la nivel </w:t>
      </w:r>
      <w:proofErr w:type="spellStart"/>
      <w:r w:rsidR="00D81BE2" w:rsidRPr="00125FAF">
        <w:rPr>
          <w:rFonts w:ascii="Times New Roman" w:eastAsia="Times New Roman" w:hAnsi="Times New Roman" w:cs="Times New Roman"/>
          <w:color w:val="000000"/>
          <w:sz w:val="24"/>
          <w:szCs w:val="24"/>
          <w:lang w:eastAsia="ru-RU"/>
        </w:rPr>
        <w:t>naţional</w:t>
      </w:r>
      <w:proofErr w:type="spellEnd"/>
      <w:r w:rsidR="00D81BE2" w:rsidRPr="00125FAF">
        <w:rPr>
          <w:rFonts w:ascii="Times New Roman" w:eastAsia="Times New Roman" w:hAnsi="Times New Roman" w:cs="Times New Roman"/>
          <w:color w:val="000000"/>
          <w:sz w:val="24"/>
          <w:szCs w:val="24"/>
          <w:lang w:eastAsia="ru-RU"/>
        </w:rPr>
        <w:t xml:space="preserve"> </w:t>
      </w:r>
      <w:r w:rsidR="009B5050" w:rsidRPr="00125FAF">
        <w:rPr>
          <w:rFonts w:ascii="Times New Roman" w:eastAsia="Times New Roman" w:hAnsi="Times New Roman" w:cs="Times New Roman"/>
          <w:color w:val="000000"/>
          <w:sz w:val="24"/>
          <w:szCs w:val="24"/>
          <w:lang w:eastAsia="ru-RU"/>
        </w:rPr>
        <w:t xml:space="preserve">și sectorial în contextul dezvoltării durabile a țării va fi efectuată de către Comisia </w:t>
      </w:r>
      <w:proofErr w:type="spellStart"/>
      <w:r w:rsidR="009B5050" w:rsidRPr="00125FAF">
        <w:rPr>
          <w:rFonts w:ascii="Times New Roman" w:eastAsia="Times New Roman" w:hAnsi="Times New Roman" w:cs="Times New Roman"/>
          <w:color w:val="000000"/>
          <w:sz w:val="24"/>
          <w:szCs w:val="24"/>
          <w:lang w:eastAsia="ru-RU"/>
        </w:rPr>
        <w:t>naţională</w:t>
      </w:r>
      <w:proofErr w:type="spellEnd"/>
      <w:r w:rsidR="009B5050" w:rsidRPr="00125FAF">
        <w:rPr>
          <w:rFonts w:ascii="Times New Roman" w:eastAsia="Times New Roman" w:hAnsi="Times New Roman" w:cs="Times New Roman"/>
          <w:color w:val="000000"/>
          <w:sz w:val="24"/>
          <w:szCs w:val="24"/>
          <w:lang w:eastAsia="ru-RU"/>
        </w:rPr>
        <w:t xml:space="preserve"> privind schimbările climatice, conform p. 5 al Regulamentului cu privire la organizarea și funcționarea Comisiei naționale privind schimbările climatice, aprobat prin HG </w:t>
      </w:r>
      <w:r w:rsidR="00B63B48" w:rsidRPr="00125FAF">
        <w:rPr>
          <w:rFonts w:ascii="Times New Roman" w:eastAsia="Times New Roman" w:hAnsi="Times New Roman" w:cs="Times New Roman"/>
          <w:color w:val="000000"/>
          <w:sz w:val="24"/>
          <w:szCs w:val="24"/>
          <w:lang w:eastAsia="ru-RU"/>
        </w:rPr>
        <w:t xml:space="preserve">nr. </w:t>
      </w:r>
      <w:r w:rsidR="009B5050" w:rsidRPr="00125FAF">
        <w:rPr>
          <w:rFonts w:ascii="Times New Roman" w:eastAsia="Times New Roman" w:hAnsi="Times New Roman" w:cs="Times New Roman"/>
          <w:color w:val="000000"/>
          <w:sz w:val="24"/>
          <w:szCs w:val="24"/>
          <w:lang w:eastAsia="ru-RU"/>
        </w:rPr>
        <w:t>444/2020</w:t>
      </w:r>
      <w:r w:rsidR="006364B2" w:rsidRPr="00125FAF">
        <w:rPr>
          <w:rFonts w:ascii="Times New Roman" w:eastAsia="Times New Roman" w:hAnsi="Times New Roman" w:cs="Times New Roman"/>
          <w:color w:val="000000"/>
          <w:sz w:val="24"/>
          <w:szCs w:val="24"/>
          <w:lang w:eastAsia="ru-RU"/>
        </w:rPr>
        <w:t>.</w:t>
      </w:r>
    </w:p>
    <w:p w14:paraId="31F40012" w14:textId="6E237303" w:rsidR="006364B2" w:rsidRDefault="006364B2" w:rsidP="006364B2">
      <w:pPr>
        <w:spacing w:after="0" w:line="240" w:lineRule="auto"/>
        <w:ind w:firstLine="720"/>
        <w:jc w:val="both"/>
        <w:rPr>
          <w:rFonts w:ascii="Times New Roman" w:eastAsia="Times New Roman" w:hAnsi="Times New Roman" w:cs="Times New Roman"/>
          <w:color w:val="000000"/>
          <w:sz w:val="24"/>
          <w:szCs w:val="24"/>
          <w:lang w:eastAsia="ru-RU"/>
        </w:rPr>
      </w:pPr>
      <w:r w:rsidRPr="00125FAF">
        <w:rPr>
          <w:rFonts w:ascii="Times New Roman" w:eastAsia="Times New Roman" w:hAnsi="Times New Roman" w:cs="Times New Roman"/>
          <w:color w:val="000000"/>
          <w:sz w:val="24"/>
          <w:szCs w:val="24"/>
          <w:lang w:eastAsia="ru-RU"/>
        </w:rPr>
        <w:t xml:space="preserve">Pentru asigurarea procesului de monitorizare, va fi creat, prin ordin al ministrului </w:t>
      </w:r>
      <w:r w:rsidRPr="00125FAF">
        <w:rPr>
          <w:rFonts w:ascii="Times New Roman" w:eastAsia="Times New Roman" w:hAnsi="Times New Roman" w:cs="Times New Roman"/>
          <w:sz w:val="24"/>
          <w:szCs w:val="24"/>
        </w:rPr>
        <w:t>Agriculturii, Dezvoltării Regionale și Mediului</w:t>
      </w:r>
      <w:r w:rsidRPr="00125FAF">
        <w:rPr>
          <w:rFonts w:ascii="Times New Roman" w:eastAsia="Times New Roman" w:hAnsi="Times New Roman" w:cs="Times New Roman"/>
          <w:color w:val="000000"/>
          <w:sz w:val="24"/>
          <w:szCs w:val="24"/>
          <w:lang w:eastAsia="ru-RU"/>
        </w:rPr>
        <w:t xml:space="preserve">, un grup de monitorizare, care va evalua periodic gradul de realizare a indicatorilor </w:t>
      </w:r>
      <w:proofErr w:type="spellStart"/>
      <w:r w:rsidRPr="00125FAF">
        <w:rPr>
          <w:rFonts w:ascii="Times New Roman" w:eastAsia="Times New Roman" w:hAnsi="Times New Roman" w:cs="Times New Roman"/>
          <w:color w:val="000000"/>
          <w:sz w:val="24"/>
          <w:szCs w:val="24"/>
          <w:lang w:eastAsia="ru-RU"/>
        </w:rPr>
        <w:t>şi</w:t>
      </w:r>
      <w:proofErr w:type="spellEnd"/>
      <w:r w:rsidRPr="00125FAF">
        <w:rPr>
          <w:rFonts w:ascii="Times New Roman" w:eastAsia="Times New Roman" w:hAnsi="Times New Roman" w:cs="Times New Roman"/>
          <w:color w:val="000000"/>
          <w:sz w:val="24"/>
          <w:szCs w:val="24"/>
          <w:lang w:eastAsia="ru-RU"/>
        </w:rPr>
        <w:t xml:space="preserve"> obiectivelor. În baza </w:t>
      </w:r>
      <w:proofErr w:type="spellStart"/>
      <w:r w:rsidRPr="00125FAF">
        <w:rPr>
          <w:rFonts w:ascii="Times New Roman" w:eastAsia="Times New Roman" w:hAnsi="Times New Roman" w:cs="Times New Roman"/>
          <w:color w:val="000000"/>
          <w:sz w:val="24"/>
          <w:szCs w:val="24"/>
          <w:lang w:eastAsia="ru-RU"/>
        </w:rPr>
        <w:t>informaţiei</w:t>
      </w:r>
      <w:proofErr w:type="spellEnd"/>
      <w:r w:rsidRPr="00125FAF">
        <w:rPr>
          <w:rFonts w:ascii="Times New Roman" w:eastAsia="Times New Roman" w:hAnsi="Times New Roman" w:cs="Times New Roman"/>
          <w:color w:val="000000"/>
          <w:sz w:val="24"/>
          <w:szCs w:val="24"/>
          <w:lang w:eastAsia="ru-RU"/>
        </w:rPr>
        <w:t xml:space="preserve"> colectate </w:t>
      </w:r>
      <w:proofErr w:type="spellStart"/>
      <w:r w:rsidRPr="00125FAF">
        <w:rPr>
          <w:rFonts w:ascii="Times New Roman" w:eastAsia="Times New Roman" w:hAnsi="Times New Roman" w:cs="Times New Roman"/>
          <w:color w:val="000000"/>
          <w:sz w:val="24"/>
          <w:szCs w:val="24"/>
          <w:lang w:eastAsia="ru-RU"/>
        </w:rPr>
        <w:t>şi</w:t>
      </w:r>
      <w:proofErr w:type="spellEnd"/>
      <w:r w:rsidRPr="00125FAF">
        <w:rPr>
          <w:rFonts w:ascii="Times New Roman" w:eastAsia="Times New Roman" w:hAnsi="Times New Roman" w:cs="Times New Roman"/>
          <w:color w:val="000000"/>
          <w:sz w:val="24"/>
          <w:szCs w:val="24"/>
          <w:lang w:eastAsia="ru-RU"/>
        </w:rPr>
        <w:t xml:space="preserve"> sistematizate, acesta va elabora raportul anual de implementare a prezent</w:t>
      </w:r>
      <w:r w:rsidR="00D81BE2" w:rsidRPr="00125FAF">
        <w:rPr>
          <w:rFonts w:ascii="Times New Roman" w:eastAsia="Times New Roman" w:hAnsi="Times New Roman" w:cs="Times New Roman"/>
          <w:color w:val="000000"/>
          <w:sz w:val="24"/>
          <w:szCs w:val="24"/>
          <w:lang w:eastAsia="ru-RU"/>
        </w:rPr>
        <w:t>ului Program</w:t>
      </w:r>
      <w:r w:rsidR="00470065" w:rsidRPr="00125FAF">
        <w:rPr>
          <w:rFonts w:ascii="Times New Roman" w:eastAsia="Times New Roman" w:hAnsi="Times New Roman" w:cs="Times New Roman"/>
          <w:color w:val="000000"/>
          <w:sz w:val="24"/>
          <w:szCs w:val="24"/>
          <w:lang w:eastAsia="ru-RU"/>
        </w:rPr>
        <w:t xml:space="preserve">, care va fi supus dezbaterilor în cadrul Comisiei, iar apoi </w:t>
      </w:r>
      <w:r w:rsidRPr="00125FAF">
        <w:rPr>
          <w:rFonts w:ascii="Times New Roman" w:eastAsia="Times New Roman" w:hAnsi="Times New Roman" w:cs="Times New Roman"/>
          <w:color w:val="000000"/>
          <w:sz w:val="24"/>
          <w:szCs w:val="24"/>
          <w:lang w:eastAsia="ru-RU"/>
        </w:rPr>
        <w:t>prezenta</w:t>
      </w:r>
      <w:r w:rsidR="00470065" w:rsidRPr="00125FAF">
        <w:rPr>
          <w:rFonts w:ascii="Times New Roman" w:eastAsia="Times New Roman" w:hAnsi="Times New Roman" w:cs="Times New Roman"/>
          <w:color w:val="000000"/>
          <w:sz w:val="24"/>
          <w:szCs w:val="24"/>
          <w:lang w:eastAsia="ru-RU"/>
        </w:rPr>
        <w:t>t</w:t>
      </w:r>
      <w:r w:rsidRPr="00125FAF">
        <w:rPr>
          <w:rFonts w:ascii="Times New Roman" w:eastAsia="Times New Roman" w:hAnsi="Times New Roman" w:cs="Times New Roman"/>
          <w:color w:val="000000"/>
          <w:sz w:val="24"/>
          <w:szCs w:val="24"/>
          <w:lang w:eastAsia="ru-RU"/>
        </w:rPr>
        <w:t xml:space="preserve"> Guvernului.</w:t>
      </w:r>
    </w:p>
    <w:p w14:paraId="61003EF0" w14:textId="617B58F9" w:rsidR="00A969D7" w:rsidRDefault="00A969D7" w:rsidP="006364B2">
      <w:pPr>
        <w:spacing w:after="0" w:line="240" w:lineRule="auto"/>
        <w:ind w:firstLine="720"/>
        <w:jc w:val="both"/>
        <w:rPr>
          <w:rFonts w:ascii="Times New Roman" w:eastAsia="Times New Roman" w:hAnsi="Times New Roman" w:cs="Times New Roman"/>
          <w:color w:val="000000"/>
          <w:sz w:val="24"/>
          <w:szCs w:val="24"/>
          <w:lang w:eastAsia="ru-RU"/>
        </w:rPr>
      </w:pPr>
    </w:p>
    <w:p w14:paraId="541135DA" w14:textId="1EB74B3C" w:rsidR="00A969D7" w:rsidRPr="00125FAF" w:rsidRDefault="00A969D7" w:rsidP="006364B2">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În vederea urmăririi progresului implementării PDER va fi utilizată </w:t>
      </w:r>
      <w:proofErr w:type="spellStart"/>
      <w:r>
        <w:rPr>
          <w:rFonts w:ascii="Times New Roman" w:eastAsia="Times New Roman" w:hAnsi="Times New Roman" w:cs="Times New Roman"/>
          <w:sz w:val="24"/>
          <w:szCs w:val="24"/>
          <w:lang w:eastAsia="ru-RU"/>
        </w:rPr>
        <w:t>informaţia</w:t>
      </w:r>
      <w:proofErr w:type="spellEnd"/>
      <w:r>
        <w:rPr>
          <w:rFonts w:ascii="Times New Roman" w:eastAsia="Times New Roman" w:hAnsi="Times New Roman" w:cs="Times New Roman"/>
          <w:sz w:val="24"/>
          <w:szCs w:val="24"/>
          <w:lang w:eastAsia="ru-RU"/>
        </w:rPr>
        <w:t xml:space="preserve"> din </w:t>
      </w:r>
      <w:r w:rsidRPr="00A969D7">
        <w:rPr>
          <w:rFonts w:ascii="Times New Roman" w:eastAsia="Times New Roman" w:hAnsi="Times New Roman" w:cs="Times New Roman"/>
          <w:sz w:val="24"/>
          <w:szCs w:val="24"/>
          <w:lang w:eastAsia="ru-RU"/>
        </w:rPr>
        <w:t xml:space="preserve">Inventarul </w:t>
      </w:r>
      <w:proofErr w:type="spellStart"/>
      <w:r>
        <w:rPr>
          <w:rFonts w:ascii="Times New Roman" w:eastAsia="Times New Roman" w:hAnsi="Times New Roman" w:cs="Times New Roman"/>
          <w:sz w:val="24"/>
          <w:szCs w:val="24"/>
          <w:lang w:eastAsia="ru-RU"/>
        </w:rPr>
        <w:t>naţional</w:t>
      </w:r>
      <w:proofErr w:type="spellEnd"/>
      <w:r>
        <w:rPr>
          <w:rFonts w:ascii="Times New Roman" w:eastAsia="Times New Roman" w:hAnsi="Times New Roman" w:cs="Times New Roman"/>
          <w:sz w:val="24"/>
          <w:szCs w:val="24"/>
          <w:lang w:eastAsia="ru-RU"/>
        </w:rPr>
        <w:t xml:space="preserve"> privind emisiile de gaze cu efect de seră, care</w:t>
      </w:r>
      <w:r w:rsidRPr="00A969D7">
        <w:rPr>
          <w:rFonts w:ascii="Times New Roman" w:eastAsia="Times New Roman" w:hAnsi="Times New Roman" w:cs="Times New Roman"/>
          <w:sz w:val="24"/>
          <w:szCs w:val="24"/>
          <w:lang w:eastAsia="ru-RU"/>
        </w:rPr>
        <w:t xml:space="preserve"> are propriul plan </w:t>
      </w:r>
      <w:proofErr w:type="spellStart"/>
      <w:r>
        <w:rPr>
          <w:rFonts w:ascii="Times New Roman" w:eastAsia="Times New Roman" w:hAnsi="Times New Roman" w:cs="Times New Roman"/>
          <w:sz w:val="24"/>
          <w:szCs w:val="24"/>
          <w:lang w:eastAsia="ru-RU"/>
        </w:rPr>
        <w:t>şi</w:t>
      </w:r>
      <w:proofErr w:type="spellEnd"/>
      <w:r>
        <w:rPr>
          <w:rFonts w:ascii="Times New Roman" w:eastAsia="Times New Roman" w:hAnsi="Times New Roman" w:cs="Times New Roman"/>
          <w:sz w:val="24"/>
          <w:szCs w:val="24"/>
          <w:lang w:eastAsia="ru-RU"/>
        </w:rPr>
        <w:t xml:space="preserve"> principii </w:t>
      </w:r>
      <w:r w:rsidRPr="00A969D7">
        <w:rPr>
          <w:rFonts w:ascii="Times New Roman" w:eastAsia="Times New Roman" w:hAnsi="Times New Roman" w:cs="Times New Roman"/>
          <w:sz w:val="24"/>
          <w:szCs w:val="24"/>
          <w:lang w:eastAsia="ru-RU"/>
        </w:rPr>
        <w:t xml:space="preserve">de asigurare </w:t>
      </w:r>
      <w:proofErr w:type="spellStart"/>
      <w:r>
        <w:rPr>
          <w:rFonts w:ascii="Times New Roman" w:eastAsia="Times New Roman" w:hAnsi="Times New Roman" w:cs="Times New Roman"/>
          <w:sz w:val="24"/>
          <w:szCs w:val="24"/>
          <w:lang w:eastAsia="ru-RU"/>
        </w:rPr>
        <w:t>şi</w:t>
      </w:r>
      <w:proofErr w:type="spellEnd"/>
      <w:r>
        <w:rPr>
          <w:rFonts w:ascii="Times New Roman" w:eastAsia="Times New Roman" w:hAnsi="Times New Roman" w:cs="Times New Roman"/>
          <w:sz w:val="24"/>
          <w:szCs w:val="24"/>
          <w:lang w:eastAsia="ru-RU"/>
        </w:rPr>
        <w:t xml:space="preserve"> control al</w:t>
      </w:r>
      <w:r w:rsidRPr="00A969D7">
        <w:rPr>
          <w:rFonts w:ascii="Times New Roman" w:eastAsia="Times New Roman" w:hAnsi="Times New Roman" w:cs="Times New Roman"/>
          <w:sz w:val="24"/>
          <w:szCs w:val="24"/>
          <w:lang w:eastAsia="ru-RU"/>
        </w:rPr>
        <w:t xml:space="preserve"> calității </w:t>
      </w:r>
      <w:r>
        <w:rPr>
          <w:rFonts w:ascii="Times New Roman" w:eastAsia="Times New Roman" w:hAnsi="Times New Roman" w:cs="Times New Roman"/>
          <w:sz w:val="24"/>
          <w:szCs w:val="24"/>
          <w:lang w:eastAsia="ru-RU"/>
        </w:rPr>
        <w:t xml:space="preserve">datelor respective. </w:t>
      </w:r>
    </w:p>
    <w:p w14:paraId="7625CDE1" w14:textId="68AF1950" w:rsidR="006364B2" w:rsidRPr="00125FAF" w:rsidRDefault="006364B2" w:rsidP="003E24C5">
      <w:pPr>
        <w:pStyle w:val="Listparagraf"/>
        <w:numPr>
          <w:ilvl w:val="0"/>
          <w:numId w:val="10"/>
        </w:numPr>
        <w:spacing w:after="0" w:line="240" w:lineRule="auto"/>
        <w:jc w:val="both"/>
        <w:rPr>
          <w:rFonts w:ascii="Times New Roman" w:eastAsia="Times New Roman" w:hAnsi="Times New Roman" w:cs="Times New Roman"/>
          <w:color w:val="000000"/>
          <w:sz w:val="24"/>
          <w:szCs w:val="24"/>
          <w:lang w:eastAsia="ru-RU"/>
        </w:rPr>
      </w:pPr>
    </w:p>
    <w:p w14:paraId="06FEBA76" w14:textId="76292F1D" w:rsidR="006364B2" w:rsidRPr="00125FAF" w:rsidRDefault="00AF4926" w:rsidP="001F2F2D">
      <w:pPr>
        <w:spacing w:before="120" w:after="120" w:line="240" w:lineRule="auto"/>
        <w:jc w:val="center"/>
        <w:rPr>
          <w:rFonts w:ascii="Times New Roman" w:eastAsia="Times New Roman" w:hAnsi="Times New Roman" w:cs="Times New Roman"/>
          <w:b/>
          <w:bCs/>
          <w:color w:val="000000"/>
          <w:sz w:val="24"/>
          <w:szCs w:val="24"/>
          <w:lang w:eastAsia="ru-RU"/>
        </w:rPr>
      </w:pPr>
      <w:r w:rsidRPr="00125FAF">
        <w:rPr>
          <w:rFonts w:ascii="Times New Roman" w:eastAsia="Times New Roman" w:hAnsi="Times New Roman" w:cs="Times New Roman"/>
          <w:b/>
          <w:bCs/>
          <w:color w:val="000000"/>
          <w:sz w:val="24"/>
          <w:szCs w:val="24"/>
          <w:lang w:eastAsia="ru-RU"/>
        </w:rPr>
        <w:t>10.</w:t>
      </w:r>
      <w:r w:rsidR="00A70510" w:rsidRPr="00125FAF">
        <w:rPr>
          <w:rFonts w:ascii="Times New Roman" w:eastAsia="Times New Roman" w:hAnsi="Times New Roman" w:cs="Times New Roman"/>
          <w:b/>
          <w:bCs/>
          <w:color w:val="000000"/>
          <w:sz w:val="24"/>
          <w:szCs w:val="24"/>
          <w:lang w:eastAsia="ru-RU"/>
        </w:rPr>
        <w:t>3</w:t>
      </w:r>
      <w:r w:rsidRPr="00125FAF">
        <w:rPr>
          <w:rFonts w:ascii="Times New Roman" w:eastAsia="Times New Roman" w:hAnsi="Times New Roman" w:cs="Times New Roman"/>
          <w:b/>
          <w:bCs/>
          <w:color w:val="000000"/>
          <w:sz w:val="24"/>
          <w:szCs w:val="24"/>
          <w:lang w:eastAsia="ru-RU"/>
        </w:rPr>
        <w:t xml:space="preserve">. </w:t>
      </w:r>
      <w:r w:rsidR="006364B2" w:rsidRPr="00125FAF">
        <w:rPr>
          <w:rFonts w:ascii="Times New Roman" w:eastAsia="Times New Roman" w:hAnsi="Times New Roman" w:cs="Times New Roman"/>
          <w:b/>
          <w:bCs/>
          <w:color w:val="000000"/>
          <w:sz w:val="24"/>
          <w:szCs w:val="24"/>
          <w:lang w:eastAsia="ru-RU"/>
        </w:rPr>
        <w:t xml:space="preserve">Raportarea </w:t>
      </w:r>
      <w:proofErr w:type="spellStart"/>
      <w:r w:rsidR="006364B2" w:rsidRPr="00125FAF">
        <w:rPr>
          <w:rFonts w:ascii="Times New Roman" w:eastAsia="Times New Roman" w:hAnsi="Times New Roman" w:cs="Times New Roman"/>
          <w:b/>
          <w:bCs/>
          <w:color w:val="000000"/>
          <w:sz w:val="24"/>
          <w:szCs w:val="24"/>
          <w:lang w:eastAsia="ru-RU"/>
        </w:rPr>
        <w:t>şi</w:t>
      </w:r>
      <w:proofErr w:type="spellEnd"/>
      <w:r w:rsidR="006364B2" w:rsidRPr="00125FAF">
        <w:rPr>
          <w:rFonts w:ascii="Times New Roman" w:eastAsia="Times New Roman" w:hAnsi="Times New Roman" w:cs="Times New Roman"/>
          <w:b/>
          <w:bCs/>
          <w:color w:val="000000"/>
          <w:sz w:val="24"/>
          <w:szCs w:val="24"/>
          <w:lang w:eastAsia="ru-RU"/>
        </w:rPr>
        <w:t xml:space="preserve"> evaluarea</w:t>
      </w:r>
    </w:p>
    <w:p w14:paraId="7543E9ED" w14:textId="5F4A2745" w:rsidR="006364B2" w:rsidRPr="00125FAF" w:rsidRDefault="007909C8" w:rsidP="006364B2">
      <w:pPr>
        <w:spacing w:after="0" w:line="240" w:lineRule="auto"/>
        <w:ind w:firstLine="720"/>
        <w:jc w:val="both"/>
        <w:rPr>
          <w:rFonts w:ascii="Times New Roman" w:eastAsia="Times New Roman" w:hAnsi="Times New Roman" w:cs="Times New Roman"/>
          <w:sz w:val="24"/>
          <w:szCs w:val="24"/>
          <w:lang w:eastAsia="ru-RU"/>
        </w:rPr>
      </w:pPr>
      <w:r w:rsidRPr="00125FAF">
        <w:rPr>
          <w:rFonts w:ascii="Times New Roman" w:eastAsia="Times New Roman" w:hAnsi="Times New Roman" w:cs="Times New Roman"/>
          <w:color w:val="000000"/>
          <w:sz w:val="24"/>
          <w:szCs w:val="24"/>
          <w:lang w:eastAsia="ru-RU"/>
        </w:rPr>
        <w:t>52</w:t>
      </w:r>
      <w:r w:rsidR="006364B2" w:rsidRPr="00125FAF">
        <w:rPr>
          <w:rFonts w:ascii="Times New Roman" w:eastAsia="Times New Roman" w:hAnsi="Times New Roman" w:cs="Times New Roman"/>
          <w:color w:val="000000"/>
          <w:sz w:val="24"/>
          <w:szCs w:val="24"/>
          <w:lang w:eastAsia="ru-RU"/>
        </w:rPr>
        <w:t xml:space="preserve">. În cadrul procesului de monitorizare vor fi elaborate rapoarte anuale de monitorizare, care vor include </w:t>
      </w:r>
      <w:proofErr w:type="spellStart"/>
      <w:r w:rsidR="006364B2" w:rsidRPr="00125FAF">
        <w:rPr>
          <w:rFonts w:ascii="Times New Roman" w:eastAsia="Times New Roman" w:hAnsi="Times New Roman" w:cs="Times New Roman"/>
          <w:color w:val="000000"/>
          <w:sz w:val="24"/>
          <w:szCs w:val="24"/>
          <w:lang w:eastAsia="ru-RU"/>
        </w:rPr>
        <w:t>informaţii</w:t>
      </w:r>
      <w:proofErr w:type="spellEnd"/>
      <w:r w:rsidR="006364B2" w:rsidRPr="00125FAF">
        <w:rPr>
          <w:rFonts w:ascii="Times New Roman" w:eastAsia="Times New Roman" w:hAnsi="Times New Roman" w:cs="Times New Roman"/>
          <w:color w:val="000000"/>
          <w:sz w:val="24"/>
          <w:szCs w:val="24"/>
          <w:lang w:eastAsia="ru-RU"/>
        </w:rPr>
        <w:t xml:space="preserve"> privind implementarea indicatorilor </w:t>
      </w:r>
      <w:proofErr w:type="spellStart"/>
      <w:r w:rsidR="006364B2" w:rsidRPr="00125FAF">
        <w:rPr>
          <w:rFonts w:ascii="Times New Roman" w:eastAsia="Times New Roman" w:hAnsi="Times New Roman" w:cs="Times New Roman"/>
          <w:color w:val="000000"/>
          <w:sz w:val="24"/>
          <w:szCs w:val="24"/>
          <w:lang w:eastAsia="ru-RU"/>
        </w:rPr>
        <w:t>stabiliţi</w:t>
      </w:r>
      <w:proofErr w:type="spellEnd"/>
      <w:r w:rsidR="006364B2" w:rsidRPr="00125FAF">
        <w:rPr>
          <w:rFonts w:ascii="Times New Roman" w:eastAsia="Times New Roman" w:hAnsi="Times New Roman" w:cs="Times New Roman"/>
          <w:color w:val="000000"/>
          <w:sz w:val="24"/>
          <w:szCs w:val="24"/>
          <w:lang w:eastAsia="ru-RU"/>
        </w:rPr>
        <w:t xml:space="preserve"> pentru fiecare </w:t>
      </w:r>
      <w:proofErr w:type="spellStart"/>
      <w:r w:rsidR="006364B2" w:rsidRPr="00125FAF">
        <w:rPr>
          <w:rFonts w:ascii="Times New Roman" w:eastAsia="Times New Roman" w:hAnsi="Times New Roman" w:cs="Times New Roman"/>
          <w:color w:val="000000"/>
          <w:sz w:val="24"/>
          <w:szCs w:val="24"/>
          <w:lang w:eastAsia="ru-RU"/>
        </w:rPr>
        <w:t>acţiune</w:t>
      </w:r>
      <w:proofErr w:type="spellEnd"/>
      <w:r w:rsidR="006364B2" w:rsidRPr="00125FAF">
        <w:rPr>
          <w:rFonts w:ascii="Times New Roman" w:eastAsia="Times New Roman" w:hAnsi="Times New Roman" w:cs="Times New Roman"/>
          <w:color w:val="000000"/>
          <w:sz w:val="24"/>
          <w:szCs w:val="24"/>
          <w:lang w:eastAsia="ru-RU"/>
        </w:rPr>
        <w:t xml:space="preserve"> în parte, iar la fiecare </w:t>
      </w:r>
      <w:r w:rsidR="00470065" w:rsidRPr="00125FAF">
        <w:rPr>
          <w:rFonts w:ascii="Times New Roman" w:eastAsia="Times New Roman" w:hAnsi="Times New Roman" w:cs="Times New Roman"/>
          <w:color w:val="000000"/>
          <w:sz w:val="24"/>
          <w:szCs w:val="24"/>
          <w:lang w:eastAsia="ru-RU"/>
        </w:rPr>
        <w:t xml:space="preserve">2 </w:t>
      </w:r>
      <w:proofErr w:type="spellStart"/>
      <w:r w:rsidR="00470065" w:rsidRPr="00125FAF">
        <w:rPr>
          <w:rFonts w:ascii="Times New Roman" w:eastAsia="Times New Roman" w:hAnsi="Times New Roman" w:cs="Times New Roman"/>
          <w:color w:val="000000"/>
          <w:sz w:val="24"/>
          <w:szCs w:val="24"/>
          <w:lang w:eastAsia="ru-RU"/>
        </w:rPr>
        <w:t>şi</w:t>
      </w:r>
      <w:proofErr w:type="spellEnd"/>
      <w:r w:rsidR="00470065" w:rsidRPr="00125FAF">
        <w:rPr>
          <w:rFonts w:ascii="Times New Roman" w:eastAsia="Times New Roman" w:hAnsi="Times New Roman" w:cs="Times New Roman"/>
          <w:color w:val="000000"/>
          <w:sz w:val="24"/>
          <w:szCs w:val="24"/>
          <w:lang w:eastAsia="ru-RU"/>
        </w:rPr>
        <w:t xml:space="preserve"> </w:t>
      </w:r>
      <w:r w:rsidR="006364B2" w:rsidRPr="00125FAF">
        <w:rPr>
          <w:rFonts w:ascii="Times New Roman" w:eastAsia="Times New Roman" w:hAnsi="Times New Roman" w:cs="Times New Roman"/>
          <w:color w:val="000000"/>
          <w:sz w:val="24"/>
          <w:szCs w:val="24"/>
          <w:lang w:eastAsia="ru-RU"/>
        </w:rPr>
        <w:t xml:space="preserve">5 ani vor fi elaborate rapoarte de evaluare </w:t>
      </w:r>
      <w:proofErr w:type="spellStart"/>
      <w:r w:rsidR="006364B2" w:rsidRPr="00125FAF">
        <w:rPr>
          <w:rFonts w:ascii="Times New Roman" w:eastAsia="Times New Roman" w:hAnsi="Times New Roman" w:cs="Times New Roman"/>
          <w:color w:val="000000"/>
          <w:sz w:val="24"/>
          <w:szCs w:val="24"/>
          <w:lang w:eastAsia="ru-RU"/>
        </w:rPr>
        <w:t>şi</w:t>
      </w:r>
      <w:proofErr w:type="spellEnd"/>
      <w:r w:rsidR="006364B2" w:rsidRPr="00125FAF">
        <w:rPr>
          <w:rFonts w:ascii="Times New Roman" w:eastAsia="Times New Roman" w:hAnsi="Times New Roman" w:cs="Times New Roman"/>
          <w:color w:val="000000"/>
          <w:sz w:val="24"/>
          <w:szCs w:val="24"/>
          <w:lang w:eastAsia="ru-RU"/>
        </w:rPr>
        <w:t xml:space="preserve"> progres care vor </w:t>
      </w:r>
      <w:r w:rsidR="00470065" w:rsidRPr="00125FAF">
        <w:rPr>
          <w:rFonts w:ascii="Times New Roman" w:eastAsia="Times New Roman" w:hAnsi="Times New Roman" w:cs="Times New Roman"/>
          <w:color w:val="000000"/>
          <w:sz w:val="24"/>
          <w:szCs w:val="24"/>
          <w:lang w:eastAsia="ru-RU"/>
        </w:rPr>
        <w:t xml:space="preserve">identifica </w:t>
      </w:r>
      <w:r w:rsidR="006364B2" w:rsidRPr="00125FAF">
        <w:rPr>
          <w:rFonts w:ascii="Times New Roman" w:eastAsia="Times New Roman" w:hAnsi="Times New Roman" w:cs="Times New Roman"/>
          <w:color w:val="000000"/>
          <w:sz w:val="24"/>
          <w:szCs w:val="24"/>
          <w:lang w:eastAsia="ru-RU"/>
        </w:rPr>
        <w:t xml:space="preserve">impactul </w:t>
      </w:r>
      <w:proofErr w:type="spellStart"/>
      <w:r w:rsidR="006364B2" w:rsidRPr="00125FAF">
        <w:rPr>
          <w:rFonts w:ascii="Times New Roman" w:eastAsia="Times New Roman" w:hAnsi="Times New Roman" w:cs="Times New Roman"/>
          <w:color w:val="000000"/>
          <w:sz w:val="24"/>
          <w:szCs w:val="24"/>
          <w:lang w:eastAsia="ru-RU"/>
        </w:rPr>
        <w:t>activităţilor</w:t>
      </w:r>
      <w:proofErr w:type="spellEnd"/>
      <w:r w:rsidR="006364B2" w:rsidRPr="00125FAF">
        <w:rPr>
          <w:rFonts w:ascii="Times New Roman" w:eastAsia="Times New Roman" w:hAnsi="Times New Roman" w:cs="Times New Roman"/>
          <w:color w:val="000000"/>
          <w:sz w:val="24"/>
          <w:szCs w:val="24"/>
          <w:lang w:eastAsia="ru-RU"/>
        </w:rPr>
        <w:t xml:space="preserve"> realizate în timpul respectiv </w:t>
      </w:r>
      <w:proofErr w:type="spellStart"/>
      <w:r w:rsidR="006364B2" w:rsidRPr="00125FAF">
        <w:rPr>
          <w:rFonts w:ascii="Times New Roman" w:eastAsia="Times New Roman" w:hAnsi="Times New Roman" w:cs="Times New Roman"/>
          <w:color w:val="000000"/>
          <w:sz w:val="24"/>
          <w:szCs w:val="24"/>
          <w:lang w:eastAsia="ru-RU"/>
        </w:rPr>
        <w:t>şi</w:t>
      </w:r>
      <w:proofErr w:type="spellEnd"/>
      <w:r w:rsidR="006364B2" w:rsidRPr="00125FAF">
        <w:rPr>
          <w:rFonts w:ascii="Times New Roman" w:eastAsia="Times New Roman" w:hAnsi="Times New Roman" w:cs="Times New Roman"/>
          <w:color w:val="000000"/>
          <w:sz w:val="24"/>
          <w:szCs w:val="24"/>
          <w:lang w:eastAsia="ru-RU"/>
        </w:rPr>
        <w:t xml:space="preserve"> nivelul de implementare a obiectivelor stabilite. În baza rapoartelor de evaluare </w:t>
      </w:r>
      <w:proofErr w:type="spellStart"/>
      <w:r w:rsidR="006364B2" w:rsidRPr="00125FAF">
        <w:rPr>
          <w:rFonts w:ascii="Times New Roman" w:eastAsia="Times New Roman" w:hAnsi="Times New Roman" w:cs="Times New Roman"/>
          <w:color w:val="000000"/>
          <w:sz w:val="24"/>
          <w:szCs w:val="24"/>
          <w:lang w:eastAsia="ru-RU"/>
        </w:rPr>
        <w:t>şi</w:t>
      </w:r>
      <w:proofErr w:type="spellEnd"/>
      <w:r w:rsidR="006364B2" w:rsidRPr="00125FAF">
        <w:rPr>
          <w:rFonts w:ascii="Times New Roman" w:eastAsia="Times New Roman" w:hAnsi="Times New Roman" w:cs="Times New Roman"/>
          <w:color w:val="000000"/>
          <w:sz w:val="24"/>
          <w:szCs w:val="24"/>
          <w:lang w:eastAsia="ru-RU"/>
        </w:rPr>
        <w:t xml:space="preserve"> progres</w:t>
      </w:r>
      <w:r w:rsidR="00260B85" w:rsidRPr="00125FAF">
        <w:rPr>
          <w:rFonts w:ascii="Times New Roman" w:eastAsia="Times New Roman" w:hAnsi="Times New Roman" w:cs="Times New Roman"/>
          <w:color w:val="000000"/>
          <w:sz w:val="24"/>
          <w:szCs w:val="24"/>
          <w:lang w:eastAsia="ru-RU"/>
        </w:rPr>
        <w:t>,</w:t>
      </w:r>
      <w:r w:rsidR="00470065" w:rsidRPr="00125FAF">
        <w:rPr>
          <w:rFonts w:ascii="Times New Roman" w:eastAsia="Times New Roman" w:hAnsi="Times New Roman" w:cs="Times New Roman"/>
          <w:color w:val="000000"/>
          <w:sz w:val="24"/>
          <w:szCs w:val="24"/>
          <w:lang w:eastAsia="ru-RU"/>
        </w:rPr>
        <w:t xml:space="preserve"> fiecare 5 ani</w:t>
      </w:r>
      <w:r w:rsidR="006364B2" w:rsidRPr="00125FAF">
        <w:rPr>
          <w:rFonts w:ascii="Times New Roman" w:eastAsia="Times New Roman" w:hAnsi="Times New Roman" w:cs="Times New Roman"/>
          <w:color w:val="000000"/>
          <w:sz w:val="24"/>
          <w:szCs w:val="24"/>
          <w:lang w:eastAsia="ru-RU"/>
        </w:rPr>
        <w:t xml:space="preserve"> se va revizui Planul de </w:t>
      </w:r>
      <w:proofErr w:type="spellStart"/>
      <w:r w:rsidR="006364B2" w:rsidRPr="00125FAF">
        <w:rPr>
          <w:rFonts w:ascii="Times New Roman" w:eastAsia="Times New Roman" w:hAnsi="Times New Roman" w:cs="Times New Roman"/>
          <w:color w:val="000000"/>
          <w:sz w:val="24"/>
          <w:szCs w:val="24"/>
          <w:lang w:eastAsia="ru-RU"/>
        </w:rPr>
        <w:t>acţiuni</w:t>
      </w:r>
      <w:proofErr w:type="spellEnd"/>
      <w:r w:rsidR="006364B2" w:rsidRPr="00125FAF">
        <w:rPr>
          <w:rFonts w:ascii="Times New Roman" w:eastAsia="Times New Roman" w:hAnsi="Times New Roman" w:cs="Times New Roman"/>
          <w:color w:val="000000"/>
          <w:sz w:val="24"/>
          <w:szCs w:val="24"/>
          <w:lang w:eastAsia="ru-RU"/>
        </w:rPr>
        <w:t xml:space="preserve"> pentru implementarea </w:t>
      </w:r>
      <w:r w:rsidR="00AF4926" w:rsidRPr="00125FAF">
        <w:rPr>
          <w:rFonts w:ascii="Times New Roman" w:eastAsia="Times New Roman" w:hAnsi="Times New Roman" w:cs="Times New Roman"/>
          <w:color w:val="000000"/>
          <w:sz w:val="24"/>
          <w:szCs w:val="24"/>
          <w:lang w:eastAsia="ru-RU"/>
        </w:rPr>
        <w:t>Programului</w:t>
      </w:r>
      <w:r w:rsidR="006364B2" w:rsidRPr="00125FAF">
        <w:rPr>
          <w:rFonts w:ascii="Times New Roman" w:eastAsia="Times New Roman" w:hAnsi="Times New Roman" w:cs="Times New Roman"/>
          <w:color w:val="000000"/>
          <w:sz w:val="24"/>
          <w:szCs w:val="24"/>
          <w:lang w:eastAsia="ru-RU"/>
        </w:rPr>
        <w:t xml:space="preserve">. Rapoartele de monitorizare </w:t>
      </w:r>
      <w:proofErr w:type="spellStart"/>
      <w:r w:rsidR="006364B2" w:rsidRPr="00125FAF">
        <w:rPr>
          <w:rFonts w:ascii="Times New Roman" w:eastAsia="Times New Roman" w:hAnsi="Times New Roman" w:cs="Times New Roman"/>
          <w:color w:val="000000"/>
          <w:sz w:val="24"/>
          <w:szCs w:val="24"/>
          <w:lang w:eastAsia="ru-RU"/>
        </w:rPr>
        <w:t>şi</w:t>
      </w:r>
      <w:proofErr w:type="spellEnd"/>
      <w:r w:rsidR="006364B2" w:rsidRPr="00125FAF">
        <w:rPr>
          <w:rFonts w:ascii="Times New Roman" w:eastAsia="Times New Roman" w:hAnsi="Times New Roman" w:cs="Times New Roman"/>
          <w:color w:val="000000"/>
          <w:sz w:val="24"/>
          <w:szCs w:val="24"/>
          <w:lang w:eastAsia="ru-RU"/>
        </w:rPr>
        <w:t xml:space="preserve"> de evaluare </w:t>
      </w:r>
      <w:r w:rsidR="00470065" w:rsidRPr="00125FAF">
        <w:rPr>
          <w:rFonts w:ascii="Times New Roman" w:eastAsia="Times New Roman" w:hAnsi="Times New Roman" w:cs="Times New Roman"/>
          <w:color w:val="000000"/>
          <w:sz w:val="24"/>
          <w:szCs w:val="24"/>
          <w:lang w:eastAsia="ru-RU"/>
        </w:rPr>
        <w:t>vor fi supuse dezbaterilor în cadrul Comisiei</w:t>
      </w:r>
      <w:r w:rsidR="00AF4926" w:rsidRPr="00125FAF">
        <w:rPr>
          <w:rFonts w:ascii="Times New Roman" w:eastAsia="Times New Roman" w:hAnsi="Times New Roman" w:cs="Times New Roman"/>
          <w:color w:val="000000"/>
          <w:sz w:val="24"/>
          <w:szCs w:val="24"/>
          <w:lang w:eastAsia="ru-RU"/>
        </w:rPr>
        <w:t xml:space="preserve"> </w:t>
      </w:r>
      <w:proofErr w:type="spellStart"/>
      <w:r w:rsidR="00AF4926" w:rsidRPr="00125FAF">
        <w:rPr>
          <w:rFonts w:ascii="Times New Roman" w:eastAsia="Times New Roman" w:hAnsi="Times New Roman" w:cs="Times New Roman"/>
          <w:color w:val="000000"/>
          <w:sz w:val="24"/>
          <w:szCs w:val="24"/>
          <w:lang w:eastAsia="ru-RU"/>
        </w:rPr>
        <w:t>naţionale</w:t>
      </w:r>
      <w:proofErr w:type="spellEnd"/>
      <w:r w:rsidR="00AF4926" w:rsidRPr="00125FAF">
        <w:rPr>
          <w:rFonts w:ascii="Times New Roman" w:eastAsia="Times New Roman" w:hAnsi="Times New Roman" w:cs="Times New Roman"/>
          <w:color w:val="000000"/>
          <w:sz w:val="24"/>
          <w:szCs w:val="24"/>
          <w:lang w:eastAsia="ru-RU"/>
        </w:rPr>
        <w:t xml:space="preserve"> privind schimbările climatice</w:t>
      </w:r>
      <w:r w:rsidR="00470065" w:rsidRPr="00125FAF">
        <w:rPr>
          <w:rFonts w:ascii="Times New Roman" w:eastAsia="Times New Roman" w:hAnsi="Times New Roman" w:cs="Times New Roman"/>
          <w:color w:val="000000"/>
          <w:sz w:val="24"/>
          <w:szCs w:val="24"/>
          <w:lang w:eastAsia="ru-RU"/>
        </w:rPr>
        <w:t>, iar apoi</w:t>
      </w:r>
      <w:r w:rsidR="00E70219" w:rsidRPr="00125FAF">
        <w:rPr>
          <w:rFonts w:ascii="Times New Roman" w:eastAsia="Times New Roman" w:hAnsi="Times New Roman" w:cs="Times New Roman"/>
          <w:color w:val="000000"/>
          <w:sz w:val="24"/>
          <w:szCs w:val="24"/>
          <w:lang w:eastAsia="ru-RU"/>
        </w:rPr>
        <w:t xml:space="preserve"> </w:t>
      </w:r>
      <w:r w:rsidR="006364B2" w:rsidRPr="00125FAF">
        <w:rPr>
          <w:rFonts w:ascii="Times New Roman" w:eastAsia="Times New Roman" w:hAnsi="Times New Roman" w:cs="Times New Roman"/>
          <w:color w:val="000000"/>
          <w:sz w:val="24"/>
          <w:szCs w:val="24"/>
          <w:lang w:eastAsia="ru-RU"/>
        </w:rPr>
        <w:t>prezenta</w:t>
      </w:r>
      <w:r w:rsidR="00470065" w:rsidRPr="00125FAF">
        <w:rPr>
          <w:rFonts w:ascii="Times New Roman" w:eastAsia="Times New Roman" w:hAnsi="Times New Roman" w:cs="Times New Roman"/>
          <w:color w:val="000000"/>
          <w:sz w:val="24"/>
          <w:szCs w:val="24"/>
          <w:lang w:eastAsia="ru-RU"/>
        </w:rPr>
        <w:t>te</w:t>
      </w:r>
      <w:r w:rsidR="006364B2" w:rsidRPr="00125FAF">
        <w:rPr>
          <w:rFonts w:ascii="Times New Roman" w:eastAsia="Times New Roman" w:hAnsi="Times New Roman" w:cs="Times New Roman"/>
          <w:color w:val="000000"/>
          <w:sz w:val="24"/>
          <w:szCs w:val="24"/>
          <w:lang w:eastAsia="ru-RU"/>
        </w:rPr>
        <w:t xml:space="preserve"> Guvernului spre examinare.</w:t>
      </w:r>
    </w:p>
    <w:p w14:paraId="4972179E" w14:textId="5FEBFCA7" w:rsidR="006364B2" w:rsidRPr="00125FAF" w:rsidRDefault="006364B2" w:rsidP="006364B2">
      <w:pPr>
        <w:spacing w:after="0" w:line="240" w:lineRule="auto"/>
        <w:ind w:firstLine="720"/>
        <w:jc w:val="both"/>
        <w:rPr>
          <w:rFonts w:ascii="Times New Roman" w:eastAsia="Times New Roman" w:hAnsi="Times New Roman" w:cs="Times New Roman"/>
          <w:color w:val="000000"/>
          <w:sz w:val="24"/>
          <w:szCs w:val="24"/>
          <w:lang w:eastAsia="ru-RU"/>
        </w:rPr>
      </w:pPr>
      <w:r w:rsidRPr="00125FAF">
        <w:rPr>
          <w:rFonts w:ascii="Times New Roman" w:eastAsia="Times New Roman" w:hAnsi="Times New Roman" w:cs="Times New Roman"/>
          <w:color w:val="000000"/>
          <w:sz w:val="24"/>
          <w:szCs w:val="24"/>
          <w:lang w:eastAsia="ru-RU"/>
        </w:rPr>
        <w:t xml:space="preserve">Spre </w:t>
      </w:r>
      <w:proofErr w:type="spellStart"/>
      <w:r w:rsidRPr="00125FAF">
        <w:rPr>
          <w:rFonts w:ascii="Times New Roman" w:eastAsia="Times New Roman" w:hAnsi="Times New Roman" w:cs="Times New Roman"/>
          <w:color w:val="000000"/>
          <w:sz w:val="24"/>
          <w:szCs w:val="24"/>
          <w:lang w:eastAsia="ru-RU"/>
        </w:rPr>
        <w:t>sfîrşitul</w:t>
      </w:r>
      <w:proofErr w:type="spellEnd"/>
      <w:r w:rsidRPr="00125FAF">
        <w:rPr>
          <w:rFonts w:ascii="Times New Roman" w:eastAsia="Times New Roman" w:hAnsi="Times New Roman" w:cs="Times New Roman"/>
          <w:color w:val="000000"/>
          <w:sz w:val="24"/>
          <w:szCs w:val="24"/>
          <w:lang w:eastAsia="ru-RU"/>
        </w:rPr>
        <w:t xml:space="preserve"> implementării prezent</w:t>
      </w:r>
      <w:r w:rsidR="00AF4926" w:rsidRPr="00125FAF">
        <w:rPr>
          <w:rFonts w:ascii="Times New Roman" w:eastAsia="Times New Roman" w:hAnsi="Times New Roman" w:cs="Times New Roman"/>
          <w:color w:val="000000"/>
          <w:sz w:val="24"/>
          <w:szCs w:val="24"/>
          <w:lang w:eastAsia="ru-RU"/>
        </w:rPr>
        <w:t>ului Program</w:t>
      </w:r>
      <w:r w:rsidRPr="00125FAF">
        <w:rPr>
          <w:rFonts w:ascii="Times New Roman" w:eastAsia="Times New Roman" w:hAnsi="Times New Roman" w:cs="Times New Roman"/>
          <w:color w:val="000000"/>
          <w:sz w:val="24"/>
          <w:szCs w:val="24"/>
          <w:lang w:eastAsia="ru-RU"/>
        </w:rPr>
        <w:t xml:space="preserve">, urmează a fi elaborat un raport de evaluare finală, care să </w:t>
      </w:r>
      <w:proofErr w:type="spellStart"/>
      <w:r w:rsidRPr="00125FAF">
        <w:rPr>
          <w:rFonts w:ascii="Times New Roman" w:eastAsia="Times New Roman" w:hAnsi="Times New Roman" w:cs="Times New Roman"/>
          <w:color w:val="000000"/>
          <w:sz w:val="24"/>
          <w:szCs w:val="24"/>
          <w:lang w:eastAsia="ru-RU"/>
        </w:rPr>
        <w:t>conţină</w:t>
      </w:r>
      <w:proofErr w:type="spellEnd"/>
      <w:r w:rsidRPr="00125FAF">
        <w:rPr>
          <w:rFonts w:ascii="Times New Roman" w:eastAsia="Times New Roman" w:hAnsi="Times New Roman" w:cs="Times New Roman"/>
          <w:color w:val="000000"/>
          <w:sz w:val="24"/>
          <w:szCs w:val="24"/>
          <w:lang w:eastAsia="ru-RU"/>
        </w:rPr>
        <w:t xml:space="preserve"> </w:t>
      </w:r>
      <w:proofErr w:type="spellStart"/>
      <w:r w:rsidRPr="00125FAF">
        <w:rPr>
          <w:rFonts w:ascii="Times New Roman" w:eastAsia="Times New Roman" w:hAnsi="Times New Roman" w:cs="Times New Roman"/>
          <w:color w:val="000000"/>
          <w:sz w:val="24"/>
          <w:szCs w:val="24"/>
          <w:lang w:eastAsia="ru-RU"/>
        </w:rPr>
        <w:t>informaţia</w:t>
      </w:r>
      <w:proofErr w:type="spellEnd"/>
      <w:r w:rsidRPr="00125FAF">
        <w:rPr>
          <w:rFonts w:ascii="Times New Roman" w:eastAsia="Times New Roman" w:hAnsi="Times New Roman" w:cs="Times New Roman"/>
          <w:color w:val="000000"/>
          <w:sz w:val="24"/>
          <w:szCs w:val="24"/>
          <w:lang w:eastAsia="ru-RU"/>
        </w:rPr>
        <w:t xml:space="preserve"> privind gradul de atingere a obiectivelor stabilite </w:t>
      </w:r>
      <w:proofErr w:type="spellStart"/>
      <w:r w:rsidRPr="00125FAF">
        <w:rPr>
          <w:rFonts w:ascii="Times New Roman" w:eastAsia="Times New Roman" w:hAnsi="Times New Roman" w:cs="Times New Roman"/>
          <w:color w:val="000000"/>
          <w:sz w:val="24"/>
          <w:szCs w:val="24"/>
          <w:lang w:eastAsia="ru-RU"/>
        </w:rPr>
        <w:t>şi</w:t>
      </w:r>
      <w:proofErr w:type="spellEnd"/>
      <w:r w:rsidRPr="00125FAF">
        <w:rPr>
          <w:rFonts w:ascii="Times New Roman" w:eastAsia="Times New Roman" w:hAnsi="Times New Roman" w:cs="Times New Roman"/>
          <w:color w:val="000000"/>
          <w:sz w:val="24"/>
          <w:szCs w:val="24"/>
          <w:lang w:eastAsia="ru-RU"/>
        </w:rPr>
        <w:t xml:space="preserve"> a impactului scontat. Raportul de evaluare de baza va fi </w:t>
      </w:r>
      <w:r w:rsidR="00260B85" w:rsidRPr="00125FAF">
        <w:rPr>
          <w:rFonts w:ascii="Times New Roman" w:eastAsia="Times New Roman" w:hAnsi="Times New Roman" w:cs="Times New Roman"/>
          <w:color w:val="000000"/>
          <w:sz w:val="24"/>
          <w:szCs w:val="24"/>
          <w:lang w:eastAsia="ru-RU"/>
        </w:rPr>
        <w:t xml:space="preserve">supus dezbaterilor în cadrul Comisiei, iar apoi </w:t>
      </w:r>
      <w:r w:rsidRPr="00125FAF">
        <w:rPr>
          <w:rFonts w:ascii="Times New Roman" w:eastAsia="Times New Roman" w:hAnsi="Times New Roman" w:cs="Times New Roman"/>
          <w:color w:val="000000"/>
          <w:sz w:val="24"/>
          <w:szCs w:val="24"/>
          <w:lang w:eastAsia="ru-RU"/>
        </w:rPr>
        <w:t>prezentat Guvernului</w:t>
      </w:r>
      <w:r w:rsidR="00260B85" w:rsidRPr="00125FAF">
        <w:rPr>
          <w:rFonts w:ascii="Times New Roman" w:eastAsia="Times New Roman" w:hAnsi="Times New Roman" w:cs="Times New Roman"/>
          <w:color w:val="000000"/>
          <w:sz w:val="24"/>
          <w:szCs w:val="24"/>
          <w:lang w:eastAsia="ru-RU"/>
        </w:rPr>
        <w:t>. Î</w:t>
      </w:r>
      <w:r w:rsidRPr="00125FAF">
        <w:rPr>
          <w:rFonts w:ascii="Times New Roman" w:eastAsia="Times New Roman" w:hAnsi="Times New Roman" w:cs="Times New Roman"/>
          <w:color w:val="000000"/>
          <w:sz w:val="24"/>
          <w:szCs w:val="24"/>
          <w:lang w:eastAsia="ru-RU"/>
        </w:rPr>
        <w:t xml:space="preserve">n baza </w:t>
      </w:r>
      <w:r w:rsidR="00260B85" w:rsidRPr="00125FAF">
        <w:rPr>
          <w:rFonts w:ascii="Times New Roman" w:eastAsia="Times New Roman" w:hAnsi="Times New Roman" w:cs="Times New Roman"/>
          <w:color w:val="000000"/>
          <w:sz w:val="24"/>
          <w:szCs w:val="24"/>
          <w:lang w:eastAsia="ru-RU"/>
        </w:rPr>
        <w:t xml:space="preserve">acestuia </w:t>
      </w:r>
      <w:r w:rsidRPr="00125FAF">
        <w:rPr>
          <w:rFonts w:ascii="Times New Roman" w:eastAsia="Times New Roman" w:hAnsi="Times New Roman" w:cs="Times New Roman"/>
          <w:color w:val="000000"/>
          <w:sz w:val="24"/>
          <w:szCs w:val="24"/>
          <w:lang w:eastAsia="ru-RU"/>
        </w:rPr>
        <w:t xml:space="preserve">se va decide asupra următoarei etape de planificare </w:t>
      </w:r>
      <w:r w:rsidR="00AF4926" w:rsidRPr="00125FAF">
        <w:rPr>
          <w:rFonts w:ascii="Times New Roman" w:eastAsia="Times New Roman" w:hAnsi="Times New Roman" w:cs="Times New Roman"/>
          <w:color w:val="000000"/>
          <w:sz w:val="24"/>
          <w:szCs w:val="24"/>
          <w:lang w:eastAsia="ru-RU"/>
        </w:rPr>
        <w:t>programată</w:t>
      </w:r>
      <w:r w:rsidRPr="00125FAF">
        <w:rPr>
          <w:rFonts w:ascii="Times New Roman" w:eastAsia="Times New Roman" w:hAnsi="Times New Roman" w:cs="Times New Roman"/>
          <w:color w:val="000000"/>
          <w:sz w:val="24"/>
          <w:szCs w:val="24"/>
          <w:lang w:eastAsia="ru-RU"/>
        </w:rPr>
        <w:t xml:space="preserve"> în domeniul dezvoltării cu emisii reduse.</w:t>
      </w:r>
    </w:p>
    <w:p w14:paraId="731F382F" w14:textId="2501515D" w:rsidR="006364B2" w:rsidRPr="00125FAF" w:rsidRDefault="00260B85" w:rsidP="006364B2">
      <w:pPr>
        <w:spacing w:after="0" w:line="240" w:lineRule="auto"/>
        <w:ind w:firstLine="720"/>
        <w:jc w:val="both"/>
        <w:rPr>
          <w:rFonts w:ascii="Times New Roman" w:eastAsia="Times New Roman" w:hAnsi="Times New Roman" w:cs="Times New Roman"/>
          <w:color w:val="000000"/>
          <w:sz w:val="24"/>
          <w:szCs w:val="24"/>
          <w:lang w:eastAsia="ru-RU"/>
        </w:rPr>
      </w:pPr>
      <w:r w:rsidRPr="00125FAF">
        <w:rPr>
          <w:rFonts w:ascii="Times New Roman" w:eastAsia="Times New Roman" w:hAnsi="Times New Roman" w:cs="Times New Roman"/>
          <w:color w:val="000000"/>
          <w:sz w:val="24"/>
          <w:szCs w:val="24"/>
          <w:lang w:eastAsia="ru-RU"/>
        </w:rPr>
        <w:t xml:space="preserve">Emisiile </w:t>
      </w:r>
      <w:proofErr w:type="spellStart"/>
      <w:r w:rsidRPr="00125FAF">
        <w:rPr>
          <w:rFonts w:ascii="Times New Roman" w:eastAsia="Times New Roman" w:hAnsi="Times New Roman" w:cs="Times New Roman"/>
          <w:color w:val="000000"/>
          <w:sz w:val="24"/>
          <w:szCs w:val="24"/>
          <w:lang w:eastAsia="ru-RU"/>
        </w:rPr>
        <w:t>naţionale</w:t>
      </w:r>
      <w:proofErr w:type="spellEnd"/>
      <w:r w:rsidRPr="00125FAF">
        <w:rPr>
          <w:rFonts w:ascii="Times New Roman" w:eastAsia="Times New Roman" w:hAnsi="Times New Roman" w:cs="Times New Roman"/>
          <w:color w:val="000000"/>
          <w:sz w:val="24"/>
          <w:szCs w:val="24"/>
          <w:lang w:eastAsia="ru-RU"/>
        </w:rPr>
        <w:t xml:space="preserve"> de gaze cu efect de seră, precum </w:t>
      </w:r>
      <w:proofErr w:type="spellStart"/>
      <w:r w:rsidRPr="00125FAF">
        <w:rPr>
          <w:rFonts w:ascii="Times New Roman" w:eastAsia="Times New Roman" w:hAnsi="Times New Roman" w:cs="Times New Roman"/>
          <w:color w:val="000000"/>
          <w:sz w:val="24"/>
          <w:szCs w:val="24"/>
          <w:lang w:eastAsia="ru-RU"/>
        </w:rPr>
        <w:t>şi</w:t>
      </w:r>
      <w:proofErr w:type="spellEnd"/>
      <w:r w:rsidRPr="00125FAF">
        <w:rPr>
          <w:rFonts w:ascii="Times New Roman" w:eastAsia="Times New Roman" w:hAnsi="Times New Roman" w:cs="Times New Roman"/>
          <w:color w:val="000000"/>
          <w:sz w:val="24"/>
          <w:szCs w:val="24"/>
          <w:lang w:eastAsia="ru-RU"/>
        </w:rPr>
        <w:t xml:space="preserve"> </w:t>
      </w:r>
      <w:proofErr w:type="spellStart"/>
      <w:r w:rsidRPr="00125FAF">
        <w:rPr>
          <w:rFonts w:ascii="Times New Roman" w:eastAsia="Times New Roman" w:hAnsi="Times New Roman" w:cs="Times New Roman"/>
          <w:color w:val="000000"/>
          <w:sz w:val="24"/>
          <w:szCs w:val="24"/>
          <w:lang w:eastAsia="ru-RU"/>
        </w:rPr>
        <w:t>tendinţele</w:t>
      </w:r>
      <w:proofErr w:type="spellEnd"/>
      <w:r w:rsidRPr="00125FAF">
        <w:rPr>
          <w:rFonts w:ascii="Times New Roman" w:eastAsia="Times New Roman" w:hAnsi="Times New Roman" w:cs="Times New Roman"/>
          <w:color w:val="000000"/>
          <w:sz w:val="24"/>
          <w:szCs w:val="24"/>
          <w:lang w:eastAsia="ru-RU"/>
        </w:rPr>
        <w:t xml:space="preserve"> de </w:t>
      </w:r>
      <w:proofErr w:type="spellStart"/>
      <w:r w:rsidRPr="00125FAF">
        <w:rPr>
          <w:rFonts w:ascii="Times New Roman" w:eastAsia="Times New Roman" w:hAnsi="Times New Roman" w:cs="Times New Roman"/>
          <w:color w:val="000000"/>
          <w:sz w:val="24"/>
          <w:szCs w:val="24"/>
          <w:lang w:eastAsia="ru-RU"/>
        </w:rPr>
        <w:t>evoluţie</w:t>
      </w:r>
      <w:proofErr w:type="spellEnd"/>
      <w:r w:rsidRPr="00125FAF">
        <w:rPr>
          <w:rFonts w:ascii="Times New Roman" w:eastAsia="Times New Roman" w:hAnsi="Times New Roman" w:cs="Times New Roman"/>
          <w:color w:val="000000"/>
          <w:sz w:val="24"/>
          <w:szCs w:val="24"/>
          <w:lang w:eastAsia="ru-RU"/>
        </w:rPr>
        <w:t xml:space="preserve"> ale acestora </w:t>
      </w:r>
      <w:proofErr w:type="spellStart"/>
      <w:r w:rsidRPr="00125FAF">
        <w:rPr>
          <w:rFonts w:ascii="Times New Roman" w:eastAsia="Times New Roman" w:hAnsi="Times New Roman" w:cs="Times New Roman"/>
          <w:color w:val="000000"/>
          <w:sz w:val="24"/>
          <w:szCs w:val="24"/>
          <w:lang w:eastAsia="ru-RU"/>
        </w:rPr>
        <w:t>sînt</w:t>
      </w:r>
      <w:proofErr w:type="spellEnd"/>
      <w:r w:rsidRPr="00125FAF">
        <w:rPr>
          <w:rFonts w:ascii="Times New Roman" w:eastAsia="Times New Roman" w:hAnsi="Times New Roman" w:cs="Times New Roman"/>
          <w:color w:val="000000"/>
          <w:sz w:val="24"/>
          <w:szCs w:val="24"/>
          <w:lang w:eastAsia="ru-RU"/>
        </w:rPr>
        <w:t xml:space="preserve"> raportate periodic în comunicările </w:t>
      </w:r>
      <w:proofErr w:type="spellStart"/>
      <w:r w:rsidRPr="00125FAF">
        <w:rPr>
          <w:rFonts w:ascii="Times New Roman" w:eastAsia="Times New Roman" w:hAnsi="Times New Roman" w:cs="Times New Roman"/>
          <w:color w:val="000000"/>
          <w:sz w:val="24"/>
          <w:szCs w:val="24"/>
          <w:lang w:eastAsia="ru-RU"/>
        </w:rPr>
        <w:t>naţionale</w:t>
      </w:r>
      <w:proofErr w:type="spellEnd"/>
      <w:r w:rsidRPr="00125FAF">
        <w:rPr>
          <w:rFonts w:ascii="Times New Roman" w:eastAsia="Times New Roman" w:hAnsi="Times New Roman" w:cs="Times New Roman"/>
          <w:color w:val="000000"/>
          <w:sz w:val="24"/>
          <w:szCs w:val="24"/>
          <w:lang w:eastAsia="ru-RU"/>
        </w:rPr>
        <w:t xml:space="preserve"> </w:t>
      </w:r>
      <w:proofErr w:type="spellStart"/>
      <w:r w:rsidR="00EA645D" w:rsidRPr="00125FAF">
        <w:rPr>
          <w:rFonts w:ascii="Times New Roman" w:eastAsia="Times New Roman" w:hAnsi="Times New Roman" w:cs="Times New Roman"/>
          <w:color w:val="000000"/>
          <w:sz w:val="24"/>
          <w:szCs w:val="24"/>
          <w:lang w:eastAsia="ru-RU"/>
        </w:rPr>
        <w:t>şi</w:t>
      </w:r>
      <w:proofErr w:type="spellEnd"/>
      <w:r w:rsidR="00EA645D" w:rsidRPr="00125FAF">
        <w:rPr>
          <w:rFonts w:ascii="Times New Roman" w:eastAsia="Times New Roman" w:hAnsi="Times New Roman" w:cs="Times New Roman"/>
          <w:color w:val="000000"/>
          <w:sz w:val="24"/>
          <w:szCs w:val="24"/>
          <w:lang w:eastAsia="ru-RU"/>
        </w:rPr>
        <w:t xml:space="preserve"> bienale </w:t>
      </w:r>
      <w:r w:rsidRPr="00125FAF">
        <w:rPr>
          <w:rFonts w:ascii="Times New Roman" w:eastAsia="Times New Roman" w:hAnsi="Times New Roman" w:cs="Times New Roman"/>
          <w:color w:val="000000"/>
          <w:sz w:val="24"/>
          <w:szCs w:val="24"/>
          <w:lang w:eastAsia="ru-RU"/>
        </w:rPr>
        <w:t xml:space="preserve">ale Republicii Moldova către </w:t>
      </w:r>
      <w:proofErr w:type="spellStart"/>
      <w:r w:rsidRPr="00125FAF">
        <w:rPr>
          <w:rFonts w:ascii="Times New Roman" w:eastAsia="Times New Roman" w:hAnsi="Times New Roman" w:cs="Times New Roman"/>
          <w:color w:val="000000"/>
          <w:sz w:val="24"/>
          <w:szCs w:val="24"/>
          <w:lang w:eastAsia="ru-RU"/>
        </w:rPr>
        <w:t>Convenţia</w:t>
      </w:r>
      <w:proofErr w:type="spellEnd"/>
      <w:r w:rsidRPr="00125FAF">
        <w:rPr>
          <w:rFonts w:ascii="Times New Roman" w:eastAsia="Times New Roman" w:hAnsi="Times New Roman" w:cs="Times New Roman"/>
          <w:color w:val="000000"/>
          <w:sz w:val="24"/>
          <w:szCs w:val="24"/>
          <w:lang w:eastAsia="ru-RU"/>
        </w:rPr>
        <w:t>-cadru</w:t>
      </w:r>
      <w:r w:rsidR="00EA645D" w:rsidRPr="00125FAF">
        <w:rPr>
          <w:rFonts w:ascii="Times New Roman" w:eastAsia="Times New Roman" w:hAnsi="Times New Roman" w:cs="Times New Roman"/>
          <w:color w:val="000000"/>
          <w:sz w:val="24"/>
          <w:szCs w:val="24"/>
          <w:lang w:eastAsia="ru-RU"/>
        </w:rPr>
        <w:t>,</w:t>
      </w:r>
      <w:r w:rsidRPr="00125FAF">
        <w:rPr>
          <w:rFonts w:ascii="Times New Roman" w:eastAsia="Times New Roman" w:hAnsi="Times New Roman" w:cs="Times New Roman"/>
          <w:color w:val="000000"/>
          <w:sz w:val="24"/>
          <w:szCs w:val="24"/>
          <w:lang w:eastAsia="ru-RU"/>
        </w:rPr>
        <w:t xml:space="preserve"> respectiv în rapoartele </w:t>
      </w:r>
      <w:proofErr w:type="spellStart"/>
      <w:r w:rsidRPr="00125FAF">
        <w:rPr>
          <w:rFonts w:ascii="Times New Roman" w:eastAsia="Times New Roman" w:hAnsi="Times New Roman" w:cs="Times New Roman"/>
          <w:color w:val="000000"/>
          <w:sz w:val="24"/>
          <w:szCs w:val="24"/>
          <w:lang w:eastAsia="ru-RU"/>
        </w:rPr>
        <w:t>naţionale</w:t>
      </w:r>
      <w:proofErr w:type="spellEnd"/>
      <w:r w:rsidRPr="00125FAF">
        <w:rPr>
          <w:rFonts w:ascii="Times New Roman" w:eastAsia="Times New Roman" w:hAnsi="Times New Roman" w:cs="Times New Roman"/>
          <w:color w:val="000000"/>
          <w:sz w:val="24"/>
          <w:szCs w:val="24"/>
          <w:lang w:eastAsia="ru-RU"/>
        </w:rPr>
        <w:t xml:space="preserve"> de inventariere (</w:t>
      </w:r>
      <w:proofErr w:type="spellStart"/>
      <w:r w:rsidRPr="00125FAF">
        <w:rPr>
          <w:rFonts w:ascii="Times New Roman" w:eastAsia="Times New Roman" w:hAnsi="Times New Roman" w:cs="Times New Roman"/>
          <w:color w:val="000000"/>
          <w:sz w:val="24"/>
          <w:szCs w:val="24"/>
          <w:lang w:eastAsia="ru-RU"/>
        </w:rPr>
        <w:t>începînd</w:t>
      </w:r>
      <w:proofErr w:type="spellEnd"/>
      <w:r w:rsidRPr="00125FAF">
        <w:rPr>
          <w:rFonts w:ascii="Times New Roman" w:eastAsia="Times New Roman" w:hAnsi="Times New Roman" w:cs="Times New Roman"/>
          <w:color w:val="000000"/>
          <w:sz w:val="24"/>
          <w:szCs w:val="24"/>
          <w:lang w:eastAsia="ru-RU"/>
        </w:rPr>
        <w:t xml:space="preserve"> cu anul 2010). Biroul </w:t>
      </w:r>
      <w:proofErr w:type="spellStart"/>
      <w:r w:rsidRPr="00125FAF">
        <w:rPr>
          <w:rFonts w:ascii="Times New Roman" w:eastAsia="Times New Roman" w:hAnsi="Times New Roman" w:cs="Times New Roman"/>
          <w:color w:val="000000"/>
          <w:sz w:val="24"/>
          <w:szCs w:val="24"/>
          <w:lang w:eastAsia="ru-RU"/>
        </w:rPr>
        <w:t>Naţional</w:t>
      </w:r>
      <w:proofErr w:type="spellEnd"/>
      <w:r w:rsidRPr="00125FAF">
        <w:rPr>
          <w:rFonts w:ascii="Times New Roman" w:eastAsia="Times New Roman" w:hAnsi="Times New Roman" w:cs="Times New Roman"/>
          <w:color w:val="000000"/>
          <w:sz w:val="24"/>
          <w:szCs w:val="24"/>
          <w:lang w:eastAsia="ru-RU"/>
        </w:rPr>
        <w:t xml:space="preserve"> de Statistică publică, de asemenea, nivelul emisiilor de GES înregistrate efectiv de Republica Moldova. Documentele </w:t>
      </w:r>
      <w:proofErr w:type="spellStart"/>
      <w:r w:rsidRPr="00125FAF">
        <w:rPr>
          <w:rFonts w:ascii="Times New Roman" w:eastAsia="Times New Roman" w:hAnsi="Times New Roman" w:cs="Times New Roman"/>
          <w:color w:val="000000"/>
          <w:sz w:val="24"/>
          <w:szCs w:val="24"/>
          <w:lang w:eastAsia="ru-RU"/>
        </w:rPr>
        <w:t>menţionate</w:t>
      </w:r>
      <w:proofErr w:type="spellEnd"/>
      <w:r w:rsidRPr="00125FAF">
        <w:rPr>
          <w:rFonts w:ascii="Times New Roman" w:eastAsia="Times New Roman" w:hAnsi="Times New Roman" w:cs="Times New Roman"/>
          <w:color w:val="000000"/>
          <w:sz w:val="24"/>
          <w:szCs w:val="24"/>
          <w:lang w:eastAsia="ru-RU"/>
        </w:rPr>
        <w:t xml:space="preserve"> sunt elaborate în baza unor studii, cercetări, rapoarte realizate de </w:t>
      </w:r>
      <w:proofErr w:type="spellStart"/>
      <w:r w:rsidRPr="00125FAF">
        <w:rPr>
          <w:rFonts w:ascii="Times New Roman" w:eastAsia="Times New Roman" w:hAnsi="Times New Roman" w:cs="Times New Roman"/>
          <w:color w:val="000000"/>
          <w:sz w:val="24"/>
          <w:szCs w:val="24"/>
          <w:lang w:eastAsia="ru-RU"/>
        </w:rPr>
        <w:t>consultanţi</w:t>
      </w:r>
      <w:proofErr w:type="spellEnd"/>
      <w:r w:rsidRPr="00125FAF">
        <w:rPr>
          <w:rFonts w:ascii="Times New Roman" w:eastAsia="Times New Roman" w:hAnsi="Times New Roman" w:cs="Times New Roman"/>
          <w:color w:val="000000"/>
          <w:sz w:val="24"/>
          <w:szCs w:val="24"/>
          <w:lang w:eastAsia="ru-RU"/>
        </w:rPr>
        <w:t xml:space="preserve"> </w:t>
      </w:r>
      <w:proofErr w:type="spellStart"/>
      <w:r w:rsidRPr="00125FAF">
        <w:rPr>
          <w:rFonts w:ascii="Times New Roman" w:eastAsia="Times New Roman" w:hAnsi="Times New Roman" w:cs="Times New Roman"/>
          <w:color w:val="000000"/>
          <w:sz w:val="24"/>
          <w:szCs w:val="24"/>
          <w:lang w:eastAsia="ru-RU"/>
        </w:rPr>
        <w:t>naţionali</w:t>
      </w:r>
      <w:proofErr w:type="spellEnd"/>
      <w:r w:rsidRPr="00125FAF">
        <w:rPr>
          <w:rFonts w:ascii="Times New Roman" w:eastAsia="Times New Roman" w:hAnsi="Times New Roman" w:cs="Times New Roman"/>
          <w:color w:val="000000"/>
          <w:sz w:val="24"/>
          <w:szCs w:val="24"/>
          <w:lang w:eastAsia="ru-RU"/>
        </w:rPr>
        <w:t xml:space="preserve">, inclusiv cu </w:t>
      </w:r>
      <w:proofErr w:type="spellStart"/>
      <w:r w:rsidRPr="00125FAF">
        <w:rPr>
          <w:rFonts w:ascii="Times New Roman" w:eastAsia="Times New Roman" w:hAnsi="Times New Roman" w:cs="Times New Roman"/>
          <w:color w:val="000000"/>
          <w:sz w:val="24"/>
          <w:szCs w:val="24"/>
          <w:lang w:eastAsia="ru-RU"/>
        </w:rPr>
        <w:t>experienţă</w:t>
      </w:r>
      <w:proofErr w:type="spellEnd"/>
      <w:r w:rsidRPr="00125FAF">
        <w:rPr>
          <w:rFonts w:ascii="Times New Roman" w:eastAsia="Times New Roman" w:hAnsi="Times New Roman" w:cs="Times New Roman"/>
          <w:color w:val="000000"/>
          <w:sz w:val="24"/>
          <w:szCs w:val="24"/>
          <w:lang w:eastAsia="ru-RU"/>
        </w:rPr>
        <w:t xml:space="preserve"> </w:t>
      </w:r>
      <w:proofErr w:type="spellStart"/>
      <w:r w:rsidRPr="00125FAF">
        <w:rPr>
          <w:rFonts w:ascii="Times New Roman" w:eastAsia="Times New Roman" w:hAnsi="Times New Roman" w:cs="Times New Roman"/>
          <w:color w:val="000000"/>
          <w:sz w:val="24"/>
          <w:szCs w:val="24"/>
          <w:lang w:eastAsia="ru-RU"/>
        </w:rPr>
        <w:t>internaţională</w:t>
      </w:r>
      <w:proofErr w:type="spellEnd"/>
      <w:r w:rsidRPr="00125FAF">
        <w:rPr>
          <w:rFonts w:ascii="Times New Roman" w:eastAsia="Times New Roman" w:hAnsi="Times New Roman" w:cs="Times New Roman"/>
          <w:color w:val="000000"/>
          <w:sz w:val="24"/>
          <w:szCs w:val="24"/>
          <w:lang w:eastAsia="ru-RU"/>
        </w:rPr>
        <w:t xml:space="preserve"> în domeniul de specialitate, </w:t>
      </w:r>
      <w:proofErr w:type="spellStart"/>
      <w:r w:rsidRPr="00125FAF">
        <w:rPr>
          <w:rFonts w:ascii="Times New Roman" w:eastAsia="Times New Roman" w:hAnsi="Times New Roman" w:cs="Times New Roman"/>
          <w:color w:val="000000"/>
          <w:sz w:val="24"/>
          <w:szCs w:val="24"/>
          <w:lang w:eastAsia="ru-RU"/>
        </w:rPr>
        <w:t>selectaţi</w:t>
      </w:r>
      <w:proofErr w:type="spellEnd"/>
      <w:r w:rsidRPr="00125FAF">
        <w:rPr>
          <w:rFonts w:ascii="Times New Roman" w:eastAsia="Times New Roman" w:hAnsi="Times New Roman" w:cs="Times New Roman"/>
          <w:color w:val="000000"/>
          <w:sz w:val="24"/>
          <w:szCs w:val="24"/>
          <w:lang w:eastAsia="ru-RU"/>
        </w:rPr>
        <w:t xml:space="preserve"> pentru efectuarea calculelor </w:t>
      </w:r>
      <w:proofErr w:type="spellStart"/>
      <w:r w:rsidRPr="00125FAF">
        <w:rPr>
          <w:rFonts w:ascii="Times New Roman" w:eastAsia="Times New Roman" w:hAnsi="Times New Roman" w:cs="Times New Roman"/>
          <w:color w:val="000000"/>
          <w:sz w:val="24"/>
          <w:szCs w:val="24"/>
          <w:lang w:eastAsia="ru-RU"/>
        </w:rPr>
        <w:t>şi</w:t>
      </w:r>
      <w:proofErr w:type="spellEnd"/>
      <w:r w:rsidRPr="00125FAF">
        <w:rPr>
          <w:rFonts w:ascii="Times New Roman" w:eastAsia="Times New Roman" w:hAnsi="Times New Roman" w:cs="Times New Roman"/>
          <w:color w:val="000000"/>
          <w:sz w:val="24"/>
          <w:szCs w:val="24"/>
          <w:lang w:eastAsia="ru-RU"/>
        </w:rPr>
        <w:t xml:space="preserve"> analizei </w:t>
      </w:r>
      <w:proofErr w:type="spellStart"/>
      <w:r w:rsidRPr="00125FAF">
        <w:rPr>
          <w:rFonts w:ascii="Times New Roman" w:eastAsia="Times New Roman" w:hAnsi="Times New Roman" w:cs="Times New Roman"/>
          <w:color w:val="000000"/>
          <w:sz w:val="24"/>
          <w:szCs w:val="24"/>
          <w:lang w:eastAsia="ru-RU"/>
        </w:rPr>
        <w:t>informaţiilor</w:t>
      </w:r>
      <w:proofErr w:type="spellEnd"/>
      <w:r w:rsidRPr="00125FAF">
        <w:rPr>
          <w:rFonts w:ascii="Times New Roman" w:eastAsia="Times New Roman" w:hAnsi="Times New Roman" w:cs="Times New Roman"/>
          <w:color w:val="000000"/>
          <w:sz w:val="24"/>
          <w:szCs w:val="24"/>
          <w:lang w:eastAsia="ru-RU"/>
        </w:rPr>
        <w:t xml:space="preserve"> de retrospectivă, precum </w:t>
      </w:r>
      <w:proofErr w:type="spellStart"/>
      <w:r w:rsidRPr="00125FAF">
        <w:rPr>
          <w:rFonts w:ascii="Times New Roman" w:eastAsia="Times New Roman" w:hAnsi="Times New Roman" w:cs="Times New Roman"/>
          <w:color w:val="000000"/>
          <w:sz w:val="24"/>
          <w:szCs w:val="24"/>
          <w:lang w:eastAsia="ru-RU"/>
        </w:rPr>
        <w:t>şi</w:t>
      </w:r>
      <w:proofErr w:type="spellEnd"/>
      <w:r w:rsidRPr="00125FAF">
        <w:rPr>
          <w:rFonts w:ascii="Times New Roman" w:eastAsia="Times New Roman" w:hAnsi="Times New Roman" w:cs="Times New Roman"/>
          <w:color w:val="000000"/>
          <w:sz w:val="24"/>
          <w:szCs w:val="24"/>
          <w:lang w:eastAsia="ru-RU"/>
        </w:rPr>
        <w:t xml:space="preserve"> cu </w:t>
      </w:r>
      <w:proofErr w:type="spellStart"/>
      <w:r w:rsidRPr="00125FAF">
        <w:rPr>
          <w:rFonts w:ascii="Times New Roman" w:eastAsia="Times New Roman" w:hAnsi="Times New Roman" w:cs="Times New Roman"/>
          <w:color w:val="000000"/>
          <w:sz w:val="24"/>
          <w:szCs w:val="24"/>
          <w:lang w:eastAsia="ru-RU"/>
        </w:rPr>
        <w:t>responsabilităţi</w:t>
      </w:r>
      <w:proofErr w:type="spellEnd"/>
      <w:r w:rsidRPr="00125FAF">
        <w:rPr>
          <w:rFonts w:ascii="Times New Roman" w:eastAsia="Times New Roman" w:hAnsi="Times New Roman" w:cs="Times New Roman"/>
          <w:color w:val="000000"/>
          <w:sz w:val="24"/>
          <w:szCs w:val="24"/>
          <w:lang w:eastAsia="ru-RU"/>
        </w:rPr>
        <w:t xml:space="preserve"> de elaborare a scenariilor de </w:t>
      </w:r>
      <w:proofErr w:type="spellStart"/>
      <w:r w:rsidRPr="00125FAF">
        <w:rPr>
          <w:rFonts w:ascii="Times New Roman" w:eastAsia="Times New Roman" w:hAnsi="Times New Roman" w:cs="Times New Roman"/>
          <w:color w:val="000000"/>
          <w:sz w:val="24"/>
          <w:szCs w:val="24"/>
          <w:lang w:eastAsia="ru-RU"/>
        </w:rPr>
        <w:t>evoluţie</w:t>
      </w:r>
      <w:proofErr w:type="spellEnd"/>
      <w:r w:rsidRPr="00125FAF">
        <w:rPr>
          <w:rFonts w:ascii="Times New Roman" w:eastAsia="Times New Roman" w:hAnsi="Times New Roman" w:cs="Times New Roman"/>
          <w:color w:val="000000"/>
          <w:sz w:val="24"/>
          <w:szCs w:val="24"/>
          <w:lang w:eastAsia="ru-RU"/>
        </w:rPr>
        <w:t xml:space="preserve"> pe termen scurt, mediu </w:t>
      </w:r>
      <w:proofErr w:type="spellStart"/>
      <w:r w:rsidRPr="00125FAF">
        <w:rPr>
          <w:rFonts w:ascii="Times New Roman" w:eastAsia="Times New Roman" w:hAnsi="Times New Roman" w:cs="Times New Roman"/>
          <w:color w:val="000000"/>
          <w:sz w:val="24"/>
          <w:szCs w:val="24"/>
          <w:lang w:eastAsia="ru-RU"/>
        </w:rPr>
        <w:t>şi</w:t>
      </w:r>
      <w:proofErr w:type="spellEnd"/>
      <w:r w:rsidRPr="00125FAF">
        <w:rPr>
          <w:rFonts w:ascii="Times New Roman" w:eastAsia="Times New Roman" w:hAnsi="Times New Roman" w:cs="Times New Roman"/>
          <w:color w:val="000000"/>
          <w:sz w:val="24"/>
          <w:szCs w:val="24"/>
          <w:lang w:eastAsia="ru-RU"/>
        </w:rPr>
        <w:t xml:space="preserve"> lung a emisiilor de gaze cu efect de seră provenite de la fiecare sector în parte, </w:t>
      </w:r>
      <w:proofErr w:type="spellStart"/>
      <w:r w:rsidRPr="00125FAF">
        <w:rPr>
          <w:rFonts w:ascii="Times New Roman" w:eastAsia="Times New Roman" w:hAnsi="Times New Roman" w:cs="Times New Roman"/>
          <w:color w:val="000000"/>
          <w:sz w:val="24"/>
          <w:szCs w:val="24"/>
          <w:lang w:eastAsia="ru-RU"/>
        </w:rPr>
        <w:t>reieşind</w:t>
      </w:r>
      <w:proofErr w:type="spellEnd"/>
      <w:r w:rsidRPr="00125FAF">
        <w:rPr>
          <w:rFonts w:ascii="Times New Roman" w:eastAsia="Times New Roman" w:hAnsi="Times New Roman" w:cs="Times New Roman"/>
          <w:color w:val="000000"/>
          <w:sz w:val="24"/>
          <w:szCs w:val="24"/>
          <w:lang w:eastAsia="ru-RU"/>
        </w:rPr>
        <w:t xml:space="preserve"> din scenariile de dezvoltare macroeconomică a Republicii Moldova.</w:t>
      </w:r>
      <w:r w:rsidR="005469F5" w:rsidRPr="00125FAF">
        <w:rPr>
          <w:rFonts w:ascii="Times New Roman" w:eastAsia="Times New Roman" w:hAnsi="Times New Roman" w:cs="Times New Roman"/>
          <w:color w:val="000000"/>
          <w:sz w:val="24"/>
          <w:szCs w:val="24"/>
          <w:lang w:eastAsia="ru-RU"/>
        </w:rPr>
        <w:t xml:space="preserve"> Toate aceste proceduri sunt reglementate </w:t>
      </w:r>
      <w:r w:rsidR="003B48F8" w:rsidRPr="00125FAF">
        <w:rPr>
          <w:rFonts w:ascii="Times New Roman" w:eastAsia="Times New Roman" w:hAnsi="Times New Roman" w:cs="Times New Roman"/>
          <w:color w:val="000000"/>
          <w:sz w:val="24"/>
          <w:szCs w:val="24"/>
          <w:lang w:eastAsia="ru-RU"/>
        </w:rPr>
        <w:t>de</w:t>
      </w:r>
      <w:r w:rsidR="005469F5" w:rsidRPr="00125FAF">
        <w:rPr>
          <w:rFonts w:ascii="Times New Roman" w:eastAsia="Times New Roman" w:hAnsi="Times New Roman" w:cs="Times New Roman"/>
          <w:color w:val="000000"/>
          <w:sz w:val="24"/>
          <w:szCs w:val="24"/>
          <w:lang w:eastAsia="ru-RU"/>
        </w:rPr>
        <w:t xml:space="preserve"> HG </w:t>
      </w:r>
      <w:r w:rsidR="003B48F8" w:rsidRPr="00125FAF">
        <w:rPr>
          <w:rFonts w:ascii="Times New Roman" w:eastAsia="Times New Roman" w:hAnsi="Times New Roman" w:cs="Times New Roman"/>
          <w:color w:val="000000"/>
          <w:sz w:val="24"/>
          <w:szCs w:val="24"/>
          <w:lang w:eastAsia="ru-RU"/>
        </w:rPr>
        <w:t xml:space="preserve">nr. </w:t>
      </w:r>
      <w:r w:rsidR="005469F5" w:rsidRPr="00125FAF">
        <w:rPr>
          <w:rFonts w:ascii="Times New Roman" w:eastAsia="Times New Roman" w:hAnsi="Times New Roman" w:cs="Times New Roman"/>
          <w:color w:val="000000"/>
          <w:sz w:val="24"/>
          <w:szCs w:val="24"/>
          <w:lang w:eastAsia="ru-RU"/>
        </w:rPr>
        <w:t>1277</w:t>
      </w:r>
      <w:r w:rsidR="003B48F8" w:rsidRPr="00125FAF">
        <w:rPr>
          <w:rFonts w:ascii="Times New Roman" w:eastAsia="Times New Roman" w:hAnsi="Times New Roman" w:cs="Times New Roman"/>
          <w:color w:val="000000"/>
          <w:sz w:val="24"/>
          <w:szCs w:val="24"/>
          <w:lang w:eastAsia="ru-RU"/>
        </w:rPr>
        <w:t>/2018 cu privire la instituirea și funcționarea Sistemului național de monitorizare și raportare a emisiilor de gaze cu efect de seră și altor informații relevante pentru schimbările climatice.</w:t>
      </w:r>
    </w:p>
    <w:p w14:paraId="0FBB62D5" w14:textId="77777777" w:rsidR="006364B2" w:rsidRPr="00125FAF" w:rsidRDefault="006364B2" w:rsidP="006364B2">
      <w:pPr>
        <w:spacing w:after="0" w:line="240" w:lineRule="auto"/>
        <w:rPr>
          <w:rFonts w:ascii="Times New Roman" w:eastAsia="Times New Roman" w:hAnsi="Times New Roman" w:cs="Times New Roman"/>
          <w:color w:val="000000"/>
          <w:sz w:val="24"/>
          <w:szCs w:val="24"/>
          <w:lang w:eastAsia="ru-RU"/>
        </w:rPr>
        <w:sectPr w:rsidR="006364B2" w:rsidRPr="00125FAF">
          <w:pgSz w:w="11907" w:h="16840"/>
          <w:pgMar w:top="1134" w:right="964" w:bottom="1134" w:left="1814" w:header="720" w:footer="720" w:gutter="0"/>
          <w:cols w:space="708"/>
        </w:sectPr>
      </w:pPr>
    </w:p>
    <w:p w14:paraId="3A6CE1C3" w14:textId="512C5C4B" w:rsidR="00795493" w:rsidRPr="00125FAF" w:rsidRDefault="00795493" w:rsidP="001F2F2D">
      <w:pPr>
        <w:spacing w:after="0" w:line="240" w:lineRule="auto"/>
        <w:jc w:val="right"/>
        <w:rPr>
          <w:rFonts w:ascii="Times New Roman" w:eastAsia="Times New Roman" w:hAnsi="Times New Roman" w:cs="Times New Roman"/>
          <w:bCs/>
          <w:color w:val="000000"/>
          <w:sz w:val="24"/>
          <w:szCs w:val="24"/>
          <w:lang w:eastAsia="ru-RU"/>
        </w:rPr>
      </w:pPr>
      <w:r w:rsidRPr="00125FAF">
        <w:rPr>
          <w:rFonts w:ascii="Times New Roman" w:eastAsia="Times New Roman" w:hAnsi="Times New Roman" w:cs="Times New Roman"/>
          <w:bCs/>
          <w:color w:val="000000"/>
          <w:sz w:val="24"/>
          <w:szCs w:val="24"/>
          <w:lang w:eastAsia="ru-RU"/>
        </w:rPr>
        <w:lastRenderedPageBreak/>
        <w:t xml:space="preserve">Anexa nr. </w:t>
      </w:r>
      <w:r w:rsidR="00453DA5" w:rsidRPr="00125FAF">
        <w:rPr>
          <w:rFonts w:ascii="Times New Roman" w:eastAsia="Times New Roman" w:hAnsi="Times New Roman" w:cs="Times New Roman"/>
          <w:bCs/>
          <w:color w:val="000000"/>
          <w:sz w:val="24"/>
          <w:szCs w:val="24"/>
          <w:lang w:eastAsia="ru-RU"/>
        </w:rPr>
        <w:t>2</w:t>
      </w:r>
    </w:p>
    <w:p w14:paraId="7E1DB77A" w14:textId="77777777" w:rsidR="00795493" w:rsidRPr="00125FAF" w:rsidRDefault="00795493" w:rsidP="001F2F2D">
      <w:pPr>
        <w:spacing w:after="0" w:line="240" w:lineRule="auto"/>
        <w:jc w:val="right"/>
        <w:rPr>
          <w:rFonts w:ascii="Times New Roman" w:eastAsia="Times New Roman" w:hAnsi="Times New Roman" w:cs="Times New Roman"/>
          <w:bCs/>
          <w:color w:val="000000"/>
          <w:sz w:val="24"/>
          <w:szCs w:val="24"/>
          <w:lang w:eastAsia="ru-RU"/>
        </w:rPr>
      </w:pPr>
      <w:r w:rsidRPr="00125FAF">
        <w:rPr>
          <w:rFonts w:ascii="Times New Roman" w:eastAsia="Times New Roman" w:hAnsi="Times New Roman" w:cs="Times New Roman"/>
          <w:bCs/>
          <w:color w:val="000000"/>
          <w:sz w:val="24"/>
          <w:szCs w:val="24"/>
          <w:lang w:eastAsia="ru-RU"/>
        </w:rPr>
        <w:t xml:space="preserve">la </w:t>
      </w:r>
      <w:proofErr w:type="spellStart"/>
      <w:r w:rsidRPr="00125FAF">
        <w:rPr>
          <w:rFonts w:ascii="Times New Roman" w:eastAsia="Times New Roman" w:hAnsi="Times New Roman" w:cs="Times New Roman"/>
          <w:bCs/>
          <w:color w:val="000000"/>
          <w:sz w:val="24"/>
          <w:szCs w:val="24"/>
          <w:lang w:eastAsia="ru-RU"/>
        </w:rPr>
        <w:t>Hotărîrea</w:t>
      </w:r>
      <w:proofErr w:type="spellEnd"/>
      <w:r w:rsidRPr="00125FAF">
        <w:rPr>
          <w:rFonts w:ascii="Times New Roman" w:eastAsia="Times New Roman" w:hAnsi="Times New Roman" w:cs="Times New Roman"/>
          <w:bCs/>
          <w:color w:val="000000"/>
          <w:sz w:val="24"/>
          <w:szCs w:val="24"/>
          <w:lang w:eastAsia="ru-RU"/>
        </w:rPr>
        <w:t xml:space="preserve"> Guvernului nr. </w:t>
      </w:r>
    </w:p>
    <w:p w14:paraId="0099C4AF" w14:textId="7390C99A" w:rsidR="00795493" w:rsidRPr="00125FAF" w:rsidRDefault="00795493" w:rsidP="00795493">
      <w:pPr>
        <w:spacing w:before="120" w:after="60" w:line="240" w:lineRule="auto"/>
        <w:jc w:val="right"/>
        <w:rPr>
          <w:rFonts w:ascii="Times New Roman" w:eastAsia="Times New Roman" w:hAnsi="Times New Roman" w:cs="Times New Roman"/>
          <w:bCs/>
          <w:color w:val="000000"/>
          <w:sz w:val="24"/>
          <w:szCs w:val="24"/>
          <w:lang w:eastAsia="ru-RU"/>
        </w:rPr>
      </w:pPr>
      <w:r w:rsidRPr="00125FAF">
        <w:rPr>
          <w:rFonts w:ascii="Times New Roman" w:eastAsia="Times New Roman" w:hAnsi="Times New Roman" w:cs="Times New Roman"/>
          <w:bCs/>
          <w:color w:val="000000"/>
          <w:sz w:val="24"/>
          <w:szCs w:val="24"/>
          <w:lang w:eastAsia="ru-RU"/>
        </w:rPr>
        <w:t>din ..............................202</w:t>
      </w:r>
      <w:r w:rsidR="00E0052F">
        <w:rPr>
          <w:rFonts w:ascii="Times New Roman" w:eastAsia="Times New Roman" w:hAnsi="Times New Roman" w:cs="Times New Roman"/>
          <w:bCs/>
          <w:color w:val="000000"/>
          <w:sz w:val="24"/>
          <w:szCs w:val="24"/>
          <w:lang w:eastAsia="ru-RU"/>
        </w:rPr>
        <w:t>3</w:t>
      </w:r>
    </w:p>
    <w:p w14:paraId="67964F25" w14:textId="77400F4B" w:rsidR="006364B2" w:rsidRPr="00125FAF" w:rsidRDefault="00AD62D8" w:rsidP="00AD6FD5">
      <w:pPr>
        <w:spacing w:after="0" w:line="240" w:lineRule="auto"/>
        <w:jc w:val="center"/>
        <w:rPr>
          <w:rFonts w:ascii="Times New Roman" w:eastAsia="Times New Roman" w:hAnsi="Times New Roman" w:cs="Times New Roman"/>
          <w:b/>
          <w:color w:val="000000"/>
          <w:sz w:val="24"/>
          <w:szCs w:val="24"/>
          <w:lang w:eastAsia="ru-RU"/>
        </w:rPr>
      </w:pPr>
      <w:r w:rsidRPr="00125FAF">
        <w:rPr>
          <w:rFonts w:ascii="Times New Roman" w:eastAsia="Times New Roman" w:hAnsi="Times New Roman" w:cs="Times New Roman"/>
          <w:b/>
          <w:color w:val="000000"/>
          <w:sz w:val="24"/>
          <w:szCs w:val="24"/>
          <w:lang w:eastAsia="ru-RU"/>
        </w:rPr>
        <w:t xml:space="preserve">Impactul </w:t>
      </w:r>
      <w:proofErr w:type="spellStart"/>
      <w:r w:rsidR="006364B2" w:rsidRPr="00125FAF">
        <w:rPr>
          <w:rFonts w:ascii="Times New Roman" w:eastAsia="Times New Roman" w:hAnsi="Times New Roman" w:cs="Times New Roman"/>
          <w:b/>
          <w:color w:val="000000"/>
          <w:sz w:val="24"/>
          <w:szCs w:val="24"/>
          <w:lang w:eastAsia="ru-RU"/>
        </w:rPr>
        <w:t>acţiunil</w:t>
      </w:r>
      <w:r w:rsidR="00B80085">
        <w:rPr>
          <w:rFonts w:ascii="Times New Roman" w:eastAsia="Times New Roman" w:hAnsi="Times New Roman" w:cs="Times New Roman"/>
          <w:b/>
          <w:color w:val="000000"/>
          <w:sz w:val="24"/>
          <w:szCs w:val="24"/>
          <w:lang w:eastAsia="ru-RU"/>
        </w:rPr>
        <w:t>or</w:t>
      </w:r>
      <w:proofErr w:type="spellEnd"/>
      <w:r w:rsidR="006364B2" w:rsidRPr="00125FAF">
        <w:rPr>
          <w:rFonts w:ascii="Times New Roman" w:eastAsia="Times New Roman" w:hAnsi="Times New Roman" w:cs="Times New Roman"/>
          <w:b/>
          <w:color w:val="000000"/>
          <w:sz w:val="24"/>
          <w:szCs w:val="24"/>
          <w:lang w:eastAsia="ru-RU"/>
        </w:rPr>
        <w:t xml:space="preserve"> adecvate</w:t>
      </w:r>
      <w:r w:rsidR="00795493" w:rsidRPr="00125FAF">
        <w:rPr>
          <w:rFonts w:ascii="Times New Roman" w:eastAsia="Times New Roman" w:hAnsi="Times New Roman" w:cs="Times New Roman"/>
          <w:b/>
          <w:color w:val="000000"/>
          <w:sz w:val="24"/>
          <w:szCs w:val="24"/>
          <w:lang w:eastAsia="ru-RU"/>
        </w:rPr>
        <w:t xml:space="preserve"> de atenuare</w:t>
      </w:r>
      <w:r w:rsidR="006364B2" w:rsidRPr="00125FAF">
        <w:rPr>
          <w:rFonts w:ascii="Times New Roman" w:eastAsia="Times New Roman" w:hAnsi="Times New Roman" w:cs="Times New Roman"/>
          <w:b/>
          <w:color w:val="000000"/>
          <w:sz w:val="24"/>
          <w:szCs w:val="24"/>
          <w:lang w:eastAsia="ru-RU"/>
        </w:rPr>
        <w:t xml:space="preserve"> la nivel </w:t>
      </w:r>
      <w:proofErr w:type="spellStart"/>
      <w:r w:rsidR="006364B2" w:rsidRPr="00125FAF">
        <w:rPr>
          <w:rFonts w:ascii="Times New Roman" w:eastAsia="Times New Roman" w:hAnsi="Times New Roman" w:cs="Times New Roman"/>
          <w:b/>
          <w:color w:val="000000"/>
          <w:sz w:val="24"/>
          <w:szCs w:val="24"/>
          <w:lang w:eastAsia="ru-RU"/>
        </w:rPr>
        <w:t>naţional</w:t>
      </w:r>
      <w:proofErr w:type="spellEnd"/>
      <w:r w:rsidR="006364B2" w:rsidRPr="00125FAF">
        <w:rPr>
          <w:rFonts w:ascii="Times New Roman" w:eastAsia="Times New Roman" w:hAnsi="Times New Roman" w:cs="Times New Roman"/>
          <w:b/>
          <w:color w:val="000000"/>
          <w:sz w:val="24"/>
          <w:szCs w:val="24"/>
          <w:lang w:eastAsia="ru-RU"/>
        </w:rPr>
        <w:t xml:space="preserve"> în perioada </w:t>
      </w:r>
      <w:r w:rsidR="009653C9" w:rsidRPr="00125FAF">
        <w:rPr>
          <w:rFonts w:ascii="Times New Roman" w:eastAsia="Times New Roman" w:hAnsi="Times New Roman" w:cs="Times New Roman"/>
          <w:b/>
          <w:color w:val="000000"/>
          <w:sz w:val="24"/>
          <w:szCs w:val="24"/>
          <w:lang w:eastAsia="ru-RU"/>
        </w:rPr>
        <w:t>2021</w:t>
      </w:r>
      <w:r w:rsidR="006364B2" w:rsidRPr="00125FAF">
        <w:rPr>
          <w:rFonts w:ascii="Times New Roman" w:eastAsia="Times New Roman" w:hAnsi="Times New Roman" w:cs="Times New Roman"/>
          <w:b/>
          <w:color w:val="000000"/>
          <w:sz w:val="24"/>
          <w:szCs w:val="24"/>
          <w:lang w:eastAsia="ru-RU"/>
        </w:rPr>
        <w:t>-2030,</w:t>
      </w:r>
    </w:p>
    <w:p w14:paraId="06DD0098" w14:textId="77777777" w:rsidR="0060721D" w:rsidRDefault="006364B2" w:rsidP="0060721D">
      <w:pPr>
        <w:spacing w:after="0" w:line="240" w:lineRule="auto"/>
        <w:jc w:val="center"/>
      </w:pPr>
      <w:r w:rsidRPr="00125FAF">
        <w:rPr>
          <w:rFonts w:ascii="Times New Roman" w:eastAsia="Times New Roman" w:hAnsi="Times New Roman" w:cs="Times New Roman"/>
          <w:b/>
          <w:color w:val="000000"/>
          <w:sz w:val="24"/>
          <w:szCs w:val="24"/>
          <w:lang w:eastAsia="ru-RU"/>
        </w:rPr>
        <w:t>prezentate conform obiectivelor de reducere a emisiilor de gaze cu efect de seră</w:t>
      </w:r>
      <w:r w:rsidR="009B637B" w:rsidRPr="00125FAF">
        <w:rPr>
          <w:rFonts w:ascii="Times New Roman" w:eastAsia="Times New Roman" w:hAnsi="Times New Roman" w:cs="Times New Roman"/>
          <w:sz w:val="24"/>
          <w:szCs w:val="24"/>
          <w:lang w:eastAsia="ru-RU"/>
        </w:rPr>
        <w:fldChar w:fldCharType="begin"/>
      </w:r>
      <w:r w:rsidR="009B637B" w:rsidRPr="00125FAF">
        <w:rPr>
          <w:rFonts w:ascii="Times New Roman" w:eastAsia="Times New Roman" w:hAnsi="Times New Roman" w:cs="Times New Roman"/>
          <w:sz w:val="24"/>
          <w:szCs w:val="24"/>
          <w:lang w:eastAsia="ru-RU"/>
        </w:rPr>
        <w:instrText xml:space="preserve"> LINK </w:instrText>
      </w:r>
      <w:r w:rsidR="002545BD">
        <w:rPr>
          <w:rFonts w:ascii="Times New Roman" w:eastAsia="Times New Roman" w:hAnsi="Times New Roman" w:cs="Times New Roman"/>
          <w:sz w:val="24"/>
          <w:szCs w:val="24"/>
          <w:lang w:eastAsia="ru-RU"/>
        </w:rPr>
        <w:instrText xml:space="preserve">Excel.Sheet.12 "D:\\Flasca\\Scorpan\\LEDS\\2020\\ONG\\Tab 4.1_Anexa 2_SDER_2.xlsx" "Tab 4.1!R5C2:R67C8" </w:instrText>
      </w:r>
      <w:r w:rsidR="009B637B" w:rsidRPr="00125FAF">
        <w:rPr>
          <w:rFonts w:ascii="Times New Roman" w:eastAsia="Times New Roman" w:hAnsi="Times New Roman" w:cs="Times New Roman"/>
          <w:sz w:val="24"/>
          <w:szCs w:val="24"/>
          <w:lang w:eastAsia="ru-RU"/>
        </w:rPr>
        <w:instrText xml:space="preserve">\a \f 5 \h  \* MERGEFORMAT </w:instrText>
      </w:r>
      <w:r w:rsidR="009B637B" w:rsidRPr="00125FAF">
        <w:rPr>
          <w:rFonts w:ascii="Times New Roman" w:eastAsia="Times New Roman" w:hAnsi="Times New Roman" w:cs="Times New Roman"/>
          <w:sz w:val="24"/>
          <w:szCs w:val="24"/>
          <w:lang w:eastAsia="ru-RU"/>
        </w:rPr>
        <w:fldChar w:fldCharType="separate"/>
      </w:r>
    </w:p>
    <w:tbl>
      <w:tblPr>
        <w:tblStyle w:val="Tabelgril"/>
        <w:tblW w:w="14139" w:type="dxa"/>
        <w:tblInd w:w="108" w:type="dxa"/>
        <w:tblLook w:val="04A0" w:firstRow="1" w:lastRow="0" w:firstColumn="1" w:lastColumn="0" w:noHBand="0" w:noVBand="1"/>
      </w:tblPr>
      <w:tblGrid>
        <w:gridCol w:w="500"/>
        <w:gridCol w:w="144"/>
        <w:gridCol w:w="3293"/>
        <w:gridCol w:w="1949"/>
        <w:gridCol w:w="262"/>
        <w:gridCol w:w="9"/>
        <w:gridCol w:w="1611"/>
        <w:gridCol w:w="369"/>
        <w:gridCol w:w="1071"/>
        <w:gridCol w:w="334"/>
        <w:gridCol w:w="3095"/>
        <w:gridCol w:w="1283"/>
        <w:gridCol w:w="219"/>
      </w:tblGrid>
      <w:tr w:rsidR="00F11CCD" w:rsidRPr="0060721D" w14:paraId="31587B26" w14:textId="77777777" w:rsidTr="00F11CCD">
        <w:trPr>
          <w:divId w:val="546725049"/>
          <w:trHeight w:val="570"/>
        </w:trPr>
        <w:tc>
          <w:tcPr>
            <w:tcW w:w="500" w:type="dxa"/>
            <w:vMerge w:val="restart"/>
            <w:hideMark/>
          </w:tcPr>
          <w:p w14:paraId="54B215DB" w14:textId="69874E8A" w:rsidR="0060721D" w:rsidRPr="0060721D" w:rsidRDefault="0060721D" w:rsidP="0060721D">
            <w:pPr>
              <w:jc w:val="center"/>
              <w:rPr>
                <w:rFonts w:ascii="Times New Roman" w:eastAsia="Times New Roman" w:hAnsi="Times New Roman"/>
                <w:b/>
                <w:bCs/>
                <w:lang w:eastAsia="ru-RU"/>
              </w:rPr>
            </w:pPr>
            <w:r w:rsidRPr="0060721D">
              <w:rPr>
                <w:rFonts w:ascii="Times New Roman" w:eastAsia="Times New Roman" w:hAnsi="Times New Roman"/>
                <w:b/>
                <w:bCs/>
                <w:lang w:eastAsia="ru-RU"/>
              </w:rPr>
              <w:t>Nr.</w:t>
            </w:r>
          </w:p>
        </w:tc>
        <w:tc>
          <w:tcPr>
            <w:tcW w:w="3437" w:type="dxa"/>
            <w:gridSpan w:val="2"/>
            <w:vMerge w:val="restart"/>
            <w:hideMark/>
          </w:tcPr>
          <w:p w14:paraId="4EFD4EDF" w14:textId="77777777" w:rsidR="0060721D" w:rsidRPr="0060721D" w:rsidRDefault="0060721D" w:rsidP="0060721D">
            <w:pPr>
              <w:jc w:val="center"/>
              <w:rPr>
                <w:rFonts w:ascii="Times New Roman" w:eastAsia="Times New Roman" w:hAnsi="Times New Roman"/>
                <w:b/>
                <w:bCs/>
                <w:lang w:val="ro-RO" w:eastAsia="ru-RU"/>
              </w:rPr>
            </w:pPr>
            <w:r w:rsidRPr="0060721D">
              <w:rPr>
                <w:rFonts w:ascii="Times New Roman" w:eastAsia="Times New Roman" w:hAnsi="Times New Roman"/>
                <w:b/>
                <w:bCs/>
                <w:lang w:val="es-ES" w:eastAsia="ru-RU"/>
              </w:rPr>
              <w:t>Denumirea acţiunii de atenuare  adecvate la nivel naţional</w:t>
            </w:r>
          </w:p>
        </w:tc>
        <w:tc>
          <w:tcPr>
            <w:tcW w:w="2211" w:type="dxa"/>
            <w:gridSpan w:val="2"/>
            <w:vMerge w:val="restart"/>
            <w:hideMark/>
          </w:tcPr>
          <w:p w14:paraId="66C79275" w14:textId="77777777" w:rsidR="0060721D" w:rsidRPr="0060721D" w:rsidRDefault="0060721D" w:rsidP="0060721D">
            <w:pPr>
              <w:jc w:val="center"/>
              <w:rPr>
                <w:rFonts w:ascii="Times New Roman" w:eastAsia="Times New Roman" w:hAnsi="Times New Roman"/>
                <w:b/>
                <w:bCs/>
                <w:lang w:val="ro-RO" w:eastAsia="ru-RU"/>
              </w:rPr>
            </w:pPr>
            <w:r w:rsidRPr="0060721D">
              <w:rPr>
                <w:rFonts w:ascii="Times New Roman" w:eastAsia="Times New Roman" w:hAnsi="Times New Roman"/>
                <w:b/>
                <w:bCs/>
                <w:lang w:val="es-ES" w:eastAsia="ru-RU"/>
              </w:rPr>
              <w:t>Descrierea succintă a acţiunii de atenuare</w:t>
            </w:r>
          </w:p>
        </w:tc>
        <w:tc>
          <w:tcPr>
            <w:tcW w:w="3060" w:type="dxa"/>
            <w:gridSpan w:val="4"/>
            <w:hideMark/>
          </w:tcPr>
          <w:p w14:paraId="114A7D5B" w14:textId="77777777" w:rsidR="0060721D" w:rsidRPr="0060721D" w:rsidRDefault="0060721D" w:rsidP="0060721D">
            <w:pPr>
              <w:jc w:val="center"/>
              <w:rPr>
                <w:rFonts w:ascii="Times New Roman" w:eastAsia="Times New Roman" w:hAnsi="Times New Roman"/>
                <w:b/>
                <w:bCs/>
                <w:lang w:val="ro-RO" w:eastAsia="ru-RU"/>
              </w:rPr>
            </w:pPr>
            <w:r w:rsidRPr="0060721D">
              <w:rPr>
                <w:rFonts w:ascii="Times New Roman" w:eastAsia="Times New Roman" w:hAnsi="Times New Roman"/>
                <w:b/>
                <w:bCs/>
                <w:lang w:val="es-ES" w:eastAsia="ru-RU"/>
              </w:rPr>
              <w:t>Capacitatea de implementare a acţiunii de atenuare pentru obiectivul:</w:t>
            </w:r>
          </w:p>
        </w:tc>
        <w:tc>
          <w:tcPr>
            <w:tcW w:w="4931" w:type="dxa"/>
            <w:gridSpan w:val="4"/>
            <w:hideMark/>
          </w:tcPr>
          <w:p w14:paraId="71B7C048" w14:textId="77777777" w:rsidR="0060721D" w:rsidRPr="0060721D" w:rsidRDefault="0060721D" w:rsidP="0060721D">
            <w:pPr>
              <w:jc w:val="center"/>
              <w:rPr>
                <w:rFonts w:ascii="Times New Roman" w:eastAsia="Times New Roman" w:hAnsi="Times New Roman"/>
                <w:b/>
                <w:bCs/>
                <w:lang w:val="ro-RO" w:eastAsia="ru-RU"/>
              </w:rPr>
            </w:pPr>
            <w:r w:rsidRPr="0060721D">
              <w:rPr>
                <w:rFonts w:ascii="Times New Roman" w:eastAsia="Times New Roman" w:hAnsi="Times New Roman"/>
                <w:b/>
                <w:bCs/>
                <w:lang w:val="es-ES" w:eastAsia="ru-RU"/>
              </w:rPr>
              <w:t>Reducerile estimative de emisii ale gazelor cu efect de seră pentru obiectivul:</w:t>
            </w:r>
          </w:p>
        </w:tc>
      </w:tr>
      <w:tr w:rsidR="00F11CCD" w:rsidRPr="0060721D" w14:paraId="17C92F54" w14:textId="77777777" w:rsidTr="00F11CCD">
        <w:trPr>
          <w:divId w:val="546725049"/>
          <w:trHeight w:val="585"/>
        </w:trPr>
        <w:tc>
          <w:tcPr>
            <w:tcW w:w="500" w:type="dxa"/>
            <w:vMerge/>
            <w:hideMark/>
          </w:tcPr>
          <w:p w14:paraId="2A793759" w14:textId="77777777" w:rsidR="0060721D" w:rsidRPr="0060721D" w:rsidRDefault="0060721D" w:rsidP="0060721D">
            <w:pPr>
              <w:jc w:val="center"/>
              <w:rPr>
                <w:rFonts w:ascii="Times New Roman" w:eastAsia="Times New Roman" w:hAnsi="Times New Roman"/>
                <w:b/>
                <w:bCs/>
                <w:lang w:eastAsia="ru-RU"/>
              </w:rPr>
            </w:pPr>
          </w:p>
        </w:tc>
        <w:tc>
          <w:tcPr>
            <w:tcW w:w="3437" w:type="dxa"/>
            <w:gridSpan w:val="2"/>
            <w:vMerge/>
            <w:hideMark/>
          </w:tcPr>
          <w:p w14:paraId="074D234F" w14:textId="77777777" w:rsidR="0060721D" w:rsidRPr="0060721D" w:rsidRDefault="0060721D" w:rsidP="0060721D">
            <w:pPr>
              <w:jc w:val="center"/>
              <w:rPr>
                <w:rFonts w:ascii="Times New Roman" w:eastAsia="Times New Roman" w:hAnsi="Times New Roman"/>
                <w:b/>
                <w:bCs/>
                <w:lang w:eastAsia="ru-RU"/>
              </w:rPr>
            </w:pPr>
          </w:p>
        </w:tc>
        <w:tc>
          <w:tcPr>
            <w:tcW w:w="2211" w:type="dxa"/>
            <w:gridSpan w:val="2"/>
            <w:vMerge/>
            <w:hideMark/>
          </w:tcPr>
          <w:p w14:paraId="3550363D" w14:textId="77777777" w:rsidR="0060721D" w:rsidRPr="0060721D" w:rsidRDefault="0060721D" w:rsidP="0060721D">
            <w:pPr>
              <w:jc w:val="center"/>
              <w:rPr>
                <w:rFonts w:ascii="Times New Roman" w:eastAsia="Times New Roman" w:hAnsi="Times New Roman"/>
                <w:b/>
                <w:bCs/>
                <w:lang w:eastAsia="ru-RU"/>
              </w:rPr>
            </w:pPr>
          </w:p>
        </w:tc>
        <w:tc>
          <w:tcPr>
            <w:tcW w:w="1620" w:type="dxa"/>
            <w:gridSpan w:val="2"/>
            <w:hideMark/>
          </w:tcPr>
          <w:p w14:paraId="613D7FE6" w14:textId="77777777" w:rsidR="0060721D" w:rsidRPr="0060721D" w:rsidRDefault="0060721D" w:rsidP="0060721D">
            <w:pPr>
              <w:jc w:val="center"/>
              <w:rPr>
                <w:rFonts w:ascii="Times New Roman" w:eastAsia="Times New Roman" w:hAnsi="Times New Roman"/>
                <w:b/>
                <w:bCs/>
                <w:lang w:val="ro-RO" w:eastAsia="ru-RU"/>
              </w:rPr>
            </w:pPr>
            <w:proofErr w:type="spellStart"/>
            <w:r w:rsidRPr="0060721D">
              <w:rPr>
                <w:rFonts w:ascii="Times New Roman" w:eastAsia="Times New Roman" w:hAnsi="Times New Roman"/>
                <w:b/>
                <w:bCs/>
                <w:lang w:eastAsia="ru-RU"/>
              </w:rPr>
              <w:t>necondiţionat</w:t>
            </w:r>
            <w:proofErr w:type="spellEnd"/>
          </w:p>
        </w:tc>
        <w:tc>
          <w:tcPr>
            <w:tcW w:w="1440" w:type="dxa"/>
            <w:gridSpan w:val="2"/>
            <w:hideMark/>
          </w:tcPr>
          <w:p w14:paraId="0F608E2C" w14:textId="77777777" w:rsidR="0060721D" w:rsidRPr="0060721D" w:rsidRDefault="0060721D" w:rsidP="0060721D">
            <w:pPr>
              <w:ind w:left="-114" w:firstLine="114"/>
              <w:jc w:val="center"/>
              <w:rPr>
                <w:rFonts w:ascii="Times New Roman" w:eastAsia="Times New Roman" w:hAnsi="Times New Roman"/>
                <w:b/>
                <w:bCs/>
                <w:lang w:val="ro-RO" w:eastAsia="ru-RU"/>
              </w:rPr>
            </w:pPr>
            <w:proofErr w:type="spellStart"/>
            <w:r w:rsidRPr="0060721D">
              <w:rPr>
                <w:rFonts w:ascii="Times New Roman" w:eastAsia="Times New Roman" w:hAnsi="Times New Roman"/>
                <w:b/>
                <w:bCs/>
                <w:lang w:eastAsia="ru-RU"/>
              </w:rPr>
              <w:t>condiţionat</w:t>
            </w:r>
            <w:proofErr w:type="spellEnd"/>
            <w:r w:rsidRPr="0060721D">
              <w:rPr>
                <w:rFonts w:ascii="Times New Roman" w:eastAsia="Times New Roman" w:hAnsi="Times New Roman"/>
                <w:b/>
                <w:bCs/>
                <w:lang w:eastAsia="ru-RU"/>
              </w:rPr>
              <w:t xml:space="preserve"> (</w:t>
            </w:r>
            <w:proofErr w:type="spellStart"/>
            <w:r w:rsidRPr="0060721D">
              <w:rPr>
                <w:rFonts w:ascii="Times New Roman" w:eastAsia="Times New Roman" w:hAnsi="Times New Roman"/>
                <w:b/>
                <w:bCs/>
                <w:lang w:eastAsia="ru-RU"/>
              </w:rPr>
              <w:t>adiţional</w:t>
            </w:r>
            <w:proofErr w:type="spellEnd"/>
            <w:r w:rsidRPr="0060721D">
              <w:rPr>
                <w:rFonts w:ascii="Times New Roman" w:eastAsia="Times New Roman" w:hAnsi="Times New Roman"/>
                <w:b/>
                <w:bCs/>
                <w:lang w:eastAsia="ru-RU"/>
              </w:rPr>
              <w:t xml:space="preserve"> la </w:t>
            </w:r>
            <w:proofErr w:type="spellStart"/>
            <w:r w:rsidRPr="0060721D">
              <w:rPr>
                <w:rFonts w:ascii="Times New Roman" w:eastAsia="Times New Roman" w:hAnsi="Times New Roman"/>
                <w:b/>
                <w:bCs/>
                <w:lang w:eastAsia="ru-RU"/>
              </w:rPr>
              <w:t>necondiţionat</w:t>
            </w:r>
            <w:proofErr w:type="spellEnd"/>
            <w:r w:rsidRPr="0060721D">
              <w:rPr>
                <w:rFonts w:ascii="Times New Roman" w:eastAsia="Times New Roman" w:hAnsi="Times New Roman"/>
                <w:b/>
                <w:bCs/>
                <w:lang w:eastAsia="ru-RU"/>
              </w:rPr>
              <w:t>)</w:t>
            </w:r>
          </w:p>
        </w:tc>
        <w:tc>
          <w:tcPr>
            <w:tcW w:w="3429" w:type="dxa"/>
            <w:gridSpan w:val="2"/>
            <w:hideMark/>
          </w:tcPr>
          <w:p w14:paraId="063AEBE1" w14:textId="77777777" w:rsidR="0060721D" w:rsidRPr="0060721D" w:rsidRDefault="0060721D" w:rsidP="0060721D">
            <w:pPr>
              <w:jc w:val="center"/>
              <w:rPr>
                <w:rFonts w:ascii="Times New Roman" w:eastAsia="Times New Roman" w:hAnsi="Times New Roman"/>
                <w:b/>
                <w:bCs/>
                <w:lang w:val="ro-RO" w:eastAsia="ru-RU"/>
              </w:rPr>
            </w:pPr>
            <w:proofErr w:type="spellStart"/>
            <w:r w:rsidRPr="0060721D">
              <w:rPr>
                <w:rFonts w:ascii="Times New Roman" w:eastAsia="Times New Roman" w:hAnsi="Times New Roman"/>
                <w:b/>
                <w:bCs/>
                <w:lang w:eastAsia="ru-RU"/>
              </w:rPr>
              <w:t>necondiţionat</w:t>
            </w:r>
            <w:proofErr w:type="spellEnd"/>
          </w:p>
        </w:tc>
        <w:tc>
          <w:tcPr>
            <w:tcW w:w="1502" w:type="dxa"/>
            <w:gridSpan w:val="2"/>
            <w:hideMark/>
          </w:tcPr>
          <w:p w14:paraId="1D77CB91" w14:textId="77777777" w:rsidR="0060721D" w:rsidRPr="0060721D" w:rsidRDefault="0060721D" w:rsidP="0060721D">
            <w:pPr>
              <w:jc w:val="center"/>
              <w:rPr>
                <w:rFonts w:ascii="Times New Roman" w:eastAsia="Times New Roman" w:hAnsi="Times New Roman"/>
                <w:b/>
                <w:bCs/>
                <w:lang w:val="ro-RO" w:eastAsia="ru-RU"/>
              </w:rPr>
            </w:pPr>
            <w:proofErr w:type="spellStart"/>
            <w:r w:rsidRPr="0060721D">
              <w:rPr>
                <w:rFonts w:ascii="Times New Roman" w:eastAsia="Times New Roman" w:hAnsi="Times New Roman"/>
                <w:b/>
                <w:bCs/>
                <w:lang w:eastAsia="ru-RU"/>
              </w:rPr>
              <w:t>condiţionat</w:t>
            </w:r>
            <w:proofErr w:type="spellEnd"/>
            <w:r w:rsidRPr="0060721D">
              <w:rPr>
                <w:rFonts w:ascii="Times New Roman" w:eastAsia="Times New Roman" w:hAnsi="Times New Roman"/>
                <w:b/>
                <w:bCs/>
                <w:lang w:eastAsia="ru-RU"/>
              </w:rPr>
              <w:t xml:space="preserve"> (</w:t>
            </w:r>
            <w:proofErr w:type="spellStart"/>
            <w:r w:rsidRPr="0060721D">
              <w:rPr>
                <w:rFonts w:ascii="Times New Roman" w:eastAsia="Times New Roman" w:hAnsi="Times New Roman"/>
                <w:b/>
                <w:bCs/>
                <w:lang w:eastAsia="ru-RU"/>
              </w:rPr>
              <w:t>adiţional</w:t>
            </w:r>
            <w:proofErr w:type="spellEnd"/>
            <w:r w:rsidRPr="0060721D">
              <w:rPr>
                <w:rFonts w:ascii="Times New Roman" w:eastAsia="Times New Roman" w:hAnsi="Times New Roman"/>
                <w:b/>
                <w:bCs/>
                <w:lang w:eastAsia="ru-RU"/>
              </w:rPr>
              <w:t xml:space="preserve"> la </w:t>
            </w:r>
            <w:proofErr w:type="spellStart"/>
            <w:r w:rsidRPr="0060721D">
              <w:rPr>
                <w:rFonts w:ascii="Times New Roman" w:eastAsia="Times New Roman" w:hAnsi="Times New Roman"/>
                <w:b/>
                <w:bCs/>
                <w:lang w:eastAsia="ru-RU"/>
              </w:rPr>
              <w:t>necondiţionat</w:t>
            </w:r>
            <w:proofErr w:type="spellEnd"/>
            <w:r w:rsidRPr="0060721D">
              <w:rPr>
                <w:rFonts w:ascii="Times New Roman" w:eastAsia="Times New Roman" w:hAnsi="Times New Roman"/>
                <w:b/>
                <w:bCs/>
                <w:lang w:eastAsia="ru-RU"/>
              </w:rPr>
              <w:t>)</w:t>
            </w:r>
          </w:p>
        </w:tc>
      </w:tr>
      <w:tr w:rsidR="00F11CCD" w:rsidRPr="0060721D" w14:paraId="5661D154" w14:textId="77777777" w:rsidTr="00F11CCD">
        <w:trPr>
          <w:divId w:val="546725049"/>
          <w:trHeight w:val="315"/>
        </w:trPr>
        <w:tc>
          <w:tcPr>
            <w:tcW w:w="500" w:type="dxa"/>
            <w:hideMark/>
          </w:tcPr>
          <w:p w14:paraId="1C295F18" w14:textId="77777777" w:rsidR="0060721D" w:rsidRPr="0060721D" w:rsidRDefault="0060721D" w:rsidP="0060721D">
            <w:pPr>
              <w:jc w:val="center"/>
              <w:rPr>
                <w:rFonts w:ascii="Times New Roman" w:eastAsia="Times New Roman" w:hAnsi="Times New Roman"/>
                <w:b/>
                <w:bCs/>
                <w:lang w:val="ro-RO" w:eastAsia="ru-RU"/>
              </w:rPr>
            </w:pPr>
            <w:r w:rsidRPr="0060721D">
              <w:rPr>
                <w:rFonts w:ascii="Times New Roman" w:eastAsia="Times New Roman" w:hAnsi="Times New Roman"/>
                <w:b/>
                <w:bCs/>
                <w:lang w:eastAsia="ru-RU"/>
              </w:rPr>
              <w:t>1</w:t>
            </w:r>
          </w:p>
        </w:tc>
        <w:tc>
          <w:tcPr>
            <w:tcW w:w="3437" w:type="dxa"/>
            <w:gridSpan w:val="2"/>
            <w:hideMark/>
          </w:tcPr>
          <w:p w14:paraId="7A31CA52" w14:textId="77777777" w:rsidR="0060721D" w:rsidRPr="0060721D" w:rsidRDefault="0060721D" w:rsidP="0060721D">
            <w:pPr>
              <w:jc w:val="center"/>
              <w:rPr>
                <w:rFonts w:ascii="Times New Roman" w:eastAsia="Times New Roman" w:hAnsi="Times New Roman"/>
                <w:b/>
                <w:bCs/>
                <w:lang w:val="ro-RO" w:eastAsia="ru-RU"/>
              </w:rPr>
            </w:pPr>
            <w:r w:rsidRPr="0060721D">
              <w:rPr>
                <w:rFonts w:ascii="Times New Roman" w:eastAsia="Times New Roman" w:hAnsi="Times New Roman"/>
                <w:b/>
                <w:bCs/>
                <w:lang w:eastAsia="ru-RU"/>
              </w:rPr>
              <w:t>2</w:t>
            </w:r>
          </w:p>
        </w:tc>
        <w:tc>
          <w:tcPr>
            <w:tcW w:w="2211" w:type="dxa"/>
            <w:gridSpan w:val="2"/>
            <w:hideMark/>
          </w:tcPr>
          <w:p w14:paraId="632BAB3E" w14:textId="77777777" w:rsidR="0060721D" w:rsidRPr="0060721D" w:rsidRDefault="0060721D" w:rsidP="0060721D">
            <w:pPr>
              <w:jc w:val="center"/>
              <w:rPr>
                <w:rFonts w:ascii="Times New Roman" w:eastAsia="Times New Roman" w:hAnsi="Times New Roman"/>
                <w:b/>
                <w:bCs/>
                <w:lang w:val="ro-RO" w:eastAsia="ru-RU"/>
              </w:rPr>
            </w:pPr>
            <w:r w:rsidRPr="0060721D">
              <w:rPr>
                <w:rFonts w:ascii="Times New Roman" w:eastAsia="Times New Roman" w:hAnsi="Times New Roman"/>
                <w:b/>
                <w:bCs/>
                <w:lang w:eastAsia="ru-RU"/>
              </w:rPr>
              <w:t>3</w:t>
            </w:r>
          </w:p>
        </w:tc>
        <w:tc>
          <w:tcPr>
            <w:tcW w:w="1620" w:type="dxa"/>
            <w:gridSpan w:val="2"/>
            <w:hideMark/>
          </w:tcPr>
          <w:p w14:paraId="1D554251" w14:textId="77777777" w:rsidR="0060721D" w:rsidRPr="0060721D" w:rsidRDefault="0060721D" w:rsidP="0060721D">
            <w:pPr>
              <w:jc w:val="center"/>
              <w:rPr>
                <w:rFonts w:ascii="Times New Roman" w:eastAsia="Times New Roman" w:hAnsi="Times New Roman"/>
                <w:b/>
                <w:bCs/>
                <w:lang w:val="ro-RO" w:eastAsia="ru-RU"/>
              </w:rPr>
            </w:pPr>
            <w:r w:rsidRPr="0060721D">
              <w:rPr>
                <w:rFonts w:ascii="Times New Roman" w:eastAsia="Times New Roman" w:hAnsi="Times New Roman"/>
                <w:b/>
                <w:bCs/>
                <w:lang w:eastAsia="ru-RU"/>
              </w:rPr>
              <w:t>4</w:t>
            </w:r>
          </w:p>
        </w:tc>
        <w:tc>
          <w:tcPr>
            <w:tcW w:w="1440" w:type="dxa"/>
            <w:gridSpan w:val="2"/>
            <w:hideMark/>
          </w:tcPr>
          <w:p w14:paraId="6ADDDA44" w14:textId="77777777" w:rsidR="0060721D" w:rsidRPr="0060721D" w:rsidRDefault="0060721D" w:rsidP="0060721D">
            <w:pPr>
              <w:jc w:val="center"/>
              <w:rPr>
                <w:rFonts w:ascii="Times New Roman" w:eastAsia="Times New Roman" w:hAnsi="Times New Roman"/>
                <w:b/>
                <w:bCs/>
                <w:lang w:val="ro-RO" w:eastAsia="ru-RU"/>
              </w:rPr>
            </w:pPr>
            <w:r w:rsidRPr="0060721D">
              <w:rPr>
                <w:rFonts w:ascii="Times New Roman" w:eastAsia="Times New Roman" w:hAnsi="Times New Roman"/>
                <w:b/>
                <w:bCs/>
                <w:lang w:eastAsia="ru-RU"/>
              </w:rPr>
              <w:t>5</w:t>
            </w:r>
          </w:p>
        </w:tc>
        <w:tc>
          <w:tcPr>
            <w:tcW w:w="3429" w:type="dxa"/>
            <w:gridSpan w:val="2"/>
            <w:hideMark/>
          </w:tcPr>
          <w:p w14:paraId="5C0B4F6C" w14:textId="77777777" w:rsidR="0060721D" w:rsidRPr="0060721D" w:rsidRDefault="0060721D" w:rsidP="0060721D">
            <w:pPr>
              <w:jc w:val="center"/>
              <w:rPr>
                <w:rFonts w:ascii="Times New Roman" w:eastAsia="Times New Roman" w:hAnsi="Times New Roman"/>
                <w:b/>
                <w:bCs/>
                <w:lang w:val="ro-RO" w:eastAsia="ru-RU"/>
              </w:rPr>
            </w:pPr>
            <w:r w:rsidRPr="0060721D">
              <w:rPr>
                <w:rFonts w:ascii="Times New Roman" w:eastAsia="Times New Roman" w:hAnsi="Times New Roman"/>
                <w:b/>
                <w:bCs/>
                <w:lang w:eastAsia="ru-RU"/>
              </w:rPr>
              <w:t>6</w:t>
            </w:r>
          </w:p>
        </w:tc>
        <w:tc>
          <w:tcPr>
            <w:tcW w:w="1502" w:type="dxa"/>
            <w:gridSpan w:val="2"/>
            <w:hideMark/>
          </w:tcPr>
          <w:p w14:paraId="38F2D1A7" w14:textId="77777777" w:rsidR="0060721D" w:rsidRPr="0060721D" w:rsidRDefault="0060721D" w:rsidP="0060721D">
            <w:pPr>
              <w:jc w:val="center"/>
              <w:rPr>
                <w:rFonts w:ascii="Times New Roman" w:eastAsia="Times New Roman" w:hAnsi="Times New Roman"/>
                <w:b/>
                <w:bCs/>
                <w:lang w:val="ro-RO" w:eastAsia="ru-RU"/>
              </w:rPr>
            </w:pPr>
            <w:r w:rsidRPr="0060721D">
              <w:rPr>
                <w:rFonts w:ascii="Times New Roman" w:eastAsia="Times New Roman" w:hAnsi="Times New Roman"/>
                <w:b/>
                <w:bCs/>
                <w:lang w:eastAsia="ru-RU"/>
              </w:rPr>
              <w:t>7</w:t>
            </w:r>
          </w:p>
        </w:tc>
      </w:tr>
      <w:tr w:rsidR="002D5884" w:rsidRPr="0060721D" w14:paraId="335CFA5E" w14:textId="370F2E99" w:rsidTr="00F11CCD">
        <w:trPr>
          <w:divId w:val="546725049"/>
          <w:trHeight w:val="1390"/>
        </w:trPr>
        <w:tc>
          <w:tcPr>
            <w:tcW w:w="14139" w:type="dxa"/>
            <w:gridSpan w:val="13"/>
            <w:shd w:val="clear" w:color="auto" w:fill="auto"/>
            <w:hideMark/>
          </w:tcPr>
          <w:p w14:paraId="5C7B7E3E" w14:textId="739741F5" w:rsidR="002D5884" w:rsidRPr="0060721D" w:rsidRDefault="002D5884">
            <w:r w:rsidRPr="0060721D">
              <w:rPr>
                <w:rFonts w:ascii="Times New Roman" w:eastAsia="Times New Roman" w:hAnsi="Times New Roman"/>
                <w:b/>
                <w:bCs/>
                <w:lang w:val="es-ES" w:eastAsia="ru-RU"/>
              </w:rPr>
              <w:t>Obiectivul general.</w:t>
            </w:r>
            <w:r w:rsidRPr="0060721D">
              <w:rPr>
                <w:rFonts w:ascii="Times New Roman" w:eastAsia="Times New Roman" w:hAnsi="Times New Roman"/>
                <w:lang w:val="es-ES" w:eastAsia="ru-RU"/>
              </w:rPr>
              <w:t xml:space="preserve"> Reducerea necondiţionată, pînă în anul 2030, a emisiilor totale naţionale de gaze cu efect de seră nete cu nu mai puţin de 70% comparativ cu nivelul anului 1990, în susţinerea efortului global de menţinere a tendinţei de creştere a temperaturii medii globale, pînă în anul 2100, în limita de pînă la 2°C. Obiectivul de reducere a emisiilor ar putea creşte pînă la 88% în mod condiţionat – în conformitate cu un acord global, care ar aborda teme importante, aşa ca resursele financiare cu costuri reduse, transferul de tehnologii şi cooperarea tehnică, accesul la toate în măsură corespunzătoare cu provocările schimbării globale a climei</w:t>
            </w:r>
          </w:p>
        </w:tc>
      </w:tr>
      <w:tr w:rsidR="002D5884" w:rsidRPr="0060721D" w14:paraId="47473EBC" w14:textId="0E24B71D" w:rsidTr="00F11CCD">
        <w:trPr>
          <w:divId w:val="546725049"/>
          <w:trHeight w:val="600"/>
        </w:trPr>
        <w:tc>
          <w:tcPr>
            <w:tcW w:w="500" w:type="dxa"/>
            <w:hideMark/>
          </w:tcPr>
          <w:p w14:paraId="10FDC97C" w14:textId="77777777" w:rsidR="002D5884" w:rsidRPr="0060721D" w:rsidRDefault="002D5884" w:rsidP="0060721D">
            <w:pPr>
              <w:jc w:val="center"/>
              <w:rPr>
                <w:rFonts w:ascii="Times New Roman" w:eastAsia="Times New Roman" w:hAnsi="Times New Roman"/>
                <w:lang w:eastAsia="ru-RU"/>
              </w:rPr>
            </w:pPr>
            <w:r w:rsidRPr="0060721D">
              <w:rPr>
                <w:rFonts w:ascii="Times New Roman" w:eastAsia="Times New Roman" w:hAnsi="Times New Roman"/>
                <w:lang w:eastAsia="ru-RU"/>
              </w:rPr>
              <w:t>1</w:t>
            </w:r>
          </w:p>
        </w:tc>
        <w:tc>
          <w:tcPr>
            <w:tcW w:w="13639" w:type="dxa"/>
            <w:gridSpan w:val="12"/>
            <w:hideMark/>
          </w:tcPr>
          <w:p w14:paraId="319187B0" w14:textId="40C2BEC4" w:rsidR="002D5884" w:rsidRPr="0060721D" w:rsidRDefault="002D5884">
            <w:r w:rsidRPr="0060721D">
              <w:rPr>
                <w:rFonts w:ascii="Times New Roman" w:eastAsia="Times New Roman" w:hAnsi="Times New Roman"/>
                <w:b/>
                <w:bCs/>
                <w:lang w:val="es-ES" w:eastAsia="ru-RU"/>
              </w:rPr>
              <w:t>Obiectivul specific 1.</w:t>
            </w:r>
            <w:r w:rsidRPr="0060721D">
              <w:rPr>
                <w:rFonts w:ascii="Times New Roman" w:eastAsia="Times New Roman" w:hAnsi="Times New Roman"/>
                <w:lang w:val="es-ES" w:eastAsia="ru-RU"/>
              </w:rPr>
              <w:t xml:space="preserve"> Reducerea necondiţionată, pînă în anul 2030, a emisiilor de gaze cu efect de seră provenite din </w:t>
            </w:r>
            <w:r w:rsidRPr="0060721D">
              <w:rPr>
                <w:rFonts w:ascii="Times New Roman" w:eastAsia="Times New Roman" w:hAnsi="Times New Roman"/>
                <w:b/>
                <w:bCs/>
                <w:lang w:val="es-ES" w:eastAsia="ru-RU"/>
              </w:rPr>
              <w:t>sectorul energetic</w:t>
            </w:r>
            <w:r w:rsidRPr="0060721D">
              <w:rPr>
                <w:rFonts w:ascii="Times New Roman" w:eastAsia="Times New Roman" w:hAnsi="Times New Roman"/>
                <w:lang w:val="es-ES" w:eastAsia="ru-RU"/>
              </w:rPr>
              <w:t xml:space="preserve"> cu 81%  şi reducerea de gaze cu efect de seră condiţionată pînă la 87% comparativ cu anul 1990</w:t>
            </w:r>
          </w:p>
        </w:tc>
      </w:tr>
      <w:tr w:rsidR="00F11CCD" w:rsidRPr="0060721D" w14:paraId="7E046594" w14:textId="77777777" w:rsidTr="00F11CCD">
        <w:trPr>
          <w:divId w:val="546725049"/>
          <w:trHeight w:val="1305"/>
        </w:trPr>
        <w:tc>
          <w:tcPr>
            <w:tcW w:w="500" w:type="dxa"/>
            <w:hideMark/>
          </w:tcPr>
          <w:p w14:paraId="133E8027" w14:textId="260A2781" w:rsidR="0060721D" w:rsidRPr="0060721D" w:rsidRDefault="0060721D" w:rsidP="0060721D">
            <w:pPr>
              <w:jc w:val="center"/>
              <w:rPr>
                <w:rFonts w:ascii="Times New Roman" w:eastAsia="Times New Roman" w:hAnsi="Times New Roman"/>
                <w:lang w:eastAsia="ru-RU"/>
              </w:rPr>
            </w:pPr>
            <w:r w:rsidRPr="0060721D">
              <w:rPr>
                <w:rFonts w:ascii="Times New Roman" w:eastAsia="Times New Roman" w:hAnsi="Times New Roman"/>
                <w:lang w:eastAsia="ru-RU"/>
              </w:rPr>
              <w:t>1</w:t>
            </w:r>
            <w:r w:rsidR="00632744">
              <w:rPr>
                <w:rFonts w:ascii="Times New Roman" w:eastAsia="Times New Roman" w:hAnsi="Times New Roman"/>
                <w:lang w:eastAsia="ru-RU"/>
              </w:rPr>
              <w:t>.</w:t>
            </w:r>
            <w:r w:rsidRPr="0060721D">
              <w:rPr>
                <w:rFonts w:ascii="Times New Roman" w:eastAsia="Times New Roman" w:hAnsi="Times New Roman"/>
                <w:lang w:eastAsia="ru-RU"/>
              </w:rPr>
              <w:t>1</w:t>
            </w:r>
          </w:p>
        </w:tc>
        <w:tc>
          <w:tcPr>
            <w:tcW w:w="3437" w:type="dxa"/>
            <w:gridSpan w:val="2"/>
            <w:hideMark/>
          </w:tcPr>
          <w:p w14:paraId="5FC70114" w14:textId="77777777" w:rsidR="0060721D" w:rsidRPr="0060721D" w:rsidRDefault="0060721D" w:rsidP="0060721D">
            <w:pPr>
              <w:rPr>
                <w:rFonts w:ascii="Times New Roman" w:hAnsi="Times New Roman"/>
              </w:rPr>
            </w:pPr>
            <w:r w:rsidRPr="0060721D">
              <w:rPr>
                <w:rFonts w:ascii="Times New Roman" w:eastAsia="Times New Roman" w:hAnsi="Times New Roman"/>
                <w:lang w:val="es-ES" w:eastAsia="ru-RU"/>
              </w:rPr>
              <w:t>Promovarea şi instalarea cazanelor pe gaze naturale</w:t>
            </w:r>
            <w:r w:rsidRPr="0060721D">
              <w:rPr>
                <w:rFonts w:ascii="Times New Roman" w:eastAsia="Times New Roman" w:hAnsi="Times New Roman"/>
                <w:lang w:val="ro-RO" w:eastAsia="ru-RU"/>
              </w:rPr>
              <w:t xml:space="preserve"> </w:t>
            </w:r>
            <w:r w:rsidRPr="0060721D">
              <w:rPr>
                <w:rFonts w:ascii="Times New Roman" w:hAnsi="Times New Roman"/>
              </w:rPr>
              <w:t xml:space="preserve">cu </w:t>
            </w:r>
            <w:proofErr w:type="spellStart"/>
            <w:r w:rsidRPr="0060721D">
              <w:rPr>
                <w:rFonts w:ascii="Times New Roman" w:hAnsi="Times New Roman"/>
              </w:rPr>
              <w:t>condensare</w:t>
            </w:r>
            <w:proofErr w:type="spellEnd"/>
          </w:p>
        </w:tc>
        <w:tc>
          <w:tcPr>
            <w:tcW w:w="2211" w:type="dxa"/>
            <w:gridSpan w:val="2"/>
            <w:hideMark/>
          </w:tcPr>
          <w:p w14:paraId="70813CD8" w14:textId="77777777" w:rsidR="0060721D" w:rsidRPr="0060721D" w:rsidRDefault="0060721D" w:rsidP="0060721D">
            <w:pPr>
              <w:rPr>
                <w:rFonts w:ascii="Times New Roman" w:eastAsia="Times New Roman" w:hAnsi="Times New Roman"/>
                <w:lang w:val="es-ES" w:eastAsia="ru-RU"/>
              </w:rPr>
            </w:pPr>
            <w:r w:rsidRPr="0060721D">
              <w:rPr>
                <w:rFonts w:ascii="Times New Roman" w:eastAsia="Times New Roman" w:hAnsi="Times New Roman"/>
                <w:lang w:val="es-ES" w:eastAsia="ru-RU"/>
              </w:rPr>
              <w:t xml:space="preserve">În cazanele pe gaze naturale cu condensare se utilizează căldura latentă a condensării vaporilor din gazelor arse, astfel majorîndu-se randamentul cazanului cu 10-15 %, în comparaţie cu cazanele pe gaze naturale obişnuite. Puterea termică a acestor cazane este de pînă la 100 kW. Astfel de cazane se utilizează la încălzirea </w:t>
            </w:r>
            <w:r w:rsidRPr="0060721D">
              <w:rPr>
                <w:rFonts w:ascii="Times New Roman" w:eastAsia="Times New Roman" w:hAnsi="Times New Roman"/>
                <w:lang w:val="es-ES" w:eastAsia="ru-RU"/>
              </w:rPr>
              <w:lastRenderedPageBreak/>
              <w:t>locuinţelor, oficiilor şi a altor spaţii</w:t>
            </w:r>
          </w:p>
        </w:tc>
        <w:tc>
          <w:tcPr>
            <w:tcW w:w="1620" w:type="dxa"/>
            <w:gridSpan w:val="2"/>
            <w:hideMark/>
          </w:tcPr>
          <w:p w14:paraId="29082FD8" w14:textId="77777777" w:rsidR="0060721D" w:rsidRPr="0060721D" w:rsidRDefault="0060721D" w:rsidP="0060721D">
            <w:pPr>
              <w:jc w:val="center"/>
              <w:rPr>
                <w:rFonts w:ascii="Times New Roman" w:hAnsi="Times New Roman"/>
              </w:rPr>
            </w:pPr>
            <w:r w:rsidRPr="0060721D">
              <w:rPr>
                <w:rFonts w:ascii="Times New Roman" w:eastAsia="Times New Roman" w:hAnsi="Times New Roman"/>
                <w:lang w:val="es-ES" w:eastAsia="ru-RU"/>
              </w:rPr>
              <w:lastRenderedPageBreak/>
              <w:t>Prin</w:t>
            </w:r>
            <w:r w:rsidRPr="0060721D">
              <w:rPr>
                <w:rFonts w:ascii="Times New Roman" w:hAnsi="Times New Roman"/>
              </w:rPr>
              <w:t xml:space="preserve"> </w:t>
            </w:r>
            <w:proofErr w:type="spellStart"/>
            <w:r w:rsidRPr="0060721D">
              <w:rPr>
                <w:rFonts w:ascii="Times New Roman" w:hAnsi="Times New Roman"/>
              </w:rPr>
              <w:t>utilizarea</w:t>
            </w:r>
            <w:proofErr w:type="spellEnd"/>
            <w:r w:rsidRPr="0060721D">
              <w:rPr>
                <w:rFonts w:ascii="Times New Roman" w:hAnsi="Times New Roman"/>
              </w:rPr>
              <w:t xml:space="preserve"> </w:t>
            </w:r>
            <w:proofErr w:type="spellStart"/>
            <w:r w:rsidRPr="0060721D">
              <w:rPr>
                <w:rFonts w:ascii="Times New Roman" w:hAnsi="Times New Roman"/>
              </w:rPr>
              <w:t>acestor</w:t>
            </w:r>
            <w:proofErr w:type="spellEnd"/>
            <w:r w:rsidRPr="0060721D">
              <w:rPr>
                <w:rFonts w:ascii="Times New Roman" w:hAnsi="Times New Roman"/>
              </w:rPr>
              <w:t xml:space="preserve"> </w:t>
            </w:r>
            <w:proofErr w:type="spellStart"/>
            <w:r w:rsidRPr="0060721D">
              <w:rPr>
                <w:rFonts w:ascii="Times New Roman" w:hAnsi="Times New Roman"/>
              </w:rPr>
              <w:t>cazane</w:t>
            </w:r>
            <w:proofErr w:type="spellEnd"/>
            <w:r w:rsidRPr="0060721D">
              <w:rPr>
                <w:rFonts w:ascii="Times New Roman" w:hAnsi="Times New Roman"/>
              </w:rPr>
              <w:t xml:space="preserve"> se </w:t>
            </w:r>
            <w:proofErr w:type="spellStart"/>
            <w:r w:rsidRPr="0060721D">
              <w:rPr>
                <w:rFonts w:ascii="Times New Roman" w:hAnsi="Times New Roman"/>
              </w:rPr>
              <w:t>poate</w:t>
            </w:r>
            <w:proofErr w:type="spellEnd"/>
            <w:r w:rsidRPr="0060721D">
              <w:rPr>
                <w:rFonts w:ascii="Times New Roman" w:hAnsi="Times New Roman"/>
              </w:rPr>
              <w:t xml:space="preserve"> de </w:t>
            </w:r>
            <w:proofErr w:type="spellStart"/>
            <w:r w:rsidRPr="0060721D">
              <w:rPr>
                <w:rFonts w:ascii="Times New Roman" w:hAnsi="Times New Roman"/>
              </w:rPr>
              <w:t>substituit</w:t>
            </w:r>
            <w:proofErr w:type="spellEnd"/>
            <w:r w:rsidRPr="0060721D">
              <w:rPr>
                <w:rFonts w:ascii="Times New Roman" w:hAnsi="Times New Roman"/>
              </w:rPr>
              <w:t xml:space="preserve">  ≈6 %  din </w:t>
            </w:r>
            <w:proofErr w:type="spellStart"/>
            <w:r w:rsidRPr="0060721D">
              <w:rPr>
                <w:rFonts w:ascii="Times New Roman" w:hAnsi="Times New Roman"/>
              </w:rPr>
              <w:t>totalul</w:t>
            </w:r>
            <w:proofErr w:type="spellEnd"/>
            <w:r w:rsidRPr="0060721D">
              <w:rPr>
                <w:rFonts w:ascii="Times New Roman" w:hAnsi="Times New Roman"/>
              </w:rPr>
              <w:t xml:space="preserve"> de </w:t>
            </w:r>
            <w:proofErr w:type="spellStart"/>
            <w:r w:rsidRPr="0060721D">
              <w:rPr>
                <w:rFonts w:ascii="Times New Roman" w:hAnsi="Times New Roman"/>
              </w:rPr>
              <w:t>energie</w:t>
            </w:r>
            <w:proofErr w:type="spellEnd"/>
            <w:r w:rsidRPr="0060721D">
              <w:rPr>
                <w:rFonts w:ascii="Times New Roman" w:hAnsi="Times New Roman"/>
              </w:rPr>
              <w:t xml:space="preserve"> </w:t>
            </w:r>
            <w:proofErr w:type="spellStart"/>
            <w:r w:rsidRPr="0060721D">
              <w:rPr>
                <w:rFonts w:ascii="Times New Roman" w:hAnsi="Times New Roman"/>
              </w:rPr>
              <w:t>termică</w:t>
            </w:r>
            <w:proofErr w:type="spellEnd"/>
            <w:r w:rsidRPr="0060721D">
              <w:rPr>
                <w:rFonts w:ascii="Times New Roman" w:hAnsi="Times New Roman"/>
              </w:rPr>
              <w:t xml:space="preserve"> </w:t>
            </w:r>
            <w:proofErr w:type="spellStart"/>
            <w:r w:rsidRPr="0060721D">
              <w:rPr>
                <w:rFonts w:ascii="Times New Roman" w:hAnsi="Times New Roman"/>
              </w:rPr>
              <w:t>primară</w:t>
            </w:r>
            <w:proofErr w:type="spellEnd"/>
            <w:r w:rsidRPr="0060721D">
              <w:rPr>
                <w:rFonts w:ascii="Times New Roman" w:hAnsi="Times New Roman"/>
              </w:rPr>
              <w:t xml:space="preserve"> </w:t>
            </w:r>
            <w:proofErr w:type="spellStart"/>
            <w:r w:rsidRPr="0060721D">
              <w:rPr>
                <w:rFonts w:ascii="Times New Roman" w:hAnsi="Times New Roman"/>
              </w:rPr>
              <w:t>necesară</w:t>
            </w:r>
            <w:proofErr w:type="spellEnd"/>
            <w:r w:rsidRPr="0060721D">
              <w:rPr>
                <w:rFonts w:ascii="Times New Roman" w:hAnsi="Times New Roman"/>
              </w:rPr>
              <w:t xml:space="preserve"> </w:t>
            </w:r>
            <w:proofErr w:type="spellStart"/>
            <w:r w:rsidRPr="0060721D">
              <w:rPr>
                <w:rFonts w:ascii="Times New Roman" w:hAnsi="Times New Roman"/>
              </w:rPr>
              <w:t>clădirilor</w:t>
            </w:r>
            <w:proofErr w:type="spellEnd"/>
            <w:r w:rsidRPr="0060721D">
              <w:rPr>
                <w:rFonts w:ascii="Times New Roman" w:hAnsi="Times New Roman"/>
              </w:rPr>
              <w:t xml:space="preserve"> </w:t>
            </w:r>
            <w:proofErr w:type="spellStart"/>
            <w:r w:rsidRPr="0060721D">
              <w:rPr>
                <w:rFonts w:ascii="Times New Roman" w:hAnsi="Times New Roman"/>
              </w:rPr>
              <w:t>pînă</w:t>
            </w:r>
            <w:proofErr w:type="spellEnd"/>
            <w:r w:rsidRPr="0060721D">
              <w:rPr>
                <w:rFonts w:ascii="Times New Roman" w:hAnsi="Times New Roman"/>
              </w:rPr>
              <w:t xml:space="preserve"> </w:t>
            </w:r>
            <w:proofErr w:type="spellStart"/>
            <w:r w:rsidRPr="0060721D">
              <w:rPr>
                <w:rFonts w:ascii="Times New Roman" w:hAnsi="Times New Roman"/>
              </w:rPr>
              <w:t>în</w:t>
            </w:r>
            <w:proofErr w:type="spellEnd"/>
            <w:r w:rsidRPr="0060721D">
              <w:rPr>
                <w:rFonts w:ascii="Times New Roman" w:hAnsi="Times New Roman"/>
              </w:rPr>
              <w:t xml:space="preserve"> </w:t>
            </w:r>
            <w:proofErr w:type="spellStart"/>
            <w:r w:rsidRPr="0060721D">
              <w:rPr>
                <w:rFonts w:ascii="Times New Roman" w:hAnsi="Times New Roman"/>
              </w:rPr>
              <w:t>anul</w:t>
            </w:r>
            <w:proofErr w:type="spellEnd"/>
            <w:r w:rsidRPr="0060721D">
              <w:rPr>
                <w:rFonts w:ascii="Times New Roman" w:hAnsi="Times New Roman"/>
              </w:rPr>
              <w:t xml:space="preserve"> 2030 (</w:t>
            </w:r>
            <w:proofErr w:type="spellStart"/>
            <w:r w:rsidRPr="0060721D">
              <w:rPr>
                <w:rFonts w:ascii="Times New Roman" w:hAnsi="Times New Roman"/>
              </w:rPr>
              <w:t>cca</w:t>
            </w:r>
            <w:proofErr w:type="spellEnd"/>
            <w:r w:rsidRPr="0060721D">
              <w:rPr>
                <w:rFonts w:ascii="Times New Roman" w:hAnsi="Times New Roman"/>
              </w:rPr>
              <w:t xml:space="preserve"> 2,61 PJ) </w:t>
            </w:r>
          </w:p>
        </w:tc>
        <w:tc>
          <w:tcPr>
            <w:tcW w:w="1440" w:type="dxa"/>
            <w:gridSpan w:val="2"/>
            <w:noWrap/>
            <w:hideMark/>
          </w:tcPr>
          <w:p w14:paraId="3A20313C" w14:textId="77777777" w:rsidR="0060721D" w:rsidRPr="0060721D" w:rsidRDefault="0060721D" w:rsidP="0060721D">
            <w:pPr>
              <w:jc w:val="center"/>
              <w:rPr>
                <w:rFonts w:ascii="Times New Roman" w:eastAsia="Times New Roman" w:hAnsi="Times New Roman"/>
                <w:lang w:val="es-ES" w:eastAsia="ru-RU"/>
              </w:rPr>
            </w:pPr>
            <w:r w:rsidRPr="0060721D">
              <w:rPr>
                <w:rFonts w:ascii="Times New Roman" w:eastAsia="Times New Roman" w:hAnsi="Times New Roman"/>
                <w:lang w:val="es-ES" w:eastAsia="ru-RU"/>
              </w:rPr>
              <w:t> </w:t>
            </w:r>
          </w:p>
        </w:tc>
        <w:tc>
          <w:tcPr>
            <w:tcW w:w="3429" w:type="dxa"/>
            <w:gridSpan w:val="2"/>
            <w:hideMark/>
          </w:tcPr>
          <w:p w14:paraId="000D9461" w14:textId="77777777" w:rsidR="0060721D" w:rsidRPr="0060721D" w:rsidRDefault="0060721D" w:rsidP="0060721D">
            <w:pPr>
              <w:jc w:val="center"/>
              <w:rPr>
                <w:rFonts w:ascii="Times New Roman" w:hAnsi="Times New Roman"/>
              </w:rPr>
            </w:pPr>
            <w:r w:rsidRPr="0060721D">
              <w:rPr>
                <w:rFonts w:ascii="Times New Roman" w:eastAsia="Times New Roman" w:hAnsi="Times New Roman"/>
                <w:lang w:val="es-ES" w:eastAsia="ru-RU"/>
              </w:rPr>
              <w:t>19</w:t>
            </w:r>
            <w:r w:rsidRPr="0060721D">
              <w:rPr>
                <w:rFonts w:ascii="Times New Roman" w:hAnsi="Times New Roman"/>
                <w:lang w:val="ro-RO"/>
              </w:rPr>
              <w:t xml:space="preserve"> </w:t>
            </w:r>
            <w:r w:rsidRPr="0060721D">
              <w:rPr>
                <w:rFonts w:ascii="Times New Roman" w:hAnsi="Times New Roman"/>
              </w:rPr>
              <w:t xml:space="preserve">601  tone CO2 </w:t>
            </w:r>
            <w:proofErr w:type="spellStart"/>
            <w:r w:rsidRPr="0060721D">
              <w:rPr>
                <w:rFonts w:ascii="Times New Roman" w:hAnsi="Times New Roman"/>
              </w:rPr>
              <w:t>echivalent</w:t>
            </w:r>
            <w:proofErr w:type="spellEnd"/>
            <w:r w:rsidRPr="0060721D">
              <w:rPr>
                <w:rFonts w:ascii="Times New Roman" w:hAnsi="Times New Roman"/>
              </w:rPr>
              <w:t xml:space="preserve"> </w:t>
            </w:r>
            <w:proofErr w:type="spellStart"/>
            <w:r w:rsidRPr="0060721D">
              <w:rPr>
                <w:rFonts w:ascii="Times New Roman" w:hAnsi="Times New Roman"/>
              </w:rPr>
              <w:t>pînă</w:t>
            </w:r>
            <w:proofErr w:type="spellEnd"/>
            <w:r w:rsidRPr="0060721D">
              <w:rPr>
                <w:rFonts w:ascii="Times New Roman" w:hAnsi="Times New Roman"/>
              </w:rPr>
              <w:t xml:space="preserve"> </w:t>
            </w:r>
            <w:proofErr w:type="spellStart"/>
            <w:r w:rsidRPr="0060721D">
              <w:rPr>
                <w:rFonts w:ascii="Times New Roman" w:hAnsi="Times New Roman"/>
              </w:rPr>
              <w:t>în</w:t>
            </w:r>
            <w:proofErr w:type="spellEnd"/>
            <w:r w:rsidRPr="0060721D">
              <w:rPr>
                <w:rFonts w:ascii="Times New Roman" w:hAnsi="Times New Roman"/>
              </w:rPr>
              <w:t xml:space="preserve"> </w:t>
            </w:r>
            <w:proofErr w:type="spellStart"/>
            <w:r w:rsidRPr="0060721D">
              <w:rPr>
                <w:rFonts w:ascii="Times New Roman" w:hAnsi="Times New Roman"/>
              </w:rPr>
              <w:t>anul</w:t>
            </w:r>
            <w:proofErr w:type="spellEnd"/>
            <w:r w:rsidRPr="0060721D">
              <w:rPr>
                <w:rFonts w:ascii="Times New Roman" w:hAnsi="Times New Roman"/>
              </w:rPr>
              <w:t xml:space="preserve"> 2030</w:t>
            </w:r>
          </w:p>
        </w:tc>
        <w:tc>
          <w:tcPr>
            <w:tcW w:w="1502" w:type="dxa"/>
            <w:gridSpan w:val="2"/>
            <w:hideMark/>
          </w:tcPr>
          <w:p w14:paraId="24020EF4" w14:textId="77777777" w:rsidR="0060721D" w:rsidRPr="0060721D" w:rsidRDefault="0060721D" w:rsidP="0060721D">
            <w:pPr>
              <w:jc w:val="center"/>
              <w:rPr>
                <w:rFonts w:ascii="Times New Roman" w:eastAsia="Times New Roman" w:hAnsi="Times New Roman"/>
                <w:lang w:val="es-ES" w:eastAsia="ru-RU"/>
              </w:rPr>
            </w:pPr>
            <w:r w:rsidRPr="0060721D">
              <w:rPr>
                <w:rFonts w:ascii="Times New Roman" w:eastAsia="Times New Roman" w:hAnsi="Times New Roman"/>
                <w:lang w:val="es-ES" w:eastAsia="ru-RU"/>
              </w:rPr>
              <w:t> </w:t>
            </w:r>
          </w:p>
        </w:tc>
      </w:tr>
      <w:tr w:rsidR="00F11CCD" w:rsidRPr="0060721D" w14:paraId="38FDC885" w14:textId="77777777" w:rsidTr="00F11CCD">
        <w:trPr>
          <w:divId w:val="546725049"/>
          <w:trHeight w:val="1380"/>
        </w:trPr>
        <w:tc>
          <w:tcPr>
            <w:tcW w:w="500" w:type="dxa"/>
            <w:hideMark/>
          </w:tcPr>
          <w:p w14:paraId="09B9DC6D" w14:textId="3D5D78BD" w:rsidR="0060721D" w:rsidRPr="0060721D" w:rsidRDefault="0060721D" w:rsidP="0060721D">
            <w:pPr>
              <w:jc w:val="center"/>
              <w:rPr>
                <w:rFonts w:ascii="Times New Roman" w:eastAsia="Times New Roman" w:hAnsi="Times New Roman"/>
                <w:lang w:val="ro-RO" w:eastAsia="ru-RU"/>
              </w:rPr>
            </w:pPr>
            <w:r w:rsidRPr="0060721D">
              <w:rPr>
                <w:rFonts w:ascii="Times New Roman" w:eastAsia="Times New Roman" w:hAnsi="Times New Roman"/>
                <w:lang w:eastAsia="ru-RU"/>
              </w:rPr>
              <w:t>1</w:t>
            </w:r>
            <w:r w:rsidR="00632744">
              <w:rPr>
                <w:rFonts w:ascii="Times New Roman" w:eastAsia="Times New Roman" w:hAnsi="Times New Roman"/>
                <w:lang w:eastAsia="ru-RU"/>
              </w:rPr>
              <w:t>.</w:t>
            </w:r>
            <w:r w:rsidRPr="0060721D">
              <w:rPr>
                <w:rFonts w:ascii="Times New Roman" w:eastAsia="Times New Roman" w:hAnsi="Times New Roman"/>
                <w:lang w:eastAsia="ru-RU"/>
              </w:rPr>
              <w:t>2</w:t>
            </w:r>
          </w:p>
        </w:tc>
        <w:tc>
          <w:tcPr>
            <w:tcW w:w="3437" w:type="dxa"/>
            <w:gridSpan w:val="2"/>
            <w:hideMark/>
          </w:tcPr>
          <w:p w14:paraId="3A49E63D" w14:textId="77777777" w:rsidR="0060721D" w:rsidRPr="0060721D" w:rsidRDefault="0060721D" w:rsidP="0060721D">
            <w:pPr>
              <w:rPr>
                <w:rFonts w:ascii="Times New Roman" w:eastAsia="Times New Roman" w:hAnsi="Times New Roman"/>
                <w:lang w:val="es-ES" w:eastAsia="ru-RU"/>
              </w:rPr>
            </w:pPr>
            <w:r w:rsidRPr="0060721D">
              <w:rPr>
                <w:rFonts w:ascii="Times New Roman" w:eastAsia="Times New Roman" w:hAnsi="Times New Roman"/>
                <w:lang w:val="es-ES" w:eastAsia="ru-RU"/>
              </w:rPr>
              <w:t>Construcţia interconexiunilor electrice cu sistemul electroenergetic  ENTSO-E</w:t>
            </w:r>
          </w:p>
        </w:tc>
        <w:tc>
          <w:tcPr>
            <w:tcW w:w="2211" w:type="dxa"/>
            <w:gridSpan w:val="2"/>
            <w:hideMark/>
          </w:tcPr>
          <w:p w14:paraId="4012852E" w14:textId="77777777" w:rsidR="0060721D" w:rsidRPr="0060721D" w:rsidRDefault="0060721D" w:rsidP="0060721D">
            <w:pPr>
              <w:rPr>
                <w:rFonts w:ascii="Times New Roman" w:hAnsi="Times New Roman"/>
              </w:rPr>
            </w:pPr>
            <w:r w:rsidRPr="0060721D">
              <w:rPr>
                <w:rFonts w:ascii="Times New Roman" w:eastAsia="Times New Roman" w:hAnsi="Times New Roman"/>
                <w:lang w:val="es-ES" w:eastAsia="ru-RU"/>
              </w:rPr>
              <w:t xml:space="preserve">Se prevede construcţia interconexiunilor cu sistemul electroenergetic al României, care va permite funcţionarea în paralel a sistemelor electrice est-vest din regiunea Republicii Moldova. Producătorii şi furnizorii din Ucraina şi CTEM vor putea participa, alături de furnizorii din Europa de Vest, la vînzarea energiei electrice pe piaţa competitivă de energie </w:t>
            </w:r>
            <w:r w:rsidRPr="0060721D">
              <w:rPr>
                <w:rFonts w:ascii="Times New Roman" w:hAnsi="Times New Roman"/>
                <w:lang w:val="es-ES"/>
              </w:rPr>
              <w:t>electrică</w:t>
            </w:r>
            <w:r w:rsidRPr="0060721D">
              <w:rPr>
                <w:rFonts w:ascii="Times New Roman" w:hAnsi="Times New Roman"/>
              </w:rPr>
              <w:t xml:space="preserve"> din </w:t>
            </w:r>
            <w:proofErr w:type="spellStart"/>
            <w:r w:rsidRPr="0060721D">
              <w:rPr>
                <w:rFonts w:ascii="Times New Roman" w:hAnsi="Times New Roman"/>
              </w:rPr>
              <w:t>Republica</w:t>
            </w:r>
            <w:proofErr w:type="spellEnd"/>
            <w:r w:rsidRPr="0060721D">
              <w:rPr>
                <w:rFonts w:ascii="Times New Roman" w:hAnsi="Times New Roman"/>
              </w:rPr>
              <w:t xml:space="preserve"> Moldova, precum </w:t>
            </w:r>
            <w:proofErr w:type="spellStart"/>
            <w:r w:rsidRPr="0060721D">
              <w:rPr>
                <w:rFonts w:ascii="Times New Roman" w:hAnsi="Times New Roman"/>
              </w:rPr>
              <w:t>şi</w:t>
            </w:r>
            <w:proofErr w:type="spellEnd"/>
            <w:r w:rsidRPr="0060721D">
              <w:rPr>
                <w:rFonts w:ascii="Times New Roman" w:hAnsi="Times New Roman"/>
              </w:rPr>
              <w:t xml:space="preserve"> din </w:t>
            </w:r>
            <w:proofErr w:type="spellStart"/>
            <w:r w:rsidRPr="0060721D">
              <w:rPr>
                <w:rFonts w:ascii="Times New Roman" w:hAnsi="Times New Roman"/>
              </w:rPr>
              <w:t>regiune</w:t>
            </w:r>
            <w:proofErr w:type="spellEnd"/>
          </w:p>
        </w:tc>
        <w:tc>
          <w:tcPr>
            <w:tcW w:w="1620" w:type="dxa"/>
            <w:gridSpan w:val="2"/>
            <w:hideMark/>
          </w:tcPr>
          <w:p w14:paraId="218C1971" w14:textId="77777777" w:rsidR="0060721D" w:rsidRPr="0060721D" w:rsidRDefault="0060721D" w:rsidP="0060721D">
            <w:pPr>
              <w:jc w:val="center"/>
              <w:rPr>
                <w:rFonts w:ascii="Times New Roman" w:hAnsi="Times New Roman"/>
              </w:rPr>
            </w:pPr>
            <w:r w:rsidRPr="0060721D">
              <w:rPr>
                <w:rFonts w:ascii="Times New Roman" w:eastAsia="Times New Roman" w:hAnsi="Times New Roman"/>
                <w:lang w:val="es-ES" w:eastAsia="ru-RU"/>
              </w:rPr>
              <w:t> </w:t>
            </w:r>
          </w:p>
        </w:tc>
        <w:tc>
          <w:tcPr>
            <w:tcW w:w="1440" w:type="dxa"/>
            <w:gridSpan w:val="2"/>
            <w:hideMark/>
          </w:tcPr>
          <w:p w14:paraId="16B8D4D4" w14:textId="77777777" w:rsidR="0060721D" w:rsidRPr="0060721D" w:rsidRDefault="0060721D" w:rsidP="0060721D">
            <w:pPr>
              <w:jc w:val="center"/>
              <w:rPr>
                <w:rFonts w:ascii="Times New Roman" w:hAnsi="Times New Roman"/>
              </w:rPr>
            </w:pPr>
            <w:r w:rsidRPr="0060721D">
              <w:rPr>
                <w:rFonts w:ascii="Times New Roman" w:eastAsia="Times New Roman" w:hAnsi="Times New Roman"/>
                <w:lang w:val="es-ES" w:eastAsia="ru-RU"/>
              </w:rPr>
              <w:t xml:space="preserve">Capacitatea de import al energiei electrice: pînă la cca 1000 MW şi </w:t>
            </w:r>
            <w:r w:rsidRPr="0060721D">
              <w:rPr>
                <w:rFonts w:ascii="Times New Roman" w:eastAsia="Times New Roman" w:hAnsi="Times New Roman"/>
                <w:lang w:val="ro-RO" w:eastAsia="ru-RU"/>
              </w:rPr>
              <w:t>5</w:t>
            </w:r>
            <w:r w:rsidRPr="0060721D">
              <w:rPr>
                <w:rFonts w:ascii="Times New Roman" w:hAnsi="Times New Roman"/>
              </w:rPr>
              <w:t xml:space="preserve"> </w:t>
            </w:r>
            <w:proofErr w:type="spellStart"/>
            <w:r w:rsidRPr="0060721D">
              <w:rPr>
                <w:rFonts w:ascii="Times New Roman" w:hAnsi="Times New Roman"/>
              </w:rPr>
              <w:t>mld</w:t>
            </w:r>
            <w:proofErr w:type="spellEnd"/>
            <w:r w:rsidRPr="0060721D">
              <w:rPr>
                <w:rFonts w:ascii="Times New Roman" w:hAnsi="Times New Roman"/>
              </w:rPr>
              <w:t xml:space="preserve"> kWh</w:t>
            </w:r>
          </w:p>
        </w:tc>
        <w:tc>
          <w:tcPr>
            <w:tcW w:w="3429" w:type="dxa"/>
            <w:gridSpan w:val="2"/>
            <w:hideMark/>
          </w:tcPr>
          <w:p w14:paraId="4BC97526" w14:textId="77777777" w:rsidR="0060721D" w:rsidRPr="0060721D" w:rsidRDefault="0060721D" w:rsidP="0060721D">
            <w:pPr>
              <w:jc w:val="center"/>
              <w:rPr>
                <w:rFonts w:ascii="Times New Roman" w:hAnsi="Times New Roman"/>
                <w:lang w:val="ro-RO"/>
              </w:rPr>
            </w:pPr>
            <w:r w:rsidRPr="0060721D">
              <w:rPr>
                <w:rFonts w:ascii="Times New Roman" w:eastAsia="Times New Roman" w:hAnsi="Times New Roman"/>
                <w:lang w:val="es-ES" w:eastAsia="ru-RU"/>
              </w:rPr>
              <w:t> </w:t>
            </w:r>
          </w:p>
        </w:tc>
        <w:tc>
          <w:tcPr>
            <w:tcW w:w="1502" w:type="dxa"/>
            <w:gridSpan w:val="2"/>
            <w:hideMark/>
          </w:tcPr>
          <w:p w14:paraId="0AA00C1F" w14:textId="77777777" w:rsidR="0060721D" w:rsidRPr="0060721D" w:rsidRDefault="0060721D" w:rsidP="0060721D">
            <w:pPr>
              <w:jc w:val="center"/>
              <w:rPr>
                <w:rFonts w:ascii="Times New Roman" w:hAnsi="Times New Roman"/>
              </w:rPr>
            </w:pPr>
            <w:r w:rsidRPr="0060721D">
              <w:rPr>
                <w:rFonts w:ascii="Times New Roman" w:eastAsia="Times New Roman" w:hAnsi="Times New Roman"/>
                <w:lang w:eastAsia="ru-RU"/>
              </w:rPr>
              <w:t xml:space="preserve">Minimum 10% </w:t>
            </w:r>
            <w:proofErr w:type="spellStart"/>
            <w:r w:rsidRPr="0060721D">
              <w:rPr>
                <w:rFonts w:ascii="Times New Roman" w:eastAsia="Times New Roman" w:hAnsi="Times New Roman"/>
                <w:lang w:eastAsia="ru-RU"/>
              </w:rPr>
              <w:t>faţă</w:t>
            </w:r>
            <w:proofErr w:type="spellEnd"/>
            <w:r w:rsidRPr="0060721D">
              <w:rPr>
                <w:rFonts w:ascii="Times New Roman" w:eastAsia="Times New Roman" w:hAnsi="Times New Roman"/>
                <w:lang w:eastAsia="ru-RU"/>
              </w:rPr>
              <w:t xml:space="preserve"> </w:t>
            </w:r>
            <w:r w:rsidRPr="0060721D">
              <w:rPr>
                <w:rFonts w:ascii="Times New Roman" w:eastAsia="Times New Roman" w:hAnsi="Times New Roman"/>
                <w:lang w:val="ro-RO" w:eastAsia="ru-RU"/>
              </w:rPr>
              <w:t>de</w:t>
            </w:r>
            <w:r w:rsidRPr="0060721D">
              <w:rPr>
                <w:rFonts w:ascii="Times New Roman" w:hAnsi="Times New Roman"/>
              </w:rPr>
              <w:t xml:space="preserve"> </w:t>
            </w:r>
            <w:proofErr w:type="spellStart"/>
            <w:r w:rsidRPr="0060721D">
              <w:rPr>
                <w:rFonts w:ascii="Times New Roman" w:hAnsi="Times New Roman"/>
              </w:rPr>
              <w:t>emisiile</w:t>
            </w:r>
            <w:proofErr w:type="spellEnd"/>
            <w:r w:rsidRPr="0060721D">
              <w:rPr>
                <w:rFonts w:ascii="Times New Roman" w:hAnsi="Times New Roman"/>
              </w:rPr>
              <w:t xml:space="preserve"> de CO2 </w:t>
            </w:r>
            <w:proofErr w:type="spellStart"/>
            <w:r w:rsidRPr="0060721D">
              <w:rPr>
                <w:rFonts w:ascii="Times New Roman" w:hAnsi="Times New Roman"/>
              </w:rPr>
              <w:t>în</w:t>
            </w:r>
            <w:proofErr w:type="spellEnd"/>
            <w:r w:rsidRPr="0060721D">
              <w:rPr>
                <w:rFonts w:ascii="Times New Roman" w:hAnsi="Times New Roman"/>
              </w:rPr>
              <w:t xml:space="preserve"> </w:t>
            </w:r>
            <w:proofErr w:type="spellStart"/>
            <w:r w:rsidRPr="0060721D">
              <w:rPr>
                <w:rFonts w:ascii="Times New Roman" w:hAnsi="Times New Roman"/>
              </w:rPr>
              <w:t>scenariul</w:t>
            </w:r>
            <w:proofErr w:type="spellEnd"/>
            <w:r w:rsidRPr="0060721D">
              <w:rPr>
                <w:rFonts w:ascii="Times New Roman" w:hAnsi="Times New Roman"/>
              </w:rPr>
              <w:t xml:space="preserve"> </w:t>
            </w:r>
            <w:proofErr w:type="spellStart"/>
            <w:r w:rsidRPr="0060721D">
              <w:rPr>
                <w:rFonts w:ascii="Times New Roman" w:hAnsi="Times New Roman"/>
              </w:rPr>
              <w:t>liniei</w:t>
            </w:r>
            <w:proofErr w:type="spellEnd"/>
            <w:r w:rsidRPr="0060721D">
              <w:rPr>
                <w:rFonts w:ascii="Times New Roman" w:hAnsi="Times New Roman"/>
              </w:rPr>
              <w:t xml:space="preserve"> de </w:t>
            </w:r>
            <w:proofErr w:type="spellStart"/>
            <w:r w:rsidRPr="0060721D">
              <w:rPr>
                <w:rFonts w:ascii="Times New Roman" w:hAnsi="Times New Roman"/>
              </w:rPr>
              <w:t>bază</w:t>
            </w:r>
            <w:proofErr w:type="spellEnd"/>
            <w:r w:rsidRPr="0060721D">
              <w:rPr>
                <w:rFonts w:ascii="Times New Roman" w:hAnsi="Times New Roman"/>
              </w:rPr>
              <w:t xml:space="preserve">, </w:t>
            </w:r>
            <w:proofErr w:type="spellStart"/>
            <w:r w:rsidRPr="0060721D">
              <w:rPr>
                <w:rFonts w:ascii="Times New Roman" w:hAnsi="Times New Roman"/>
              </w:rPr>
              <w:t>acestea</w:t>
            </w:r>
            <w:proofErr w:type="spellEnd"/>
            <w:r w:rsidRPr="0060721D">
              <w:rPr>
                <w:rFonts w:ascii="Times New Roman" w:hAnsi="Times New Roman"/>
              </w:rPr>
              <w:t xml:space="preserve"> </w:t>
            </w:r>
            <w:proofErr w:type="spellStart"/>
            <w:r w:rsidRPr="0060721D">
              <w:rPr>
                <w:rFonts w:ascii="Times New Roman" w:hAnsi="Times New Roman"/>
              </w:rPr>
              <w:t>fiind</w:t>
            </w:r>
            <w:proofErr w:type="spellEnd"/>
            <w:r w:rsidRPr="0060721D">
              <w:rPr>
                <w:rFonts w:ascii="Times New Roman" w:hAnsi="Times New Roman"/>
              </w:rPr>
              <w:t xml:space="preserve"> </w:t>
            </w:r>
            <w:proofErr w:type="spellStart"/>
            <w:r w:rsidRPr="0060721D">
              <w:rPr>
                <w:rFonts w:ascii="Times New Roman" w:hAnsi="Times New Roman"/>
              </w:rPr>
              <w:t>măsurate</w:t>
            </w:r>
            <w:proofErr w:type="spellEnd"/>
            <w:r w:rsidRPr="0060721D">
              <w:rPr>
                <w:rFonts w:ascii="Times New Roman" w:hAnsi="Times New Roman"/>
              </w:rPr>
              <w:t xml:space="preserve"> la </w:t>
            </w:r>
            <w:proofErr w:type="spellStart"/>
            <w:r w:rsidRPr="0060721D">
              <w:rPr>
                <w:rFonts w:ascii="Times New Roman" w:hAnsi="Times New Roman"/>
              </w:rPr>
              <w:t>nivel</w:t>
            </w:r>
            <w:proofErr w:type="spellEnd"/>
            <w:r w:rsidRPr="0060721D">
              <w:rPr>
                <w:rFonts w:ascii="Times New Roman" w:hAnsi="Times New Roman"/>
              </w:rPr>
              <w:t xml:space="preserve"> regional</w:t>
            </w:r>
          </w:p>
        </w:tc>
      </w:tr>
      <w:tr w:rsidR="00F11CCD" w:rsidRPr="0060721D" w14:paraId="770124D1" w14:textId="77777777" w:rsidTr="00F11CCD">
        <w:trPr>
          <w:divId w:val="546725049"/>
          <w:trHeight w:val="990"/>
        </w:trPr>
        <w:tc>
          <w:tcPr>
            <w:tcW w:w="500" w:type="dxa"/>
            <w:hideMark/>
          </w:tcPr>
          <w:p w14:paraId="7B026630" w14:textId="3A184E3F" w:rsidR="0060721D" w:rsidRPr="0060721D" w:rsidRDefault="0060721D" w:rsidP="0060721D">
            <w:pPr>
              <w:jc w:val="center"/>
              <w:rPr>
                <w:rFonts w:ascii="Times New Roman" w:eastAsia="Times New Roman" w:hAnsi="Times New Roman"/>
                <w:lang w:val="ro-RO" w:eastAsia="ru-RU"/>
              </w:rPr>
            </w:pPr>
            <w:r w:rsidRPr="0060721D">
              <w:rPr>
                <w:rFonts w:ascii="Times New Roman" w:eastAsia="Times New Roman" w:hAnsi="Times New Roman"/>
                <w:lang w:eastAsia="ru-RU"/>
              </w:rPr>
              <w:t>1</w:t>
            </w:r>
            <w:r w:rsidR="00632744">
              <w:rPr>
                <w:rFonts w:ascii="Times New Roman" w:eastAsia="Times New Roman" w:hAnsi="Times New Roman"/>
                <w:lang w:eastAsia="ru-RU"/>
              </w:rPr>
              <w:t>.</w:t>
            </w:r>
            <w:r w:rsidRPr="0060721D">
              <w:rPr>
                <w:rFonts w:ascii="Times New Roman" w:eastAsia="Times New Roman" w:hAnsi="Times New Roman"/>
                <w:lang w:eastAsia="ru-RU"/>
              </w:rPr>
              <w:t>3</w:t>
            </w:r>
          </w:p>
        </w:tc>
        <w:tc>
          <w:tcPr>
            <w:tcW w:w="3437" w:type="dxa"/>
            <w:gridSpan w:val="2"/>
            <w:hideMark/>
          </w:tcPr>
          <w:p w14:paraId="26173168" w14:textId="77777777" w:rsidR="0060721D" w:rsidRPr="0060721D" w:rsidRDefault="0060721D" w:rsidP="0060721D">
            <w:pPr>
              <w:rPr>
                <w:rFonts w:ascii="Times New Roman" w:hAnsi="Times New Roman"/>
              </w:rPr>
            </w:pPr>
            <w:r w:rsidRPr="0060721D">
              <w:rPr>
                <w:rFonts w:ascii="Times New Roman" w:eastAsia="Times New Roman" w:hAnsi="Times New Roman"/>
                <w:lang w:val="es-ES" w:eastAsia="ru-RU"/>
              </w:rPr>
              <w:t xml:space="preserve">Implementarea generării distribuite a energiei electrice, cu aplicarea centralelor electrice de termoficare de înaltă </w:t>
            </w:r>
            <w:proofErr w:type="spellStart"/>
            <w:r w:rsidRPr="0060721D">
              <w:rPr>
                <w:rFonts w:ascii="Times New Roman" w:eastAsia="Times New Roman" w:hAnsi="Times New Roman"/>
                <w:lang w:val="ro-RO" w:eastAsia="ru-RU"/>
              </w:rPr>
              <w:t>eficienţă</w:t>
            </w:r>
            <w:proofErr w:type="spellEnd"/>
            <w:r w:rsidRPr="0060721D">
              <w:rPr>
                <w:rFonts w:ascii="Times New Roman" w:hAnsi="Times New Roman"/>
              </w:rPr>
              <w:t xml:space="preserve">, </w:t>
            </w:r>
            <w:proofErr w:type="spellStart"/>
            <w:r w:rsidRPr="0060721D">
              <w:rPr>
                <w:rFonts w:ascii="Times New Roman" w:hAnsi="Times New Roman"/>
              </w:rPr>
              <w:t>funcţionabile</w:t>
            </w:r>
            <w:proofErr w:type="spellEnd"/>
            <w:r w:rsidRPr="0060721D">
              <w:rPr>
                <w:rFonts w:ascii="Times New Roman" w:hAnsi="Times New Roman"/>
              </w:rPr>
              <w:t xml:space="preserve"> pe gaze </w:t>
            </w:r>
            <w:proofErr w:type="spellStart"/>
            <w:r w:rsidRPr="0060721D">
              <w:rPr>
                <w:rFonts w:ascii="Times New Roman" w:hAnsi="Times New Roman"/>
              </w:rPr>
              <w:t>naturale</w:t>
            </w:r>
            <w:proofErr w:type="spellEnd"/>
            <w:r w:rsidRPr="0060721D">
              <w:rPr>
                <w:rFonts w:ascii="Times New Roman" w:hAnsi="Times New Roman"/>
              </w:rPr>
              <w:t xml:space="preserve"> </w:t>
            </w:r>
          </w:p>
        </w:tc>
        <w:tc>
          <w:tcPr>
            <w:tcW w:w="2211" w:type="dxa"/>
            <w:gridSpan w:val="2"/>
            <w:hideMark/>
          </w:tcPr>
          <w:p w14:paraId="62CF20E5" w14:textId="77777777" w:rsidR="0060721D" w:rsidRPr="0060721D" w:rsidRDefault="0060721D" w:rsidP="0060721D">
            <w:pPr>
              <w:rPr>
                <w:rFonts w:ascii="Times New Roman" w:hAnsi="Times New Roman"/>
              </w:rPr>
            </w:pPr>
            <w:r w:rsidRPr="0060721D">
              <w:rPr>
                <w:rFonts w:ascii="Times New Roman" w:eastAsia="Times New Roman" w:hAnsi="Times New Roman"/>
                <w:lang w:val="es-ES" w:eastAsia="ru-RU"/>
              </w:rPr>
              <w:t xml:space="preserve">Tehnologia permite atingerea avantajelor de mediu, economice, sociale, precum şi  reducerea dependenţei de importul de combustibil. Producerea combinată a energiei electrice şi termice la </w:t>
            </w:r>
            <w:r w:rsidRPr="0060721D">
              <w:rPr>
                <w:rFonts w:ascii="Times New Roman" w:eastAsia="Times New Roman" w:hAnsi="Times New Roman"/>
                <w:lang w:eastAsia="ru-RU"/>
              </w:rPr>
              <w:t>CET-</w:t>
            </w:r>
            <w:proofErr w:type="spellStart"/>
            <w:r w:rsidRPr="0060721D">
              <w:rPr>
                <w:rFonts w:ascii="Times New Roman" w:eastAsia="Times New Roman" w:hAnsi="Times New Roman"/>
                <w:lang w:eastAsia="ru-RU"/>
              </w:rPr>
              <w:t>uri</w:t>
            </w:r>
            <w:proofErr w:type="spellEnd"/>
            <w:r w:rsidRPr="0060721D">
              <w:rPr>
                <w:rFonts w:ascii="Times New Roman" w:hAnsi="Times New Roman"/>
              </w:rPr>
              <w:t xml:space="preserve"> de capacitate </w:t>
            </w:r>
            <w:proofErr w:type="spellStart"/>
            <w:r w:rsidRPr="0060721D">
              <w:rPr>
                <w:rFonts w:ascii="Times New Roman" w:hAnsi="Times New Roman"/>
              </w:rPr>
              <w:t>mică</w:t>
            </w:r>
            <w:proofErr w:type="spellEnd"/>
            <w:r w:rsidRPr="0060721D">
              <w:rPr>
                <w:rFonts w:ascii="Times New Roman" w:hAnsi="Times New Roman"/>
              </w:rPr>
              <w:t xml:space="preserve"> </w:t>
            </w:r>
            <w:proofErr w:type="spellStart"/>
            <w:r w:rsidRPr="0060721D">
              <w:rPr>
                <w:rFonts w:ascii="Times New Roman" w:hAnsi="Times New Roman"/>
              </w:rPr>
              <w:t>devine</w:t>
            </w:r>
            <w:proofErr w:type="spellEnd"/>
            <w:r w:rsidRPr="0060721D">
              <w:rPr>
                <w:rFonts w:ascii="Times New Roman" w:hAnsi="Times New Roman"/>
              </w:rPr>
              <w:t xml:space="preserve"> </w:t>
            </w:r>
            <w:proofErr w:type="spellStart"/>
            <w:r w:rsidRPr="0060721D">
              <w:rPr>
                <w:rFonts w:ascii="Times New Roman" w:hAnsi="Times New Roman"/>
              </w:rPr>
              <w:t>avantajoasă</w:t>
            </w:r>
            <w:proofErr w:type="spellEnd"/>
            <w:r w:rsidRPr="0060721D">
              <w:rPr>
                <w:rFonts w:ascii="Times New Roman" w:hAnsi="Times New Roman"/>
              </w:rPr>
              <w:t xml:space="preserve"> </w:t>
            </w:r>
            <w:proofErr w:type="spellStart"/>
            <w:r w:rsidRPr="0060721D">
              <w:rPr>
                <w:rFonts w:ascii="Times New Roman" w:hAnsi="Times New Roman"/>
              </w:rPr>
              <w:t>faţă</w:t>
            </w:r>
            <w:proofErr w:type="spellEnd"/>
            <w:r w:rsidRPr="0060721D">
              <w:rPr>
                <w:rFonts w:ascii="Times New Roman" w:hAnsi="Times New Roman"/>
              </w:rPr>
              <w:t xml:space="preserve"> de </w:t>
            </w:r>
            <w:proofErr w:type="spellStart"/>
            <w:r w:rsidRPr="0060721D">
              <w:rPr>
                <w:rFonts w:ascii="Times New Roman" w:hAnsi="Times New Roman"/>
              </w:rPr>
              <w:t>producerile</w:t>
            </w:r>
            <w:proofErr w:type="spellEnd"/>
            <w:r w:rsidRPr="0060721D">
              <w:rPr>
                <w:rFonts w:ascii="Times New Roman" w:hAnsi="Times New Roman"/>
              </w:rPr>
              <w:t xml:space="preserve"> separate a </w:t>
            </w:r>
            <w:proofErr w:type="spellStart"/>
            <w:r w:rsidRPr="0060721D">
              <w:rPr>
                <w:rFonts w:ascii="Times New Roman" w:hAnsi="Times New Roman"/>
              </w:rPr>
              <w:lastRenderedPageBreak/>
              <w:t>acestora</w:t>
            </w:r>
            <w:proofErr w:type="spellEnd"/>
            <w:r w:rsidRPr="0060721D">
              <w:rPr>
                <w:rFonts w:ascii="Times New Roman" w:hAnsi="Times New Roman"/>
              </w:rPr>
              <w:t xml:space="preserve"> </w:t>
            </w:r>
            <w:proofErr w:type="spellStart"/>
            <w:r w:rsidRPr="0060721D">
              <w:rPr>
                <w:rFonts w:ascii="Times New Roman" w:hAnsi="Times New Roman"/>
              </w:rPr>
              <w:t>în</w:t>
            </w:r>
            <w:proofErr w:type="spellEnd"/>
            <w:r w:rsidRPr="0060721D">
              <w:rPr>
                <w:rFonts w:ascii="Times New Roman" w:hAnsi="Times New Roman"/>
              </w:rPr>
              <w:t xml:space="preserve"> </w:t>
            </w:r>
            <w:proofErr w:type="spellStart"/>
            <w:r w:rsidRPr="0060721D">
              <w:rPr>
                <w:rFonts w:ascii="Times New Roman" w:hAnsi="Times New Roman"/>
              </w:rPr>
              <w:t>condiţiile</w:t>
            </w:r>
            <w:proofErr w:type="spellEnd"/>
            <w:r w:rsidRPr="0060721D">
              <w:rPr>
                <w:rFonts w:ascii="Times New Roman" w:hAnsi="Times New Roman"/>
              </w:rPr>
              <w:t xml:space="preserve"> </w:t>
            </w:r>
            <w:proofErr w:type="spellStart"/>
            <w:r w:rsidRPr="0060721D">
              <w:rPr>
                <w:rFonts w:ascii="Times New Roman" w:hAnsi="Times New Roman"/>
              </w:rPr>
              <w:t>în</w:t>
            </w:r>
            <w:proofErr w:type="spellEnd"/>
            <w:r w:rsidRPr="0060721D">
              <w:rPr>
                <w:rFonts w:ascii="Times New Roman" w:hAnsi="Times New Roman"/>
              </w:rPr>
              <w:t xml:space="preserve"> care </w:t>
            </w:r>
            <w:proofErr w:type="spellStart"/>
            <w:r w:rsidRPr="0060721D">
              <w:rPr>
                <w:rFonts w:ascii="Times New Roman" w:hAnsi="Times New Roman"/>
              </w:rPr>
              <w:t>timpul</w:t>
            </w:r>
            <w:proofErr w:type="spellEnd"/>
            <w:r w:rsidRPr="0060721D">
              <w:rPr>
                <w:rFonts w:ascii="Times New Roman" w:hAnsi="Times New Roman"/>
              </w:rPr>
              <w:t xml:space="preserve"> </w:t>
            </w:r>
            <w:proofErr w:type="spellStart"/>
            <w:r w:rsidRPr="0060721D">
              <w:rPr>
                <w:rFonts w:ascii="Times New Roman" w:hAnsi="Times New Roman"/>
              </w:rPr>
              <w:t>utilizării</w:t>
            </w:r>
            <w:proofErr w:type="spellEnd"/>
            <w:r w:rsidRPr="0060721D">
              <w:rPr>
                <w:rFonts w:ascii="Times New Roman" w:hAnsi="Times New Roman"/>
              </w:rPr>
              <w:t xml:space="preserve"> </w:t>
            </w:r>
            <w:proofErr w:type="spellStart"/>
            <w:r w:rsidRPr="0060721D">
              <w:rPr>
                <w:rFonts w:ascii="Times New Roman" w:hAnsi="Times New Roman"/>
              </w:rPr>
              <w:t>puterii</w:t>
            </w:r>
            <w:proofErr w:type="spellEnd"/>
            <w:r w:rsidRPr="0060721D">
              <w:rPr>
                <w:rFonts w:ascii="Times New Roman" w:hAnsi="Times New Roman"/>
              </w:rPr>
              <w:t xml:space="preserve"> </w:t>
            </w:r>
            <w:proofErr w:type="spellStart"/>
            <w:r w:rsidRPr="0060721D">
              <w:rPr>
                <w:rFonts w:ascii="Times New Roman" w:hAnsi="Times New Roman"/>
              </w:rPr>
              <w:t>termice</w:t>
            </w:r>
            <w:proofErr w:type="spellEnd"/>
            <w:r w:rsidRPr="0060721D">
              <w:rPr>
                <w:rFonts w:ascii="Times New Roman" w:hAnsi="Times New Roman"/>
              </w:rPr>
              <w:t xml:space="preserve"> </w:t>
            </w:r>
            <w:proofErr w:type="spellStart"/>
            <w:r w:rsidRPr="0060721D">
              <w:rPr>
                <w:rFonts w:ascii="Times New Roman" w:hAnsi="Times New Roman"/>
              </w:rPr>
              <w:t>maxime</w:t>
            </w:r>
            <w:proofErr w:type="spellEnd"/>
            <w:r w:rsidRPr="0060721D">
              <w:rPr>
                <w:rFonts w:ascii="Times New Roman" w:hAnsi="Times New Roman"/>
              </w:rPr>
              <w:t xml:space="preserve"> </w:t>
            </w:r>
            <w:proofErr w:type="spellStart"/>
            <w:r w:rsidRPr="0060721D">
              <w:rPr>
                <w:rFonts w:ascii="Times New Roman" w:hAnsi="Times New Roman"/>
              </w:rPr>
              <w:t>depăşeşte</w:t>
            </w:r>
            <w:proofErr w:type="spellEnd"/>
            <w:r w:rsidRPr="0060721D">
              <w:rPr>
                <w:rFonts w:ascii="Times New Roman" w:hAnsi="Times New Roman"/>
              </w:rPr>
              <w:t xml:space="preserve"> 4 500 ore    </w:t>
            </w:r>
          </w:p>
        </w:tc>
        <w:tc>
          <w:tcPr>
            <w:tcW w:w="1620" w:type="dxa"/>
            <w:gridSpan w:val="2"/>
            <w:hideMark/>
          </w:tcPr>
          <w:p w14:paraId="3F2DE149" w14:textId="77777777" w:rsidR="0060721D" w:rsidRPr="0060721D" w:rsidRDefault="0060721D" w:rsidP="0060721D">
            <w:pPr>
              <w:jc w:val="center"/>
              <w:rPr>
                <w:rFonts w:ascii="Times New Roman" w:hAnsi="Times New Roman"/>
              </w:rPr>
            </w:pPr>
            <w:r w:rsidRPr="0060721D">
              <w:rPr>
                <w:rFonts w:ascii="Times New Roman" w:eastAsia="Times New Roman" w:hAnsi="Times New Roman"/>
                <w:lang w:val="es-ES" w:eastAsia="ru-RU"/>
              </w:rPr>
              <w:lastRenderedPageBreak/>
              <w:t> </w:t>
            </w:r>
          </w:p>
        </w:tc>
        <w:tc>
          <w:tcPr>
            <w:tcW w:w="1440" w:type="dxa"/>
            <w:gridSpan w:val="2"/>
            <w:hideMark/>
          </w:tcPr>
          <w:p w14:paraId="5E287D2B" w14:textId="77777777" w:rsidR="0060721D" w:rsidRPr="0060721D" w:rsidRDefault="0060721D" w:rsidP="0060721D">
            <w:pPr>
              <w:jc w:val="center"/>
              <w:rPr>
                <w:rFonts w:ascii="Times New Roman" w:hAnsi="Times New Roman"/>
              </w:rPr>
            </w:pPr>
            <w:r w:rsidRPr="0060721D">
              <w:rPr>
                <w:rFonts w:ascii="Times New Roman" w:eastAsia="Times New Roman" w:hAnsi="Times New Roman"/>
                <w:lang w:val="es-ES" w:eastAsia="ru-RU"/>
              </w:rPr>
              <w:t>40 de centrale electrice de termoficare mici cu puterea totală de 20</w:t>
            </w:r>
            <w:r w:rsidRPr="0060721D">
              <w:rPr>
                <w:rFonts w:ascii="Times New Roman" w:eastAsia="Times New Roman" w:hAnsi="Times New Roman"/>
                <w:lang w:val="ro-RO" w:eastAsia="ru-RU"/>
              </w:rPr>
              <w:t xml:space="preserve"> </w:t>
            </w:r>
            <w:r w:rsidRPr="0060721D">
              <w:rPr>
                <w:rFonts w:ascii="Times New Roman" w:hAnsi="Times New Roman"/>
              </w:rPr>
              <w:t>MW</w:t>
            </w:r>
          </w:p>
        </w:tc>
        <w:tc>
          <w:tcPr>
            <w:tcW w:w="3429" w:type="dxa"/>
            <w:gridSpan w:val="2"/>
            <w:hideMark/>
          </w:tcPr>
          <w:p w14:paraId="5256B7AE" w14:textId="77777777" w:rsidR="0060721D" w:rsidRPr="0060721D" w:rsidRDefault="0060721D" w:rsidP="0060721D">
            <w:pPr>
              <w:jc w:val="center"/>
              <w:rPr>
                <w:rFonts w:ascii="Times New Roman" w:hAnsi="Times New Roman"/>
                <w:lang w:val="ro-RO"/>
              </w:rPr>
            </w:pPr>
            <w:r w:rsidRPr="0060721D">
              <w:rPr>
                <w:rFonts w:ascii="Times New Roman" w:eastAsia="Times New Roman" w:hAnsi="Times New Roman"/>
                <w:lang w:val="es-ES" w:eastAsia="ru-RU"/>
              </w:rPr>
              <w:t> </w:t>
            </w:r>
          </w:p>
        </w:tc>
        <w:tc>
          <w:tcPr>
            <w:tcW w:w="1502" w:type="dxa"/>
            <w:gridSpan w:val="2"/>
            <w:hideMark/>
          </w:tcPr>
          <w:p w14:paraId="63D17EFA" w14:textId="77777777" w:rsidR="0060721D" w:rsidRPr="0060721D" w:rsidRDefault="0060721D" w:rsidP="0060721D">
            <w:pPr>
              <w:jc w:val="center"/>
              <w:rPr>
                <w:rFonts w:ascii="Times New Roman" w:eastAsia="Times New Roman" w:hAnsi="Times New Roman"/>
                <w:vertAlign w:val="subscript"/>
                <w:lang w:eastAsia="ru-RU"/>
              </w:rPr>
            </w:pPr>
            <w:r w:rsidRPr="0060721D">
              <w:rPr>
                <w:rFonts w:ascii="Times New Roman" w:eastAsia="Times New Roman" w:hAnsi="Times New Roman"/>
                <w:lang w:eastAsia="ru-RU"/>
              </w:rPr>
              <w:t>41 456 tone CO2</w:t>
            </w:r>
          </w:p>
        </w:tc>
      </w:tr>
      <w:tr w:rsidR="00F11CCD" w:rsidRPr="0060721D" w14:paraId="73264AEF" w14:textId="77777777" w:rsidTr="00F11CCD">
        <w:trPr>
          <w:divId w:val="546725049"/>
          <w:trHeight w:val="1635"/>
        </w:trPr>
        <w:tc>
          <w:tcPr>
            <w:tcW w:w="500" w:type="dxa"/>
            <w:hideMark/>
          </w:tcPr>
          <w:p w14:paraId="01EE6AA1" w14:textId="2F48F654" w:rsidR="0060721D" w:rsidRPr="0060721D" w:rsidRDefault="0060721D" w:rsidP="0060721D">
            <w:pPr>
              <w:jc w:val="center"/>
              <w:rPr>
                <w:rFonts w:ascii="Times New Roman" w:eastAsia="Times New Roman" w:hAnsi="Times New Roman"/>
                <w:lang w:val="ro-RO" w:eastAsia="ru-RU"/>
              </w:rPr>
            </w:pPr>
            <w:r w:rsidRPr="0060721D">
              <w:rPr>
                <w:rFonts w:ascii="Times New Roman" w:eastAsia="Times New Roman" w:hAnsi="Times New Roman"/>
                <w:lang w:eastAsia="ru-RU"/>
              </w:rPr>
              <w:t>1</w:t>
            </w:r>
            <w:r w:rsidR="00632744">
              <w:rPr>
                <w:rFonts w:ascii="Times New Roman" w:eastAsia="Times New Roman" w:hAnsi="Times New Roman"/>
                <w:lang w:eastAsia="ru-RU"/>
              </w:rPr>
              <w:t>.</w:t>
            </w:r>
            <w:r w:rsidRPr="0060721D">
              <w:rPr>
                <w:rFonts w:ascii="Times New Roman" w:eastAsia="Times New Roman" w:hAnsi="Times New Roman"/>
                <w:lang w:eastAsia="ru-RU"/>
              </w:rPr>
              <w:t>4</w:t>
            </w:r>
          </w:p>
        </w:tc>
        <w:tc>
          <w:tcPr>
            <w:tcW w:w="3437" w:type="dxa"/>
            <w:gridSpan w:val="2"/>
            <w:hideMark/>
          </w:tcPr>
          <w:p w14:paraId="327D49FA" w14:textId="77777777" w:rsidR="0060721D" w:rsidRPr="0060721D" w:rsidRDefault="0060721D" w:rsidP="0060721D">
            <w:pPr>
              <w:rPr>
                <w:rFonts w:ascii="Times New Roman" w:hAnsi="Times New Roman"/>
              </w:rPr>
            </w:pPr>
            <w:r w:rsidRPr="0060721D">
              <w:rPr>
                <w:rFonts w:ascii="Times New Roman" w:eastAsia="Times New Roman" w:hAnsi="Times New Roman"/>
                <w:lang w:val="es-ES" w:eastAsia="ru-RU"/>
              </w:rPr>
              <w:t>Reducerea pierderilor în sistemul de transport şi distribuţie a</w:t>
            </w:r>
            <w:r w:rsidRPr="0060721D">
              <w:rPr>
                <w:rFonts w:ascii="Times New Roman" w:eastAsia="Times New Roman" w:hAnsi="Times New Roman"/>
                <w:lang w:val="ro-RO" w:eastAsia="ru-RU"/>
              </w:rPr>
              <w:t xml:space="preserve"> </w:t>
            </w:r>
            <w:proofErr w:type="spellStart"/>
            <w:r w:rsidRPr="0060721D">
              <w:rPr>
                <w:rFonts w:ascii="Times New Roman" w:hAnsi="Times New Roman"/>
              </w:rPr>
              <w:t>energiei</w:t>
            </w:r>
            <w:proofErr w:type="spellEnd"/>
            <w:r w:rsidRPr="0060721D">
              <w:rPr>
                <w:rFonts w:ascii="Times New Roman" w:hAnsi="Times New Roman"/>
              </w:rPr>
              <w:t xml:space="preserve"> </w:t>
            </w:r>
            <w:proofErr w:type="spellStart"/>
            <w:r w:rsidRPr="0060721D">
              <w:rPr>
                <w:rFonts w:ascii="Times New Roman" w:hAnsi="Times New Roman"/>
              </w:rPr>
              <w:t>termice</w:t>
            </w:r>
            <w:proofErr w:type="spellEnd"/>
            <w:r w:rsidRPr="0060721D">
              <w:rPr>
                <w:rFonts w:ascii="Times New Roman" w:hAnsi="Times New Roman"/>
              </w:rPr>
              <w:t xml:space="preserve"> </w:t>
            </w:r>
            <w:proofErr w:type="spellStart"/>
            <w:r w:rsidRPr="0060721D">
              <w:rPr>
                <w:rFonts w:ascii="Times New Roman" w:hAnsi="Times New Roman"/>
              </w:rPr>
              <w:t>şi</w:t>
            </w:r>
            <w:proofErr w:type="spellEnd"/>
            <w:r w:rsidRPr="0060721D">
              <w:rPr>
                <w:rFonts w:ascii="Times New Roman" w:hAnsi="Times New Roman"/>
              </w:rPr>
              <w:t xml:space="preserve"> la </w:t>
            </w:r>
            <w:proofErr w:type="spellStart"/>
            <w:r w:rsidRPr="0060721D">
              <w:rPr>
                <w:rFonts w:ascii="Times New Roman" w:hAnsi="Times New Roman"/>
              </w:rPr>
              <w:t>producerea</w:t>
            </w:r>
            <w:proofErr w:type="spellEnd"/>
            <w:r w:rsidRPr="0060721D">
              <w:rPr>
                <w:rFonts w:ascii="Times New Roman" w:hAnsi="Times New Roman"/>
              </w:rPr>
              <w:t xml:space="preserve"> </w:t>
            </w:r>
            <w:proofErr w:type="spellStart"/>
            <w:r w:rsidRPr="0060721D">
              <w:rPr>
                <w:rFonts w:ascii="Times New Roman" w:hAnsi="Times New Roman"/>
              </w:rPr>
              <w:t>acesteia</w:t>
            </w:r>
            <w:proofErr w:type="spellEnd"/>
          </w:p>
        </w:tc>
        <w:tc>
          <w:tcPr>
            <w:tcW w:w="2211" w:type="dxa"/>
            <w:gridSpan w:val="2"/>
            <w:hideMark/>
          </w:tcPr>
          <w:p w14:paraId="0B8BCB1A" w14:textId="77777777" w:rsidR="0060721D" w:rsidRPr="0060721D" w:rsidRDefault="0060721D" w:rsidP="0060721D">
            <w:pPr>
              <w:rPr>
                <w:rFonts w:ascii="Times New Roman" w:eastAsia="Times New Roman" w:hAnsi="Times New Roman"/>
                <w:lang w:val="es-ES" w:eastAsia="ru-RU"/>
              </w:rPr>
            </w:pPr>
            <w:r w:rsidRPr="0060721D">
              <w:rPr>
                <w:rFonts w:ascii="Times New Roman" w:eastAsia="Times New Roman" w:hAnsi="Times New Roman"/>
                <w:lang w:val="es-ES" w:eastAsia="ru-RU"/>
              </w:rPr>
              <w:t>Înlocuirea reţelelor existente cu conducte preizolate, modernizarea punctelor termice, utilizarea sistemelor de reglare automată a regimului termic, modernizarea staţiilor de pompare a reţelelor termice magistrale</w:t>
            </w:r>
          </w:p>
        </w:tc>
        <w:tc>
          <w:tcPr>
            <w:tcW w:w="1620" w:type="dxa"/>
            <w:gridSpan w:val="2"/>
            <w:hideMark/>
          </w:tcPr>
          <w:p w14:paraId="0CFB4F4F" w14:textId="77777777" w:rsidR="0060721D" w:rsidRPr="0060721D" w:rsidRDefault="0060721D" w:rsidP="0060721D">
            <w:pPr>
              <w:jc w:val="center"/>
              <w:rPr>
                <w:rFonts w:ascii="Times New Roman" w:eastAsia="Times New Roman" w:hAnsi="Times New Roman"/>
                <w:lang w:eastAsia="ru-RU"/>
              </w:rPr>
            </w:pPr>
            <w:r w:rsidRPr="0060721D">
              <w:rPr>
                <w:rFonts w:ascii="Times New Roman" w:eastAsia="Times New Roman" w:hAnsi="Times New Roman"/>
                <w:lang w:eastAsia="ru-RU"/>
              </w:rPr>
              <w:t> </w:t>
            </w:r>
          </w:p>
        </w:tc>
        <w:tc>
          <w:tcPr>
            <w:tcW w:w="1440" w:type="dxa"/>
            <w:gridSpan w:val="2"/>
            <w:hideMark/>
          </w:tcPr>
          <w:p w14:paraId="201E3948" w14:textId="77777777" w:rsidR="0060721D" w:rsidRPr="0060721D" w:rsidRDefault="0060721D" w:rsidP="0060721D">
            <w:pPr>
              <w:jc w:val="center"/>
              <w:rPr>
                <w:rFonts w:ascii="Times New Roman" w:hAnsi="Times New Roman"/>
              </w:rPr>
            </w:pPr>
            <w:proofErr w:type="spellStart"/>
            <w:r w:rsidRPr="0060721D">
              <w:rPr>
                <w:rFonts w:ascii="Times New Roman" w:eastAsia="Times New Roman" w:hAnsi="Times New Roman"/>
                <w:lang w:eastAsia="ru-RU"/>
              </w:rPr>
              <w:t>Diminuarea</w:t>
            </w:r>
            <w:proofErr w:type="spellEnd"/>
            <w:r w:rsidRPr="0060721D">
              <w:rPr>
                <w:rFonts w:ascii="Times New Roman" w:eastAsia="Times New Roman" w:hAnsi="Times New Roman"/>
                <w:lang w:eastAsia="ru-RU"/>
              </w:rPr>
              <w:t xml:space="preserve"> </w:t>
            </w:r>
            <w:proofErr w:type="spellStart"/>
            <w:r w:rsidRPr="0060721D">
              <w:rPr>
                <w:rFonts w:ascii="Times New Roman" w:eastAsia="Times New Roman" w:hAnsi="Times New Roman"/>
                <w:lang w:eastAsia="ru-RU"/>
              </w:rPr>
              <w:t>pierderilor</w:t>
            </w:r>
            <w:proofErr w:type="spellEnd"/>
            <w:r w:rsidRPr="0060721D">
              <w:rPr>
                <w:rFonts w:ascii="Times New Roman" w:eastAsia="Times New Roman" w:hAnsi="Times New Roman"/>
                <w:lang w:eastAsia="ru-RU"/>
              </w:rPr>
              <w:t xml:space="preserve"> de </w:t>
            </w:r>
            <w:proofErr w:type="spellStart"/>
            <w:r w:rsidRPr="0060721D">
              <w:rPr>
                <w:rFonts w:ascii="Times New Roman" w:eastAsia="Times New Roman" w:hAnsi="Times New Roman"/>
                <w:lang w:eastAsia="ru-RU"/>
              </w:rPr>
              <w:t>energie</w:t>
            </w:r>
            <w:proofErr w:type="spellEnd"/>
            <w:r w:rsidRPr="0060721D">
              <w:rPr>
                <w:rFonts w:ascii="Times New Roman" w:eastAsia="Times New Roman" w:hAnsi="Times New Roman"/>
                <w:lang w:val="ro-RO" w:eastAsia="ru-RU"/>
              </w:rPr>
              <w:t xml:space="preserve"> </w:t>
            </w:r>
            <w:proofErr w:type="spellStart"/>
            <w:r w:rsidRPr="0060721D">
              <w:rPr>
                <w:rFonts w:ascii="Times New Roman" w:hAnsi="Times New Roman"/>
              </w:rPr>
              <w:t>termică</w:t>
            </w:r>
            <w:proofErr w:type="spellEnd"/>
            <w:r w:rsidRPr="0060721D">
              <w:rPr>
                <w:rFonts w:ascii="Times New Roman" w:hAnsi="Times New Roman"/>
              </w:rPr>
              <w:t xml:space="preserve"> cu  27,9 </w:t>
            </w:r>
            <w:proofErr w:type="spellStart"/>
            <w:r w:rsidRPr="0060721D">
              <w:rPr>
                <w:rFonts w:ascii="Times New Roman" w:hAnsi="Times New Roman"/>
              </w:rPr>
              <w:t>ktep</w:t>
            </w:r>
            <w:proofErr w:type="spellEnd"/>
            <w:r w:rsidRPr="0060721D">
              <w:rPr>
                <w:rFonts w:ascii="Times New Roman" w:hAnsi="Times New Roman"/>
              </w:rPr>
              <w:t xml:space="preserve"> </w:t>
            </w:r>
            <w:proofErr w:type="spellStart"/>
            <w:r w:rsidRPr="0060721D">
              <w:rPr>
                <w:rFonts w:ascii="Times New Roman" w:hAnsi="Times New Roman"/>
              </w:rPr>
              <w:t>până</w:t>
            </w:r>
            <w:proofErr w:type="spellEnd"/>
            <w:r w:rsidRPr="0060721D">
              <w:rPr>
                <w:rFonts w:ascii="Times New Roman" w:hAnsi="Times New Roman"/>
              </w:rPr>
              <w:t xml:space="preserve"> </w:t>
            </w:r>
            <w:proofErr w:type="spellStart"/>
            <w:r w:rsidRPr="0060721D">
              <w:rPr>
                <w:rFonts w:ascii="Times New Roman" w:hAnsi="Times New Roman"/>
              </w:rPr>
              <w:t>în</w:t>
            </w:r>
            <w:proofErr w:type="spellEnd"/>
            <w:r w:rsidRPr="0060721D">
              <w:rPr>
                <w:rFonts w:ascii="Times New Roman" w:hAnsi="Times New Roman"/>
              </w:rPr>
              <w:t xml:space="preserve"> </w:t>
            </w:r>
            <w:proofErr w:type="spellStart"/>
            <w:r w:rsidRPr="0060721D">
              <w:rPr>
                <w:rFonts w:ascii="Times New Roman" w:hAnsi="Times New Roman"/>
              </w:rPr>
              <w:t>anul</w:t>
            </w:r>
            <w:proofErr w:type="spellEnd"/>
            <w:r w:rsidRPr="0060721D">
              <w:rPr>
                <w:rFonts w:ascii="Times New Roman" w:hAnsi="Times New Roman"/>
              </w:rPr>
              <w:t xml:space="preserve"> 2030</w:t>
            </w:r>
          </w:p>
        </w:tc>
        <w:tc>
          <w:tcPr>
            <w:tcW w:w="3429" w:type="dxa"/>
            <w:gridSpan w:val="2"/>
            <w:hideMark/>
          </w:tcPr>
          <w:p w14:paraId="42883FBF" w14:textId="77777777" w:rsidR="0060721D" w:rsidRPr="0060721D" w:rsidRDefault="0060721D" w:rsidP="0060721D">
            <w:pPr>
              <w:jc w:val="center"/>
              <w:rPr>
                <w:rFonts w:ascii="Times New Roman" w:eastAsia="Times New Roman" w:hAnsi="Times New Roman"/>
                <w:lang w:eastAsia="ru-RU"/>
              </w:rPr>
            </w:pPr>
            <w:r w:rsidRPr="0060721D">
              <w:rPr>
                <w:rFonts w:ascii="Times New Roman" w:eastAsia="Times New Roman" w:hAnsi="Times New Roman"/>
                <w:lang w:eastAsia="ru-RU"/>
              </w:rPr>
              <w:t> </w:t>
            </w:r>
          </w:p>
        </w:tc>
        <w:tc>
          <w:tcPr>
            <w:tcW w:w="1502" w:type="dxa"/>
            <w:gridSpan w:val="2"/>
            <w:hideMark/>
          </w:tcPr>
          <w:p w14:paraId="00024BE5" w14:textId="77777777" w:rsidR="0060721D" w:rsidRPr="0060721D" w:rsidRDefault="0060721D" w:rsidP="0060721D">
            <w:pPr>
              <w:jc w:val="center"/>
              <w:rPr>
                <w:rFonts w:ascii="Times New Roman" w:hAnsi="Times New Roman"/>
              </w:rPr>
            </w:pPr>
            <w:r w:rsidRPr="0060721D">
              <w:rPr>
                <w:rFonts w:ascii="Times New Roman" w:eastAsia="Times New Roman" w:hAnsi="Times New Roman"/>
                <w:lang w:eastAsia="ru-RU"/>
              </w:rPr>
              <w:t xml:space="preserve">31 885 tone CO2 </w:t>
            </w:r>
            <w:proofErr w:type="spellStart"/>
            <w:r w:rsidRPr="0060721D">
              <w:rPr>
                <w:rFonts w:ascii="Times New Roman" w:eastAsia="Times New Roman" w:hAnsi="Times New Roman"/>
                <w:lang w:eastAsia="ru-RU"/>
              </w:rPr>
              <w:t>echivalent</w:t>
            </w:r>
            <w:proofErr w:type="spellEnd"/>
            <w:r w:rsidRPr="0060721D">
              <w:rPr>
                <w:rFonts w:ascii="Times New Roman" w:eastAsia="Times New Roman" w:hAnsi="Times New Roman"/>
                <w:lang w:val="ro-RO" w:eastAsia="ru-RU"/>
              </w:rPr>
              <w:t xml:space="preserve"> </w:t>
            </w:r>
            <w:proofErr w:type="spellStart"/>
            <w:r w:rsidRPr="0060721D">
              <w:rPr>
                <w:rFonts w:ascii="Times New Roman" w:hAnsi="Times New Roman"/>
              </w:rPr>
              <w:t>pînă</w:t>
            </w:r>
            <w:proofErr w:type="spellEnd"/>
            <w:r w:rsidRPr="0060721D">
              <w:rPr>
                <w:rFonts w:ascii="Times New Roman" w:hAnsi="Times New Roman"/>
              </w:rPr>
              <w:t xml:space="preserve"> </w:t>
            </w:r>
            <w:proofErr w:type="spellStart"/>
            <w:r w:rsidRPr="0060721D">
              <w:rPr>
                <w:rFonts w:ascii="Times New Roman" w:hAnsi="Times New Roman"/>
              </w:rPr>
              <w:t>în</w:t>
            </w:r>
            <w:proofErr w:type="spellEnd"/>
            <w:r w:rsidRPr="0060721D">
              <w:rPr>
                <w:rFonts w:ascii="Times New Roman" w:hAnsi="Times New Roman"/>
              </w:rPr>
              <w:t xml:space="preserve"> </w:t>
            </w:r>
            <w:proofErr w:type="spellStart"/>
            <w:r w:rsidRPr="0060721D">
              <w:rPr>
                <w:rFonts w:ascii="Times New Roman" w:hAnsi="Times New Roman"/>
              </w:rPr>
              <w:t>anul</w:t>
            </w:r>
            <w:proofErr w:type="spellEnd"/>
            <w:r w:rsidRPr="0060721D">
              <w:rPr>
                <w:rFonts w:ascii="Times New Roman" w:hAnsi="Times New Roman"/>
              </w:rPr>
              <w:t xml:space="preserve">  2030 </w:t>
            </w:r>
          </w:p>
        </w:tc>
      </w:tr>
      <w:tr w:rsidR="00F11CCD" w:rsidRPr="0060721D" w14:paraId="0AD889EF" w14:textId="77777777" w:rsidTr="00F11CCD">
        <w:trPr>
          <w:divId w:val="546725049"/>
          <w:trHeight w:val="1980"/>
        </w:trPr>
        <w:tc>
          <w:tcPr>
            <w:tcW w:w="500" w:type="dxa"/>
            <w:hideMark/>
          </w:tcPr>
          <w:p w14:paraId="1F159C41" w14:textId="45686B2A" w:rsidR="0060721D" w:rsidRPr="0060721D" w:rsidRDefault="0060721D" w:rsidP="0060721D">
            <w:pPr>
              <w:jc w:val="center"/>
              <w:rPr>
                <w:rFonts w:ascii="Times New Roman" w:eastAsia="Times New Roman" w:hAnsi="Times New Roman"/>
                <w:lang w:val="ro-RO" w:eastAsia="ru-RU"/>
              </w:rPr>
            </w:pPr>
            <w:r w:rsidRPr="0060721D">
              <w:rPr>
                <w:rFonts w:ascii="Times New Roman" w:eastAsia="Times New Roman" w:hAnsi="Times New Roman"/>
                <w:lang w:eastAsia="ru-RU"/>
              </w:rPr>
              <w:t>1</w:t>
            </w:r>
            <w:r w:rsidR="00632744">
              <w:rPr>
                <w:rFonts w:ascii="Times New Roman" w:eastAsia="Times New Roman" w:hAnsi="Times New Roman"/>
                <w:lang w:eastAsia="ru-RU"/>
              </w:rPr>
              <w:t>.</w:t>
            </w:r>
            <w:r w:rsidRPr="0060721D">
              <w:rPr>
                <w:rFonts w:ascii="Times New Roman" w:eastAsia="Times New Roman" w:hAnsi="Times New Roman"/>
                <w:lang w:eastAsia="ru-RU"/>
              </w:rPr>
              <w:t>5</w:t>
            </w:r>
          </w:p>
        </w:tc>
        <w:tc>
          <w:tcPr>
            <w:tcW w:w="3437" w:type="dxa"/>
            <w:gridSpan w:val="2"/>
            <w:hideMark/>
          </w:tcPr>
          <w:p w14:paraId="1B181A65" w14:textId="77777777" w:rsidR="0060721D" w:rsidRPr="0060721D" w:rsidRDefault="0060721D" w:rsidP="0060721D">
            <w:pPr>
              <w:rPr>
                <w:rFonts w:ascii="Times New Roman" w:hAnsi="Times New Roman"/>
              </w:rPr>
            </w:pPr>
            <w:r w:rsidRPr="0060721D">
              <w:rPr>
                <w:rFonts w:ascii="Times New Roman" w:eastAsia="Times New Roman" w:hAnsi="Times New Roman"/>
                <w:lang w:val="es-ES" w:eastAsia="ru-RU"/>
              </w:rPr>
              <w:t xml:space="preserve">Promovarea şi construcţia centralelor electrice eoliene conectate la </w:t>
            </w:r>
            <w:proofErr w:type="spellStart"/>
            <w:r w:rsidRPr="0060721D">
              <w:rPr>
                <w:rFonts w:ascii="Times New Roman" w:hAnsi="Times New Roman"/>
                <w:lang w:val="ro-RO"/>
              </w:rPr>
              <w:t>reţea</w:t>
            </w:r>
            <w:proofErr w:type="spellEnd"/>
          </w:p>
        </w:tc>
        <w:tc>
          <w:tcPr>
            <w:tcW w:w="2211" w:type="dxa"/>
            <w:gridSpan w:val="2"/>
            <w:hideMark/>
          </w:tcPr>
          <w:p w14:paraId="06B951B0" w14:textId="77777777" w:rsidR="0060721D" w:rsidRPr="0060721D" w:rsidRDefault="0060721D" w:rsidP="0060721D">
            <w:pPr>
              <w:rPr>
                <w:rFonts w:ascii="Times New Roman" w:hAnsi="Times New Roman"/>
              </w:rPr>
            </w:pPr>
            <w:r w:rsidRPr="0060721D">
              <w:rPr>
                <w:rFonts w:ascii="Times New Roman" w:eastAsia="Times New Roman" w:hAnsi="Times New Roman"/>
                <w:lang w:val="es-ES" w:eastAsia="ru-RU"/>
              </w:rPr>
              <w:t>Pe teritoriul Republicii Moldova sînt zone în care viteza medie anuală a vîntului la înălţimea de 100 m deasupra solului este egală cu 7,0-7,5 m/s. Pentru astfel de amplasamente sînt recomandate  turbine eoliene proiectate pentru clasa III-a de vînt, ceea ce semnifică o funcţionare eficientă în amplasamente cu viteze ale vîntului cuprinse între 5,5 şi 8,5 m/s. Puterea unui grup 1,8-3,0 MW, înălţimea turnului 80-120 m. În condiţiile de vînt ale Republicii Moldova aceste  turbine ar funcţiona</w:t>
            </w:r>
            <w:r w:rsidRPr="0060721D">
              <w:rPr>
                <w:rFonts w:ascii="Times New Roman" w:eastAsia="Times New Roman" w:hAnsi="Times New Roman"/>
                <w:lang w:eastAsia="ru-RU"/>
              </w:rPr>
              <w:t xml:space="preserve"> </w:t>
            </w:r>
            <w:proofErr w:type="spellStart"/>
            <w:r w:rsidRPr="0060721D">
              <w:rPr>
                <w:rFonts w:ascii="Times New Roman" w:hAnsi="Times New Roman"/>
              </w:rPr>
              <w:t>anual</w:t>
            </w:r>
            <w:proofErr w:type="spellEnd"/>
            <w:r w:rsidRPr="0060721D">
              <w:rPr>
                <w:rFonts w:ascii="Times New Roman" w:hAnsi="Times New Roman"/>
              </w:rPr>
              <w:t xml:space="preserve"> la un </w:t>
            </w:r>
            <w:r w:rsidRPr="0060721D">
              <w:rPr>
                <w:rFonts w:ascii="Times New Roman" w:hAnsi="Times New Roman"/>
              </w:rPr>
              <w:lastRenderedPageBreak/>
              <w:t xml:space="preserve">factor capacitate, egal cu 0,25-0,30 </w:t>
            </w:r>
          </w:p>
        </w:tc>
        <w:tc>
          <w:tcPr>
            <w:tcW w:w="1620" w:type="dxa"/>
            <w:gridSpan w:val="2"/>
            <w:hideMark/>
          </w:tcPr>
          <w:p w14:paraId="0E7F7ADF" w14:textId="77777777" w:rsidR="0060721D" w:rsidRPr="0060721D" w:rsidRDefault="0060721D" w:rsidP="0060721D">
            <w:pPr>
              <w:jc w:val="center"/>
              <w:rPr>
                <w:rFonts w:ascii="Times New Roman" w:hAnsi="Times New Roman"/>
              </w:rPr>
            </w:pPr>
            <w:proofErr w:type="spellStart"/>
            <w:r w:rsidRPr="0060721D">
              <w:rPr>
                <w:rFonts w:ascii="Times New Roman" w:eastAsia="Times New Roman" w:hAnsi="Times New Roman"/>
                <w:lang w:eastAsia="ru-RU"/>
              </w:rPr>
              <w:lastRenderedPageBreak/>
              <w:t>Puterea</w:t>
            </w:r>
            <w:proofErr w:type="spellEnd"/>
            <w:r w:rsidRPr="0060721D">
              <w:rPr>
                <w:rFonts w:ascii="Times New Roman" w:eastAsia="Times New Roman" w:hAnsi="Times New Roman"/>
                <w:lang w:eastAsia="ru-RU"/>
              </w:rPr>
              <w:t xml:space="preserve"> </w:t>
            </w:r>
            <w:proofErr w:type="spellStart"/>
            <w:r w:rsidRPr="0060721D">
              <w:rPr>
                <w:rFonts w:ascii="Times New Roman" w:eastAsia="Times New Roman" w:hAnsi="Times New Roman"/>
                <w:lang w:eastAsia="ru-RU"/>
              </w:rPr>
              <w:t>instalată</w:t>
            </w:r>
            <w:proofErr w:type="spellEnd"/>
            <w:r w:rsidRPr="0060721D">
              <w:rPr>
                <w:rFonts w:ascii="Times New Roman" w:eastAsia="Times New Roman" w:hAnsi="Times New Roman"/>
                <w:lang w:eastAsia="ru-RU"/>
              </w:rPr>
              <w:t xml:space="preserve"> </w:t>
            </w:r>
            <w:r w:rsidRPr="0060721D">
              <w:rPr>
                <w:rFonts w:ascii="Times New Roman" w:hAnsi="Times New Roman"/>
              </w:rPr>
              <w:t>– 400MW</w:t>
            </w:r>
          </w:p>
        </w:tc>
        <w:tc>
          <w:tcPr>
            <w:tcW w:w="1440" w:type="dxa"/>
            <w:gridSpan w:val="2"/>
            <w:hideMark/>
          </w:tcPr>
          <w:p w14:paraId="4B997DC0" w14:textId="77777777" w:rsidR="0060721D" w:rsidRPr="0060721D" w:rsidRDefault="0060721D" w:rsidP="0060721D">
            <w:pPr>
              <w:jc w:val="center"/>
              <w:rPr>
                <w:rFonts w:ascii="Times New Roman" w:hAnsi="Times New Roman"/>
              </w:rPr>
            </w:pPr>
            <w:proofErr w:type="spellStart"/>
            <w:r w:rsidRPr="0060721D">
              <w:rPr>
                <w:rFonts w:ascii="Times New Roman" w:eastAsia="Times New Roman" w:hAnsi="Times New Roman"/>
                <w:lang w:eastAsia="ru-RU"/>
              </w:rPr>
              <w:t>Puterea</w:t>
            </w:r>
            <w:proofErr w:type="spellEnd"/>
            <w:r w:rsidRPr="0060721D">
              <w:rPr>
                <w:rFonts w:ascii="Times New Roman" w:eastAsia="Times New Roman" w:hAnsi="Times New Roman"/>
                <w:lang w:eastAsia="ru-RU"/>
              </w:rPr>
              <w:t xml:space="preserve"> </w:t>
            </w:r>
            <w:proofErr w:type="spellStart"/>
            <w:r w:rsidRPr="0060721D">
              <w:rPr>
                <w:rFonts w:ascii="Times New Roman" w:eastAsia="Times New Roman" w:hAnsi="Times New Roman"/>
                <w:lang w:eastAsia="ru-RU"/>
              </w:rPr>
              <w:t>instalată</w:t>
            </w:r>
            <w:proofErr w:type="spellEnd"/>
            <w:r w:rsidRPr="0060721D">
              <w:rPr>
                <w:rFonts w:ascii="Times New Roman" w:eastAsia="Times New Roman" w:hAnsi="Times New Roman"/>
                <w:lang w:val="ro-RO" w:eastAsia="ru-RU"/>
              </w:rPr>
              <w:t xml:space="preserve"> </w:t>
            </w:r>
            <w:r w:rsidRPr="0060721D">
              <w:rPr>
                <w:rFonts w:ascii="Times New Roman" w:hAnsi="Times New Roman"/>
              </w:rPr>
              <w:t>– 400MW</w:t>
            </w:r>
          </w:p>
        </w:tc>
        <w:tc>
          <w:tcPr>
            <w:tcW w:w="3429" w:type="dxa"/>
            <w:gridSpan w:val="2"/>
            <w:hideMark/>
          </w:tcPr>
          <w:p w14:paraId="5A7A0631" w14:textId="77777777" w:rsidR="0060721D" w:rsidRPr="0060721D" w:rsidRDefault="0060721D" w:rsidP="0060721D">
            <w:pPr>
              <w:jc w:val="center"/>
              <w:rPr>
                <w:rFonts w:ascii="Times New Roman" w:hAnsi="Times New Roman"/>
              </w:rPr>
            </w:pPr>
            <w:r w:rsidRPr="0060721D">
              <w:rPr>
                <w:rFonts w:ascii="Times New Roman" w:eastAsia="Times New Roman" w:hAnsi="Times New Roman"/>
                <w:lang w:eastAsia="ru-RU"/>
              </w:rPr>
              <w:t>646 433 tone CO2</w:t>
            </w:r>
            <w:r w:rsidRPr="0060721D">
              <w:rPr>
                <w:rFonts w:ascii="Times New Roman" w:eastAsia="Times New Roman" w:hAnsi="Times New Roman"/>
                <w:vertAlign w:val="subscript"/>
                <w:lang w:eastAsia="ru-RU"/>
              </w:rPr>
              <w:t>/</w:t>
            </w:r>
            <w:r w:rsidRPr="0060721D">
              <w:rPr>
                <w:rFonts w:ascii="Times New Roman" w:hAnsi="Times New Roman"/>
                <w:lang w:val="ro-RO"/>
              </w:rPr>
              <w:t>an</w:t>
            </w:r>
          </w:p>
        </w:tc>
        <w:tc>
          <w:tcPr>
            <w:tcW w:w="1502" w:type="dxa"/>
            <w:gridSpan w:val="2"/>
            <w:noWrap/>
            <w:hideMark/>
          </w:tcPr>
          <w:p w14:paraId="164C5EAB" w14:textId="77777777" w:rsidR="0060721D" w:rsidRPr="0060721D" w:rsidRDefault="0060721D" w:rsidP="0060721D">
            <w:pPr>
              <w:jc w:val="center"/>
              <w:rPr>
                <w:rFonts w:ascii="Times New Roman" w:hAnsi="Times New Roman"/>
              </w:rPr>
            </w:pPr>
            <w:r w:rsidRPr="0060721D">
              <w:rPr>
                <w:rFonts w:ascii="Times New Roman" w:eastAsia="Times New Roman" w:hAnsi="Times New Roman"/>
                <w:lang w:eastAsia="ru-RU"/>
              </w:rPr>
              <w:t>646 433 tone CO2</w:t>
            </w:r>
            <w:r w:rsidRPr="0060721D">
              <w:rPr>
                <w:rFonts w:ascii="Times New Roman" w:eastAsia="Times New Roman" w:hAnsi="Times New Roman"/>
                <w:lang w:val="ro-RO" w:eastAsia="ru-RU"/>
              </w:rPr>
              <w:t>/</w:t>
            </w:r>
            <w:r w:rsidRPr="0060721D">
              <w:rPr>
                <w:rFonts w:ascii="Times New Roman" w:hAnsi="Times New Roman"/>
              </w:rPr>
              <w:t>an</w:t>
            </w:r>
          </w:p>
        </w:tc>
      </w:tr>
      <w:tr w:rsidR="00F11CCD" w:rsidRPr="0060721D" w14:paraId="73150592" w14:textId="77777777" w:rsidTr="00F11CCD">
        <w:trPr>
          <w:divId w:val="546725049"/>
          <w:trHeight w:val="1590"/>
        </w:trPr>
        <w:tc>
          <w:tcPr>
            <w:tcW w:w="500" w:type="dxa"/>
            <w:hideMark/>
          </w:tcPr>
          <w:p w14:paraId="30305810" w14:textId="61857E64" w:rsidR="0060721D" w:rsidRPr="0060721D" w:rsidRDefault="0060721D" w:rsidP="0060721D">
            <w:pPr>
              <w:jc w:val="center"/>
              <w:rPr>
                <w:rFonts w:ascii="Times New Roman" w:eastAsia="Times New Roman" w:hAnsi="Times New Roman"/>
                <w:lang w:val="ro-RO" w:eastAsia="ru-RU"/>
              </w:rPr>
            </w:pPr>
            <w:r w:rsidRPr="0060721D">
              <w:rPr>
                <w:rFonts w:ascii="Times New Roman" w:eastAsia="Times New Roman" w:hAnsi="Times New Roman"/>
                <w:lang w:eastAsia="ru-RU"/>
              </w:rPr>
              <w:t>1</w:t>
            </w:r>
            <w:r w:rsidR="00632744">
              <w:rPr>
                <w:rFonts w:ascii="Times New Roman" w:eastAsia="Times New Roman" w:hAnsi="Times New Roman"/>
                <w:lang w:eastAsia="ru-RU"/>
              </w:rPr>
              <w:t>.</w:t>
            </w:r>
            <w:r w:rsidRPr="0060721D">
              <w:rPr>
                <w:rFonts w:ascii="Times New Roman" w:eastAsia="Times New Roman" w:hAnsi="Times New Roman"/>
                <w:lang w:eastAsia="ru-RU"/>
              </w:rPr>
              <w:t>6</w:t>
            </w:r>
          </w:p>
        </w:tc>
        <w:tc>
          <w:tcPr>
            <w:tcW w:w="3437" w:type="dxa"/>
            <w:gridSpan w:val="2"/>
            <w:hideMark/>
          </w:tcPr>
          <w:p w14:paraId="49AF272B" w14:textId="77777777" w:rsidR="0060721D" w:rsidRPr="0060721D" w:rsidRDefault="0060721D" w:rsidP="0060721D">
            <w:pPr>
              <w:rPr>
                <w:rFonts w:ascii="Times New Roman" w:eastAsia="Times New Roman" w:hAnsi="Times New Roman"/>
                <w:lang w:val="es-ES" w:eastAsia="ru-RU"/>
              </w:rPr>
            </w:pPr>
            <w:r w:rsidRPr="0060721D">
              <w:rPr>
                <w:rFonts w:ascii="Times New Roman" w:eastAsia="Times New Roman" w:hAnsi="Times New Roman"/>
                <w:lang w:val="es-ES" w:eastAsia="ru-RU"/>
              </w:rPr>
              <w:t xml:space="preserve">Promovarea şi construcţia centralelor fotovoltaice conectate la reţea </w:t>
            </w:r>
          </w:p>
        </w:tc>
        <w:tc>
          <w:tcPr>
            <w:tcW w:w="2211" w:type="dxa"/>
            <w:gridSpan w:val="2"/>
            <w:hideMark/>
          </w:tcPr>
          <w:p w14:paraId="5F7E6FCA" w14:textId="77777777" w:rsidR="0060721D" w:rsidRPr="0060721D" w:rsidRDefault="0060721D" w:rsidP="0060721D">
            <w:pPr>
              <w:rPr>
                <w:rFonts w:ascii="Times New Roman" w:hAnsi="Times New Roman"/>
              </w:rPr>
            </w:pPr>
            <w:r w:rsidRPr="0060721D">
              <w:rPr>
                <w:rFonts w:ascii="Times New Roman" w:eastAsia="Times New Roman" w:hAnsi="Times New Roman"/>
                <w:lang w:val="es-ES" w:eastAsia="ru-RU"/>
              </w:rPr>
              <w:t xml:space="preserve">Tehnologia conversiei directe exclude transformările intermediare: radiaţia solară în energie termică, energia termică în energie mecanică, energia mecanică în energie electrică de curent alternativ. Generatorul fotovoltaic, aşa-numita celulă fotovoltaică, spre deosebire de generatorul electromecanic, produce energie electrică de curent continuu. Excluderea din lanţul tehnologic al transformărilor intermediare, lipsa mişcării, zgomotului, vibraţiilor, existenţa unei construcţii modulare, durata de exploatare de peste 25 de ani sînt argumente </w:t>
            </w:r>
            <w:proofErr w:type="spellStart"/>
            <w:r w:rsidRPr="0060721D">
              <w:rPr>
                <w:rFonts w:ascii="Times New Roman" w:eastAsia="Times New Roman" w:hAnsi="Times New Roman"/>
                <w:lang w:eastAsia="ru-RU"/>
              </w:rPr>
              <w:t>în</w:t>
            </w:r>
            <w:proofErr w:type="spellEnd"/>
            <w:r w:rsidRPr="0060721D">
              <w:rPr>
                <w:rFonts w:ascii="Times New Roman" w:hAnsi="Times New Roman"/>
              </w:rPr>
              <w:t xml:space="preserve"> </w:t>
            </w:r>
            <w:proofErr w:type="spellStart"/>
            <w:r w:rsidRPr="0060721D">
              <w:rPr>
                <w:rFonts w:ascii="Times New Roman" w:hAnsi="Times New Roman"/>
              </w:rPr>
              <w:t>afirmarea</w:t>
            </w:r>
            <w:proofErr w:type="spellEnd"/>
            <w:r w:rsidRPr="0060721D">
              <w:rPr>
                <w:rFonts w:ascii="Times New Roman" w:hAnsi="Times New Roman"/>
              </w:rPr>
              <w:t xml:space="preserve"> </w:t>
            </w:r>
            <w:proofErr w:type="spellStart"/>
            <w:r w:rsidRPr="0060721D">
              <w:rPr>
                <w:rFonts w:ascii="Times New Roman" w:hAnsi="Times New Roman"/>
              </w:rPr>
              <w:t>că</w:t>
            </w:r>
            <w:proofErr w:type="spellEnd"/>
            <w:r w:rsidRPr="0060721D">
              <w:rPr>
                <w:rFonts w:ascii="Times New Roman" w:hAnsi="Times New Roman"/>
              </w:rPr>
              <w:t xml:space="preserve"> </w:t>
            </w:r>
            <w:proofErr w:type="spellStart"/>
            <w:r w:rsidRPr="0060721D">
              <w:rPr>
                <w:rFonts w:ascii="Times New Roman" w:hAnsi="Times New Roman"/>
              </w:rPr>
              <w:t>viitorul</w:t>
            </w:r>
            <w:proofErr w:type="spellEnd"/>
            <w:r w:rsidRPr="0060721D">
              <w:rPr>
                <w:rFonts w:ascii="Times New Roman" w:hAnsi="Times New Roman"/>
              </w:rPr>
              <w:t xml:space="preserve"> </w:t>
            </w:r>
            <w:proofErr w:type="spellStart"/>
            <w:r w:rsidRPr="0060721D">
              <w:rPr>
                <w:rFonts w:ascii="Times New Roman" w:hAnsi="Times New Roman"/>
              </w:rPr>
              <w:t>energeticii</w:t>
            </w:r>
            <w:proofErr w:type="spellEnd"/>
            <w:r w:rsidRPr="0060721D">
              <w:rPr>
                <w:rFonts w:ascii="Times New Roman" w:hAnsi="Times New Roman"/>
              </w:rPr>
              <w:t xml:space="preserve"> </w:t>
            </w:r>
            <w:proofErr w:type="spellStart"/>
            <w:r w:rsidRPr="0060721D">
              <w:rPr>
                <w:rFonts w:ascii="Times New Roman" w:hAnsi="Times New Roman"/>
              </w:rPr>
              <w:lastRenderedPageBreak/>
              <w:t>descentralizate</w:t>
            </w:r>
            <w:proofErr w:type="spellEnd"/>
            <w:r w:rsidRPr="0060721D">
              <w:rPr>
                <w:rFonts w:ascii="Times New Roman" w:hAnsi="Times New Roman"/>
              </w:rPr>
              <w:t xml:space="preserve"> </w:t>
            </w:r>
            <w:proofErr w:type="spellStart"/>
            <w:r w:rsidRPr="0060721D">
              <w:rPr>
                <w:rFonts w:ascii="Times New Roman" w:hAnsi="Times New Roman"/>
              </w:rPr>
              <w:t>va</w:t>
            </w:r>
            <w:proofErr w:type="spellEnd"/>
            <w:r w:rsidRPr="0060721D">
              <w:rPr>
                <w:rFonts w:ascii="Times New Roman" w:hAnsi="Times New Roman"/>
              </w:rPr>
              <w:t xml:space="preserve"> </w:t>
            </w:r>
            <w:proofErr w:type="spellStart"/>
            <w:r w:rsidRPr="0060721D">
              <w:rPr>
                <w:rFonts w:ascii="Times New Roman" w:hAnsi="Times New Roman"/>
              </w:rPr>
              <w:t>aparţine</w:t>
            </w:r>
            <w:proofErr w:type="spellEnd"/>
            <w:r w:rsidRPr="0060721D">
              <w:rPr>
                <w:rFonts w:ascii="Times New Roman" w:hAnsi="Times New Roman"/>
              </w:rPr>
              <w:t xml:space="preserve"> </w:t>
            </w:r>
            <w:proofErr w:type="spellStart"/>
            <w:r w:rsidRPr="0060721D">
              <w:rPr>
                <w:rFonts w:ascii="Times New Roman" w:hAnsi="Times New Roman"/>
              </w:rPr>
              <w:t>tehnologiei</w:t>
            </w:r>
            <w:proofErr w:type="spellEnd"/>
            <w:r w:rsidRPr="0060721D">
              <w:rPr>
                <w:rFonts w:ascii="Times New Roman" w:hAnsi="Times New Roman"/>
              </w:rPr>
              <w:t xml:space="preserve"> </w:t>
            </w:r>
            <w:proofErr w:type="spellStart"/>
            <w:r w:rsidRPr="0060721D">
              <w:rPr>
                <w:rFonts w:ascii="Times New Roman" w:hAnsi="Times New Roman"/>
              </w:rPr>
              <w:t>fotovoltaice</w:t>
            </w:r>
            <w:proofErr w:type="spellEnd"/>
          </w:p>
        </w:tc>
        <w:tc>
          <w:tcPr>
            <w:tcW w:w="1620" w:type="dxa"/>
            <w:gridSpan w:val="2"/>
            <w:hideMark/>
          </w:tcPr>
          <w:p w14:paraId="10938A0D" w14:textId="77777777" w:rsidR="0060721D" w:rsidRPr="0060721D" w:rsidRDefault="0060721D" w:rsidP="0060721D">
            <w:pPr>
              <w:jc w:val="center"/>
              <w:rPr>
                <w:rFonts w:ascii="Times New Roman" w:eastAsia="Times New Roman" w:hAnsi="Times New Roman"/>
                <w:lang w:eastAsia="ru-RU"/>
              </w:rPr>
            </w:pPr>
            <w:r w:rsidRPr="0060721D">
              <w:rPr>
                <w:rFonts w:ascii="Times New Roman" w:eastAsia="Times New Roman" w:hAnsi="Times New Roman"/>
                <w:lang w:eastAsia="ru-RU"/>
              </w:rPr>
              <w:lastRenderedPageBreak/>
              <w:t>200 MW</w:t>
            </w:r>
          </w:p>
        </w:tc>
        <w:tc>
          <w:tcPr>
            <w:tcW w:w="1440" w:type="dxa"/>
            <w:gridSpan w:val="2"/>
            <w:hideMark/>
          </w:tcPr>
          <w:p w14:paraId="0723DD42" w14:textId="77777777" w:rsidR="0060721D" w:rsidRPr="0060721D" w:rsidRDefault="0060721D" w:rsidP="0060721D">
            <w:pPr>
              <w:jc w:val="center"/>
              <w:rPr>
                <w:rFonts w:ascii="Times New Roman" w:eastAsia="Times New Roman" w:hAnsi="Times New Roman"/>
                <w:lang w:val="ro-RO" w:eastAsia="ru-RU"/>
              </w:rPr>
            </w:pPr>
            <w:r w:rsidRPr="0060721D">
              <w:rPr>
                <w:rFonts w:ascii="Times New Roman" w:eastAsia="Times New Roman" w:hAnsi="Times New Roman"/>
                <w:lang w:eastAsia="ru-RU"/>
              </w:rPr>
              <w:t>200 MW</w:t>
            </w:r>
          </w:p>
        </w:tc>
        <w:tc>
          <w:tcPr>
            <w:tcW w:w="3429" w:type="dxa"/>
            <w:gridSpan w:val="2"/>
            <w:hideMark/>
          </w:tcPr>
          <w:p w14:paraId="05EBD9DD" w14:textId="77777777" w:rsidR="0060721D" w:rsidRPr="0060721D" w:rsidRDefault="0060721D" w:rsidP="0060721D">
            <w:pPr>
              <w:jc w:val="center"/>
              <w:rPr>
                <w:rFonts w:ascii="Times New Roman" w:hAnsi="Times New Roman"/>
              </w:rPr>
            </w:pPr>
            <w:r w:rsidRPr="0060721D">
              <w:rPr>
                <w:rFonts w:ascii="Times New Roman" w:eastAsia="Times New Roman" w:hAnsi="Times New Roman"/>
                <w:lang w:eastAsia="ru-RU"/>
              </w:rPr>
              <w:t>240 806 tone CO2</w:t>
            </w:r>
            <w:r w:rsidRPr="0060721D">
              <w:rPr>
                <w:rFonts w:ascii="Times New Roman" w:eastAsia="Times New Roman" w:hAnsi="Times New Roman"/>
                <w:lang w:val="ro-RO" w:eastAsia="ru-RU"/>
              </w:rPr>
              <w:t xml:space="preserve"> </w:t>
            </w:r>
          </w:p>
        </w:tc>
        <w:tc>
          <w:tcPr>
            <w:tcW w:w="1502" w:type="dxa"/>
            <w:gridSpan w:val="2"/>
            <w:noWrap/>
            <w:hideMark/>
          </w:tcPr>
          <w:p w14:paraId="44119F31" w14:textId="77777777" w:rsidR="0060721D" w:rsidRPr="0060721D" w:rsidRDefault="0060721D" w:rsidP="0060721D">
            <w:pPr>
              <w:jc w:val="center"/>
              <w:rPr>
                <w:rFonts w:ascii="Times New Roman" w:eastAsia="Times New Roman" w:hAnsi="Times New Roman"/>
                <w:lang w:val="ro-RO" w:eastAsia="ru-RU"/>
              </w:rPr>
            </w:pPr>
            <w:r w:rsidRPr="0060721D">
              <w:rPr>
                <w:rFonts w:ascii="Times New Roman" w:eastAsia="Times New Roman" w:hAnsi="Times New Roman"/>
                <w:lang w:eastAsia="ru-RU"/>
              </w:rPr>
              <w:t>240 806 tone CO2</w:t>
            </w:r>
          </w:p>
        </w:tc>
      </w:tr>
      <w:tr w:rsidR="002D5884" w:rsidRPr="0060721D" w14:paraId="67A9DDDF" w14:textId="77777777" w:rsidTr="00F11CCD">
        <w:trPr>
          <w:divId w:val="546725049"/>
          <w:trHeight w:val="600"/>
        </w:trPr>
        <w:tc>
          <w:tcPr>
            <w:tcW w:w="500" w:type="dxa"/>
            <w:hideMark/>
          </w:tcPr>
          <w:p w14:paraId="0883AC07" w14:textId="034A25E5" w:rsidR="0060721D" w:rsidRPr="0060721D" w:rsidRDefault="0060721D" w:rsidP="0060721D">
            <w:pPr>
              <w:jc w:val="center"/>
              <w:rPr>
                <w:rFonts w:ascii="Times New Roman" w:eastAsia="Times New Roman" w:hAnsi="Times New Roman"/>
                <w:lang w:val="ro-RO" w:eastAsia="ru-RU"/>
              </w:rPr>
            </w:pPr>
            <w:r w:rsidRPr="0060721D">
              <w:rPr>
                <w:rFonts w:ascii="Times New Roman" w:eastAsia="Times New Roman" w:hAnsi="Times New Roman"/>
                <w:lang w:eastAsia="ru-RU"/>
              </w:rPr>
              <w:t>1</w:t>
            </w:r>
            <w:r w:rsidR="00632744">
              <w:rPr>
                <w:rFonts w:ascii="Times New Roman" w:eastAsia="Times New Roman" w:hAnsi="Times New Roman"/>
                <w:lang w:eastAsia="ru-RU"/>
              </w:rPr>
              <w:t>.</w:t>
            </w:r>
            <w:r w:rsidRPr="0060721D">
              <w:rPr>
                <w:rFonts w:ascii="Times New Roman" w:eastAsia="Times New Roman" w:hAnsi="Times New Roman"/>
                <w:lang w:eastAsia="ru-RU"/>
              </w:rPr>
              <w:t>7</w:t>
            </w:r>
          </w:p>
        </w:tc>
        <w:tc>
          <w:tcPr>
            <w:tcW w:w="3437" w:type="dxa"/>
            <w:gridSpan w:val="2"/>
            <w:hideMark/>
          </w:tcPr>
          <w:p w14:paraId="3E6B30EE" w14:textId="77777777" w:rsidR="0060721D" w:rsidRPr="0060721D" w:rsidRDefault="0060721D" w:rsidP="0060721D">
            <w:pPr>
              <w:jc w:val="center"/>
              <w:rPr>
                <w:rFonts w:ascii="Times New Roman" w:eastAsia="Times New Roman" w:hAnsi="Times New Roman"/>
                <w:lang w:val="es-ES" w:eastAsia="ru-RU"/>
              </w:rPr>
            </w:pPr>
            <w:r w:rsidRPr="0060721D">
              <w:rPr>
                <w:rFonts w:ascii="Times New Roman" w:eastAsia="Times New Roman" w:hAnsi="Times New Roman"/>
                <w:b/>
                <w:bCs/>
                <w:lang w:val="es-ES" w:eastAsia="ru-RU"/>
              </w:rPr>
              <w:t>Utilizarea grupurilor electrogene</w:t>
            </w:r>
            <w:r w:rsidRPr="0060721D">
              <w:rPr>
                <w:rFonts w:ascii="Times New Roman" w:eastAsia="Times New Roman" w:hAnsi="Times New Roman"/>
                <w:lang w:val="es-ES" w:eastAsia="ru-RU"/>
              </w:rPr>
              <w:t xml:space="preserve"> pe biogaz pentru producerea  energiei electrice şi termice </w:t>
            </w:r>
          </w:p>
        </w:tc>
        <w:tc>
          <w:tcPr>
            <w:tcW w:w="2211" w:type="dxa"/>
            <w:gridSpan w:val="2"/>
            <w:hideMark/>
          </w:tcPr>
          <w:p w14:paraId="3140F0A1" w14:textId="77777777" w:rsidR="0060721D" w:rsidRPr="0060721D" w:rsidRDefault="0060721D" w:rsidP="002D5884">
            <w:pPr>
              <w:tabs>
                <w:tab w:val="left" w:pos="11540"/>
              </w:tabs>
              <w:jc w:val="center"/>
              <w:rPr>
                <w:rFonts w:ascii="Times New Roman" w:hAnsi="Times New Roman"/>
              </w:rPr>
            </w:pPr>
            <w:proofErr w:type="spellStart"/>
            <w:r w:rsidRPr="0060721D">
              <w:rPr>
                <w:rFonts w:ascii="Times New Roman" w:hAnsi="Times New Roman"/>
              </w:rPr>
              <w:t>Grupul</w:t>
            </w:r>
            <w:proofErr w:type="spellEnd"/>
            <w:r w:rsidRPr="0060721D">
              <w:rPr>
                <w:rFonts w:ascii="Times New Roman" w:hAnsi="Times New Roman"/>
              </w:rPr>
              <w:t xml:space="preserve"> </w:t>
            </w:r>
            <w:proofErr w:type="spellStart"/>
            <w:r w:rsidRPr="0060721D">
              <w:rPr>
                <w:rFonts w:ascii="Times New Roman" w:hAnsi="Times New Roman"/>
              </w:rPr>
              <w:t>electrogen</w:t>
            </w:r>
            <w:proofErr w:type="spellEnd"/>
            <w:r w:rsidRPr="0060721D">
              <w:rPr>
                <w:rFonts w:ascii="Times New Roman" w:hAnsi="Times New Roman"/>
              </w:rPr>
              <w:t xml:space="preserve"> pe </w:t>
            </w:r>
            <w:proofErr w:type="spellStart"/>
            <w:r w:rsidRPr="0060721D">
              <w:rPr>
                <w:rFonts w:ascii="Times New Roman" w:hAnsi="Times New Roman"/>
              </w:rPr>
              <w:t>biogaz</w:t>
            </w:r>
            <w:proofErr w:type="spellEnd"/>
            <w:r w:rsidRPr="0060721D">
              <w:rPr>
                <w:rFonts w:ascii="Times New Roman" w:hAnsi="Times New Roman"/>
              </w:rPr>
              <w:t xml:space="preserve"> </w:t>
            </w:r>
            <w:proofErr w:type="spellStart"/>
            <w:r w:rsidRPr="0060721D">
              <w:rPr>
                <w:rFonts w:ascii="Times New Roman" w:hAnsi="Times New Roman"/>
              </w:rPr>
              <w:t>prezintă</w:t>
            </w:r>
            <w:proofErr w:type="spellEnd"/>
            <w:r w:rsidRPr="0060721D">
              <w:rPr>
                <w:rFonts w:ascii="Times New Roman" w:hAnsi="Times New Roman"/>
              </w:rPr>
              <w:t xml:space="preserve"> o </w:t>
            </w:r>
            <w:proofErr w:type="spellStart"/>
            <w:r w:rsidRPr="0060721D">
              <w:rPr>
                <w:rFonts w:ascii="Times New Roman" w:hAnsi="Times New Roman"/>
              </w:rPr>
              <w:t>unitate</w:t>
            </w:r>
            <w:proofErr w:type="spellEnd"/>
            <w:r w:rsidRPr="0060721D">
              <w:rPr>
                <w:rFonts w:ascii="Times New Roman" w:hAnsi="Times New Roman"/>
              </w:rPr>
              <w:t xml:space="preserve"> de </w:t>
            </w:r>
            <w:proofErr w:type="spellStart"/>
            <w:r w:rsidRPr="0060721D">
              <w:rPr>
                <w:rFonts w:ascii="Times New Roman" w:hAnsi="Times New Roman"/>
              </w:rPr>
              <w:t>producere</w:t>
            </w:r>
            <w:proofErr w:type="spellEnd"/>
            <w:r w:rsidRPr="0060721D">
              <w:rPr>
                <w:rFonts w:ascii="Times New Roman" w:hAnsi="Times New Roman"/>
              </w:rPr>
              <w:t xml:space="preserve"> </w:t>
            </w:r>
            <w:proofErr w:type="spellStart"/>
            <w:r w:rsidRPr="0060721D">
              <w:rPr>
                <w:rFonts w:ascii="Times New Roman" w:hAnsi="Times New Roman"/>
              </w:rPr>
              <w:t>combinată</w:t>
            </w:r>
            <w:proofErr w:type="spellEnd"/>
            <w:r w:rsidRPr="0060721D">
              <w:rPr>
                <w:rFonts w:ascii="Times New Roman" w:hAnsi="Times New Roman"/>
              </w:rPr>
              <w:t xml:space="preserve"> a </w:t>
            </w:r>
            <w:proofErr w:type="spellStart"/>
            <w:r w:rsidRPr="0060721D">
              <w:rPr>
                <w:rFonts w:ascii="Times New Roman" w:hAnsi="Times New Roman"/>
              </w:rPr>
              <w:t>energiei</w:t>
            </w:r>
            <w:proofErr w:type="spellEnd"/>
            <w:r w:rsidRPr="0060721D">
              <w:rPr>
                <w:rFonts w:ascii="Times New Roman" w:hAnsi="Times New Roman"/>
              </w:rPr>
              <w:t xml:space="preserve">. </w:t>
            </w:r>
            <w:proofErr w:type="spellStart"/>
            <w:r w:rsidRPr="0060721D">
              <w:rPr>
                <w:rFonts w:ascii="Times New Roman" w:hAnsi="Times New Roman"/>
              </w:rPr>
              <w:t>Constă</w:t>
            </w:r>
            <w:proofErr w:type="spellEnd"/>
            <w:r w:rsidRPr="0060721D">
              <w:rPr>
                <w:rFonts w:ascii="Times New Roman" w:hAnsi="Times New Roman"/>
              </w:rPr>
              <w:t xml:space="preserve"> </w:t>
            </w:r>
            <w:proofErr w:type="spellStart"/>
            <w:r w:rsidRPr="0060721D">
              <w:rPr>
                <w:rFonts w:ascii="Times New Roman" w:hAnsi="Times New Roman"/>
              </w:rPr>
              <w:t>dintr</w:t>
            </w:r>
            <w:proofErr w:type="spellEnd"/>
            <w:r w:rsidRPr="0060721D">
              <w:rPr>
                <w:rFonts w:ascii="Times New Roman" w:hAnsi="Times New Roman"/>
              </w:rPr>
              <w:t xml:space="preserve">-un motor diesel, </w:t>
            </w:r>
            <w:proofErr w:type="spellStart"/>
            <w:r w:rsidRPr="0060721D">
              <w:rPr>
                <w:rFonts w:ascii="Times New Roman" w:hAnsi="Times New Roman"/>
              </w:rPr>
              <w:t>adaptat</w:t>
            </w:r>
            <w:proofErr w:type="spellEnd"/>
            <w:r w:rsidRPr="0060721D">
              <w:rPr>
                <w:rFonts w:ascii="Times New Roman" w:hAnsi="Times New Roman"/>
              </w:rPr>
              <w:t xml:space="preserve"> la </w:t>
            </w:r>
            <w:proofErr w:type="spellStart"/>
            <w:r w:rsidRPr="0060721D">
              <w:rPr>
                <w:rFonts w:ascii="Times New Roman" w:hAnsi="Times New Roman"/>
              </w:rPr>
              <w:t>alimentarea</w:t>
            </w:r>
            <w:proofErr w:type="spellEnd"/>
            <w:r w:rsidRPr="0060721D">
              <w:rPr>
                <w:rFonts w:ascii="Times New Roman" w:hAnsi="Times New Roman"/>
              </w:rPr>
              <w:t xml:space="preserve"> cu </w:t>
            </w:r>
            <w:proofErr w:type="spellStart"/>
            <w:r w:rsidRPr="0060721D">
              <w:rPr>
                <w:rFonts w:ascii="Times New Roman" w:hAnsi="Times New Roman"/>
              </w:rPr>
              <w:t>biogaz</w:t>
            </w:r>
            <w:proofErr w:type="spellEnd"/>
            <w:r w:rsidRPr="0060721D">
              <w:rPr>
                <w:rFonts w:ascii="Times New Roman" w:hAnsi="Times New Roman"/>
              </w:rPr>
              <w:t xml:space="preserve">, </w:t>
            </w:r>
            <w:proofErr w:type="spellStart"/>
            <w:r w:rsidRPr="0060721D">
              <w:rPr>
                <w:rFonts w:ascii="Times New Roman" w:hAnsi="Times New Roman"/>
              </w:rPr>
              <w:t>şi</w:t>
            </w:r>
            <w:proofErr w:type="spellEnd"/>
            <w:r w:rsidRPr="0060721D">
              <w:rPr>
                <w:rFonts w:ascii="Times New Roman" w:hAnsi="Times New Roman"/>
              </w:rPr>
              <w:t xml:space="preserve"> un generator </w:t>
            </w:r>
            <w:proofErr w:type="spellStart"/>
            <w:r w:rsidRPr="0060721D">
              <w:rPr>
                <w:rFonts w:ascii="Times New Roman" w:hAnsi="Times New Roman"/>
              </w:rPr>
              <w:t>sincron</w:t>
            </w:r>
            <w:proofErr w:type="spellEnd"/>
            <w:r w:rsidRPr="0060721D">
              <w:rPr>
                <w:rFonts w:ascii="Times New Roman" w:hAnsi="Times New Roman"/>
              </w:rPr>
              <w:t xml:space="preserve">, care </w:t>
            </w:r>
            <w:proofErr w:type="spellStart"/>
            <w:r w:rsidRPr="0060721D">
              <w:rPr>
                <w:rFonts w:ascii="Times New Roman" w:hAnsi="Times New Roman"/>
              </w:rPr>
              <w:t>furnizează</w:t>
            </w:r>
            <w:proofErr w:type="spellEnd"/>
            <w:r w:rsidRPr="0060721D">
              <w:rPr>
                <w:rFonts w:ascii="Times New Roman" w:hAnsi="Times New Roman"/>
              </w:rPr>
              <w:t xml:space="preserve"> </w:t>
            </w:r>
            <w:proofErr w:type="spellStart"/>
            <w:r w:rsidRPr="0060721D">
              <w:rPr>
                <w:rFonts w:ascii="Times New Roman" w:hAnsi="Times New Roman"/>
              </w:rPr>
              <w:t>energia</w:t>
            </w:r>
            <w:proofErr w:type="spellEnd"/>
            <w:r w:rsidRPr="0060721D">
              <w:rPr>
                <w:rFonts w:ascii="Times New Roman" w:hAnsi="Times New Roman"/>
              </w:rPr>
              <w:t xml:space="preserve"> </w:t>
            </w:r>
            <w:proofErr w:type="spellStart"/>
            <w:r w:rsidRPr="0060721D">
              <w:rPr>
                <w:rFonts w:ascii="Times New Roman" w:hAnsi="Times New Roman"/>
              </w:rPr>
              <w:t>electrică</w:t>
            </w:r>
            <w:proofErr w:type="spellEnd"/>
            <w:r w:rsidRPr="0060721D">
              <w:rPr>
                <w:rFonts w:ascii="Times New Roman" w:hAnsi="Times New Roman"/>
              </w:rPr>
              <w:t xml:space="preserve"> </w:t>
            </w:r>
            <w:proofErr w:type="spellStart"/>
            <w:r w:rsidRPr="0060721D">
              <w:rPr>
                <w:rFonts w:ascii="Times New Roman" w:hAnsi="Times New Roman"/>
              </w:rPr>
              <w:t>în</w:t>
            </w:r>
            <w:proofErr w:type="spellEnd"/>
            <w:r w:rsidRPr="0060721D">
              <w:rPr>
                <w:rFonts w:ascii="Times New Roman" w:hAnsi="Times New Roman"/>
              </w:rPr>
              <w:t xml:space="preserve"> </w:t>
            </w:r>
            <w:proofErr w:type="spellStart"/>
            <w:r w:rsidRPr="0060721D">
              <w:rPr>
                <w:rFonts w:ascii="Times New Roman" w:hAnsi="Times New Roman"/>
              </w:rPr>
              <w:t>reţea</w:t>
            </w:r>
            <w:proofErr w:type="spellEnd"/>
            <w:r w:rsidRPr="0060721D">
              <w:rPr>
                <w:rFonts w:ascii="Times New Roman" w:hAnsi="Times New Roman"/>
              </w:rPr>
              <w:t xml:space="preserve">. </w:t>
            </w:r>
            <w:proofErr w:type="spellStart"/>
            <w:r w:rsidRPr="0060721D">
              <w:rPr>
                <w:rFonts w:ascii="Times New Roman" w:hAnsi="Times New Roman"/>
              </w:rPr>
              <w:t>În</w:t>
            </w:r>
            <w:proofErr w:type="spellEnd"/>
            <w:r w:rsidRPr="0060721D">
              <w:rPr>
                <w:rFonts w:ascii="Times New Roman" w:hAnsi="Times New Roman"/>
              </w:rPr>
              <w:t xml:space="preserve"> </w:t>
            </w:r>
            <w:proofErr w:type="spellStart"/>
            <w:r w:rsidRPr="0060721D">
              <w:rPr>
                <w:rFonts w:ascii="Times New Roman" w:hAnsi="Times New Roman"/>
              </w:rPr>
              <w:t>ultimii</w:t>
            </w:r>
            <w:proofErr w:type="spellEnd"/>
            <w:r w:rsidRPr="0060721D">
              <w:rPr>
                <w:rFonts w:ascii="Times New Roman" w:hAnsi="Times New Roman"/>
              </w:rPr>
              <w:t xml:space="preserve"> </w:t>
            </w:r>
            <w:proofErr w:type="spellStart"/>
            <w:r w:rsidRPr="0060721D">
              <w:rPr>
                <w:rFonts w:ascii="Times New Roman" w:hAnsi="Times New Roman"/>
              </w:rPr>
              <w:t>zece</w:t>
            </w:r>
            <w:proofErr w:type="spellEnd"/>
            <w:r w:rsidRPr="0060721D">
              <w:rPr>
                <w:rFonts w:ascii="Times New Roman" w:hAnsi="Times New Roman"/>
              </w:rPr>
              <w:t xml:space="preserve"> ani se </w:t>
            </w:r>
            <w:proofErr w:type="spellStart"/>
            <w:r w:rsidRPr="0060721D">
              <w:rPr>
                <w:rFonts w:ascii="Times New Roman" w:hAnsi="Times New Roman"/>
              </w:rPr>
              <w:t>dezvoltă</w:t>
            </w:r>
            <w:proofErr w:type="spellEnd"/>
            <w:r w:rsidRPr="0060721D">
              <w:rPr>
                <w:rFonts w:ascii="Times New Roman" w:hAnsi="Times New Roman"/>
              </w:rPr>
              <w:t xml:space="preserve"> </w:t>
            </w:r>
            <w:proofErr w:type="spellStart"/>
            <w:r w:rsidRPr="0060721D">
              <w:rPr>
                <w:rFonts w:ascii="Times New Roman" w:hAnsi="Times New Roman"/>
              </w:rPr>
              <w:t>şi</w:t>
            </w:r>
            <w:proofErr w:type="spellEnd"/>
            <w:r w:rsidRPr="0060721D">
              <w:rPr>
                <w:rFonts w:ascii="Times New Roman" w:hAnsi="Times New Roman"/>
              </w:rPr>
              <w:t xml:space="preserve"> </w:t>
            </w:r>
            <w:proofErr w:type="spellStart"/>
            <w:r w:rsidRPr="0060721D">
              <w:rPr>
                <w:rFonts w:ascii="Times New Roman" w:hAnsi="Times New Roman"/>
              </w:rPr>
              <w:t>în</w:t>
            </w:r>
            <w:proofErr w:type="spellEnd"/>
            <w:r w:rsidRPr="0060721D">
              <w:rPr>
                <w:rFonts w:ascii="Times New Roman" w:hAnsi="Times New Roman"/>
              </w:rPr>
              <w:t xml:space="preserve"> Moldova, </w:t>
            </w:r>
            <w:proofErr w:type="spellStart"/>
            <w:r w:rsidRPr="0060721D">
              <w:rPr>
                <w:rFonts w:ascii="Times New Roman" w:hAnsi="Times New Roman"/>
              </w:rPr>
              <w:t>în</w:t>
            </w:r>
            <w:proofErr w:type="spellEnd"/>
            <w:r w:rsidRPr="0060721D">
              <w:rPr>
                <w:rFonts w:ascii="Times New Roman" w:hAnsi="Times New Roman"/>
              </w:rPr>
              <w:t xml:space="preserve"> </w:t>
            </w:r>
            <w:proofErr w:type="spellStart"/>
            <w:r w:rsidRPr="0060721D">
              <w:rPr>
                <w:rFonts w:ascii="Times New Roman" w:hAnsi="Times New Roman"/>
              </w:rPr>
              <w:t>primul</w:t>
            </w:r>
            <w:proofErr w:type="spellEnd"/>
            <w:r w:rsidRPr="0060721D">
              <w:rPr>
                <w:rFonts w:ascii="Times New Roman" w:hAnsi="Times New Roman"/>
              </w:rPr>
              <w:t xml:space="preserve"> </w:t>
            </w:r>
            <w:proofErr w:type="spellStart"/>
            <w:r w:rsidRPr="0060721D">
              <w:rPr>
                <w:rFonts w:ascii="Times New Roman" w:hAnsi="Times New Roman"/>
              </w:rPr>
              <w:t>rînd</w:t>
            </w:r>
            <w:proofErr w:type="spellEnd"/>
            <w:r w:rsidRPr="0060721D">
              <w:rPr>
                <w:rFonts w:ascii="Times New Roman" w:hAnsi="Times New Roman"/>
              </w:rPr>
              <w:t xml:space="preserve"> la </w:t>
            </w:r>
            <w:proofErr w:type="spellStart"/>
            <w:r w:rsidRPr="0060721D">
              <w:rPr>
                <w:rFonts w:ascii="Times New Roman" w:hAnsi="Times New Roman"/>
              </w:rPr>
              <w:t>fabricile</w:t>
            </w:r>
            <w:proofErr w:type="spellEnd"/>
            <w:r w:rsidRPr="0060721D">
              <w:rPr>
                <w:rFonts w:ascii="Times New Roman" w:hAnsi="Times New Roman"/>
              </w:rPr>
              <w:t xml:space="preserve"> de </w:t>
            </w:r>
            <w:proofErr w:type="spellStart"/>
            <w:r w:rsidRPr="0060721D">
              <w:rPr>
                <w:rFonts w:ascii="Times New Roman" w:hAnsi="Times New Roman"/>
              </w:rPr>
              <w:t>zahăr</w:t>
            </w:r>
            <w:proofErr w:type="spellEnd"/>
            <w:r w:rsidRPr="0060721D">
              <w:rPr>
                <w:rFonts w:ascii="Times New Roman" w:hAnsi="Times New Roman"/>
              </w:rPr>
              <w:t xml:space="preserve">, </w:t>
            </w:r>
            <w:proofErr w:type="spellStart"/>
            <w:r w:rsidRPr="0060721D">
              <w:rPr>
                <w:rFonts w:ascii="Times New Roman" w:hAnsi="Times New Roman"/>
              </w:rPr>
              <w:t>întreprinderile</w:t>
            </w:r>
            <w:proofErr w:type="spellEnd"/>
            <w:r w:rsidRPr="0060721D">
              <w:rPr>
                <w:rFonts w:ascii="Times New Roman" w:hAnsi="Times New Roman"/>
              </w:rPr>
              <w:t xml:space="preserve"> de </w:t>
            </w:r>
            <w:proofErr w:type="spellStart"/>
            <w:r w:rsidRPr="0060721D">
              <w:rPr>
                <w:rFonts w:ascii="Times New Roman" w:hAnsi="Times New Roman"/>
              </w:rPr>
              <w:t>procesare</w:t>
            </w:r>
            <w:proofErr w:type="spellEnd"/>
            <w:r w:rsidRPr="0060721D">
              <w:rPr>
                <w:rFonts w:ascii="Times New Roman" w:hAnsi="Times New Roman"/>
              </w:rPr>
              <w:t xml:space="preserve"> a </w:t>
            </w:r>
            <w:proofErr w:type="spellStart"/>
            <w:r w:rsidRPr="0060721D">
              <w:rPr>
                <w:rFonts w:ascii="Times New Roman" w:hAnsi="Times New Roman"/>
              </w:rPr>
              <w:t>cerealelor</w:t>
            </w:r>
            <w:proofErr w:type="spellEnd"/>
            <w:r w:rsidRPr="0060721D">
              <w:rPr>
                <w:rFonts w:ascii="Times New Roman" w:hAnsi="Times New Roman"/>
              </w:rPr>
              <w:t xml:space="preserve"> etc. </w:t>
            </w:r>
            <w:proofErr w:type="spellStart"/>
            <w:r w:rsidRPr="0060721D">
              <w:rPr>
                <w:rFonts w:ascii="Times New Roman" w:hAnsi="Times New Roman"/>
              </w:rPr>
              <w:t>şi</w:t>
            </w:r>
            <w:proofErr w:type="spellEnd"/>
            <w:r w:rsidRPr="0060721D">
              <w:rPr>
                <w:rFonts w:ascii="Times New Roman" w:hAnsi="Times New Roman"/>
              </w:rPr>
              <w:t xml:space="preserve"> care </w:t>
            </w:r>
            <w:proofErr w:type="spellStart"/>
            <w:r w:rsidRPr="0060721D">
              <w:rPr>
                <w:rFonts w:ascii="Times New Roman" w:hAnsi="Times New Roman"/>
              </w:rPr>
              <w:t>dispun</w:t>
            </w:r>
            <w:proofErr w:type="spellEnd"/>
            <w:r w:rsidRPr="0060721D">
              <w:rPr>
                <w:rFonts w:ascii="Times New Roman" w:hAnsi="Times New Roman"/>
              </w:rPr>
              <w:t xml:space="preserve"> de </w:t>
            </w:r>
            <w:proofErr w:type="spellStart"/>
            <w:r w:rsidRPr="0060721D">
              <w:rPr>
                <w:rFonts w:ascii="Times New Roman" w:hAnsi="Times New Roman"/>
              </w:rPr>
              <w:t>materie</w:t>
            </w:r>
            <w:proofErr w:type="spellEnd"/>
            <w:r w:rsidRPr="0060721D">
              <w:rPr>
                <w:rFonts w:ascii="Times New Roman" w:hAnsi="Times New Roman"/>
              </w:rPr>
              <w:t xml:space="preserve"> </w:t>
            </w:r>
            <w:proofErr w:type="spellStart"/>
            <w:r w:rsidRPr="0060721D">
              <w:rPr>
                <w:rFonts w:ascii="Times New Roman" w:hAnsi="Times New Roman"/>
              </w:rPr>
              <w:t>primă</w:t>
            </w:r>
            <w:proofErr w:type="spellEnd"/>
            <w:r w:rsidRPr="0060721D">
              <w:rPr>
                <w:rFonts w:ascii="Times New Roman" w:hAnsi="Times New Roman"/>
              </w:rPr>
              <w:t xml:space="preserve"> – </w:t>
            </w:r>
            <w:proofErr w:type="spellStart"/>
            <w:r w:rsidRPr="0060721D">
              <w:rPr>
                <w:rFonts w:ascii="Times New Roman" w:hAnsi="Times New Roman"/>
              </w:rPr>
              <w:t>deşeuri</w:t>
            </w:r>
            <w:proofErr w:type="spellEnd"/>
            <w:r w:rsidRPr="0060721D">
              <w:rPr>
                <w:rFonts w:ascii="Times New Roman" w:hAnsi="Times New Roman"/>
              </w:rPr>
              <w:t xml:space="preserve"> de </w:t>
            </w:r>
            <w:proofErr w:type="spellStart"/>
            <w:r w:rsidRPr="0060721D">
              <w:rPr>
                <w:rFonts w:ascii="Times New Roman" w:hAnsi="Times New Roman"/>
              </w:rPr>
              <w:t>biomasă</w:t>
            </w:r>
            <w:proofErr w:type="spellEnd"/>
            <w:r w:rsidRPr="0060721D">
              <w:rPr>
                <w:rFonts w:ascii="Times New Roman" w:hAnsi="Times New Roman"/>
              </w:rPr>
              <w:t xml:space="preserve"> din care se produce </w:t>
            </w:r>
            <w:proofErr w:type="spellStart"/>
            <w:r w:rsidRPr="0060721D">
              <w:rPr>
                <w:rFonts w:ascii="Times New Roman" w:hAnsi="Times New Roman"/>
              </w:rPr>
              <w:t>biogazul</w:t>
            </w:r>
            <w:proofErr w:type="spellEnd"/>
          </w:p>
        </w:tc>
        <w:tc>
          <w:tcPr>
            <w:tcW w:w="1620" w:type="dxa"/>
            <w:gridSpan w:val="2"/>
            <w:hideMark/>
          </w:tcPr>
          <w:p w14:paraId="235C25FC" w14:textId="77777777" w:rsidR="0060721D" w:rsidRPr="0060721D" w:rsidRDefault="0060721D" w:rsidP="0060721D">
            <w:pPr>
              <w:jc w:val="center"/>
              <w:rPr>
                <w:rFonts w:ascii="Times New Roman" w:hAnsi="Times New Roman"/>
              </w:rPr>
            </w:pPr>
            <w:r w:rsidRPr="0060721D">
              <w:rPr>
                <w:rFonts w:ascii="Times New Roman" w:hAnsi="Times New Roman"/>
              </w:rPr>
              <w:t>50 MW</w:t>
            </w:r>
          </w:p>
        </w:tc>
        <w:tc>
          <w:tcPr>
            <w:tcW w:w="1440" w:type="dxa"/>
            <w:gridSpan w:val="2"/>
            <w:hideMark/>
          </w:tcPr>
          <w:p w14:paraId="2129F1B1" w14:textId="77777777" w:rsidR="0060721D" w:rsidRPr="0060721D" w:rsidRDefault="0060721D" w:rsidP="0060721D">
            <w:pPr>
              <w:jc w:val="center"/>
              <w:rPr>
                <w:rFonts w:ascii="Times New Roman" w:hAnsi="Times New Roman"/>
              </w:rPr>
            </w:pPr>
            <w:r w:rsidRPr="0060721D">
              <w:rPr>
                <w:rFonts w:ascii="Times New Roman" w:hAnsi="Times New Roman"/>
              </w:rPr>
              <w:t>25 MW</w:t>
            </w:r>
          </w:p>
        </w:tc>
        <w:tc>
          <w:tcPr>
            <w:tcW w:w="3429" w:type="dxa"/>
            <w:gridSpan w:val="2"/>
            <w:hideMark/>
          </w:tcPr>
          <w:p w14:paraId="6129CF2B" w14:textId="77777777" w:rsidR="0060721D" w:rsidRPr="0060721D" w:rsidRDefault="0060721D" w:rsidP="0060721D">
            <w:pPr>
              <w:jc w:val="center"/>
              <w:rPr>
                <w:rFonts w:ascii="Times New Roman" w:hAnsi="Times New Roman"/>
              </w:rPr>
            </w:pPr>
            <w:r w:rsidRPr="0060721D">
              <w:rPr>
                <w:rFonts w:ascii="Times New Roman" w:hAnsi="Times New Roman"/>
              </w:rPr>
              <w:t>107 500 tone CO2</w:t>
            </w:r>
          </w:p>
        </w:tc>
        <w:tc>
          <w:tcPr>
            <w:tcW w:w="1502" w:type="dxa"/>
            <w:gridSpan w:val="2"/>
            <w:hideMark/>
          </w:tcPr>
          <w:p w14:paraId="1BFD837C" w14:textId="77777777" w:rsidR="0060721D" w:rsidRPr="0060721D" w:rsidRDefault="0060721D" w:rsidP="0060721D">
            <w:pPr>
              <w:jc w:val="center"/>
              <w:rPr>
                <w:rFonts w:ascii="Times New Roman" w:hAnsi="Times New Roman"/>
              </w:rPr>
            </w:pPr>
            <w:r w:rsidRPr="0060721D">
              <w:rPr>
                <w:rFonts w:ascii="Times New Roman" w:hAnsi="Times New Roman"/>
              </w:rPr>
              <w:t>53 750 tone CO2</w:t>
            </w:r>
          </w:p>
        </w:tc>
      </w:tr>
      <w:tr w:rsidR="002D5884" w:rsidRPr="002D5884" w14:paraId="4E0264D5" w14:textId="77777777" w:rsidTr="00F11CCD">
        <w:trPr>
          <w:divId w:val="546725049"/>
          <w:trHeight w:val="778"/>
        </w:trPr>
        <w:tc>
          <w:tcPr>
            <w:tcW w:w="500" w:type="dxa"/>
            <w:hideMark/>
          </w:tcPr>
          <w:p w14:paraId="7AB1AC32" w14:textId="77777777" w:rsidR="002D5884" w:rsidRPr="0060721D" w:rsidRDefault="002D5884" w:rsidP="0060721D">
            <w:pPr>
              <w:jc w:val="center"/>
              <w:rPr>
                <w:rFonts w:ascii="Times New Roman" w:eastAsia="Times New Roman" w:hAnsi="Times New Roman"/>
                <w:lang w:val="ro-RO" w:eastAsia="ru-RU"/>
              </w:rPr>
            </w:pPr>
            <w:r w:rsidRPr="0060721D">
              <w:rPr>
                <w:rFonts w:ascii="Times New Roman" w:eastAsia="Times New Roman" w:hAnsi="Times New Roman"/>
                <w:lang w:eastAsia="ru-RU"/>
              </w:rPr>
              <w:t>2</w:t>
            </w:r>
          </w:p>
        </w:tc>
        <w:tc>
          <w:tcPr>
            <w:tcW w:w="13639" w:type="dxa"/>
            <w:gridSpan w:val="12"/>
            <w:hideMark/>
          </w:tcPr>
          <w:p w14:paraId="0D27E17E" w14:textId="77777777" w:rsidR="002D5884" w:rsidRPr="0060721D" w:rsidRDefault="002D5884" w:rsidP="0060721D">
            <w:pPr>
              <w:rPr>
                <w:rFonts w:ascii="Times New Roman" w:hAnsi="Times New Roman"/>
                <w:b/>
                <w:bCs/>
              </w:rPr>
            </w:pPr>
            <w:r w:rsidRPr="0060721D">
              <w:rPr>
                <w:rFonts w:ascii="Times New Roman" w:eastAsia="Times New Roman" w:hAnsi="Times New Roman"/>
                <w:lang w:val="es-ES" w:eastAsia="ru-RU"/>
              </w:rPr>
              <w:t xml:space="preserve">Obiectivul specific 2. Reducerea necondiţionată, pînă </w:t>
            </w:r>
            <w:r w:rsidRPr="0060721D">
              <w:rPr>
                <w:rFonts w:ascii="Times New Roman" w:eastAsia="Times New Roman" w:hAnsi="Times New Roman"/>
                <w:lang w:val="ro-RO" w:eastAsia="ru-RU"/>
              </w:rPr>
              <w:t>în</w:t>
            </w:r>
            <w:r w:rsidRPr="0060721D">
              <w:rPr>
                <w:rFonts w:ascii="Times New Roman" w:hAnsi="Times New Roman"/>
              </w:rPr>
              <w:t xml:space="preserve">  </w:t>
            </w:r>
            <w:proofErr w:type="spellStart"/>
            <w:r w:rsidRPr="0060721D">
              <w:rPr>
                <w:rFonts w:ascii="Times New Roman" w:hAnsi="Times New Roman"/>
              </w:rPr>
              <w:t>anul</w:t>
            </w:r>
            <w:proofErr w:type="spellEnd"/>
            <w:r w:rsidRPr="0060721D">
              <w:rPr>
                <w:rFonts w:ascii="Times New Roman" w:hAnsi="Times New Roman"/>
              </w:rPr>
              <w:t xml:space="preserve"> 2030, a </w:t>
            </w:r>
            <w:proofErr w:type="spellStart"/>
            <w:r w:rsidRPr="0060721D">
              <w:rPr>
                <w:rFonts w:ascii="Times New Roman" w:hAnsi="Times New Roman"/>
              </w:rPr>
              <w:t>emisiilor</w:t>
            </w:r>
            <w:proofErr w:type="spellEnd"/>
            <w:r w:rsidRPr="0060721D">
              <w:rPr>
                <w:rFonts w:ascii="Times New Roman" w:hAnsi="Times New Roman"/>
              </w:rPr>
              <w:t xml:space="preserve"> de gaze cu </w:t>
            </w:r>
            <w:proofErr w:type="spellStart"/>
            <w:r w:rsidRPr="0060721D">
              <w:rPr>
                <w:rFonts w:ascii="Times New Roman" w:hAnsi="Times New Roman"/>
              </w:rPr>
              <w:t>efect</w:t>
            </w:r>
            <w:proofErr w:type="spellEnd"/>
            <w:r w:rsidRPr="0060721D">
              <w:rPr>
                <w:rFonts w:ascii="Times New Roman" w:hAnsi="Times New Roman"/>
              </w:rPr>
              <w:t xml:space="preserve"> de </w:t>
            </w:r>
            <w:proofErr w:type="spellStart"/>
            <w:r w:rsidRPr="0060721D">
              <w:rPr>
                <w:rFonts w:ascii="Times New Roman" w:hAnsi="Times New Roman"/>
              </w:rPr>
              <w:t>seră</w:t>
            </w:r>
            <w:proofErr w:type="spellEnd"/>
            <w:r w:rsidRPr="0060721D">
              <w:rPr>
                <w:rFonts w:ascii="Times New Roman" w:hAnsi="Times New Roman"/>
              </w:rPr>
              <w:t xml:space="preserve"> </w:t>
            </w:r>
            <w:proofErr w:type="spellStart"/>
            <w:r w:rsidRPr="0060721D">
              <w:rPr>
                <w:rFonts w:ascii="Times New Roman" w:hAnsi="Times New Roman"/>
              </w:rPr>
              <w:t>provenite</w:t>
            </w:r>
            <w:proofErr w:type="spellEnd"/>
            <w:r w:rsidRPr="0060721D">
              <w:rPr>
                <w:rFonts w:ascii="Times New Roman" w:hAnsi="Times New Roman"/>
              </w:rPr>
              <w:t xml:space="preserve"> din </w:t>
            </w:r>
            <w:proofErr w:type="spellStart"/>
            <w:r w:rsidRPr="0060721D">
              <w:rPr>
                <w:rFonts w:ascii="Times New Roman" w:hAnsi="Times New Roman"/>
                <w:b/>
                <w:bCs/>
              </w:rPr>
              <w:t>sectorul</w:t>
            </w:r>
            <w:proofErr w:type="spellEnd"/>
            <w:r w:rsidRPr="0060721D">
              <w:rPr>
                <w:rFonts w:ascii="Times New Roman" w:hAnsi="Times New Roman"/>
                <w:b/>
                <w:bCs/>
              </w:rPr>
              <w:t xml:space="preserve"> </w:t>
            </w:r>
            <w:proofErr w:type="spellStart"/>
            <w:r w:rsidRPr="0060721D">
              <w:rPr>
                <w:rFonts w:ascii="Times New Roman" w:hAnsi="Times New Roman"/>
                <w:b/>
                <w:bCs/>
              </w:rPr>
              <w:t>transporturi</w:t>
            </w:r>
            <w:proofErr w:type="spellEnd"/>
            <w:r w:rsidRPr="0060721D">
              <w:rPr>
                <w:rFonts w:ascii="Times New Roman" w:hAnsi="Times New Roman"/>
              </w:rPr>
              <w:t xml:space="preserve"> cu 52% </w:t>
            </w:r>
            <w:proofErr w:type="spellStart"/>
            <w:r w:rsidRPr="0060721D">
              <w:rPr>
                <w:rFonts w:ascii="Times New Roman" w:hAnsi="Times New Roman"/>
              </w:rPr>
              <w:t>şi</w:t>
            </w:r>
            <w:proofErr w:type="spellEnd"/>
            <w:r w:rsidRPr="0060721D">
              <w:rPr>
                <w:rFonts w:ascii="Times New Roman" w:hAnsi="Times New Roman"/>
              </w:rPr>
              <w:t xml:space="preserve"> </w:t>
            </w:r>
            <w:proofErr w:type="spellStart"/>
            <w:r w:rsidRPr="0060721D">
              <w:rPr>
                <w:rFonts w:ascii="Times New Roman" w:hAnsi="Times New Roman"/>
              </w:rPr>
              <w:t>reducerea</w:t>
            </w:r>
            <w:proofErr w:type="spellEnd"/>
            <w:r w:rsidRPr="0060721D">
              <w:rPr>
                <w:rFonts w:ascii="Times New Roman" w:hAnsi="Times New Roman"/>
              </w:rPr>
              <w:t xml:space="preserve"> de gaze cu </w:t>
            </w:r>
            <w:proofErr w:type="spellStart"/>
            <w:r w:rsidRPr="0060721D">
              <w:rPr>
                <w:rFonts w:ascii="Times New Roman" w:hAnsi="Times New Roman"/>
              </w:rPr>
              <w:t>efect</w:t>
            </w:r>
            <w:proofErr w:type="spellEnd"/>
            <w:r w:rsidRPr="0060721D">
              <w:rPr>
                <w:rFonts w:ascii="Times New Roman" w:hAnsi="Times New Roman"/>
              </w:rPr>
              <w:t xml:space="preserve"> de </w:t>
            </w:r>
            <w:proofErr w:type="spellStart"/>
            <w:r w:rsidRPr="0060721D">
              <w:rPr>
                <w:rFonts w:ascii="Times New Roman" w:hAnsi="Times New Roman"/>
              </w:rPr>
              <w:t>seră</w:t>
            </w:r>
            <w:proofErr w:type="spellEnd"/>
            <w:r w:rsidRPr="0060721D">
              <w:rPr>
                <w:rFonts w:ascii="Times New Roman" w:hAnsi="Times New Roman"/>
              </w:rPr>
              <w:t xml:space="preserve"> </w:t>
            </w:r>
            <w:proofErr w:type="spellStart"/>
            <w:r w:rsidRPr="0060721D">
              <w:rPr>
                <w:rFonts w:ascii="Times New Roman" w:hAnsi="Times New Roman"/>
              </w:rPr>
              <w:t>condiţionată</w:t>
            </w:r>
            <w:proofErr w:type="spellEnd"/>
            <w:r w:rsidRPr="0060721D">
              <w:rPr>
                <w:rFonts w:ascii="Times New Roman" w:hAnsi="Times New Roman"/>
              </w:rPr>
              <w:t xml:space="preserve"> </w:t>
            </w:r>
            <w:proofErr w:type="spellStart"/>
            <w:r w:rsidRPr="0060721D">
              <w:rPr>
                <w:rFonts w:ascii="Times New Roman" w:hAnsi="Times New Roman"/>
              </w:rPr>
              <w:t>pînă</w:t>
            </w:r>
            <w:proofErr w:type="spellEnd"/>
            <w:r w:rsidRPr="0060721D">
              <w:rPr>
                <w:rFonts w:ascii="Times New Roman" w:hAnsi="Times New Roman"/>
              </w:rPr>
              <w:t xml:space="preserve"> la 55% </w:t>
            </w:r>
            <w:proofErr w:type="spellStart"/>
            <w:r w:rsidRPr="0060721D">
              <w:rPr>
                <w:rFonts w:ascii="Times New Roman" w:hAnsi="Times New Roman"/>
              </w:rPr>
              <w:t>comparativ</w:t>
            </w:r>
            <w:proofErr w:type="spellEnd"/>
            <w:r w:rsidRPr="0060721D">
              <w:rPr>
                <w:rFonts w:ascii="Times New Roman" w:hAnsi="Times New Roman"/>
              </w:rPr>
              <w:t xml:space="preserve"> cu </w:t>
            </w:r>
            <w:proofErr w:type="spellStart"/>
            <w:r w:rsidRPr="0060721D">
              <w:rPr>
                <w:rFonts w:ascii="Times New Roman" w:hAnsi="Times New Roman"/>
              </w:rPr>
              <w:t>anul</w:t>
            </w:r>
            <w:proofErr w:type="spellEnd"/>
            <w:r w:rsidRPr="0060721D">
              <w:rPr>
                <w:rFonts w:ascii="Times New Roman" w:hAnsi="Times New Roman"/>
              </w:rPr>
              <w:t xml:space="preserve"> 1990</w:t>
            </w:r>
          </w:p>
        </w:tc>
      </w:tr>
      <w:tr w:rsidR="00F11CCD" w:rsidRPr="0060721D" w14:paraId="65251C89" w14:textId="77777777" w:rsidTr="00F11CCD">
        <w:trPr>
          <w:divId w:val="546725049"/>
          <w:trHeight w:val="2145"/>
        </w:trPr>
        <w:tc>
          <w:tcPr>
            <w:tcW w:w="500" w:type="dxa"/>
            <w:hideMark/>
          </w:tcPr>
          <w:p w14:paraId="4CE312D9" w14:textId="77777777" w:rsidR="0060721D" w:rsidRPr="0060721D" w:rsidRDefault="0060721D" w:rsidP="0060721D">
            <w:pPr>
              <w:jc w:val="center"/>
              <w:rPr>
                <w:rFonts w:ascii="Times New Roman" w:eastAsia="Times New Roman" w:hAnsi="Times New Roman"/>
                <w:lang w:eastAsia="ru-RU"/>
              </w:rPr>
            </w:pPr>
            <w:r w:rsidRPr="0060721D">
              <w:rPr>
                <w:rFonts w:ascii="Times New Roman" w:eastAsia="Times New Roman" w:hAnsi="Times New Roman"/>
                <w:lang w:eastAsia="ru-RU"/>
              </w:rPr>
              <w:lastRenderedPageBreak/>
              <w:t>2,1</w:t>
            </w:r>
          </w:p>
        </w:tc>
        <w:tc>
          <w:tcPr>
            <w:tcW w:w="3437" w:type="dxa"/>
            <w:gridSpan w:val="2"/>
            <w:hideMark/>
          </w:tcPr>
          <w:p w14:paraId="3E56F602" w14:textId="77777777" w:rsidR="0060721D" w:rsidRPr="0060721D" w:rsidRDefault="0060721D" w:rsidP="0060721D">
            <w:pPr>
              <w:rPr>
                <w:rFonts w:ascii="Times New Roman" w:hAnsi="Times New Roman"/>
              </w:rPr>
            </w:pPr>
            <w:proofErr w:type="spellStart"/>
            <w:r w:rsidRPr="0060721D">
              <w:rPr>
                <w:rFonts w:ascii="Times New Roman" w:eastAsia="Times New Roman" w:hAnsi="Times New Roman"/>
                <w:lang w:eastAsia="ru-RU"/>
              </w:rPr>
              <w:t>Promovarea</w:t>
            </w:r>
            <w:proofErr w:type="spellEnd"/>
            <w:r w:rsidRPr="0060721D">
              <w:rPr>
                <w:rFonts w:ascii="Times New Roman" w:eastAsia="Times New Roman" w:hAnsi="Times New Roman"/>
                <w:lang w:eastAsia="ru-RU"/>
              </w:rPr>
              <w:t xml:space="preserve"> </w:t>
            </w:r>
            <w:proofErr w:type="spellStart"/>
            <w:r w:rsidRPr="0060721D">
              <w:rPr>
                <w:rFonts w:ascii="Times New Roman" w:eastAsia="Times New Roman" w:hAnsi="Times New Roman"/>
                <w:lang w:eastAsia="ru-RU"/>
              </w:rPr>
              <w:t>utilizării</w:t>
            </w:r>
            <w:proofErr w:type="spellEnd"/>
            <w:r w:rsidRPr="0060721D">
              <w:rPr>
                <w:rFonts w:ascii="Times New Roman" w:eastAsia="Times New Roman" w:hAnsi="Times New Roman"/>
                <w:lang w:eastAsia="ru-RU"/>
              </w:rPr>
              <w:t xml:space="preserve"> </w:t>
            </w:r>
            <w:proofErr w:type="spellStart"/>
            <w:r w:rsidRPr="0060721D">
              <w:rPr>
                <w:rFonts w:ascii="Times New Roman" w:eastAsia="Times New Roman" w:hAnsi="Times New Roman"/>
                <w:lang w:eastAsia="ru-RU"/>
              </w:rPr>
              <w:t>biomotorinei</w:t>
            </w:r>
            <w:proofErr w:type="spellEnd"/>
            <w:r w:rsidRPr="0060721D">
              <w:rPr>
                <w:rFonts w:ascii="Times New Roman" w:eastAsia="Times New Roman" w:hAnsi="Times New Roman"/>
                <w:lang w:val="ro-RO" w:eastAsia="ru-RU"/>
              </w:rPr>
              <w:t xml:space="preserve"> </w:t>
            </w:r>
            <w:proofErr w:type="spellStart"/>
            <w:r w:rsidRPr="0060721D">
              <w:rPr>
                <w:rFonts w:ascii="Times New Roman" w:hAnsi="Times New Roman"/>
              </w:rPr>
              <w:t>în</w:t>
            </w:r>
            <w:proofErr w:type="spellEnd"/>
            <w:r w:rsidRPr="0060721D">
              <w:rPr>
                <w:rFonts w:ascii="Times New Roman" w:hAnsi="Times New Roman"/>
              </w:rPr>
              <w:t xml:space="preserve"> </w:t>
            </w:r>
            <w:proofErr w:type="spellStart"/>
            <w:r w:rsidRPr="0060721D">
              <w:rPr>
                <w:rFonts w:ascii="Times New Roman" w:hAnsi="Times New Roman"/>
              </w:rPr>
              <w:t>calitate</w:t>
            </w:r>
            <w:proofErr w:type="spellEnd"/>
            <w:r w:rsidRPr="0060721D">
              <w:rPr>
                <w:rFonts w:ascii="Times New Roman" w:hAnsi="Times New Roman"/>
              </w:rPr>
              <w:t xml:space="preserve"> de </w:t>
            </w:r>
            <w:proofErr w:type="spellStart"/>
            <w:r w:rsidRPr="0060721D">
              <w:rPr>
                <w:rFonts w:ascii="Times New Roman" w:hAnsi="Times New Roman"/>
              </w:rPr>
              <w:t>combustibil</w:t>
            </w:r>
            <w:proofErr w:type="spellEnd"/>
          </w:p>
        </w:tc>
        <w:tc>
          <w:tcPr>
            <w:tcW w:w="2211" w:type="dxa"/>
            <w:gridSpan w:val="2"/>
            <w:hideMark/>
          </w:tcPr>
          <w:p w14:paraId="29288923" w14:textId="77777777" w:rsidR="0060721D" w:rsidRPr="0060721D" w:rsidRDefault="0060721D" w:rsidP="0060721D">
            <w:pPr>
              <w:rPr>
                <w:rFonts w:ascii="Times New Roman" w:eastAsia="Times New Roman" w:hAnsi="Times New Roman"/>
                <w:lang w:val="es-ES" w:eastAsia="ru-RU"/>
              </w:rPr>
            </w:pPr>
            <w:r w:rsidRPr="0060721D">
              <w:rPr>
                <w:rFonts w:ascii="Times New Roman" w:eastAsia="Times New Roman" w:hAnsi="Times New Roman"/>
                <w:lang w:val="es-ES" w:eastAsia="ru-RU"/>
              </w:rPr>
              <w:t xml:space="preserve">Biomotorina este utilizată pentru a substitui motorina, fiind amestecată cu combustibilul fosil în diverse proporţii. În Europa, standardele aplicate combustibililor permit un amestec de pînă la 5% de biomotorină, din cauza limitărilor impuse de combustibil şi de specificaţiile vehiculului. Utilizarea amestecurilor peste 20% poate necesita unele adaptări modeste ale vehiculului. Biomotorina poate fi produsă din diverse uleiuri vegetale, precum seminţele de rapiţă şi soia, ulei de palmier şi grăsimi animale </w:t>
            </w:r>
          </w:p>
        </w:tc>
        <w:tc>
          <w:tcPr>
            <w:tcW w:w="1620" w:type="dxa"/>
            <w:gridSpan w:val="2"/>
            <w:hideMark/>
          </w:tcPr>
          <w:p w14:paraId="1321D876" w14:textId="77777777" w:rsidR="0060721D" w:rsidRPr="0060721D" w:rsidRDefault="0060721D" w:rsidP="0060721D">
            <w:pPr>
              <w:jc w:val="center"/>
              <w:rPr>
                <w:rFonts w:ascii="Times New Roman" w:eastAsia="Times New Roman" w:hAnsi="Times New Roman"/>
                <w:lang w:eastAsia="ru-RU"/>
              </w:rPr>
            </w:pPr>
            <w:r w:rsidRPr="0060721D">
              <w:rPr>
                <w:rFonts w:ascii="Times New Roman" w:eastAsia="Times New Roman" w:hAnsi="Times New Roman"/>
                <w:lang w:val="es-ES" w:eastAsia="ru-RU"/>
              </w:rPr>
              <w:t>10% din consumul anual de motorină pe ţară</w:t>
            </w:r>
          </w:p>
        </w:tc>
        <w:tc>
          <w:tcPr>
            <w:tcW w:w="1440" w:type="dxa"/>
            <w:gridSpan w:val="2"/>
            <w:hideMark/>
          </w:tcPr>
          <w:p w14:paraId="1479EB0E" w14:textId="77777777" w:rsidR="0060721D" w:rsidRPr="0060721D" w:rsidRDefault="0060721D" w:rsidP="0060721D">
            <w:pPr>
              <w:jc w:val="center"/>
              <w:rPr>
                <w:rFonts w:ascii="Times New Roman" w:hAnsi="Times New Roman"/>
                <w:lang w:val="ro-RO"/>
              </w:rPr>
            </w:pPr>
            <w:r w:rsidRPr="0060721D">
              <w:rPr>
                <w:rFonts w:ascii="Times New Roman" w:eastAsia="Times New Roman" w:hAnsi="Times New Roman"/>
                <w:lang w:val="es-ES" w:eastAsia="ru-RU"/>
              </w:rPr>
              <w:t> </w:t>
            </w:r>
          </w:p>
        </w:tc>
        <w:tc>
          <w:tcPr>
            <w:tcW w:w="3429" w:type="dxa"/>
            <w:gridSpan w:val="2"/>
            <w:hideMark/>
          </w:tcPr>
          <w:p w14:paraId="243B36CE" w14:textId="77777777" w:rsidR="0060721D" w:rsidRPr="0060721D" w:rsidRDefault="0060721D" w:rsidP="0060721D">
            <w:pPr>
              <w:jc w:val="center"/>
              <w:rPr>
                <w:rFonts w:ascii="Times New Roman" w:eastAsia="Times New Roman" w:hAnsi="Times New Roman"/>
                <w:lang w:val="ro-RO" w:eastAsia="ru-RU"/>
              </w:rPr>
            </w:pPr>
            <w:r w:rsidRPr="0060721D">
              <w:rPr>
                <w:rFonts w:ascii="Times New Roman" w:eastAsia="Times New Roman" w:hAnsi="Times New Roman"/>
                <w:lang w:eastAsia="ru-RU"/>
              </w:rPr>
              <w:t xml:space="preserve">187 800 tone CO2 </w:t>
            </w:r>
            <w:proofErr w:type="spellStart"/>
            <w:r w:rsidRPr="0060721D">
              <w:rPr>
                <w:rFonts w:ascii="Times New Roman" w:eastAsia="Times New Roman" w:hAnsi="Times New Roman"/>
                <w:lang w:eastAsia="ru-RU"/>
              </w:rPr>
              <w:t>echivalent</w:t>
            </w:r>
            <w:proofErr w:type="spellEnd"/>
            <w:r w:rsidRPr="0060721D">
              <w:rPr>
                <w:rFonts w:ascii="Times New Roman" w:eastAsia="Times New Roman" w:hAnsi="Times New Roman"/>
                <w:lang w:eastAsia="ru-RU"/>
              </w:rPr>
              <w:t>/an</w:t>
            </w:r>
          </w:p>
        </w:tc>
        <w:tc>
          <w:tcPr>
            <w:tcW w:w="1502" w:type="dxa"/>
            <w:gridSpan w:val="2"/>
            <w:hideMark/>
          </w:tcPr>
          <w:p w14:paraId="0EB23197" w14:textId="77777777" w:rsidR="0060721D" w:rsidRPr="0060721D" w:rsidRDefault="0060721D" w:rsidP="0060721D">
            <w:pPr>
              <w:jc w:val="center"/>
              <w:rPr>
                <w:rFonts w:ascii="Times New Roman" w:hAnsi="Times New Roman"/>
                <w:lang w:val="ro-RO"/>
              </w:rPr>
            </w:pPr>
            <w:r w:rsidRPr="0060721D">
              <w:rPr>
                <w:rFonts w:ascii="Times New Roman" w:eastAsia="Times New Roman" w:hAnsi="Times New Roman"/>
                <w:lang w:eastAsia="ru-RU"/>
              </w:rPr>
              <w:t> </w:t>
            </w:r>
          </w:p>
        </w:tc>
      </w:tr>
      <w:tr w:rsidR="00F11CCD" w:rsidRPr="0060721D" w14:paraId="2C245019" w14:textId="77777777" w:rsidTr="00F11CCD">
        <w:trPr>
          <w:divId w:val="546725049"/>
          <w:trHeight w:val="1710"/>
        </w:trPr>
        <w:tc>
          <w:tcPr>
            <w:tcW w:w="500" w:type="dxa"/>
            <w:hideMark/>
          </w:tcPr>
          <w:p w14:paraId="5BC493D4" w14:textId="77777777" w:rsidR="0060721D" w:rsidRPr="0060721D" w:rsidRDefault="0060721D" w:rsidP="0060721D">
            <w:pPr>
              <w:jc w:val="center"/>
              <w:rPr>
                <w:rFonts w:ascii="Times New Roman" w:eastAsia="Times New Roman" w:hAnsi="Times New Roman"/>
                <w:lang w:val="ro-RO" w:eastAsia="ru-RU"/>
              </w:rPr>
            </w:pPr>
            <w:r w:rsidRPr="0060721D">
              <w:rPr>
                <w:rFonts w:ascii="Times New Roman" w:eastAsia="Times New Roman" w:hAnsi="Times New Roman"/>
                <w:lang w:eastAsia="ru-RU"/>
              </w:rPr>
              <w:t>2,2</w:t>
            </w:r>
          </w:p>
        </w:tc>
        <w:tc>
          <w:tcPr>
            <w:tcW w:w="3437" w:type="dxa"/>
            <w:gridSpan w:val="2"/>
            <w:hideMark/>
          </w:tcPr>
          <w:p w14:paraId="1F68009D" w14:textId="77777777" w:rsidR="0060721D" w:rsidRPr="0060721D" w:rsidRDefault="0060721D" w:rsidP="0060721D">
            <w:pPr>
              <w:rPr>
                <w:rFonts w:ascii="Times New Roman" w:eastAsia="Times New Roman" w:hAnsi="Times New Roman"/>
                <w:lang w:val="es-ES" w:eastAsia="ru-RU"/>
              </w:rPr>
            </w:pPr>
            <w:r w:rsidRPr="0060721D">
              <w:rPr>
                <w:rFonts w:ascii="Times New Roman" w:eastAsia="Times New Roman" w:hAnsi="Times New Roman"/>
                <w:lang w:val="es-ES" w:eastAsia="ru-RU"/>
              </w:rPr>
              <w:t>Promovarea producerii bioetanolului</w:t>
            </w:r>
          </w:p>
        </w:tc>
        <w:tc>
          <w:tcPr>
            <w:tcW w:w="2211" w:type="dxa"/>
            <w:gridSpan w:val="2"/>
            <w:hideMark/>
          </w:tcPr>
          <w:p w14:paraId="73EC3D48" w14:textId="77777777" w:rsidR="0060721D" w:rsidRPr="0060721D" w:rsidRDefault="0060721D" w:rsidP="0060721D">
            <w:pPr>
              <w:rPr>
                <w:rFonts w:ascii="Times New Roman" w:hAnsi="Times New Roman"/>
              </w:rPr>
            </w:pPr>
            <w:r w:rsidRPr="0060721D">
              <w:rPr>
                <w:rFonts w:ascii="Times New Roman" w:eastAsia="Times New Roman" w:hAnsi="Times New Roman"/>
                <w:lang w:val="es-ES" w:eastAsia="ru-RU"/>
              </w:rPr>
              <w:t xml:space="preserve">Bioetanolul poate fi produs din culturi de zahăr sau pe bază de amidon. Bioetanolul este amestecat cu benzină în proporţii de la 5 la 85%. Proporţii mai mici ale amestecului sînt aplicabile la motoarele convenţionale cu benzină. Amestecuri cu un conţinut mai mare de 10% de bioetanol pot fi </w:t>
            </w:r>
            <w:r w:rsidRPr="0060721D">
              <w:rPr>
                <w:rFonts w:ascii="Times New Roman" w:eastAsia="Times New Roman" w:hAnsi="Times New Roman"/>
                <w:lang w:val="es-ES" w:eastAsia="ru-RU"/>
              </w:rPr>
              <w:lastRenderedPageBreak/>
              <w:t xml:space="preserve">utilizate doar în motoare modificate. Procesul de obţinere a bioetanolului porneşte de la prelucrarea materiei prime pentru a obţine zahărul, în care apoi, pentru fermentare, se adaugă drojdii. </w:t>
            </w:r>
            <w:proofErr w:type="spellStart"/>
            <w:r w:rsidRPr="0060721D">
              <w:rPr>
                <w:rFonts w:ascii="Times New Roman" w:eastAsia="Times New Roman" w:hAnsi="Times New Roman"/>
                <w:lang w:eastAsia="ru-RU"/>
              </w:rPr>
              <w:t>Într</w:t>
            </w:r>
            <w:proofErr w:type="spellEnd"/>
            <w:r w:rsidRPr="0060721D">
              <w:rPr>
                <w:rFonts w:ascii="Times New Roman" w:eastAsia="Times New Roman" w:hAnsi="Times New Roman"/>
                <w:lang w:eastAsia="ru-RU"/>
              </w:rPr>
              <w:t>-o</w:t>
            </w:r>
            <w:r w:rsidRPr="0060721D">
              <w:rPr>
                <w:rFonts w:ascii="Times New Roman" w:hAnsi="Times New Roman"/>
              </w:rPr>
              <w:t xml:space="preserve"> </w:t>
            </w:r>
            <w:proofErr w:type="spellStart"/>
            <w:r w:rsidRPr="0060721D">
              <w:rPr>
                <w:rFonts w:ascii="Times New Roman" w:hAnsi="Times New Roman"/>
              </w:rPr>
              <w:t>cameră</w:t>
            </w:r>
            <w:proofErr w:type="spellEnd"/>
            <w:r w:rsidRPr="0060721D">
              <w:rPr>
                <w:rFonts w:ascii="Times New Roman" w:hAnsi="Times New Roman"/>
              </w:rPr>
              <w:t xml:space="preserve"> </w:t>
            </w:r>
            <w:proofErr w:type="spellStart"/>
            <w:r w:rsidRPr="0060721D">
              <w:rPr>
                <w:rFonts w:ascii="Times New Roman" w:hAnsi="Times New Roman"/>
              </w:rPr>
              <w:t>anaerobică</w:t>
            </w:r>
            <w:proofErr w:type="spellEnd"/>
            <w:r w:rsidRPr="0060721D">
              <w:rPr>
                <w:rFonts w:ascii="Times New Roman" w:hAnsi="Times New Roman"/>
              </w:rPr>
              <w:t xml:space="preserve"> </w:t>
            </w:r>
            <w:proofErr w:type="spellStart"/>
            <w:r w:rsidRPr="0060721D">
              <w:rPr>
                <w:rFonts w:ascii="Times New Roman" w:hAnsi="Times New Roman"/>
              </w:rPr>
              <w:t>închisă</w:t>
            </w:r>
            <w:proofErr w:type="spellEnd"/>
            <w:r w:rsidRPr="0060721D">
              <w:rPr>
                <w:rFonts w:ascii="Times New Roman" w:hAnsi="Times New Roman"/>
              </w:rPr>
              <w:t xml:space="preserve"> are loc </w:t>
            </w:r>
            <w:proofErr w:type="spellStart"/>
            <w:r w:rsidRPr="0060721D">
              <w:rPr>
                <w:rFonts w:ascii="Times New Roman" w:hAnsi="Times New Roman"/>
              </w:rPr>
              <w:t>fermentarea</w:t>
            </w:r>
            <w:proofErr w:type="spellEnd"/>
            <w:r w:rsidRPr="0060721D">
              <w:rPr>
                <w:rFonts w:ascii="Times New Roman" w:hAnsi="Times New Roman"/>
              </w:rPr>
              <w:t xml:space="preserve"> </w:t>
            </w:r>
            <w:proofErr w:type="spellStart"/>
            <w:r w:rsidRPr="0060721D">
              <w:rPr>
                <w:rFonts w:ascii="Times New Roman" w:hAnsi="Times New Roman"/>
              </w:rPr>
              <w:t>zahărului</w:t>
            </w:r>
            <w:proofErr w:type="spellEnd"/>
            <w:r w:rsidRPr="0060721D">
              <w:rPr>
                <w:rFonts w:ascii="Times New Roman" w:hAnsi="Times New Roman"/>
              </w:rPr>
              <w:t xml:space="preserve">, </w:t>
            </w:r>
            <w:proofErr w:type="spellStart"/>
            <w:r w:rsidRPr="0060721D">
              <w:rPr>
                <w:rFonts w:ascii="Times New Roman" w:hAnsi="Times New Roman"/>
              </w:rPr>
              <w:t>rezultînd</w:t>
            </w:r>
            <w:proofErr w:type="spellEnd"/>
            <w:r w:rsidRPr="0060721D">
              <w:rPr>
                <w:rFonts w:ascii="Times New Roman" w:hAnsi="Times New Roman"/>
              </w:rPr>
              <w:t xml:space="preserve"> </w:t>
            </w:r>
            <w:proofErr w:type="spellStart"/>
            <w:r w:rsidRPr="0060721D">
              <w:rPr>
                <w:rFonts w:ascii="Times New Roman" w:hAnsi="Times New Roman"/>
              </w:rPr>
              <w:t>mai</w:t>
            </w:r>
            <w:proofErr w:type="spellEnd"/>
            <w:r w:rsidRPr="0060721D">
              <w:rPr>
                <w:rFonts w:ascii="Times New Roman" w:hAnsi="Times New Roman"/>
              </w:rPr>
              <w:t xml:space="preserve"> </w:t>
            </w:r>
            <w:proofErr w:type="spellStart"/>
            <w:r w:rsidRPr="0060721D">
              <w:rPr>
                <w:rFonts w:ascii="Times New Roman" w:hAnsi="Times New Roman"/>
              </w:rPr>
              <w:t>multe</w:t>
            </w:r>
            <w:proofErr w:type="spellEnd"/>
            <w:r w:rsidRPr="0060721D">
              <w:rPr>
                <w:rFonts w:ascii="Times New Roman" w:hAnsi="Times New Roman"/>
              </w:rPr>
              <w:t xml:space="preserve"> </w:t>
            </w:r>
            <w:proofErr w:type="spellStart"/>
            <w:r w:rsidRPr="0060721D">
              <w:rPr>
                <w:rFonts w:ascii="Times New Roman" w:hAnsi="Times New Roman"/>
              </w:rPr>
              <w:t>produse</w:t>
            </w:r>
            <w:proofErr w:type="spellEnd"/>
            <w:r w:rsidRPr="0060721D">
              <w:rPr>
                <w:rFonts w:ascii="Times New Roman" w:hAnsi="Times New Roman"/>
              </w:rPr>
              <w:t xml:space="preserve">, </w:t>
            </w:r>
            <w:proofErr w:type="spellStart"/>
            <w:r w:rsidRPr="0060721D">
              <w:rPr>
                <w:rFonts w:ascii="Times New Roman" w:hAnsi="Times New Roman"/>
              </w:rPr>
              <w:t>inclusiv</w:t>
            </w:r>
            <w:proofErr w:type="spellEnd"/>
            <w:r w:rsidRPr="0060721D">
              <w:rPr>
                <w:rFonts w:ascii="Times New Roman" w:hAnsi="Times New Roman"/>
              </w:rPr>
              <w:t xml:space="preserve"> acid lactic,  </w:t>
            </w:r>
            <w:proofErr w:type="spellStart"/>
            <w:r w:rsidRPr="0060721D">
              <w:rPr>
                <w:rFonts w:ascii="Times New Roman" w:hAnsi="Times New Roman"/>
              </w:rPr>
              <w:t>hidrogen</w:t>
            </w:r>
            <w:proofErr w:type="spellEnd"/>
            <w:r w:rsidRPr="0060721D">
              <w:rPr>
                <w:rFonts w:ascii="Times New Roman" w:hAnsi="Times New Roman"/>
              </w:rPr>
              <w:t xml:space="preserve">, </w:t>
            </w:r>
            <w:proofErr w:type="spellStart"/>
            <w:r w:rsidRPr="0060721D">
              <w:rPr>
                <w:rFonts w:ascii="Times New Roman" w:hAnsi="Times New Roman"/>
              </w:rPr>
              <w:t>dioxid</w:t>
            </w:r>
            <w:proofErr w:type="spellEnd"/>
            <w:r w:rsidRPr="0060721D">
              <w:rPr>
                <w:rFonts w:ascii="Times New Roman" w:hAnsi="Times New Roman"/>
              </w:rPr>
              <w:t xml:space="preserve"> de carbon </w:t>
            </w:r>
            <w:proofErr w:type="spellStart"/>
            <w:r w:rsidRPr="0060721D">
              <w:rPr>
                <w:rFonts w:ascii="Times New Roman" w:hAnsi="Times New Roman"/>
              </w:rPr>
              <w:t>şi</w:t>
            </w:r>
            <w:proofErr w:type="spellEnd"/>
            <w:r w:rsidRPr="0060721D">
              <w:rPr>
                <w:rFonts w:ascii="Times New Roman" w:hAnsi="Times New Roman"/>
              </w:rPr>
              <w:t xml:space="preserve"> </w:t>
            </w:r>
            <w:proofErr w:type="spellStart"/>
            <w:r w:rsidRPr="0060721D">
              <w:rPr>
                <w:rFonts w:ascii="Times New Roman" w:hAnsi="Times New Roman"/>
              </w:rPr>
              <w:t>etanol</w:t>
            </w:r>
            <w:proofErr w:type="spellEnd"/>
            <w:r w:rsidRPr="0060721D">
              <w:rPr>
                <w:rFonts w:ascii="Times New Roman" w:hAnsi="Times New Roman"/>
              </w:rPr>
              <w:t>. </w:t>
            </w:r>
            <w:proofErr w:type="spellStart"/>
            <w:r w:rsidRPr="0060721D">
              <w:rPr>
                <w:rFonts w:ascii="Times New Roman" w:hAnsi="Times New Roman"/>
              </w:rPr>
              <w:t>În</w:t>
            </w:r>
            <w:proofErr w:type="spellEnd"/>
            <w:r w:rsidRPr="0060721D">
              <w:rPr>
                <w:rFonts w:ascii="Times New Roman" w:hAnsi="Times New Roman"/>
              </w:rPr>
              <w:t xml:space="preserve"> </w:t>
            </w:r>
            <w:proofErr w:type="spellStart"/>
            <w:r w:rsidRPr="0060721D">
              <w:rPr>
                <w:rFonts w:ascii="Times New Roman" w:hAnsi="Times New Roman"/>
              </w:rPr>
              <w:t>cele</w:t>
            </w:r>
            <w:proofErr w:type="spellEnd"/>
            <w:r w:rsidRPr="0060721D">
              <w:rPr>
                <w:rFonts w:ascii="Times New Roman" w:hAnsi="Times New Roman"/>
              </w:rPr>
              <w:t xml:space="preserve"> </w:t>
            </w:r>
            <w:proofErr w:type="spellStart"/>
            <w:r w:rsidRPr="0060721D">
              <w:rPr>
                <w:rFonts w:ascii="Times New Roman" w:hAnsi="Times New Roman"/>
              </w:rPr>
              <w:t>mai</w:t>
            </w:r>
            <w:proofErr w:type="spellEnd"/>
            <w:r w:rsidRPr="0060721D">
              <w:rPr>
                <w:rFonts w:ascii="Times New Roman" w:hAnsi="Times New Roman"/>
              </w:rPr>
              <w:t xml:space="preserve"> </w:t>
            </w:r>
            <w:proofErr w:type="spellStart"/>
            <w:r w:rsidRPr="0060721D">
              <w:rPr>
                <w:rFonts w:ascii="Times New Roman" w:hAnsi="Times New Roman"/>
              </w:rPr>
              <w:t>răspîndite</w:t>
            </w:r>
            <w:proofErr w:type="spellEnd"/>
            <w:r w:rsidRPr="0060721D">
              <w:rPr>
                <w:rFonts w:ascii="Times New Roman" w:hAnsi="Times New Roman"/>
              </w:rPr>
              <w:t xml:space="preserve"> </w:t>
            </w:r>
            <w:proofErr w:type="spellStart"/>
            <w:r w:rsidRPr="0060721D">
              <w:rPr>
                <w:rFonts w:ascii="Times New Roman" w:hAnsi="Times New Roman"/>
              </w:rPr>
              <w:t>procese</w:t>
            </w:r>
            <w:proofErr w:type="spellEnd"/>
            <w:r w:rsidRPr="0060721D">
              <w:rPr>
                <w:rFonts w:ascii="Times New Roman" w:hAnsi="Times New Roman"/>
              </w:rPr>
              <w:t xml:space="preserve"> se </w:t>
            </w:r>
            <w:proofErr w:type="spellStart"/>
            <w:r w:rsidRPr="0060721D">
              <w:rPr>
                <w:rFonts w:ascii="Times New Roman" w:hAnsi="Times New Roman"/>
              </w:rPr>
              <w:t>utilizează</w:t>
            </w:r>
            <w:proofErr w:type="spellEnd"/>
            <w:r w:rsidRPr="0060721D">
              <w:rPr>
                <w:rFonts w:ascii="Times New Roman" w:hAnsi="Times New Roman"/>
              </w:rPr>
              <w:t xml:space="preserve"> </w:t>
            </w:r>
            <w:proofErr w:type="spellStart"/>
            <w:r w:rsidRPr="0060721D">
              <w:rPr>
                <w:rFonts w:ascii="Times New Roman" w:hAnsi="Times New Roman"/>
              </w:rPr>
              <w:t>sorgul</w:t>
            </w:r>
            <w:proofErr w:type="spellEnd"/>
            <w:r w:rsidRPr="0060721D">
              <w:rPr>
                <w:rFonts w:ascii="Times New Roman" w:hAnsi="Times New Roman"/>
              </w:rPr>
              <w:t xml:space="preserve">, </w:t>
            </w:r>
            <w:proofErr w:type="spellStart"/>
            <w:r w:rsidRPr="0060721D">
              <w:rPr>
                <w:rFonts w:ascii="Times New Roman" w:hAnsi="Times New Roman"/>
              </w:rPr>
              <w:t>sfecla</w:t>
            </w:r>
            <w:proofErr w:type="spellEnd"/>
            <w:r w:rsidRPr="0060721D">
              <w:rPr>
                <w:rFonts w:ascii="Times New Roman" w:hAnsi="Times New Roman"/>
              </w:rPr>
              <w:t xml:space="preserve"> de </w:t>
            </w:r>
            <w:proofErr w:type="spellStart"/>
            <w:r w:rsidRPr="0060721D">
              <w:rPr>
                <w:rFonts w:ascii="Times New Roman" w:hAnsi="Times New Roman"/>
              </w:rPr>
              <w:t>zahăr</w:t>
            </w:r>
            <w:proofErr w:type="spellEnd"/>
            <w:r w:rsidRPr="0060721D">
              <w:rPr>
                <w:rFonts w:ascii="Times New Roman" w:hAnsi="Times New Roman"/>
              </w:rPr>
              <w:t xml:space="preserve">, precum </w:t>
            </w:r>
            <w:proofErr w:type="spellStart"/>
            <w:r w:rsidRPr="0060721D">
              <w:rPr>
                <w:rFonts w:ascii="Times New Roman" w:hAnsi="Times New Roman"/>
              </w:rPr>
              <w:t>şi</w:t>
            </w:r>
            <w:proofErr w:type="spellEnd"/>
            <w:r w:rsidRPr="0060721D">
              <w:rPr>
                <w:rFonts w:ascii="Times New Roman" w:hAnsi="Times New Roman"/>
              </w:rPr>
              <w:t xml:space="preserve"> </w:t>
            </w:r>
            <w:proofErr w:type="spellStart"/>
            <w:r w:rsidRPr="0060721D">
              <w:rPr>
                <w:rFonts w:ascii="Times New Roman" w:hAnsi="Times New Roman"/>
              </w:rPr>
              <w:t>alte</w:t>
            </w:r>
            <w:proofErr w:type="spellEnd"/>
            <w:r w:rsidRPr="0060721D">
              <w:rPr>
                <w:rFonts w:ascii="Times New Roman" w:hAnsi="Times New Roman"/>
              </w:rPr>
              <w:t xml:space="preserve"> </w:t>
            </w:r>
            <w:proofErr w:type="spellStart"/>
            <w:r w:rsidRPr="0060721D">
              <w:rPr>
                <w:rFonts w:ascii="Times New Roman" w:hAnsi="Times New Roman"/>
              </w:rPr>
              <w:t>plante</w:t>
            </w:r>
            <w:proofErr w:type="spellEnd"/>
            <w:r w:rsidRPr="0060721D">
              <w:rPr>
                <w:rFonts w:ascii="Times New Roman" w:hAnsi="Times New Roman"/>
              </w:rPr>
              <w:t xml:space="preserve"> care </w:t>
            </w:r>
            <w:proofErr w:type="spellStart"/>
            <w:r w:rsidRPr="0060721D">
              <w:rPr>
                <w:rFonts w:ascii="Times New Roman" w:hAnsi="Times New Roman"/>
              </w:rPr>
              <w:t>conţin</w:t>
            </w:r>
            <w:proofErr w:type="spellEnd"/>
            <w:r w:rsidRPr="0060721D">
              <w:rPr>
                <w:rFonts w:ascii="Times New Roman" w:hAnsi="Times New Roman"/>
              </w:rPr>
              <w:t xml:space="preserve"> </w:t>
            </w:r>
            <w:proofErr w:type="spellStart"/>
            <w:r w:rsidRPr="0060721D">
              <w:rPr>
                <w:rFonts w:ascii="Times New Roman" w:hAnsi="Times New Roman"/>
              </w:rPr>
              <w:t>zahăr</w:t>
            </w:r>
            <w:proofErr w:type="spellEnd"/>
          </w:p>
        </w:tc>
        <w:tc>
          <w:tcPr>
            <w:tcW w:w="1620" w:type="dxa"/>
            <w:gridSpan w:val="2"/>
            <w:hideMark/>
          </w:tcPr>
          <w:p w14:paraId="48F7E07A" w14:textId="77777777" w:rsidR="0060721D" w:rsidRPr="0060721D" w:rsidRDefault="0060721D" w:rsidP="0060721D">
            <w:pPr>
              <w:jc w:val="center"/>
              <w:rPr>
                <w:rFonts w:ascii="Times New Roman" w:eastAsia="Times New Roman" w:hAnsi="Times New Roman"/>
                <w:lang w:val="es-ES" w:eastAsia="ru-RU"/>
              </w:rPr>
            </w:pPr>
            <w:r w:rsidRPr="0060721D">
              <w:rPr>
                <w:rFonts w:ascii="Times New Roman" w:eastAsia="Times New Roman" w:hAnsi="Times New Roman"/>
                <w:lang w:val="es-ES" w:eastAsia="ru-RU"/>
              </w:rPr>
              <w:lastRenderedPageBreak/>
              <w:t>10% din consumul anual de benzină pe ţară</w:t>
            </w:r>
          </w:p>
        </w:tc>
        <w:tc>
          <w:tcPr>
            <w:tcW w:w="1440" w:type="dxa"/>
            <w:gridSpan w:val="2"/>
            <w:hideMark/>
          </w:tcPr>
          <w:p w14:paraId="686B82C2" w14:textId="77777777" w:rsidR="0060721D" w:rsidRPr="0060721D" w:rsidRDefault="0060721D" w:rsidP="0060721D">
            <w:pPr>
              <w:jc w:val="center"/>
              <w:rPr>
                <w:rFonts w:ascii="Times New Roman" w:hAnsi="Times New Roman"/>
                <w:lang w:val="ro-RO"/>
              </w:rPr>
            </w:pPr>
            <w:r w:rsidRPr="0060721D">
              <w:rPr>
                <w:rFonts w:ascii="Times New Roman" w:eastAsia="Times New Roman" w:hAnsi="Times New Roman"/>
                <w:lang w:val="es-ES" w:eastAsia="ru-RU"/>
              </w:rPr>
              <w:t> </w:t>
            </w:r>
          </w:p>
        </w:tc>
        <w:tc>
          <w:tcPr>
            <w:tcW w:w="3429" w:type="dxa"/>
            <w:gridSpan w:val="2"/>
            <w:hideMark/>
          </w:tcPr>
          <w:p w14:paraId="7F842F87" w14:textId="77777777" w:rsidR="0060721D" w:rsidRPr="0060721D" w:rsidRDefault="0060721D" w:rsidP="0060721D">
            <w:pPr>
              <w:jc w:val="center"/>
              <w:rPr>
                <w:rFonts w:ascii="Times New Roman" w:eastAsia="Times New Roman" w:hAnsi="Times New Roman"/>
                <w:lang w:val="ro-RO" w:eastAsia="ru-RU"/>
              </w:rPr>
            </w:pPr>
            <w:r w:rsidRPr="0060721D">
              <w:rPr>
                <w:rFonts w:ascii="Times New Roman" w:eastAsia="Times New Roman" w:hAnsi="Times New Roman"/>
                <w:lang w:eastAsia="ru-RU"/>
              </w:rPr>
              <w:t xml:space="preserve">80 000 tone CO2 </w:t>
            </w:r>
            <w:proofErr w:type="spellStart"/>
            <w:r w:rsidRPr="0060721D">
              <w:rPr>
                <w:rFonts w:ascii="Times New Roman" w:eastAsia="Times New Roman" w:hAnsi="Times New Roman"/>
                <w:lang w:eastAsia="ru-RU"/>
              </w:rPr>
              <w:t>echivalent</w:t>
            </w:r>
            <w:proofErr w:type="spellEnd"/>
            <w:r w:rsidRPr="0060721D">
              <w:rPr>
                <w:rFonts w:ascii="Times New Roman" w:eastAsia="Times New Roman" w:hAnsi="Times New Roman"/>
                <w:lang w:eastAsia="ru-RU"/>
              </w:rPr>
              <w:t>/an</w:t>
            </w:r>
          </w:p>
        </w:tc>
        <w:tc>
          <w:tcPr>
            <w:tcW w:w="1502" w:type="dxa"/>
            <w:gridSpan w:val="2"/>
            <w:hideMark/>
          </w:tcPr>
          <w:p w14:paraId="0D205332" w14:textId="77777777" w:rsidR="0060721D" w:rsidRPr="0060721D" w:rsidRDefault="0060721D" w:rsidP="0060721D">
            <w:pPr>
              <w:jc w:val="center"/>
              <w:rPr>
                <w:rFonts w:ascii="Times New Roman" w:hAnsi="Times New Roman"/>
                <w:lang w:val="ro-RO"/>
              </w:rPr>
            </w:pPr>
            <w:r w:rsidRPr="0060721D">
              <w:rPr>
                <w:rFonts w:ascii="Times New Roman" w:eastAsia="Times New Roman" w:hAnsi="Times New Roman"/>
                <w:lang w:eastAsia="ru-RU"/>
              </w:rPr>
              <w:t> </w:t>
            </w:r>
          </w:p>
        </w:tc>
      </w:tr>
      <w:tr w:rsidR="00F11CCD" w:rsidRPr="0060721D" w14:paraId="2F568EC3" w14:textId="77777777" w:rsidTr="00F11CCD">
        <w:trPr>
          <w:divId w:val="546725049"/>
          <w:trHeight w:val="1470"/>
        </w:trPr>
        <w:tc>
          <w:tcPr>
            <w:tcW w:w="500" w:type="dxa"/>
            <w:hideMark/>
          </w:tcPr>
          <w:p w14:paraId="0821ABFF" w14:textId="77777777" w:rsidR="0060721D" w:rsidRPr="0060721D" w:rsidRDefault="0060721D" w:rsidP="0060721D">
            <w:pPr>
              <w:jc w:val="center"/>
              <w:rPr>
                <w:rFonts w:ascii="Times New Roman" w:eastAsia="Times New Roman" w:hAnsi="Times New Roman"/>
                <w:lang w:val="ro-RO" w:eastAsia="ru-RU"/>
              </w:rPr>
            </w:pPr>
            <w:r w:rsidRPr="0060721D">
              <w:rPr>
                <w:rFonts w:ascii="Times New Roman" w:eastAsia="Times New Roman" w:hAnsi="Times New Roman"/>
                <w:lang w:eastAsia="ru-RU"/>
              </w:rPr>
              <w:t>2,3</w:t>
            </w:r>
          </w:p>
        </w:tc>
        <w:tc>
          <w:tcPr>
            <w:tcW w:w="3437" w:type="dxa"/>
            <w:gridSpan w:val="2"/>
            <w:hideMark/>
          </w:tcPr>
          <w:p w14:paraId="0ED0121B" w14:textId="77777777" w:rsidR="0060721D" w:rsidRPr="0060721D" w:rsidRDefault="0060721D" w:rsidP="0060721D">
            <w:pPr>
              <w:rPr>
                <w:rFonts w:ascii="Times New Roman" w:hAnsi="Times New Roman"/>
              </w:rPr>
            </w:pPr>
            <w:r w:rsidRPr="0060721D">
              <w:rPr>
                <w:rFonts w:ascii="Times New Roman" w:eastAsia="Times New Roman" w:hAnsi="Times New Roman"/>
                <w:lang w:val="es-ES" w:eastAsia="ru-RU"/>
              </w:rPr>
              <w:t>Construcţia de drumuri bune şi foarte</w:t>
            </w:r>
            <w:r w:rsidRPr="0060721D">
              <w:rPr>
                <w:rFonts w:ascii="Times New Roman" w:eastAsia="Times New Roman" w:hAnsi="Times New Roman"/>
                <w:lang w:val="ro-RO" w:eastAsia="ru-RU"/>
              </w:rPr>
              <w:t xml:space="preserve"> </w:t>
            </w:r>
            <w:proofErr w:type="spellStart"/>
            <w:r w:rsidRPr="0060721D">
              <w:rPr>
                <w:rFonts w:ascii="Times New Roman" w:hAnsi="Times New Roman"/>
              </w:rPr>
              <w:t>bune</w:t>
            </w:r>
            <w:proofErr w:type="spellEnd"/>
          </w:p>
        </w:tc>
        <w:tc>
          <w:tcPr>
            <w:tcW w:w="2211" w:type="dxa"/>
            <w:gridSpan w:val="2"/>
            <w:hideMark/>
          </w:tcPr>
          <w:p w14:paraId="5F535FB0" w14:textId="77777777" w:rsidR="0060721D" w:rsidRPr="0060721D" w:rsidRDefault="0060721D" w:rsidP="0060721D">
            <w:pPr>
              <w:rPr>
                <w:rFonts w:ascii="Times New Roman" w:hAnsi="Times New Roman"/>
              </w:rPr>
            </w:pPr>
            <w:r w:rsidRPr="0060721D">
              <w:rPr>
                <w:rFonts w:ascii="Times New Roman" w:eastAsia="Times New Roman" w:hAnsi="Times New Roman"/>
                <w:lang w:val="es-ES" w:eastAsia="ru-RU"/>
              </w:rPr>
              <w:t>Strategia de transport şi logistică pe anii 2013-2022 defineşte starea nesatisfăcătoare a drumurilor publice (74% din lungimea drumurilor naţionale şi 78% din lungimea celor locale). În planul de acţiuni propus de strategie se prevede ca, pînă în  anul 2022, să fie atinsă o cotă de 45%</w:t>
            </w:r>
            <w:r w:rsidRPr="0060721D">
              <w:rPr>
                <w:rFonts w:ascii="Times New Roman" w:eastAsia="Times New Roman" w:hAnsi="Times New Roman"/>
                <w:lang w:eastAsia="ru-RU"/>
              </w:rPr>
              <w:t xml:space="preserve"> </w:t>
            </w:r>
            <w:r w:rsidRPr="0060721D">
              <w:rPr>
                <w:rFonts w:ascii="Times New Roman" w:hAnsi="Times New Roman"/>
              </w:rPr>
              <w:t xml:space="preserve">de </w:t>
            </w:r>
            <w:proofErr w:type="spellStart"/>
            <w:r w:rsidRPr="0060721D">
              <w:rPr>
                <w:rFonts w:ascii="Times New Roman" w:hAnsi="Times New Roman"/>
              </w:rPr>
              <w:t>drumuri</w:t>
            </w:r>
            <w:proofErr w:type="spellEnd"/>
            <w:r w:rsidRPr="0060721D">
              <w:rPr>
                <w:rFonts w:ascii="Times New Roman" w:hAnsi="Times New Roman"/>
              </w:rPr>
              <w:t xml:space="preserve"> </w:t>
            </w:r>
            <w:proofErr w:type="spellStart"/>
            <w:r w:rsidRPr="0060721D">
              <w:rPr>
                <w:rFonts w:ascii="Times New Roman" w:hAnsi="Times New Roman"/>
              </w:rPr>
              <w:t>în</w:t>
            </w:r>
            <w:proofErr w:type="spellEnd"/>
            <w:r w:rsidRPr="0060721D">
              <w:rPr>
                <w:rFonts w:ascii="Times New Roman" w:hAnsi="Times New Roman"/>
              </w:rPr>
              <w:t xml:space="preserve"> stare </w:t>
            </w:r>
            <w:proofErr w:type="spellStart"/>
            <w:r w:rsidRPr="0060721D">
              <w:rPr>
                <w:rFonts w:ascii="Times New Roman" w:hAnsi="Times New Roman"/>
              </w:rPr>
              <w:t>bună</w:t>
            </w:r>
            <w:proofErr w:type="spellEnd"/>
            <w:r w:rsidRPr="0060721D">
              <w:rPr>
                <w:rFonts w:ascii="Times New Roman" w:hAnsi="Times New Roman"/>
              </w:rPr>
              <w:t>.  </w:t>
            </w:r>
            <w:proofErr w:type="spellStart"/>
            <w:r w:rsidRPr="0060721D">
              <w:rPr>
                <w:rFonts w:ascii="Times New Roman" w:hAnsi="Times New Roman"/>
              </w:rPr>
              <w:t>Pînă</w:t>
            </w:r>
            <w:proofErr w:type="spellEnd"/>
            <w:r w:rsidRPr="0060721D">
              <w:rPr>
                <w:rFonts w:ascii="Times New Roman" w:hAnsi="Times New Roman"/>
              </w:rPr>
              <w:t xml:space="preserve"> </w:t>
            </w:r>
            <w:proofErr w:type="spellStart"/>
            <w:r w:rsidRPr="0060721D">
              <w:rPr>
                <w:rFonts w:ascii="Times New Roman" w:hAnsi="Times New Roman"/>
              </w:rPr>
              <w:t>în</w:t>
            </w:r>
            <w:proofErr w:type="spellEnd"/>
            <w:r w:rsidRPr="0060721D">
              <w:rPr>
                <w:rFonts w:ascii="Times New Roman" w:hAnsi="Times New Roman"/>
              </w:rPr>
              <w:t xml:space="preserve"> </w:t>
            </w:r>
            <w:proofErr w:type="spellStart"/>
            <w:r w:rsidRPr="0060721D">
              <w:rPr>
                <w:rFonts w:ascii="Times New Roman" w:hAnsi="Times New Roman"/>
              </w:rPr>
              <w:t>anul</w:t>
            </w:r>
            <w:proofErr w:type="spellEnd"/>
            <w:r w:rsidRPr="0060721D">
              <w:rPr>
                <w:rFonts w:ascii="Times New Roman" w:hAnsi="Times New Roman"/>
              </w:rPr>
              <w:t xml:space="preserve"> 2030  </w:t>
            </w:r>
            <w:proofErr w:type="spellStart"/>
            <w:r w:rsidRPr="0060721D">
              <w:rPr>
                <w:rFonts w:ascii="Times New Roman" w:hAnsi="Times New Roman"/>
              </w:rPr>
              <w:t>este</w:t>
            </w:r>
            <w:proofErr w:type="spellEnd"/>
            <w:r w:rsidRPr="0060721D">
              <w:rPr>
                <w:rFonts w:ascii="Times New Roman" w:hAnsi="Times New Roman"/>
              </w:rPr>
              <w:t xml:space="preserve"> </w:t>
            </w:r>
            <w:proofErr w:type="spellStart"/>
            <w:r w:rsidRPr="0060721D">
              <w:rPr>
                <w:rFonts w:ascii="Times New Roman" w:hAnsi="Times New Roman"/>
              </w:rPr>
              <w:t>asumată</w:t>
            </w:r>
            <w:proofErr w:type="spellEnd"/>
            <w:r w:rsidRPr="0060721D">
              <w:rPr>
                <w:rFonts w:ascii="Times New Roman" w:hAnsi="Times New Roman"/>
              </w:rPr>
              <w:t xml:space="preserve"> o </w:t>
            </w:r>
            <w:proofErr w:type="spellStart"/>
            <w:r w:rsidRPr="0060721D">
              <w:rPr>
                <w:rFonts w:ascii="Times New Roman" w:hAnsi="Times New Roman"/>
              </w:rPr>
              <w:t>creştere</w:t>
            </w:r>
            <w:proofErr w:type="spellEnd"/>
            <w:r w:rsidRPr="0060721D">
              <w:rPr>
                <w:rFonts w:ascii="Times New Roman" w:hAnsi="Times New Roman"/>
              </w:rPr>
              <w:t xml:space="preserve"> a </w:t>
            </w:r>
            <w:proofErr w:type="spellStart"/>
            <w:r w:rsidRPr="0060721D">
              <w:rPr>
                <w:rFonts w:ascii="Times New Roman" w:hAnsi="Times New Roman"/>
              </w:rPr>
              <w:t>ponderii</w:t>
            </w:r>
            <w:proofErr w:type="spellEnd"/>
            <w:r w:rsidRPr="0060721D">
              <w:rPr>
                <w:rFonts w:ascii="Times New Roman" w:hAnsi="Times New Roman"/>
              </w:rPr>
              <w:t xml:space="preserve"> </w:t>
            </w:r>
            <w:proofErr w:type="spellStart"/>
            <w:r w:rsidRPr="0060721D">
              <w:rPr>
                <w:rFonts w:ascii="Times New Roman" w:hAnsi="Times New Roman"/>
              </w:rPr>
              <w:t>drumurilor</w:t>
            </w:r>
            <w:proofErr w:type="spellEnd"/>
            <w:r w:rsidRPr="0060721D">
              <w:rPr>
                <w:rFonts w:ascii="Times New Roman" w:hAnsi="Times New Roman"/>
              </w:rPr>
              <w:t xml:space="preserve"> </w:t>
            </w:r>
            <w:proofErr w:type="spellStart"/>
            <w:r w:rsidRPr="0060721D">
              <w:rPr>
                <w:rFonts w:ascii="Times New Roman" w:hAnsi="Times New Roman"/>
              </w:rPr>
              <w:t>bune</w:t>
            </w:r>
            <w:proofErr w:type="spellEnd"/>
            <w:r w:rsidRPr="0060721D">
              <w:rPr>
                <w:rFonts w:ascii="Times New Roman" w:hAnsi="Times New Roman"/>
              </w:rPr>
              <w:t xml:space="preserve"> </w:t>
            </w:r>
            <w:proofErr w:type="spellStart"/>
            <w:r w:rsidRPr="0060721D">
              <w:rPr>
                <w:rFonts w:ascii="Times New Roman" w:hAnsi="Times New Roman"/>
              </w:rPr>
              <w:t>pînă</w:t>
            </w:r>
            <w:proofErr w:type="spellEnd"/>
            <w:r w:rsidRPr="0060721D">
              <w:rPr>
                <w:rFonts w:ascii="Times New Roman" w:hAnsi="Times New Roman"/>
              </w:rPr>
              <w:t xml:space="preserve"> la </w:t>
            </w:r>
            <w:r w:rsidRPr="0060721D">
              <w:rPr>
                <w:rFonts w:ascii="Times New Roman" w:hAnsi="Times New Roman"/>
              </w:rPr>
              <w:lastRenderedPageBreak/>
              <w:t xml:space="preserve">80%. </w:t>
            </w:r>
            <w:proofErr w:type="spellStart"/>
            <w:r w:rsidRPr="0060721D">
              <w:rPr>
                <w:rFonts w:ascii="Times New Roman" w:hAnsi="Times New Roman"/>
              </w:rPr>
              <w:t>Realizarea</w:t>
            </w:r>
            <w:proofErr w:type="spellEnd"/>
            <w:r w:rsidRPr="0060721D">
              <w:rPr>
                <w:rFonts w:ascii="Times New Roman" w:hAnsi="Times New Roman"/>
              </w:rPr>
              <w:t xml:space="preserve"> </w:t>
            </w:r>
            <w:proofErr w:type="spellStart"/>
            <w:r w:rsidRPr="0060721D">
              <w:rPr>
                <w:rFonts w:ascii="Times New Roman" w:hAnsi="Times New Roman"/>
              </w:rPr>
              <w:t>acestui</w:t>
            </w:r>
            <w:proofErr w:type="spellEnd"/>
            <w:r w:rsidRPr="0060721D">
              <w:rPr>
                <w:rFonts w:ascii="Times New Roman" w:hAnsi="Times New Roman"/>
              </w:rPr>
              <w:t xml:space="preserve"> </w:t>
            </w:r>
            <w:proofErr w:type="spellStart"/>
            <w:r w:rsidRPr="0060721D">
              <w:rPr>
                <w:rFonts w:ascii="Times New Roman" w:hAnsi="Times New Roman"/>
              </w:rPr>
              <w:t>obiectiv</w:t>
            </w:r>
            <w:proofErr w:type="spellEnd"/>
            <w:r w:rsidRPr="0060721D">
              <w:rPr>
                <w:rFonts w:ascii="Times New Roman" w:hAnsi="Times New Roman"/>
              </w:rPr>
              <w:t xml:space="preserve"> duce la o  </w:t>
            </w:r>
            <w:proofErr w:type="spellStart"/>
            <w:r w:rsidRPr="0060721D">
              <w:rPr>
                <w:rFonts w:ascii="Times New Roman" w:hAnsi="Times New Roman"/>
              </w:rPr>
              <w:t>economie</w:t>
            </w:r>
            <w:proofErr w:type="spellEnd"/>
            <w:r w:rsidRPr="0060721D">
              <w:rPr>
                <w:rFonts w:ascii="Times New Roman" w:hAnsi="Times New Roman"/>
              </w:rPr>
              <w:t xml:space="preserve"> de </w:t>
            </w:r>
            <w:proofErr w:type="spellStart"/>
            <w:r w:rsidRPr="0060721D">
              <w:rPr>
                <w:rFonts w:ascii="Times New Roman" w:hAnsi="Times New Roman"/>
              </w:rPr>
              <w:t>combustibili</w:t>
            </w:r>
            <w:proofErr w:type="spellEnd"/>
            <w:r w:rsidRPr="0060721D">
              <w:rPr>
                <w:rFonts w:ascii="Times New Roman" w:hAnsi="Times New Roman"/>
              </w:rPr>
              <w:t xml:space="preserve"> de 20%</w:t>
            </w:r>
          </w:p>
        </w:tc>
        <w:tc>
          <w:tcPr>
            <w:tcW w:w="1620" w:type="dxa"/>
            <w:gridSpan w:val="2"/>
            <w:hideMark/>
          </w:tcPr>
          <w:p w14:paraId="1C8AC087" w14:textId="77777777" w:rsidR="0060721D" w:rsidRPr="0060721D" w:rsidRDefault="0060721D" w:rsidP="0060721D">
            <w:pPr>
              <w:jc w:val="center"/>
              <w:rPr>
                <w:rFonts w:ascii="Times New Roman" w:eastAsia="Times New Roman" w:hAnsi="Times New Roman"/>
                <w:lang w:eastAsia="ru-RU"/>
              </w:rPr>
            </w:pPr>
            <w:r w:rsidRPr="0060721D">
              <w:rPr>
                <w:rFonts w:ascii="Times New Roman" w:eastAsia="Times New Roman" w:hAnsi="Times New Roman"/>
                <w:lang w:val="es-ES" w:eastAsia="ru-RU"/>
              </w:rPr>
              <w:lastRenderedPageBreak/>
              <w:t>20% din consumul anual de combustibili în transportul rutier</w:t>
            </w:r>
          </w:p>
        </w:tc>
        <w:tc>
          <w:tcPr>
            <w:tcW w:w="1440" w:type="dxa"/>
            <w:gridSpan w:val="2"/>
            <w:hideMark/>
          </w:tcPr>
          <w:p w14:paraId="1208A980" w14:textId="77777777" w:rsidR="0060721D" w:rsidRPr="0060721D" w:rsidRDefault="0060721D" w:rsidP="0060721D">
            <w:pPr>
              <w:jc w:val="center"/>
              <w:rPr>
                <w:rFonts w:ascii="Times New Roman" w:hAnsi="Times New Roman"/>
                <w:lang w:val="ro-RO"/>
              </w:rPr>
            </w:pPr>
            <w:r w:rsidRPr="0060721D">
              <w:rPr>
                <w:rFonts w:ascii="Times New Roman" w:eastAsia="Times New Roman" w:hAnsi="Times New Roman"/>
                <w:lang w:val="es-ES" w:eastAsia="ru-RU"/>
              </w:rPr>
              <w:t> </w:t>
            </w:r>
          </w:p>
        </w:tc>
        <w:tc>
          <w:tcPr>
            <w:tcW w:w="3429" w:type="dxa"/>
            <w:gridSpan w:val="2"/>
            <w:hideMark/>
          </w:tcPr>
          <w:p w14:paraId="715B5EA7" w14:textId="77777777" w:rsidR="0060721D" w:rsidRPr="0060721D" w:rsidRDefault="0060721D" w:rsidP="0060721D">
            <w:pPr>
              <w:jc w:val="center"/>
              <w:rPr>
                <w:rFonts w:ascii="Times New Roman" w:eastAsia="Times New Roman" w:hAnsi="Times New Roman"/>
                <w:lang w:val="ro-RO" w:eastAsia="ru-RU"/>
              </w:rPr>
            </w:pPr>
            <w:r w:rsidRPr="0060721D">
              <w:rPr>
                <w:rFonts w:ascii="Times New Roman" w:eastAsia="Times New Roman" w:hAnsi="Times New Roman"/>
                <w:lang w:eastAsia="ru-RU"/>
              </w:rPr>
              <w:t xml:space="preserve">399 200 tone CO2 </w:t>
            </w:r>
            <w:proofErr w:type="spellStart"/>
            <w:r w:rsidRPr="0060721D">
              <w:rPr>
                <w:rFonts w:ascii="Times New Roman" w:eastAsia="Times New Roman" w:hAnsi="Times New Roman"/>
                <w:lang w:eastAsia="ru-RU"/>
              </w:rPr>
              <w:t>echivalent</w:t>
            </w:r>
            <w:proofErr w:type="spellEnd"/>
            <w:r w:rsidRPr="0060721D">
              <w:rPr>
                <w:rFonts w:ascii="Times New Roman" w:eastAsia="Times New Roman" w:hAnsi="Times New Roman"/>
                <w:lang w:eastAsia="ru-RU"/>
              </w:rPr>
              <w:t>/an</w:t>
            </w:r>
          </w:p>
        </w:tc>
        <w:tc>
          <w:tcPr>
            <w:tcW w:w="1502" w:type="dxa"/>
            <w:gridSpan w:val="2"/>
            <w:hideMark/>
          </w:tcPr>
          <w:p w14:paraId="594B0DA0" w14:textId="77777777" w:rsidR="0060721D" w:rsidRPr="0060721D" w:rsidRDefault="0060721D" w:rsidP="0060721D">
            <w:pPr>
              <w:jc w:val="center"/>
              <w:rPr>
                <w:rFonts w:ascii="Times New Roman" w:hAnsi="Times New Roman"/>
                <w:lang w:val="ro-RO"/>
              </w:rPr>
            </w:pPr>
            <w:r w:rsidRPr="0060721D">
              <w:rPr>
                <w:rFonts w:ascii="Times New Roman" w:eastAsia="Times New Roman" w:hAnsi="Times New Roman"/>
                <w:lang w:eastAsia="ru-RU"/>
              </w:rPr>
              <w:t> </w:t>
            </w:r>
          </w:p>
        </w:tc>
      </w:tr>
      <w:tr w:rsidR="00F11CCD" w:rsidRPr="0060721D" w14:paraId="5F911901" w14:textId="77777777" w:rsidTr="00F11CCD">
        <w:trPr>
          <w:divId w:val="546725049"/>
          <w:trHeight w:val="1620"/>
        </w:trPr>
        <w:tc>
          <w:tcPr>
            <w:tcW w:w="500" w:type="dxa"/>
            <w:hideMark/>
          </w:tcPr>
          <w:p w14:paraId="26AFAE4D" w14:textId="77777777" w:rsidR="0060721D" w:rsidRPr="0060721D" w:rsidRDefault="0060721D" w:rsidP="0060721D">
            <w:pPr>
              <w:jc w:val="center"/>
              <w:rPr>
                <w:rFonts w:ascii="Times New Roman" w:eastAsia="Times New Roman" w:hAnsi="Times New Roman"/>
                <w:lang w:val="ro-RO" w:eastAsia="ru-RU"/>
              </w:rPr>
            </w:pPr>
            <w:r w:rsidRPr="0060721D">
              <w:rPr>
                <w:rFonts w:ascii="Times New Roman" w:eastAsia="Times New Roman" w:hAnsi="Times New Roman"/>
                <w:lang w:eastAsia="ru-RU"/>
              </w:rPr>
              <w:t>2,4</w:t>
            </w:r>
          </w:p>
        </w:tc>
        <w:tc>
          <w:tcPr>
            <w:tcW w:w="3437" w:type="dxa"/>
            <w:gridSpan w:val="2"/>
            <w:hideMark/>
          </w:tcPr>
          <w:p w14:paraId="3CBE832F" w14:textId="77777777" w:rsidR="0060721D" w:rsidRPr="0060721D" w:rsidRDefault="0060721D" w:rsidP="0060721D">
            <w:pPr>
              <w:rPr>
                <w:rFonts w:ascii="Times New Roman" w:eastAsia="Times New Roman" w:hAnsi="Times New Roman"/>
                <w:lang w:eastAsia="ru-RU"/>
              </w:rPr>
            </w:pPr>
            <w:proofErr w:type="spellStart"/>
            <w:r w:rsidRPr="0060721D">
              <w:rPr>
                <w:rFonts w:ascii="Times New Roman" w:eastAsia="Times New Roman" w:hAnsi="Times New Roman"/>
                <w:lang w:eastAsia="ru-RU"/>
              </w:rPr>
              <w:t>Promovarea</w:t>
            </w:r>
            <w:proofErr w:type="spellEnd"/>
            <w:r w:rsidRPr="0060721D">
              <w:rPr>
                <w:rFonts w:ascii="Times New Roman" w:eastAsia="Times New Roman" w:hAnsi="Times New Roman"/>
                <w:lang w:eastAsia="ru-RU"/>
              </w:rPr>
              <w:t xml:space="preserve"> </w:t>
            </w:r>
            <w:proofErr w:type="spellStart"/>
            <w:r w:rsidRPr="0060721D">
              <w:rPr>
                <w:rFonts w:ascii="Times New Roman" w:eastAsia="Times New Roman" w:hAnsi="Times New Roman"/>
                <w:lang w:eastAsia="ru-RU"/>
              </w:rPr>
              <w:t>eficienţei</w:t>
            </w:r>
            <w:proofErr w:type="spellEnd"/>
            <w:r w:rsidRPr="0060721D">
              <w:rPr>
                <w:rFonts w:ascii="Times New Roman" w:eastAsia="Times New Roman" w:hAnsi="Times New Roman"/>
                <w:lang w:eastAsia="ru-RU"/>
              </w:rPr>
              <w:t xml:space="preserve"> </w:t>
            </w:r>
            <w:proofErr w:type="spellStart"/>
            <w:r w:rsidRPr="0060721D">
              <w:rPr>
                <w:rFonts w:ascii="Times New Roman" w:eastAsia="Times New Roman" w:hAnsi="Times New Roman"/>
                <w:lang w:eastAsia="ru-RU"/>
              </w:rPr>
              <w:t>energetice</w:t>
            </w:r>
            <w:proofErr w:type="spellEnd"/>
            <w:r w:rsidRPr="0060721D">
              <w:rPr>
                <w:rFonts w:ascii="Times New Roman" w:eastAsia="Times New Roman" w:hAnsi="Times New Roman"/>
                <w:lang w:eastAsia="ru-RU"/>
              </w:rPr>
              <w:t xml:space="preserve"> </w:t>
            </w:r>
            <w:proofErr w:type="spellStart"/>
            <w:r w:rsidRPr="0060721D">
              <w:rPr>
                <w:rFonts w:ascii="Times New Roman" w:eastAsia="Times New Roman" w:hAnsi="Times New Roman"/>
                <w:lang w:eastAsia="ru-RU"/>
              </w:rPr>
              <w:t>în</w:t>
            </w:r>
            <w:proofErr w:type="spellEnd"/>
            <w:r w:rsidRPr="0060721D">
              <w:rPr>
                <w:rFonts w:ascii="Times New Roman" w:eastAsia="Times New Roman" w:hAnsi="Times New Roman"/>
                <w:lang w:eastAsia="ru-RU"/>
              </w:rPr>
              <w:t xml:space="preserve"> </w:t>
            </w:r>
            <w:proofErr w:type="spellStart"/>
            <w:r w:rsidRPr="0060721D">
              <w:rPr>
                <w:rFonts w:ascii="Times New Roman" w:eastAsia="Times New Roman" w:hAnsi="Times New Roman"/>
                <w:lang w:eastAsia="ru-RU"/>
              </w:rPr>
              <w:t>transportul</w:t>
            </w:r>
            <w:proofErr w:type="spellEnd"/>
            <w:r w:rsidRPr="0060721D">
              <w:rPr>
                <w:rFonts w:ascii="Times New Roman" w:eastAsia="Times New Roman" w:hAnsi="Times New Roman"/>
                <w:lang w:eastAsia="ru-RU"/>
              </w:rPr>
              <w:t xml:space="preserve"> </w:t>
            </w:r>
            <w:proofErr w:type="spellStart"/>
            <w:r w:rsidRPr="0060721D">
              <w:rPr>
                <w:rFonts w:ascii="Times New Roman" w:eastAsia="Times New Roman" w:hAnsi="Times New Roman"/>
                <w:lang w:eastAsia="ru-RU"/>
              </w:rPr>
              <w:t>feroviar</w:t>
            </w:r>
            <w:proofErr w:type="spellEnd"/>
          </w:p>
        </w:tc>
        <w:tc>
          <w:tcPr>
            <w:tcW w:w="2211" w:type="dxa"/>
            <w:gridSpan w:val="2"/>
            <w:hideMark/>
          </w:tcPr>
          <w:p w14:paraId="73BB794A" w14:textId="77777777" w:rsidR="0060721D" w:rsidRPr="0060721D" w:rsidRDefault="0060721D" w:rsidP="0060721D">
            <w:pPr>
              <w:rPr>
                <w:rFonts w:ascii="Times New Roman" w:eastAsia="Times New Roman" w:hAnsi="Times New Roman"/>
                <w:lang w:val="es-ES" w:eastAsia="ru-RU"/>
              </w:rPr>
            </w:pPr>
            <w:r w:rsidRPr="0060721D">
              <w:rPr>
                <w:rFonts w:ascii="Times New Roman" w:eastAsia="Times New Roman" w:hAnsi="Times New Roman"/>
                <w:lang w:val="es-ES" w:eastAsia="ru-RU"/>
              </w:rPr>
              <w:t>Strategia de transport şi logistică pe anii 2013-2022 prevede investiţii în renovarea parcului de material rulant pentru transportarea călătorilor şi mărfurilor, a parcului de locomotive de manevră şi a celor magistrale, a echipamentelor şi utilajelor pentru întreţinerea şi reparaţia căilor ferate, precum şi investiţii în reabilitarea reţelelor feroviare</w:t>
            </w:r>
          </w:p>
        </w:tc>
        <w:tc>
          <w:tcPr>
            <w:tcW w:w="1620" w:type="dxa"/>
            <w:gridSpan w:val="2"/>
            <w:hideMark/>
          </w:tcPr>
          <w:p w14:paraId="7A28F634" w14:textId="77777777" w:rsidR="0060721D" w:rsidRPr="0060721D" w:rsidRDefault="0060721D" w:rsidP="0060721D">
            <w:pPr>
              <w:jc w:val="center"/>
              <w:rPr>
                <w:rFonts w:ascii="Times New Roman" w:eastAsia="Times New Roman" w:hAnsi="Times New Roman"/>
                <w:lang w:val="es-ES" w:eastAsia="ru-RU"/>
              </w:rPr>
            </w:pPr>
            <w:r w:rsidRPr="0060721D">
              <w:rPr>
                <w:rFonts w:ascii="Times New Roman" w:eastAsia="Times New Roman" w:hAnsi="Times New Roman"/>
                <w:lang w:val="es-ES" w:eastAsia="ru-RU"/>
              </w:rPr>
              <w:t>20% din consumul anual de motorină în transportul feroviar</w:t>
            </w:r>
          </w:p>
        </w:tc>
        <w:tc>
          <w:tcPr>
            <w:tcW w:w="1440" w:type="dxa"/>
            <w:gridSpan w:val="2"/>
            <w:hideMark/>
          </w:tcPr>
          <w:p w14:paraId="107A1F81" w14:textId="77777777" w:rsidR="0060721D" w:rsidRPr="0060721D" w:rsidRDefault="0060721D" w:rsidP="0060721D">
            <w:pPr>
              <w:jc w:val="center"/>
              <w:rPr>
                <w:rFonts w:ascii="Times New Roman" w:hAnsi="Times New Roman"/>
                <w:lang w:val="ro-RO"/>
              </w:rPr>
            </w:pPr>
            <w:r w:rsidRPr="0060721D">
              <w:rPr>
                <w:rFonts w:ascii="Times New Roman" w:eastAsia="Times New Roman" w:hAnsi="Times New Roman"/>
                <w:lang w:val="es-ES" w:eastAsia="ru-RU"/>
              </w:rPr>
              <w:t> </w:t>
            </w:r>
          </w:p>
        </w:tc>
        <w:tc>
          <w:tcPr>
            <w:tcW w:w="3429" w:type="dxa"/>
            <w:gridSpan w:val="2"/>
            <w:hideMark/>
          </w:tcPr>
          <w:p w14:paraId="38176005" w14:textId="77777777" w:rsidR="0060721D" w:rsidRPr="0060721D" w:rsidRDefault="0060721D" w:rsidP="0060721D">
            <w:pPr>
              <w:jc w:val="center"/>
              <w:rPr>
                <w:rFonts w:ascii="Times New Roman" w:eastAsia="Times New Roman" w:hAnsi="Times New Roman"/>
                <w:lang w:val="ro-RO" w:eastAsia="ru-RU"/>
              </w:rPr>
            </w:pPr>
            <w:r w:rsidRPr="0060721D">
              <w:rPr>
                <w:rFonts w:ascii="Times New Roman" w:eastAsia="Times New Roman" w:hAnsi="Times New Roman"/>
                <w:lang w:eastAsia="ru-RU"/>
              </w:rPr>
              <w:t>1 180 tone CO2</w:t>
            </w:r>
            <w:r w:rsidRPr="0060721D">
              <w:rPr>
                <w:rFonts w:ascii="Times New Roman" w:eastAsia="Times New Roman" w:hAnsi="Times New Roman"/>
                <w:vertAlign w:val="subscript"/>
                <w:lang w:eastAsia="ru-RU"/>
              </w:rPr>
              <w:t xml:space="preserve"> </w:t>
            </w:r>
            <w:proofErr w:type="spellStart"/>
            <w:r w:rsidRPr="0060721D">
              <w:rPr>
                <w:rFonts w:ascii="Times New Roman" w:eastAsia="Times New Roman" w:hAnsi="Times New Roman"/>
                <w:lang w:eastAsia="ru-RU"/>
              </w:rPr>
              <w:t>echivalent</w:t>
            </w:r>
            <w:proofErr w:type="spellEnd"/>
            <w:r w:rsidRPr="0060721D">
              <w:rPr>
                <w:rFonts w:ascii="Times New Roman" w:eastAsia="Times New Roman" w:hAnsi="Times New Roman"/>
                <w:lang w:eastAsia="ru-RU"/>
              </w:rPr>
              <w:t>/an</w:t>
            </w:r>
          </w:p>
        </w:tc>
        <w:tc>
          <w:tcPr>
            <w:tcW w:w="1502" w:type="dxa"/>
            <w:gridSpan w:val="2"/>
            <w:hideMark/>
          </w:tcPr>
          <w:p w14:paraId="73CB7695" w14:textId="77777777" w:rsidR="0060721D" w:rsidRPr="0060721D" w:rsidRDefault="0060721D" w:rsidP="0060721D">
            <w:pPr>
              <w:jc w:val="center"/>
              <w:rPr>
                <w:rFonts w:ascii="Times New Roman" w:hAnsi="Times New Roman"/>
                <w:lang w:val="ro-RO"/>
              </w:rPr>
            </w:pPr>
            <w:r w:rsidRPr="0060721D">
              <w:rPr>
                <w:rFonts w:ascii="Times New Roman" w:eastAsia="Times New Roman" w:hAnsi="Times New Roman"/>
                <w:lang w:eastAsia="ru-RU"/>
              </w:rPr>
              <w:t> </w:t>
            </w:r>
          </w:p>
        </w:tc>
      </w:tr>
      <w:tr w:rsidR="00F11CCD" w:rsidRPr="0060721D" w14:paraId="75C86923" w14:textId="77777777" w:rsidTr="00F11CCD">
        <w:trPr>
          <w:divId w:val="546725049"/>
          <w:trHeight w:val="945"/>
        </w:trPr>
        <w:tc>
          <w:tcPr>
            <w:tcW w:w="500" w:type="dxa"/>
            <w:hideMark/>
          </w:tcPr>
          <w:p w14:paraId="5C792456" w14:textId="77777777" w:rsidR="0060721D" w:rsidRPr="0060721D" w:rsidRDefault="0060721D" w:rsidP="0060721D">
            <w:pPr>
              <w:jc w:val="center"/>
              <w:rPr>
                <w:rFonts w:ascii="Times New Roman" w:eastAsia="Times New Roman" w:hAnsi="Times New Roman"/>
                <w:lang w:val="ro-RO" w:eastAsia="ru-RU"/>
              </w:rPr>
            </w:pPr>
            <w:r w:rsidRPr="0060721D">
              <w:rPr>
                <w:rFonts w:ascii="Times New Roman" w:eastAsia="Times New Roman" w:hAnsi="Times New Roman"/>
                <w:lang w:eastAsia="ru-RU"/>
              </w:rPr>
              <w:t>2,5</w:t>
            </w:r>
          </w:p>
        </w:tc>
        <w:tc>
          <w:tcPr>
            <w:tcW w:w="3437" w:type="dxa"/>
            <w:gridSpan w:val="2"/>
            <w:hideMark/>
          </w:tcPr>
          <w:p w14:paraId="2E73E371" w14:textId="77777777" w:rsidR="0060721D" w:rsidRPr="0060721D" w:rsidRDefault="0060721D" w:rsidP="0060721D">
            <w:pPr>
              <w:rPr>
                <w:rFonts w:ascii="Times New Roman" w:hAnsi="Times New Roman"/>
              </w:rPr>
            </w:pPr>
            <w:r w:rsidRPr="0060721D">
              <w:rPr>
                <w:rFonts w:ascii="Times New Roman" w:eastAsia="Times New Roman" w:hAnsi="Times New Roman"/>
                <w:lang w:val="es-ES" w:eastAsia="ru-RU"/>
              </w:rPr>
              <w:t xml:space="preserve">Etichetarea pneurilor, achiziţii de transport energetic </w:t>
            </w:r>
            <w:r w:rsidRPr="0060721D">
              <w:rPr>
                <w:rFonts w:ascii="Times New Roman" w:eastAsia="Times New Roman" w:hAnsi="Times New Roman"/>
                <w:lang w:val="ro-RO" w:eastAsia="ru-RU"/>
              </w:rPr>
              <w:t>eficient</w:t>
            </w:r>
            <w:r w:rsidRPr="0060721D">
              <w:rPr>
                <w:rFonts w:ascii="Times New Roman" w:hAnsi="Times New Roman"/>
              </w:rPr>
              <w:t xml:space="preserve">, </w:t>
            </w:r>
            <w:proofErr w:type="spellStart"/>
            <w:r w:rsidRPr="0060721D">
              <w:rPr>
                <w:rFonts w:ascii="Times New Roman" w:hAnsi="Times New Roman"/>
              </w:rPr>
              <w:t>optimizarea</w:t>
            </w:r>
            <w:proofErr w:type="spellEnd"/>
            <w:r w:rsidRPr="0060721D">
              <w:rPr>
                <w:rFonts w:ascii="Times New Roman" w:hAnsi="Times New Roman"/>
              </w:rPr>
              <w:t xml:space="preserve"> </w:t>
            </w:r>
            <w:proofErr w:type="spellStart"/>
            <w:r w:rsidRPr="0060721D">
              <w:rPr>
                <w:rFonts w:ascii="Times New Roman" w:hAnsi="Times New Roman"/>
              </w:rPr>
              <w:t>transportului</w:t>
            </w:r>
            <w:proofErr w:type="spellEnd"/>
            <w:r w:rsidRPr="0060721D">
              <w:rPr>
                <w:rFonts w:ascii="Times New Roman" w:hAnsi="Times New Roman"/>
              </w:rPr>
              <w:t xml:space="preserve"> pe </w:t>
            </w:r>
            <w:proofErr w:type="spellStart"/>
            <w:r w:rsidRPr="0060721D">
              <w:rPr>
                <w:rFonts w:ascii="Times New Roman" w:hAnsi="Times New Roman"/>
              </w:rPr>
              <w:t>străzile</w:t>
            </w:r>
            <w:proofErr w:type="spellEnd"/>
            <w:r w:rsidRPr="0060721D">
              <w:rPr>
                <w:rFonts w:ascii="Times New Roman" w:hAnsi="Times New Roman"/>
              </w:rPr>
              <w:t xml:space="preserve"> centrale din </w:t>
            </w:r>
            <w:proofErr w:type="spellStart"/>
            <w:r w:rsidRPr="0060721D">
              <w:rPr>
                <w:rFonts w:ascii="Times New Roman" w:hAnsi="Times New Roman"/>
              </w:rPr>
              <w:t>localităţi</w:t>
            </w:r>
            <w:proofErr w:type="spellEnd"/>
          </w:p>
        </w:tc>
        <w:tc>
          <w:tcPr>
            <w:tcW w:w="2211" w:type="dxa"/>
            <w:gridSpan w:val="2"/>
            <w:hideMark/>
          </w:tcPr>
          <w:p w14:paraId="2EE9249E" w14:textId="77777777" w:rsidR="0060721D" w:rsidRPr="0060721D" w:rsidRDefault="0060721D" w:rsidP="0060721D">
            <w:pPr>
              <w:rPr>
                <w:rFonts w:ascii="Times New Roman" w:hAnsi="Times New Roman"/>
              </w:rPr>
            </w:pPr>
            <w:r w:rsidRPr="0060721D">
              <w:rPr>
                <w:rFonts w:ascii="Times New Roman" w:eastAsia="Times New Roman" w:hAnsi="Times New Roman"/>
                <w:lang w:val="es-ES" w:eastAsia="ru-RU"/>
              </w:rPr>
              <w:t xml:space="preserve">Conform obiectivelor stabilite în Programul naţional pentru eficienţa energetică 2011-2020 pentru sectorul transporturilor sînt </w:t>
            </w:r>
            <w:proofErr w:type="spellStart"/>
            <w:r w:rsidRPr="0060721D">
              <w:rPr>
                <w:rFonts w:ascii="Times New Roman" w:eastAsia="Times New Roman" w:hAnsi="Times New Roman"/>
                <w:lang w:eastAsia="ru-RU"/>
              </w:rPr>
              <w:t>stabilite</w:t>
            </w:r>
            <w:proofErr w:type="spellEnd"/>
            <w:r w:rsidRPr="0060721D">
              <w:rPr>
                <w:rFonts w:ascii="Times New Roman" w:hAnsi="Times New Roman"/>
              </w:rPr>
              <w:t xml:space="preserve"> </w:t>
            </w:r>
            <w:proofErr w:type="spellStart"/>
            <w:r w:rsidRPr="0060721D">
              <w:rPr>
                <w:rFonts w:ascii="Times New Roman" w:hAnsi="Times New Roman"/>
              </w:rPr>
              <w:t>obiective</w:t>
            </w:r>
            <w:proofErr w:type="spellEnd"/>
            <w:r w:rsidRPr="0060721D">
              <w:rPr>
                <w:rFonts w:ascii="Times New Roman" w:hAnsi="Times New Roman"/>
              </w:rPr>
              <w:t xml:space="preserve"> precum </w:t>
            </w:r>
            <w:proofErr w:type="spellStart"/>
            <w:r w:rsidRPr="0060721D">
              <w:rPr>
                <w:rFonts w:ascii="Times New Roman" w:hAnsi="Times New Roman"/>
              </w:rPr>
              <w:t>creşterea</w:t>
            </w:r>
            <w:proofErr w:type="spellEnd"/>
            <w:r w:rsidRPr="0060721D">
              <w:rPr>
                <w:rFonts w:ascii="Times New Roman" w:hAnsi="Times New Roman"/>
              </w:rPr>
              <w:t xml:space="preserve"> </w:t>
            </w:r>
            <w:proofErr w:type="spellStart"/>
            <w:r w:rsidRPr="0060721D">
              <w:rPr>
                <w:rFonts w:ascii="Times New Roman" w:hAnsi="Times New Roman"/>
              </w:rPr>
              <w:t>siguranţei</w:t>
            </w:r>
            <w:proofErr w:type="spellEnd"/>
            <w:r w:rsidRPr="0060721D">
              <w:rPr>
                <w:rFonts w:ascii="Times New Roman" w:hAnsi="Times New Roman"/>
              </w:rPr>
              <w:t xml:space="preserve"> </w:t>
            </w:r>
            <w:proofErr w:type="spellStart"/>
            <w:r w:rsidRPr="0060721D">
              <w:rPr>
                <w:rFonts w:ascii="Times New Roman" w:hAnsi="Times New Roman"/>
              </w:rPr>
              <w:t>şi</w:t>
            </w:r>
            <w:proofErr w:type="spellEnd"/>
            <w:r w:rsidRPr="0060721D">
              <w:rPr>
                <w:rFonts w:ascii="Times New Roman" w:hAnsi="Times New Roman"/>
              </w:rPr>
              <w:t xml:space="preserve"> </w:t>
            </w:r>
            <w:proofErr w:type="spellStart"/>
            <w:r w:rsidRPr="0060721D">
              <w:rPr>
                <w:rFonts w:ascii="Times New Roman" w:hAnsi="Times New Roman"/>
              </w:rPr>
              <w:t>eficienţei</w:t>
            </w:r>
            <w:proofErr w:type="spellEnd"/>
            <w:r w:rsidRPr="0060721D">
              <w:rPr>
                <w:rFonts w:ascii="Times New Roman" w:hAnsi="Times New Roman"/>
              </w:rPr>
              <w:t xml:space="preserve"> </w:t>
            </w:r>
            <w:proofErr w:type="spellStart"/>
            <w:r w:rsidRPr="0060721D">
              <w:rPr>
                <w:rFonts w:ascii="Times New Roman" w:hAnsi="Times New Roman"/>
              </w:rPr>
              <w:t>economice</w:t>
            </w:r>
            <w:proofErr w:type="spellEnd"/>
            <w:r w:rsidRPr="0060721D">
              <w:rPr>
                <w:rFonts w:ascii="Times New Roman" w:hAnsi="Times New Roman"/>
              </w:rPr>
              <w:t xml:space="preserve"> </w:t>
            </w:r>
            <w:proofErr w:type="spellStart"/>
            <w:r w:rsidRPr="0060721D">
              <w:rPr>
                <w:rFonts w:ascii="Times New Roman" w:hAnsi="Times New Roman"/>
              </w:rPr>
              <w:t>şi</w:t>
            </w:r>
            <w:proofErr w:type="spellEnd"/>
            <w:r w:rsidRPr="0060721D">
              <w:rPr>
                <w:rFonts w:ascii="Times New Roman" w:hAnsi="Times New Roman"/>
              </w:rPr>
              <w:t xml:space="preserve"> </w:t>
            </w:r>
            <w:proofErr w:type="spellStart"/>
            <w:r w:rsidRPr="0060721D">
              <w:rPr>
                <w:rFonts w:ascii="Times New Roman" w:hAnsi="Times New Roman"/>
              </w:rPr>
              <w:t>ecologice</w:t>
            </w:r>
            <w:proofErr w:type="spellEnd"/>
            <w:r w:rsidRPr="0060721D">
              <w:rPr>
                <w:rFonts w:ascii="Times New Roman" w:hAnsi="Times New Roman"/>
              </w:rPr>
              <w:t xml:space="preserve"> a </w:t>
            </w:r>
            <w:proofErr w:type="spellStart"/>
            <w:r w:rsidRPr="0060721D">
              <w:rPr>
                <w:rFonts w:ascii="Times New Roman" w:hAnsi="Times New Roman"/>
              </w:rPr>
              <w:t>sectorului</w:t>
            </w:r>
            <w:proofErr w:type="spellEnd"/>
            <w:r w:rsidRPr="0060721D">
              <w:rPr>
                <w:rFonts w:ascii="Times New Roman" w:hAnsi="Times New Roman"/>
              </w:rPr>
              <w:t xml:space="preserve"> </w:t>
            </w:r>
            <w:proofErr w:type="spellStart"/>
            <w:r w:rsidRPr="0060721D">
              <w:rPr>
                <w:rFonts w:ascii="Times New Roman" w:hAnsi="Times New Roman"/>
              </w:rPr>
              <w:t>rutier</w:t>
            </w:r>
            <w:proofErr w:type="spellEnd"/>
            <w:r w:rsidRPr="0060721D">
              <w:rPr>
                <w:rFonts w:ascii="Times New Roman" w:hAnsi="Times New Roman"/>
              </w:rPr>
              <w:t xml:space="preserve"> </w:t>
            </w:r>
            <w:proofErr w:type="spellStart"/>
            <w:r w:rsidRPr="0060721D">
              <w:rPr>
                <w:rFonts w:ascii="Times New Roman" w:hAnsi="Times New Roman"/>
              </w:rPr>
              <w:t>prin</w:t>
            </w:r>
            <w:proofErr w:type="spellEnd"/>
            <w:r w:rsidRPr="0060721D">
              <w:rPr>
                <w:rFonts w:ascii="Times New Roman" w:hAnsi="Times New Roman"/>
              </w:rPr>
              <w:t xml:space="preserve"> </w:t>
            </w:r>
            <w:proofErr w:type="spellStart"/>
            <w:r w:rsidRPr="0060721D">
              <w:rPr>
                <w:rFonts w:ascii="Times New Roman" w:hAnsi="Times New Roman"/>
              </w:rPr>
              <w:t>promovarea</w:t>
            </w:r>
            <w:proofErr w:type="spellEnd"/>
            <w:r w:rsidRPr="0060721D">
              <w:rPr>
                <w:rFonts w:ascii="Times New Roman" w:hAnsi="Times New Roman"/>
              </w:rPr>
              <w:t xml:space="preserve"> </w:t>
            </w:r>
            <w:proofErr w:type="spellStart"/>
            <w:r w:rsidRPr="0060721D">
              <w:rPr>
                <w:rFonts w:ascii="Times New Roman" w:hAnsi="Times New Roman"/>
              </w:rPr>
              <w:t>pneurilor</w:t>
            </w:r>
            <w:proofErr w:type="spellEnd"/>
            <w:r w:rsidRPr="0060721D">
              <w:rPr>
                <w:rFonts w:ascii="Times New Roman" w:hAnsi="Times New Roman"/>
              </w:rPr>
              <w:t xml:space="preserve"> </w:t>
            </w:r>
            <w:proofErr w:type="spellStart"/>
            <w:r w:rsidRPr="0060721D">
              <w:rPr>
                <w:rFonts w:ascii="Times New Roman" w:hAnsi="Times New Roman"/>
              </w:rPr>
              <w:t>eficiente</w:t>
            </w:r>
            <w:proofErr w:type="spellEnd"/>
            <w:r w:rsidRPr="0060721D">
              <w:rPr>
                <w:rFonts w:ascii="Times New Roman" w:hAnsi="Times New Roman"/>
              </w:rPr>
              <w:t xml:space="preserve"> din </w:t>
            </w:r>
            <w:proofErr w:type="spellStart"/>
            <w:r w:rsidRPr="0060721D">
              <w:rPr>
                <w:rFonts w:ascii="Times New Roman" w:hAnsi="Times New Roman"/>
              </w:rPr>
              <w:t>punctul</w:t>
            </w:r>
            <w:proofErr w:type="spellEnd"/>
            <w:r w:rsidRPr="0060721D">
              <w:rPr>
                <w:rFonts w:ascii="Times New Roman" w:hAnsi="Times New Roman"/>
              </w:rPr>
              <w:t xml:space="preserve"> de </w:t>
            </w:r>
            <w:proofErr w:type="spellStart"/>
            <w:r w:rsidRPr="0060721D">
              <w:rPr>
                <w:rFonts w:ascii="Times New Roman" w:hAnsi="Times New Roman"/>
              </w:rPr>
              <w:t>vedere</w:t>
            </w:r>
            <w:proofErr w:type="spellEnd"/>
            <w:r w:rsidRPr="0060721D">
              <w:rPr>
                <w:rFonts w:ascii="Times New Roman" w:hAnsi="Times New Roman"/>
              </w:rPr>
              <w:t xml:space="preserve"> al </w:t>
            </w:r>
            <w:proofErr w:type="spellStart"/>
            <w:r w:rsidRPr="0060721D">
              <w:rPr>
                <w:rFonts w:ascii="Times New Roman" w:hAnsi="Times New Roman"/>
              </w:rPr>
              <w:t>consumului</w:t>
            </w:r>
            <w:proofErr w:type="spellEnd"/>
            <w:r w:rsidRPr="0060721D">
              <w:rPr>
                <w:rFonts w:ascii="Times New Roman" w:hAnsi="Times New Roman"/>
              </w:rPr>
              <w:t xml:space="preserve"> de </w:t>
            </w:r>
            <w:proofErr w:type="spellStart"/>
            <w:r w:rsidRPr="0060721D">
              <w:rPr>
                <w:rFonts w:ascii="Times New Roman" w:hAnsi="Times New Roman"/>
              </w:rPr>
              <w:t>combustibil</w:t>
            </w:r>
            <w:proofErr w:type="spellEnd"/>
            <w:r w:rsidRPr="0060721D">
              <w:rPr>
                <w:rFonts w:ascii="Times New Roman" w:hAnsi="Times New Roman"/>
              </w:rPr>
              <w:t xml:space="preserve">. </w:t>
            </w:r>
            <w:proofErr w:type="spellStart"/>
            <w:r w:rsidRPr="0060721D">
              <w:rPr>
                <w:rFonts w:ascii="Times New Roman" w:hAnsi="Times New Roman"/>
              </w:rPr>
              <w:t>În</w:t>
            </w:r>
            <w:proofErr w:type="spellEnd"/>
            <w:r w:rsidRPr="0060721D">
              <w:rPr>
                <w:rFonts w:ascii="Times New Roman" w:hAnsi="Times New Roman"/>
              </w:rPr>
              <w:t xml:space="preserve"> </w:t>
            </w:r>
            <w:proofErr w:type="spellStart"/>
            <w:r w:rsidRPr="0060721D">
              <w:rPr>
                <w:rFonts w:ascii="Times New Roman" w:hAnsi="Times New Roman"/>
              </w:rPr>
              <w:t>urma</w:t>
            </w:r>
            <w:proofErr w:type="spellEnd"/>
            <w:r w:rsidRPr="0060721D">
              <w:rPr>
                <w:rFonts w:ascii="Times New Roman" w:hAnsi="Times New Roman"/>
              </w:rPr>
              <w:t xml:space="preserve"> </w:t>
            </w:r>
            <w:proofErr w:type="spellStart"/>
            <w:r w:rsidRPr="0060721D">
              <w:rPr>
                <w:rFonts w:ascii="Times New Roman" w:hAnsi="Times New Roman"/>
              </w:rPr>
              <w:t>implementării</w:t>
            </w:r>
            <w:proofErr w:type="spellEnd"/>
            <w:r w:rsidRPr="0060721D">
              <w:rPr>
                <w:rFonts w:ascii="Times New Roman" w:hAnsi="Times New Roman"/>
              </w:rPr>
              <w:t xml:space="preserve"> </w:t>
            </w:r>
            <w:proofErr w:type="spellStart"/>
            <w:r w:rsidRPr="0060721D">
              <w:rPr>
                <w:rFonts w:ascii="Times New Roman" w:hAnsi="Times New Roman"/>
              </w:rPr>
              <w:t>măsurilor</w:t>
            </w:r>
            <w:proofErr w:type="spellEnd"/>
            <w:r w:rsidRPr="0060721D">
              <w:rPr>
                <w:rFonts w:ascii="Times New Roman" w:hAnsi="Times New Roman"/>
              </w:rPr>
              <w:t xml:space="preserve"> </w:t>
            </w:r>
            <w:proofErr w:type="spellStart"/>
            <w:r w:rsidRPr="0060721D">
              <w:rPr>
                <w:rFonts w:ascii="Times New Roman" w:hAnsi="Times New Roman"/>
              </w:rPr>
              <w:lastRenderedPageBreak/>
              <w:t>şi</w:t>
            </w:r>
            <w:proofErr w:type="spellEnd"/>
            <w:r w:rsidRPr="0060721D">
              <w:rPr>
                <w:rFonts w:ascii="Times New Roman" w:hAnsi="Times New Roman"/>
              </w:rPr>
              <w:t xml:space="preserve"> </w:t>
            </w:r>
            <w:proofErr w:type="spellStart"/>
            <w:r w:rsidRPr="0060721D">
              <w:rPr>
                <w:rFonts w:ascii="Times New Roman" w:hAnsi="Times New Roman"/>
              </w:rPr>
              <w:t>acţiunilor</w:t>
            </w:r>
            <w:proofErr w:type="spellEnd"/>
            <w:r w:rsidRPr="0060721D">
              <w:rPr>
                <w:rFonts w:ascii="Times New Roman" w:hAnsi="Times New Roman"/>
              </w:rPr>
              <w:t xml:space="preserve">, </w:t>
            </w:r>
            <w:proofErr w:type="spellStart"/>
            <w:r w:rsidRPr="0060721D">
              <w:rPr>
                <w:rFonts w:ascii="Times New Roman" w:hAnsi="Times New Roman"/>
              </w:rPr>
              <w:t>pînă</w:t>
            </w:r>
            <w:proofErr w:type="spellEnd"/>
            <w:r w:rsidRPr="0060721D">
              <w:rPr>
                <w:rFonts w:ascii="Times New Roman" w:hAnsi="Times New Roman"/>
              </w:rPr>
              <w:t xml:space="preserve"> </w:t>
            </w:r>
            <w:proofErr w:type="spellStart"/>
            <w:r w:rsidRPr="0060721D">
              <w:rPr>
                <w:rFonts w:ascii="Times New Roman" w:hAnsi="Times New Roman"/>
              </w:rPr>
              <w:t>în</w:t>
            </w:r>
            <w:proofErr w:type="spellEnd"/>
            <w:r w:rsidRPr="0060721D">
              <w:rPr>
                <w:rFonts w:ascii="Times New Roman" w:hAnsi="Times New Roman"/>
              </w:rPr>
              <w:t xml:space="preserve">  </w:t>
            </w:r>
            <w:proofErr w:type="spellStart"/>
            <w:r w:rsidRPr="0060721D">
              <w:rPr>
                <w:rFonts w:ascii="Times New Roman" w:hAnsi="Times New Roman"/>
              </w:rPr>
              <w:t>anul</w:t>
            </w:r>
            <w:proofErr w:type="spellEnd"/>
            <w:r w:rsidRPr="0060721D">
              <w:rPr>
                <w:rFonts w:ascii="Times New Roman" w:hAnsi="Times New Roman"/>
              </w:rPr>
              <w:t xml:space="preserve"> 2020, </w:t>
            </w:r>
            <w:proofErr w:type="spellStart"/>
            <w:r w:rsidRPr="0060721D">
              <w:rPr>
                <w:rFonts w:ascii="Times New Roman" w:hAnsi="Times New Roman"/>
              </w:rPr>
              <w:t>este</w:t>
            </w:r>
            <w:proofErr w:type="spellEnd"/>
            <w:r w:rsidRPr="0060721D">
              <w:rPr>
                <w:rFonts w:ascii="Times New Roman" w:hAnsi="Times New Roman"/>
              </w:rPr>
              <w:t xml:space="preserve"> </w:t>
            </w:r>
            <w:proofErr w:type="spellStart"/>
            <w:r w:rsidRPr="0060721D">
              <w:rPr>
                <w:rFonts w:ascii="Times New Roman" w:hAnsi="Times New Roman"/>
              </w:rPr>
              <w:t>estimată</w:t>
            </w:r>
            <w:proofErr w:type="spellEnd"/>
            <w:r w:rsidRPr="0060721D">
              <w:rPr>
                <w:rFonts w:ascii="Times New Roman" w:hAnsi="Times New Roman"/>
              </w:rPr>
              <w:t xml:space="preserve"> o </w:t>
            </w:r>
            <w:proofErr w:type="spellStart"/>
            <w:r w:rsidRPr="0060721D">
              <w:rPr>
                <w:rFonts w:ascii="Times New Roman" w:hAnsi="Times New Roman"/>
              </w:rPr>
              <w:t>diminuare</w:t>
            </w:r>
            <w:proofErr w:type="spellEnd"/>
            <w:r w:rsidRPr="0060721D">
              <w:rPr>
                <w:rFonts w:ascii="Times New Roman" w:hAnsi="Times New Roman"/>
              </w:rPr>
              <w:t xml:space="preserve"> a </w:t>
            </w:r>
            <w:proofErr w:type="spellStart"/>
            <w:r w:rsidRPr="0060721D">
              <w:rPr>
                <w:rFonts w:ascii="Times New Roman" w:hAnsi="Times New Roman"/>
              </w:rPr>
              <w:t>consumului</w:t>
            </w:r>
            <w:proofErr w:type="spellEnd"/>
            <w:r w:rsidRPr="0060721D">
              <w:rPr>
                <w:rFonts w:ascii="Times New Roman" w:hAnsi="Times New Roman"/>
              </w:rPr>
              <w:t xml:space="preserve"> de </w:t>
            </w:r>
            <w:proofErr w:type="spellStart"/>
            <w:r w:rsidRPr="0060721D">
              <w:rPr>
                <w:rFonts w:ascii="Times New Roman" w:hAnsi="Times New Roman"/>
              </w:rPr>
              <w:t>combustibili</w:t>
            </w:r>
            <w:proofErr w:type="spellEnd"/>
            <w:r w:rsidRPr="0060721D">
              <w:rPr>
                <w:rFonts w:ascii="Times New Roman" w:hAnsi="Times New Roman"/>
              </w:rPr>
              <w:t xml:space="preserve"> cu </w:t>
            </w:r>
            <w:proofErr w:type="spellStart"/>
            <w:r w:rsidRPr="0060721D">
              <w:rPr>
                <w:rFonts w:ascii="Times New Roman" w:hAnsi="Times New Roman"/>
              </w:rPr>
              <w:t>cca</w:t>
            </w:r>
            <w:proofErr w:type="spellEnd"/>
            <w:r w:rsidRPr="0060721D">
              <w:rPr>
                <w:rFonts w:ascii="Times New Roman" w:hAnsi="Times New Roman"/>
              </w:rPr>
              <w:t xml:space="preserve"> 20%</w:t>
            </w:r>
          </w:p>
        </w:tc>
        <w:tc>
          <w:tcPr>
            <w:tcW w:w="1620" w:type="dxa"/>
            <w:gridSpan w:val="2"/>
            <w:hideMark/>
          </w:tcPr>
          <w:p w14:paraId="412E8E93" w14:textId="77777777" w:rsidR="0060721D" w:rsidRPr="0060721D" w:rsidRDefault="0060721D" w:rsidP="0060721D">
            <w:pPr>
              <w:jc w:val="center"/>
              <w:rPr>
                <w:rFonts w:ascii="Times New Roman" w:hAnsi="Times New Roman"/>
              </w:rPr>
            </w:pPr>
            <w:r w:rsidRPr="0060721D">
              <w:rPr>
                <w:rFonts w:ascii="Times New Roman" w:eastAsia="Times New Roman" w:hAnsi="Times New Roman"/>
                <w:lang w:val="es-ES" w:eastAsia="ru-RU"/>
              </w:rPr>
              <w:lastRenderedPageBreak/>
              <w:t>20% din consumul anual de motorină şi benzină</w:t>
            </w:r>
            <w:r w:rsidRPr="0060721D">
              <w:rPr>
                <w:rFonts w:ascii="Times New Roman" w:eastAsia="Times New Roman" w:hAnsi="Times New Roman"/>
                <w:lang w:eastAsia="ru-RU"/>
              </w:rPr>
              <w:t xml:space="preserve"> </w:t>
            </w:r>
            <w:proofErr w:type="spellStart"/>
            <w:r w:rsidRPr="0060721D">
              <w:rPr>
                <w:rFonts w:ascii="Times New Roman" w:hAnsi="Times New Roman"/>
              </w:rPr>
              <w:t>în</w:t>
            </w:r>
            <w:proofErr w:type="spellEnd"/>
            <w:r w:rsidRPr="0060721D">
              <w:rPr>
                <w:rFonts w:ascii="Times New Roman" w:hAnsi="Times New Roman"/>
              </w:rPr>
              <w:t xml:space="preserve"> </w:t>
            </w:r>
            <w:proofErr w:type="spellStart"/>
            <w:r w:rsidRPr="0060721D">
              <w:rPr>
                <w:rFonts w:ascii="Times New Roman" w:hAnsi="Times New Roman"/>
              </w:rPr>
              <w:t>transportul</w:t>
            </w:r>
            <w:proofErr w:type="spellEnd"/>
            <w:r w:rsidRPr="0060721D">
              <w:rPr>
                <w:rFonts w:ascii="Times New Roman" w:hAnsi="Times New Roman"/>
              </w:rPr>
              <w:t xml:space="preserve"> </w:t>
            </w:r>
            <w:proofErr w:type="spellStart"/>
            <w:r w:rsidRPr="0060721D">
              <w:rPr>
                <w:rFonts w:ascii="Times New Roman" w:hAnsi="Times New Roman"/>
              </w:rPr>
              <w:t>rutier</w:t>
            </w:r>
            <w:proofErr w:type="spellEnd"/>
          </w:p>
        </w:tc>
        <w:tc>
          <w:tcPr>
            <w:tcW w:w="1440" w:type="dxa"/>
            <w:gridSpan w:val="2"/>
            <w:hideMark/>
          </w:tcPr>
          <w:p w14:paraId="32207AB0" w14:textId="77777777" w:rsidR="0060721D" w:rsidRPr="0060721D" w:rsidRDefault="0060721D" w:rsidP="0060721D">
            <w:pPr>
              <w:jc w:val="center"/>
              <w:rPr>
                <w:rFonts w:ascii="Times New Roman" w:hAnsi="Times New Roman"/>
                <w:lang w:val="ro-RO"/>
              </w:rPr>
            </w:pPr>
            <w:r w:rsidRPr="0060721D">
              <w:rPr>
                <w:rFonts w:ascii="Times New Roman" w:eastAsia="Times New Roman" w:hAnsi="Times New Roman"/>
                <w:lang w:val="es-ES" w:eastAsia="ru-RU"/>
              </w:rPr>
              <w:t> </w:t>
            </w:r>
          </w:p>
        </w:tc>
        <w:tc>
          <w:tcPr>
            <w:tcW w:w="3429" w:type="dxa"/>
            <w:gridSpan w:val="2"/>
            <w:hideMark/>
          </w:tcPr>
          <w:p w14:paraId="230F9140" w14:textId="77777777" w:rsidR="0060721D" w:rsidRPr="0060721D" w:rsidRDefault="0060721D" w:rsidP="0060721D">
            <w:pPr>
              <w:jc w:val="center"/>
              <w:rPr>
                <w:rFonts w:ascii="Times New Roman" w:eastAsia="Times New Roman" w:hAnsi="Times New Roman"/>
                <w:lang w:val="ro-RO" w:eastAsia="ru-RU"/>
              </w:rPr>
            </w:pPr>
            <w:r w:rsidRPr="0060721D">
              <w:rPr>
                <w:rFonts w:ascii="Times New Roman" w:eastAsia="Times New Roman" w:hAnsi="Times New Roman"/>
                <w:lang w:eastAsia="ru-RU"/>
              </w:rPr>
              <w:t xml:space="preserve">416 300 tone CO2 </w:t>
            </w:r>
            <w:proofErr w:type="spellStart"/>
            <w:r w:rsidRPr="0060721D">
              <w:rPr>
                <w:rFonts w:ascii="Times New Roman" w:eastAsia="Times New Roman" w:hAnsi="Times New Roman"/>
                <w:lang w:eastAsia="ru-RU"/>
              </w:rPr>
              <w:t>echivalent</w:t>
            </w:r>
            <w:proofErr w:type="spellEnd"/>
            <w:r w:rsidRPr="0060721D">
              <w:rPr>
                <w:rFonts w:ascii="Times New Roman" w:eastAsia="Times New Roman" w:hAnsi="Times New Roman"/>
                <w:lang w:eastAsia="ru-RU"/>
              </w:rPr>
              <w:t>/an</w:t>
            </w:r>
          </w:p>
        </w:tc>
        <w:tc>
          <w:tcPr>
            <w:tcW w:w="1502" w:type="dxa"/>
            <w:gridSpan w:val="2"/>
            <w:hideMark/>
          </w:tcPr>
          <w:p w14:paraId="2743F987" w14:textId="77777777" w:rsidR="0060721D" w:rsidRPr="0060721D" w:rsidRDefault="0060721D" w:rsidP="0060721D">
            <w:pPr>
              <w:jc w:val="center"/>
              <w:rPr>
                <w:rFonts w:ascii="Times New Roman" w:hAnsi="Times New Roman"/>
                <w:lang w:val="ro-RO"/>
              </w:rPr>
            </w:pPr>
            <w:r w:rsidRPr="0060721D">
              <w:rPr>
                <w:rFonts w:ascii="Times New Roman" w:eastAsia="Times New Roman" w:hAnsi="Times New Roman"/>
                <w:lang w:eastAsia="ru-RU"/>
              </w:rPr>
              <w:t> </w:t>
            </w:r>
          </w:p>
        </w:tc>
      </w:tr>
      <w:tr w:rsidR="002D5884" w:rsidRPr="0060721D" w14:paraId="59256027" w14:textId="77777777" w:rsidTr="00F11CCD">
        <w:trPr>
          <w:divId w:val="546725049"/>
          <w:trHeight w:val="600"/>
        </w:trPr>
        <w:tc>
          <w:tcPr>
            <w:tcW w:w="500" w:type="dxa"/>
            <w:hideMark/>
          </w:tcPr>
          <w:p w14:paraId="24764D4A" w14:textId="77777777" w:rsidR="0060721D" w:rsidRPr="0060721D" w:rsidRDefault="0060721D" w:rsidP="0060721D">
            <w:pPr>
              <w:jc w:val="center"/>
              <w:rPr>
                <w:rFonts w:ascii="Times New Roman" w:eastAsia="Times New Roman" w:hAnsi="Times New Roman"/>
                <w:lang w:val="ro-RO" w:eastAsia="ru-RU"/>
              </w:rPr>
            </w:pPr>
            <w:r w:rsidRPr="0060721D">
              <w:rPr>
                <w:rFonts w:ascii="Times New Roman" w:eastAsia="Times New Roman" w:hAnsi="Times New Roman"/>
                <w:lang w:eastAsia="ru-RU"/>
              </w:rPr>
              <w:t>2,6</w:t>
            </w:r>
          </w:p>
        </w:tc>
        <w:tc>
          <w:tcPr>
            <w:tcW w:w="3437" w:type="dxa"/>
            <w:gridSpan w:val="2"/>
            <w:hideMark/>
          </w:tcPr>
          <w:p w14:paraId="697FE72C" w14:textId="77777777" w:rsidR="0060721D" w:rsidRPr="0060721D" w:rsidRDefault="0060721D" w:rsidP="0060721D">
            <w:pPr>
              <w:jc w:val="center"/>
              <w:rPr>
                <w:rFonts w:ascii="Times New Roman" w:eastAsia="Times New Roman" w:hAnsi="Times New Roman"/>
                <w:lang w:val="es-ES" w:eastAsia="ru-RU"/>
              </w:rPr>
            </w:pPr>
            <w:r w:rsidRPr="0060721D">
              <w:rPr>
                <w:rFonts w:ascii="Times New Roman" w:eastAsia="Times New Roman" w:hAnsi="Times New Roman"/>
                <w:b/>
                <w:bCs/>
                <w:lang w:val="es-ES" w:eastAsia="ru-RU"/>
              </w:rPr>
              <w:t>Promovarea mijloacelor de</w:t>
            </w:r>
            <w:r w:rsidRPr="0060721D">
              <w:rPr>
                <w:rFonts w:ascii="Times New Roman" w:eastAsia="Times New Roman" w:hAnsi="Times New Roman"/>
                <w:lang w:val="es-ES" w:eastAsia="ru-RU"/>
              </w:rPr>
              <w:t xml:space="preserve"> transport cu propulsie hibrida</w:t>
            </w:r>
          </w:p>
        </w:tc>
        <w:tc>
          <w:tcPr>
            <w:tcW w:w="1949" w:type="dxa"/>
            <w:hideMark/>
          </w:tcPr>
          <w:p w14:paraId="6AD47446" w14:textId="77777777" w:rsidR="0060721D" w:rsidRPr="0060721D" w:rsidRDefault="0060721D" w:rsidP="0060721D">
            <w:pPr>
              <w:jc w:val="center"/>
              <w:rPr>
                <w:rFonts w:ascii="Times New Roman" w:hAnsi="Times New Roman"/>
              </w:rPr>
            </w:pPr>
            <w:proofErr w:type="spellStart"/>
            <w:r w:rsidRPr="0060721D">
              <w:rPr>
                <w:rFonts w:ascii="Times New Roman" w:hAnsi="Times New Roman"/>
              </w:rPr>
              <w:t>Aplicarea</w:t>
            </w:r>
            <w:proofErr w:type="spellEnd"/>
            <w:r w:rsidRPr="0060721D">
              <w:rPr>
                <w:rFonts w:ascii="Times New Roman" w:hAnsi="Times New Roman"/>
              </w:rPr>
              <w:t xml:space="preserve"> </w:t>
            </w:r>
            <w:proofErr w:type="spellStart"/>
            <w:r w:rsidRPr="0060721D">
              <w:rPr>
                <w:rFonts w:ascii="Times New Roman" w:hAnsi="Times New Roman"/>
              </w:rPr>
              <w:t>unui</w:t>
            </w:r>
            <w:proofErr w:type="spellEnd"/>
            <w:r w:rsidRPr="0060721D">
              <w:rPr>
                <w:rFonts w:ascii="Times New Roman" w:hAnsi="Times New Roman"/>
              </w:rPr>
              <w:t xml:space="preserve"> </w:t>
            </w:r>
            <w:proofErr w:type="spellStart"/>
            <w:r w:rsidRPr="0060721D">
              <w:rPr>
                <w:rFonts w:ascii="Times New Roman" w:hAnsi="Times New Roman"/>
              </w:rPr>
              <w:t>acciz</w:t>
            </w:r>
            <w:proofErr w:type="spellEnd"/>
            <w:r w:rsidRPr="0060721D">
              <w:rPr>
                <w:rFonts w:ascii="Times New Roman" w:hAnsi="Times New Roman"/>
              </w:rPr>
              <w:t xml:space="preserve"> </w:t>
            </w:r>
            <w:proofErr w:type="spellStart"/>
            <w:r w:rsidRPr="0060721D">
              <w:rPr>
                <w:rFonts w:ascii="Times New Roman" w:hAnsi="Times New Roman"/>
              </w:rPr>
              <w:t>redus</w:t>
            </w:r>
            <w:proofErr w:type="spellEnd"/>
            <w:r w:rsidRPr="0060721D">
              <w:rPr>
                <w:rFonts w:ascii="Times New Roman" w:hAnsi="Times New Roman"/>
              </w:rPr>
              <w:t xml:space="preserve"> cu 50% </w:t>
            </w:r>
            <w:proofErr w:type="spellStart"/>
            <w:r w:rsidRPr="0060721D">
              <w:rPr>
                <w:rFonts w:ascii="Times New Roman" w:hAnsi="Times New Roman"/>
              </w:rPr>
              <w:t>pentru</w:t>
            </w:r>
            <w:proofErr w:type="spellEnd"/>
            <w:r w:rsidRPr="0060721D">
              <w:rPr>
                <w:rFonts w:ascii="Times New Roman" w:hAnsi="Times New Roman"/>
              </w:rPr>
              <w:t xml:space="preserve"> </w:t>
            </w:r>
            <w:proofErr w:type="spellStart"/>
            <w:r w:rsidRPr="0060721D">
              <w:rPr>
                <w:rFonts w:ascii="Times New Roman" w:hAnsi="Times New Roman"/>
              </w:rPr>
              <w:t>mijloacele</w:t>
            </w:r>
            <w:proofErr w:type="spellEnd"/>
            <w:r w:rsidRPr="0060721D">
              <w:rPr>
                <w:rFonts w:ascii="Times New Roman" w:hAnsi="Times New Roman"/>
              </w:rPr>
              <w:t xml:space="preserve"> de transport cu </w:t>
            </w:r>
            <w:proofErr w:type="spellStart"/>
            <w:r w:rsidRPr="0060721D">
              <w:rPr>
                <w:rFonts w:ascii="Times New Roman" w:hAnsi="Times New Roman"/>
              </w:rPr>
              <w:t>propulsie</w:t>
            </w:r>
            <w:proofErr w:type="spellEnd"/>
            <w:r w:rsidRPr="0060721D">
              <w:rPr>
                <w:rFonts w:ascii="Times New Roman" w:hAnsi="Times New Roman"/>
              </w:rPr>
              <w:t xml:space="preserve"> </w:t>
            </w:r>
            <w:proofErr w:type="spellStart"/>
            <w:r w:rsidRPr="0060721D">
              <w:rPr>
                <w:rFonts w:ascii="Times New Roman" w:hAnsi="Times New Roman"/>
              </w:rPr>
              <w:t>hibridă</w:t>
            </w:r>
            <w:proofErr w:type="spellEnd"/>
            <w:r w:rsidRPr="0060721D">
              <w:rPr>
                <w:rFonts w:ascii="Times New Roman" w:hAnsi="Times New Roman"/>
              </w:rPr>
              <w:t xml:space="preserve"> </w:t>
            </w:r>
            <w:proofErr w:type="spellStart"/>
            <w:r w:rsidRPr="0060721D">
              <w:rPr>
                <w:rFonts w:ascii="Times New Roman" w:hAnsi="Times New Roman"/>
              </w:rPr>
              <w:t>importate</w:t>
            </w:r>
            <w:proofErr w:type="spellEnd"/>
          </w:p>
        </w:tc>
        <w:tc>
          <w:tcPr>
            <w:tcW w:w="1882" w:type="dxa"/>
            <w:gridSpan w:val="3"/>
            <w:hideMark/>
          </w:tcPr>
          <w:p w14:paraId="737D93D8" w14:textId="77777777" w:rsidR="0060721D" w:rsidRPr="0060721D" w:rsidRDefault="0060721D" w:rsidP="0060721D">
            <w:pPr>
              <w:jc w:val="center"/>
              <w:rPr>
                <w:rFonts w:ascii="Times New Roman" w:hAnsi="Times New Roman"/>
              </w:rPr>
            </w:pPr>
            <w:r w:rsidRPr="0060721D">
              <w:rPr>
                <w:rFonts w:ascii="Times New Roman" w:hAnsi="Times New Roman"/>
              </w:rPr>
              <w:t xml:space="preserve">10% din </w:t>
            </w:r>
            <w:proofErr w:type="spellStart"/>
            <w:r w:rsidRPr="0060721D">
              <w:rPr>
                <w:rFonts w:ascii="Times New Roman" w:hAnsi="Times New Roman"/>
              </w:rPr>
              <w:t>mijloace</w:t>
            </w:r>
            <w:proofErr w:type="spellEnd"/>
            <w:r w:rsidRPr="0060721D">
              <w:rPr>
                <w:rFonts w:ascii="Times New Roman" w:hAnsi="Times New Roman"/>
              </w:rPr>
              <w:t xml:space="preserve"> de transport cu </w:t>
            </w:r>
            <w:proofErr w:type="spellStart"/>
            <w:r w:rsidRPr="0060721D">
              <w:rPr>
                <w:rFonts w:ascii="Times New Roman" w:hAnsi="Times New Roman"/>
              </w:rPr>
              <w:t>motorizare</w:t>
            </w:r>
            <w:proofErr w:type="spellEnd"/>
            <w:r w:rsidRPr="0060721D">
              <w:rPr>
                <w:rFonts w:ascii="Times New Roman" w:hAnsi="Times New Roman"/>
              </w:rPr>
              <w:t xml:space="preserve"> </w:t>
            </w:r>
            <w:proofErr w:type="spellStart"/>
            <w:r w:rsidRPr="0060721D">
              <w:rPr>
                <w:rFonts w:ascii="Times New Roman" w:hAnsi="Times New Roman"/>
              </w:rPr>
              <w:t>hibridă</w:t>
            </w:r>
            <w:proofErr w:type="spellEnd"/>
          </w:p>
        </w:tc>
        <w:tc>
          <w:tcPr>
            <w:tcW w:w="1440" w:type="dxa"/>
            <w:gridSpan w:val="2"/>
            <w:hideMark/>
          </w:tcPr>
          <w:p w14:paraId="339DAD65" w14:textId="77777777" w:rsidR="0060721D" w:rsidRPr="0060721D" w:rsidRDefault="0060721D" w:rsidP="0060721D">
            <w:pPr>
              <w:jc w:val="center"/>
              <w:rPr>
                <w:rFonts w:ascii="Times New Roman" w:hAnsi="Times New Roman"/>
              </w:rPr>
            </w:pPr>
            <w:r w:rsidRPr="0060721D">
              <w:rPr>
                <w:rFonts w:ascii="Times New Roman" w:hAnsi="Times New Roman"/>
              </w:rPr>
              <w:t> </w:t>
            </w:r>
          </w:p>
        </w:tc>
        <w:tc>
          <w:tcPr>
            <w:tcW w:w="3429" w:type="dxa"/>
            <w:gridSpan w:val="2"/>
            <w:hideMark/>
          </w:tcPr>
          <w:p w14:paraId="4311D322" w14:textId="77777777" w:rsidR="0060721D" w:rsidRPr="0060721D" w:rsidRDefault="0060721D" w:rsidP="0060721D">
            <w:pPr>
              <w:jc w:val="center"/>
              <w:rPr>
                <w:rFonts w:ascii="Times New Roman" w:hAnsi="Times New Roman"/>
              </w:rPr>
            </w:pPr>
            <w:r w:rsidRPr="0060721D">
              <w:rPr>
                <w:rFonts w:ascii="Times New Roman" w:hAnsi="Times New Roman"/>
              </w:rPr>
              <w:t xml:space="preserve">20 400 tone CO2 </w:t>
            </w:r>
            <w:proofErr w:type="spellStart"/>
            <w:r w:rsidRPr="0060721D">
              <w:rPr>
                <w:rFonts w:ascii="Times New Roman" w:hAnsi="Times New Roman"/>
              </w:rPr>
              <w:t>echivalent</w:t>
            </w:r>
            <w:proofErr w:type="spellEnd"/>
            <w:r w:rsidRPr="0060721D">
              <w:rPr>
                <w:rFonts w:ascii="Times New Roman" w:hAnsi="Times New Roman"/>
              </w:rPr>
              <w:t>/an</w:t>
            </w:r>
          </w:p>
        </w:tc>
        <w:tc>
          <w:tcPr>
            <w:tcW w:w="1502" w:type="dxa"/>
            <w:gridSpan w:val="2"/>
            <w:hideMark/>
          </w:tcPr>
          <w:p w14:paraId="1DDD9838" w14:textId="77777777" w:rsidR="0060721D" w:rsidRPr="0060721D" w:rsidRDefault="0060721D" w:rsidP="0060721D">
            <w:pPr>
              <w:jc w:val="center"/>
              <w:rPr>
                <w:rFonts w:ascii="Times New Roman" w:hAnsi="Times New Roman"/>
              </w:rPr>
            </w:pPr>
            <w:r w:rsidRPr="0060721D">
              <w:rPr>
                <w:rFonts w:ascii="Times New Roman" w:hAnsi="Times New Roman"/>
              </w:rPr>
              <w:t> </w:t>
            </w:r>
          </w:p>
        </w:tc>
      </w:tr>
      <w:tr w:rsidR="0060721D" w:rsidRPr="0060721D" w14:paraId="2B5626E8" w14:textId="77777777" w:rsidTr="00F11CCD">
        <w:trPr>
          <w:divId w:val="546725049"/>
          <w:trHeight w:val="915"/>
        </w:trPr>
        <w:tc>
          <w:tcPr>
            <w:tcW w:w="500" w:type="dxa"/>
            <w:hideMark/>
          </w:tcPr>
          <w:p w14:paraId="09E6A0C6" w14:textId="77777777" w:rsidR="0060721D" w:rsidRPr="0060721D" w:rsidRDefault="0060721D" w:rsidP="0060721D">
            <w:pPr>
              <w:jc w:val="center"/>
              <w:rPr>
                <w:rFonts w:ascii="Times New Roman" w:eastAsia="Times New Roman" w:hAnsi="Times New Roman"/>
                <w:lang w:val="ro-RO" w:eastAsia="ru-RU"/>
              </w:rPr>
            </w:pPr>
            <w:r w:rsidRPr="0060721D">
              <w:rPr>
                <w:rFonts w:ascii="Times New Roman" w:eastAsia="Times New Roman" w:hAnsi="Times New Roman"/>
                <w:lang w:eastAsia="ru-RU"/>
              </w:rPr>
              <w:t>3</w:t>
            </w:r>
          </w:p>
        </w:tc>
        <w:tc>
          <w:tcPr>
            <w:tcW w:w="13639" w:type="dxa"/>
            <w:gridSpan w:val="12"/>
            <w:hideMark/>
          </w:tcPr>
          <w:p w14:paraId="6FB26EEB" w14:textId="77777777" w:rsidR="0060721D" w:rsidRPr="0060721D" w:rsidRDefault="0060721D" w:rsidP="0060721D">
            <w:pPr>
              <w:rPr>
                <w:rFonts w:ascii="Times New Roman" w:hAnsi="Times New Roman"/>
                <w:b/>
                <w:bCs/>
              </w:rPr>
            </w:pPr>
            <w:proofErr w:type="spellStart"/>
            <w:r w:rsidRPr="0060721D">
              <w:rPr>
                <w:rFonts w:ascii="Times New Roman" w:eastAsia="Times New Roman" w:hAnsi="Times New Roman"/>
                <w:lang w:eastAsia="ru-RU"/>
              </w:rPr>
              <w:t>Obiectivul</w:t>
            </w:r>
            <w:proofErr w:type="spellEnd"/>
            <w:r w:rsidRPr="0060721D">
              <w:rPr>
                <w:rFonts w:ascii="Times New Roman" w:eastAsia="Times New Roman" w:hAnsi="Times New Roman"/>
                <w:lang w:eastAsia="ru-RU"/>
              </w:rPr>
              <w:t xml:space="preserve"> specific 3. </w:t>
            </w:r>
            <w:proofErr w:type="spellStart"/>
            <w:r w:rsidRPr="0060721D">
              <w:rPr>
                <w:rFonts w:ascii="Times New Roman" w:eastAsia="Times New Roman" w:hAnsi="Times New Roman"/>
                <w:lang w:eastAsia="ru-RU"/>
              </w:rPr>
              <w:t>Reducerea</w:t>
            </w:r>
            <w:proofErr w:type="spellEnd"/>
            <w:r w:rsidRPr="0060721D">
              <w:rPr>
                <w:rFonts w:ascii="Times New Roman" w:eastAsia="Times New Roman" w:hAnsi="Times New Roman"/>
                <w:lang w:eastAsia="ru-RU"/>
              </w:rPr>
              <w:t xml:space="preserve"> </w:t>
            </w:r>
            <w:proofErr w:type="spellStart"/>
            <w:r w:rsidRPr="0060721D">
              <w:rPr>
                <w:rFonts w:ascii="Times New Roman" w:eastAsia="Times New Roman" w:hAnsi="Times New Roman"/>
                <w:lang w:eastAsia="ru-RU"/>
              </w:rPr>
              <w:t>necondiţionată</w:t>
            </w:r>
            <w:proofErr w:type="spellEnd"/>
            <w:r w:rsidRPr="0060721D">
              <w:rPr>
                <w:rFonts w:ascii="Times New Roman" w:eastAsia="Times New Roman" w:hAnsi="Times New Roman"/>
                <w:lang w:eastAsia="ru-RU"/>
              </w:rPr>
              <w:t xml:space="preserve">, </w:t>
            </w:r>
            <w:proofErr w:type="spellStart"/>
            <w:r w:rsidRPr="0060721D">
              <w:rPr>
                <w:rFonts w:ascii="Times New Roman" w:eastAsia="Times New Roman" w:hAnsi="Times New Roman"/>
                <w:lang w:eastAsia="ru-RU"/>
              </w:rPr>
              <w:t>pînă</w:t>
            </w:r>
            <w:proofErr w:type="spellEnd"/>
            <w:r w:rsidRPr="0060721D">
              <w:rPr>
                <w:rFonts w:ascii="Times New Roman" w:eastAsia="Times New Roman" w:hAnsi="Times New Roman"/>
                <w:lang w:eastAsia="ru-RU"/>
              </w:rPr>
              <w:t xml:space="preserve"> </w:t>
            </w:r>
            <w:proofErr w:type="spellStart"/>
            <w:r w:rsidRPr="0060721D">
              <w:rPr>
                <w:rFonts w:ascii="Times New Roman" w:eastAsia="Times New Roman" w:hAnsi="Times New Roman"/>
                <w:lang w:eastAsia="ru-RU"/>
              </w:rPr>
              <w:t>în</w:t>
            </w:r>
            <w:proofErr w:type="spellEnd"/>
            <w:r w:rsidRPr="0060721D">
              <w:rPr>
                <w:rFonts w:ascii="Times New Roman" w:eastAsia="Times New Roman" w:hAnsi="Times New Roman"/>
                <w:lang w:eastAsia="ru-RU"/>
              </w:rPr>
              <w:t xml:space="preserve">  </w:t>
            </w:r>
            <w:r w:rsidRPr="0060721D">
              <w:rPr>
                <w:rFonts w:ascii="Times New Roman" w:eastAsia="Times New Roman" w:hAnsi="Times New Roman"/>
                <w:lang w:val="ro-RO" w:eastAsia="ru-RU"/>
              </w:rPr>
              <w:t>anul</w:t>
            </w:r>
            <w:r w:rsidRPr="0060721D">
              <w:rPr>
                <w:rFonts w:ascii="Times New Roman" w:hAnsi="Times New Roman"/>
              </w:rPr>
              <w:t xml:space="preserve"> 2030, a </w:t>
            </w:r>
            <w:proofErr w:type="spellStart"/>
            <w:r w:rsidRPr="0060721D">
              <w:rPr>
                <w:rFonts w:ascii="Times New Roman" w:hAnsi="Times New Roman"/>
              </w:rPr>
              <w:t>emisiilor</w:t>
            </w:r>
            <w:proofErr w:type="spellEnd"/>
            <w:r w:rsidRPr="0060721D">
              <w:rPr>
                <w:rFonts w:ascii="Times New Roman" w:hAnsi="Times New Roman"/>
              </w:rPr>
              <w:t xml:space="preserve"> de gaze cu </w:t>
            </w:r>
            <w:proofErr w:type="spellStart"/>
            <w:r w:rsidRPr="0060721D">
              <w:rPr>
                <w:rFonts w:ascii="Times New Roman" w:hAnsi="Times New Roman"/>
              </w:rPr>
              <w:t>efect</w:t>
            </w:r>
            <w:proofErr w:type="spellEnd"/>
            <w:r w:rsidRPr="0060721D">
              <w:rPr>
                <w:rFonts w:ascii="Times New Roman" w:hAnsi="Times New Roman"/>
              </w:rPr>
              <w:t xml:space="preserve"> de </w:t>
            </w:r>
            <w:proofErr w:type="spellStart"/>
            <w:r w:rsidRPr="0060721D">
              <w:rPr>
                <w:rFonts w:ascii="Times New Roman" w:hAnsi="Times New Roman"/>
              </w:rPr>
              <w:t>seră</w:t>
            </w:r>
            <w:proofErr w:type="spellEnd"/>
            <w:r w:rsidRPr="0060721D">
              <w:rPr>
                <w:rFonts w:ascii="Times New Roman" w:hAnsi="Times New Roman"/>
              </w:rPr>
              <w:t xml:space="preserve"> </w:t>
            </w:r>
            <w:proofErr w:type="spellStart"/>
            <w:r w:rsidRPr="0060721D">
              <w:rPr>
                <w:rFonts w:ascii="Times New Roman" w:hAnsi="Times New Roman"/>
              </w:rPr>
              <w:t>provenite</w:t>
            </w:r>
            <w:proofErr w:type="spellEnd"/>
            <w:r w:rsidRPr="0060721D">
              <w:rPr>
                <w:rFonts w:ascii="Times New Roman" w:hAnsi="Times New Roman"/>
              </w:rPr>
              <w:t xml:space="preserve"> de la </w:t>
            </w:r>
            <w:proofErr w:type="spellStart"/>
            <w:r w:rsidRPr="0060721D">
              <w:rPr>
                <w:rFonts w:ascii="Times New Roman" w:hAnsi="Times New Roman"/>
                <w:b/>
                <w:bCs/>
              </w:rPr>
              <w:t>sectorul</w:t>
            </w:r>
            <w:proofErr w:type="spellEnd"/>
            <w:r w:rsidRPr="0060721D">
              <w:rPr>
                <w:rFonts w:ascii="Times New Roman" w:hAnsi="Times New Roman"/>
                <w:b/>
                <w:bCs/>
              </w:rPr>
              <w:t xml:space="preserve"> </w:t>
            </w:r>
            <w:proofErr w:type="spellStart"/>
            <w:r w:rsidRPr="0060721D">
              <w:rPr>
                <w:rFonts w:ascii="Times New Roman" w:hAnsi="Times New Roman"/>
                <w:b/>
                <w:bCs/>
              </w:rPr>
              <w:t>clădiri</w:t>
            </w:r>
            <w:proofErr w:type="spellEnd"/>
            <w:r w:rsidRPr="0060721D">
              <w:rPr>
                <w:rFonts w:ascii="Times New Roman" w:hAnsi="Times New Roman"/>
              </w:rPr>
              <w:t xml:space="preserve"> cu 74% </w:t>
            </w:r>
            <w:proofErr w:type="spellStart"/>
            <w:r w:rsidRPr="0060721D">
              <w:rPr>
                <w:rFonts w:ascii="Times New Roman" w:hAnsi="Times New Roman"/>
              </w:rPr>
              <w:t>şi</w:t>
            </w:r>
            <w:proofErr w:type="spellEnd"/>
            <w:r w:rsidRPr="0060721D">
              <w:rPr>
                <w:rFonts w:ascii="Times New Roman" w:hAnsi="Times New Roman"/>
              </w:rPr>
              <w:t xml:space="preserve"> </w:t>
            </w:r>
            <w:proofErr w:type="spellStart"/>
            <w:r w:rsidRPr="0060721D">
              <w:rPr>
                <w:rFonts w:ascii="Times New Roman" w:hAnsi="Times New Roman"/>
              </w:rPr>
              <w:t>reducerea</w:t>
            </w:r>
            <w:proofErr w:type="spellEnd"/>
            <w:r w:rsidRPr="0060721D">
              <w:rPr>
                <w:rFonts w:ascii="Times New Roman" w:hAnsi="Times New Roman"/>
              </w:rPr>
              <w:t xml:space="preserve"> de gaze cu </w:t>
            </w:r>
            <w:proofErr w:type="spellStart"/>
            <w:r w:rsidRPr="0060721D">
              <w:rPr>
                <w:rFonts w:ascii="Times New Roman" w:hAnsi="Times New Roman"/>
              </w:rPr>
              <w:t>efect</w:t>
            </w:r>
            <w:proofErr w:type="spellEnd"/>
            <w:r w:rsidRPr="0060721D">
              <w:rPr>
                <w:rFonts w:ascii="Times New Roman" w:hAnsi="Times New Roman"/>
              </w:rPr>
              <w:t xml:space="preserve"> de </w:t>
            </w:r>
            <w:proofErr w:type="spellStart"/>
            <w:r w:rsidRPr="0060721D">
              <w:rPr>
                <w:rFonts w:ascii="Times New Roman" w:hAnsi="Times New Roman"/>
              </w:rPr>
              <w:t>seră</w:t>
            </w:r>
            <w:proofErr w:type="spellEnd"/>
            <w:r w:rsidRPr="0060721D">
              <w:rPr>
                <w:rFonts w:ascii="Times New Roman" w:hAnsi="Times New Roman"/>
              </w:rPr>
              <w:t xml:space="preserve"> </w:t>
            </w:r>
            <w:proofErr w:type="spellStart"/>
            <w:r w:rsidRPr="0060721D">
              <w:rPr>
                <w:rFonts w:ascii="Times New Roman" w:hAnsi="Times New Roman"/>
              </w:rPr>
              <w:t>condiţionată</w:t>
            </w:r>
            <w:proofErr w:type="spellEnd"/>
            <w:r w:rsidRPr="0060721D">
              <w:rPr>
                <w:rFonts w:ascii="Times New Roman" w:hAnsi="Times New Roman"/>
              </w:rPr>
              <w:t xml:space="preserve"> </w:t>
            </w:r>
            <w:proofErr w:type="spellStart"/>
            <w:r w:rsidRPr="0060721D">
              <w:rPr>
                <w:rFonts w:ascii="Times New Roman" w:hAnsi="Times New Roman"/>
              </w:rPr>
              <w:t>pînă</w:t>
            </w:r>
            <w:proofErr w:type="spellEnd"/>
            <w:r w:rsidRPr="0060721D">
              <w:rPr>
                <w:rFonts w:ascii="Times New Roman" w:hAnsi="Times New Roman"/>
              </w:rPr>
              <w:t xml:space="preserve"> la 77% </w:t>
            </w:r>
            <w:proofErr w:type="spellStart"/>
            <w:r w:rsidRPr="0060721D">
              <w:rPr>
                <w:rFonts w:ascii="Times New Roman" w:hAnsi="Times New Roman"/>
              </w:rPr>
              <w:t>comparativ</w:t>
            </w:r>
            <w:proofErr w:type="spellEnd"/>
            <w:r w:rsidRPr="0060721D">
              <w:rPr>
                <w:rFonts w:ascii="Times New Roman" w:hAnsi="Times New Roman"/>
              </w:rPr>
              <w:t xml:space="preserve"> cu </w:t>
            </w:r>
            <w:proofErr w:type="spellStart"/>
            <w:r w:rsidRPr="0060721D">
              <w:rPr>
                <w:rFonts w:ascii="Times New Roman" w:hAnsi="Times New Roman"/>
              </w:rPr>
              <w:t>anul</w:t>
            </w:r>
            <w:proofErr w:type="spellEnd"/>
            <w:r w:rsidRPr="0060721D">
              <w:rPr>
                <w:rFonts w:ascii="Times New Roman" w:hAnsi="Times New Roman"/>
              </w:rPr>
              <w:t xml:space="preserve"> 1990</w:t>
            </w:r>
          </w:p>
        </w:tc>
      </w:tr>
      <w:tr w:rsidR="00F11CCD" w:rsidRPr="0060721D" w14:paraId="28A5AB75" w14:textId="77777777" w:rsidTr="00F11CCD">
        <w:trPr>
          <w:divId w:val="546725049"/>
          <w:trHeight w:val="1650"/>
        </w:trPr>
        <w:tc>
          <w:tcPr>
            <w:tcW w:w="500" w:type="dxa"/>
            <w:hideMark/>
          </w:tcPr>
          <w:p w14:paraId="231F5DBC" w14:textId="77777777" w:rsidR="0060721D" w:rsidRPr="0060721D" w:rsidRDefault="0060721D" w:rsidP="0060721D">
            <w:pPr>
              <w:jc w:val="center"/>
              <w:rPr>
                <w:rFonts w:ascii="Times New Roman" w:eastAsia="Times New Roman" w:hAnsi="Times New Roman"/>
                <w:lang w:val="ro-RO" w:eastAsia="ru-RU"/>
              </w:rPr>
            </w:pPr>
            <w:r w:rsidRPr="0060721D">
              <w:rPr>
                <w:rFonts w:ascii="Times New Roman" w:eastAsia="Times New Roman" w:hAnsi="Times New Roman"/>
                <w:lang w:eastAsia="ru-RU"/>
              </w:rPr>
              <w:t>3,1</w:t>
            </w:r>
          </w:p>
        </w:tc>
        <w:tc>
          <w:tcPr>
            <w:tcW w:w="3437" w:type="dxa"/>
            <w:gridSpan w:val="2"/>
            <w:hideMark/>
          </w:tcPr>
          <w:p w14:paraId="055BCBC5" w14:textId="77777777" w:rsidR="0060721D" w:rsidRPr="0060721D" w:rsidRDefault="0060721D" w:rsidP="0060721D">
            <w:pPr>
              <w:rPr>
                <w:rFonts w:ascii="Times New Roman" w:hAnsi="Times New Roman"/>
              </w:rPr>
            </w:pPr>
            <w:r w:rsidRPr="0060721D">
              <w:rPr>
                <w:rFonts w:ascii="Times New Roman" w:eastAsia="Times New Roman" w:hAnsi="Times New Roman"/>
                <w:lang w:val="es-ES" w:eastAsia="ru-RU"/>
              </w:rPr>
              <w:t>Sporirea rezistenţei termice a anvelopei clădirilor nereabilitate</w:t>
            </w:r>
            <w:r w:rsidRPr="0060721D">
              <w:rPr>
                <w:rFonts w:ascii="Times New Roman" w:eastAsia="Times New Roman" w:hAnsi="Times New Roman"/>
                <w:lang w:val="ro-RO" w:eastAsia="ru-RU"/>
              </w:rPr>
              <w:t xml:space="preserve"> </w:t>
            </w:r>
            <w:proofErr w:type="spellStart"/>
            <w:r w:rsidRPr="0060721D">
              <w:rPr>
                <w:rFonts w:ascii="Times New Roman" w:hAnsi="Times New Roman"/>
              </w:rPr>
              <w:t>termic</w:t>
            </w:r>
            <w:proofErr w:type="spellEnd"/>
          </w:p>
        </w:tc>
        <w:tc>
          <w:tcPr>
            <w:tcW w:w="2211" w:type="dxa"/>
            <w:gridSpan w:val="2"/>
            <w:hideMark/>
          </w:tcPr>
          <w:p w14:paraId="2DA4E935" w14:textId="77777777" w:rsidR="0060721D" w:rsidRPr="0060721D" w:rsidRDefault="0060721D" w:rsidP="0060721D">
            <w:pPr>
              <w:rPr>
                <w:rFonts w:ascii="Times New Roman" w:eastAsia="Times New Roman" w:hAnsi="Times New Roman"/>
                <w:lang w:val="es-ES" w:eastAsia="ru-RU"/>
              </w:rPr>
            </w:pPr>
            <w:r w:rsidRPr="0060721D">
              <w:rPr>
                <w:rFonts w:ascii="Times New Roman" w:eastAsia="Times New Roman" w:hAnsi="Times New Roman"/>
                <w:lang w:val="es-ES" w:eastAsia="ru-RU"/>
              </w:rPr>
              <w:t>Măsurile de sporire a rezistenţei termice a anvelopei clădirii includ izolarea pereţilor, înlocuirea ferestrelor vechi cu cele de termopan, înlocuirea uşilor etc.</w:t>
            </w:r>
          </w:p>
        </w:tc>
        <w:tc>
          <w:tcPr>
            <w:tcW w:w="1620" w:type="dxa"/>
            <w:gridSpan w:val="2"/>
            <w:hideMark/>
          </w:tcPr>
          <w:p w14:paraId="2A936947" w14:textId="77777777" w:rsidR="0060721D" w:rsidRPr="0060721D" w:rsidRDefault="0060721D" w:rsidP="0060721D">
            <w:pPr>
              <w:jc w:val="center"/>
              <w:rPr>
                <w:rFonts w:ascii="Times New Roman" w:eastAsia="Times New Roman" w:hAnsi="Times New Roman"/>
                <w:lang w:val="es-ES" w:eastAsia="ru-RU"/>
              </w:rPr>
            </w:pPr>
            <w:r w:rsidRPr="0060721D">
              <w:rPr>
                <w:rFonts w:ascii="Times New Roman" w:eastAsia="Times New Roman" w:hAnsi="Times New Roman"/>
                <w:lang w:val="es-ES" w:eastAsia="ru-RU"/>
              </w:rPr>
              <w:t>Reabilitarea a 10 % din clădiri pînă în  anul 2030</w:t>
            </w:r>
          </w:p>
        </w:tc>
        <w:tc>
          <w:tcPr>
            <w:tcW w:w="1440" w:type="dxa"/>
            <w:gridSpan w:val="2"/>
            <w:hideMark/>
          </w:tcPr>
          <w:p w14:paraId="743A8628" w14:textId="77777777" w:rsidR="0060721D" w:rsidRPr="0060721D" w:rsidRDefault="0060721D" w:rsidP="0060721D">
            <w:pPr>
              <w:jc w:val="center"/>
              <w:rPr>
                <w:rFonts w:ascii="Times New Roman" w:hAnsi="Times New Roman"/>
              </w:rPr>
            </w:pPr>
            <w:r w:rsidRPr="0060721D">
              <w:rPr>
                <w:rFonts w:ascii="Times New Roman" w:eastAsia="Times New Roman" w:hAnsi="Times New Roman"/>
                <w:lang w:val="es-ES" w:eastAsia="ru-RU"/>
              </w:rPr>
              <w:t>Reabilitarea</w:t>
            </w:r>
            <w:r w:rsidRPr="0060721D">
              <w:rPr>
                <w:rFonts w:ascii="Times New Roman" w:hAnsi="Times New Roman"/>
                <w:lang w:val="ro-RO"/>
              </w:rPr>
              <w:t xml:space="preserve"> </w:t>
            </w:r>
            <w:r w:rsidRPr="0060721D">
              <w:rPr>
                <w:rFonts w:ascii="Times New Roman" w:hAnsi="Times New Roman"/>
              </w:rPr>
              <w:t xml:space="preserve">a 3,5 % din </w:t>
            </w:r>
            <w:proofErr w:type="spellStart"/>
            <w:r w:rsidRPr="0060721D">
              <w:rPr>
                <w:rFonts w:ascii="Times New Roman" w:hAnsi="Times New Roman"/>
              </w:rPr>
              <w:t>clădiri</w:t>
            </w:r>
            <w:proofErr w:type="spellEnd"/>
            <w:r w:rsidRPr="0060721D">
              <w:rPr>
                <w:rFonts w:ascii="Times New Roman" w:hAnsi="Times New Roman"/>
              </w:rPr>
              <w:t xml:space="preserve"> </w:t>
            </w:r>
            <w:proofErr w:type="spellStart"/>
            <w:r w:rsidRPr="0060721D">
              <w:rPr>
                <w:rFonts w:ascii="Times New Roman" w:hAnsi="Times New Roman"/>
              </w:rPr>
              <w:t>pînă</w:t>
            </w:r>
            <w:proofErr w:type="spellEnd"/>
            <w:r w:rsidRPr="0060721D">
              <w:rPr>
                <w:rFonts w:ascii="Times New Roman" w:hAnsi="Times New Roman"/>
              </w:rPr>
              <w:t xml:space="preserve"> </w:t>
            </w:r>
            <w:proofErr w:type="spellStart"/>
            <w:r w:rsidRPr="0060721D">
              <w:rPr>
                <w:rFonts w:ascii="Times New Roman" w:hAnsi="Times New Roman"/>
              </w:rPr>
              <w:t>în</w:t>
            </w:r>
            <w:proofErr w:type="spellEnd"/>
            <w:r w:rsidRPr="0060721D">
              <w:rPr>
                <w:rFonts w:ascii="Times New Roman" w:hAnsi="Times New Roman"/>
              </w:rPr>
              <w:t xml:space="preserve">  </w:t>
            </w:r>
            <w:proofErr w:type="spellStart"/>
            <w:r w:rsidRPr="0060721D">
              <w:rPr>
                <w:rFonts w:ascii="Times New Roman" w:hAnsi="Times New Roman"/>
              </w:rPr>
              <w:t>anul</w:t>
            </w:r>
            <w:proofErr w:type="spellEnd"/>
            <w:r w:rsidRPr="0060721D">
              <w:rPr>
                <w:rFonts w:ascii="Times New Roman" w:hAnsi="Times New Roman"/>
              </w:rPr>
              <w:t xml:space="preserve"> 2030</w:t>
            </w:r>
          </w:p>
        </w:tc>
        <w:tc>
          <w:tcPr>
            <w:tcW w:w="3429" w:type="dxa"/>
            <w:gridSpan w:val="2"/>
            <w:hideMark/>
          </w:tcPr>
          <w:p w14:paraId="0439A3AC" w14:textId="77777777" w:rsidR="0060721D" w:rsidRPr="0060721D" w:rsidRDefault="0060721D" w:rsidP="0060721D">
            <w:pPr>
              <w:jc w:val="center"/>
              <w:rPr>
                <w:rFonts w:ascii="Times New Roman" w:eastAsia="Times New Roman" w:hAnsi="Times New Roman"/>
                <w:lang w:eastAsia="ru-RU"/>
              </w:rPr>
            </w:pPr>
            <w:r w:rsidRPr="0060721D">
              <w:rPr>
                <w:rFonts w:ascii="Times New Roman" w:eastAsia="Times New Roman" w:hAnsi="Times New Roman"/>
                <w:lang w:eastAsia="ru-RU"/>
              </w:rPr>
              <w:t xml:space="preserve">285660 tone CO2 </w:t>
            </w:r>
            <w:proofErr w:type="spellStart"/>
            <w:r w:rsidRPr="0060721D">
              <w:rPr>
                <w:rFonts w:ascii="Times New Roman" w:eastAsia="Times New Roman" w:hAnsi="Times New Roman"/>
                <w:lang w:eastAsia="ru-RU"/>
              </w:rPr>
              <w:t>echivalent</w:t>
            </w:r>
            <w:proofErr w:type="spellEnd"/>
            <w:r w:rsidRPr="0060721D">
              <w:rPr>
                <w:rFonts w:ascii="Times New Roman" w:eastAsia="Times New Roman" w:hAnsi="Times New Roman"/>
                <w:lang w:eastAsia="ru-RU"/>
              </w:rPr>
              <w:t xml:space="preserve"> </w:t>
            </w:r>
            <w:proofErr w:type="spellStart"/>
            <w:r w:rsidRPr="0060721D">
              <w:rPr>
                <w:rFonts w:ascii="Times New Roman" w:eastAsia="Times New Roman" w:hAnsi="Times New Roman"/>
                <w:lang w:eastAsia="ru-RU"/>
              </w:rPr>
              <w:t>pînă</w:t>
            </w:r>
            <w:proofErr w:type="spellEnd"/>
            <w:r w:rsidRPr="0060721D">
              <w:rPr>
                <w:rFonts w:ascii="Times New Roman" w:eastAsia="Times New Roman" w:hAnsi="Times New Roman"/>
                <w:lang w:eastAsia="ru-RU"/>
              </w:rPr>
              <w:t xml:space="preserve"> </w:t>
            </w:r>
            <w:proofErr w:type="spellStart"/>
            <w:r w:rsidRPr="0060721D">
              <w:rPr>
                <w:rFonts w:ascii="Times New Roman" w:eastAsia="Times New Roman" w:hAnsi="Times New Roman"/>
                <w:lang w:eastAsia="ru-RU"/>
              </w:rPr>
              <w:t>în</w:t>
            </w:r>
            <w:proofErr w:type="spellEnd"/>
            <w:r w:rsidRPr="0060721D">
              <w:rPr>
                <w:rFonts w:ascii="Times New Roman" w:eastAsia="Times New Roman" w:hAnsi="Times New Roman"/>
                <w:lang w:eastAsia="ru-RU"/>
              </w:rPr>
              <w:t xml:space="preserve"> 2030</w:t>
            </w:r>
          </w:p>
        </w:tc>
        <w:tc>
          <w:tcPr>
            <w:tcW w:w="1502" w:type="dxa"/>
            <w:gridSpan w:val="2"/>
            <w:hideMark/>
          </w:tcPr>
          <w:p w14:paraId="3248A9C5" w14:textId="77777777" w:rsidR="0060721D" w:rsidRPr="0060721D" w:rsidRDefault="0060721D" w:rsidP="0060721D">
            <w:pPr>
              <w:jc w:val="center"/>
              <w:rPr>
                <w:rFonts w:ascii="Times New Roman" w:hAnsi="Times New Roman"/>
              </w:rPr>
            </w:pPr>
            <w:r w:rsidRPr="0060721D">
              <w:rPr>
                <w:rFonts w:ascii="Times New Roman" w:eastAsia="Times New Roman" w:hAnsi="Times New Roman"/>
                <w:lang w:eastAsia="ru-RU"/>
              </w:rPr>
              <w:t>98491</w:t>
            </w:r>
            <w:r w:rsidRPr="0060721D">
              <w:rPr>
                <w:rFonts w:ascii="Times New Roman" w:hAnsi="Times New Roman"/>
                <w:lang w:val="ro-RO"/>
              </w:rPr>
              <w:t xml:space="preserve"> </w:t>
            </w:r>
            <w:r w:rsidRPr="0060721D">
              <w:rPr>
                <w:rFonts w:ascii="Times New Roman" w:hAnsi="Times New Roman"/>
              </w:rPr>
              <w:t xml:space="preserve">tone CO2 </w:t>
            </w:r>
            <w:proofErr w:type="spellStart"/>
            <w:r w:rsidRPr="0060721D">
              <w:rPr>
                <w:rFonts w:ascii="Times New Roman" w:hAnsi="Times New Roman"/>
              </w:rPr>
              <w:t>echivalent</w:t>
            </w:r>
            <w:proofErr w:type="spellEnd"/>
            <w:r w:rsidRPr="0060721D">
              <w:rPr>
                <w:rFonts w:ascii="Times New Roman" w:hAnsi="Times New Roman"/>
              </w:rPr>
              <w:t xml:space="preserve"> </w:t>
            </w:r>
            <w:proofErr w:type="spellStart"/>
            <w:r w:rsidRPr="0060721D">
              <w:rPr>
                <w:rFonts w:ascii="Times New Roman" w:hAnsi="Times New Roman"/>
              </w:rPr>
              <w:t>pînă</w:t>
            </w:r>
            <w:proofErr w:type="spellEnd"/>
            <w:r w:rsidRPr="0060721D">
              <w:rPr>
                <w:rFonts w:ascii="Times New Roman" w:hAnsi="Times New Roman"/>
              </w:rPr>
              <w:t xml:space="preserve"> </w:t>
            </w:r>
            <w:proofErr w:type="spellStart"/>
            <w:r w:rsidRPr="0060721D">
              <w:rPr>
                <w:rFonts w:ascii="Times New Roman" w:hAnsi="Times New Roman"/>
              </w:rPr>
              <w:t>în</w:t>
            </w:r>
            <w:proofErr w:type="spellEnd"/>
            <w:r w:rsidRPr="0060721D">
              <w:rPr>
                <w:rFonts w:ascii="Times New Roman" w:hAnsi="Times New Roman"/>
              </w:rPr>
              <w:t xml:space="preserve">  2030</w:t>
            </w:r>
          </w:p>
        </w:tc>
      </w:tr>
      <w:tr w:rsidR="00F11CCD" w:rsidRPr="0060721D" w14:paraId="0B541F28" w14:textId="77777777" w:rsidTr="00F11CCD">
        <w:trPr>
          <w:divId w:val="546725049"/>
          <w:trHeight w:val="2010"/>
        </w:trPr>
        <w:tc>
          <w:tcPr>
            <w:tcW w:w="500" w:type="dxa"/>
            <w:hideMark/>
          </w:tcPr>
          <w:p w14:paraId="76AF6684" w14:textId="77777777" w:rsidR="0060721D" w:rsidRPr="0060721D" w:rsidRDefault="0060721D" w:rsidP="0060721D">
            <w:pPr>
              <w:jc w:val="center"/>
              <w:rPr>
                <w:rFonts w:ascii="Times New Roman" w:eastAsia="Times New Roman" w:hAnsi="Times New Roman"/>
                <w:lang w:val="ro-RO" w:eastAsia="ru-RU"/>
              </w:rPr>
            </w:pPr>
            <w:r w:rsidRPr="0060721D">
              <w:rPr>
                <w:rFonts w:ascii="Times New Roman" w:eastAsia="Times New Roman" w:hAnsi="Times New Roman"/>
                <w:lang w:eastAsia="ru-RU"/>
              </w:rPr>
              <w:t>3,2</w:t>
            </w:r>
          </w:p>
        </w:tc>
        <w:tc>
          <w:tcPr>
            <w:tcW w:w="3437" w:type="dxa"/>
            <w:gridSpan w:val="2"/>
            <w:hideMark/>
          </w:tcPr>
          <w:p w14:paraId="41FCCCF1" w14:textId="77777777" w:rsidR="0060721D" w:rsidRPr="0060721D" w:rsidRDefault="0060721D" w:rsidP="0060721D">
            <w:pPr>
              <w:rPr>
                <w:rFonts w:ascii="Times New Roman" w:eastAsia="Times New Roman" w:hAnsi="Times New Roman"/>
                <w:lang w:val="es-ES" w:eastAsia="ru-RU"/>
              </w:rPr>
            </w:pPr>
            <w:r w:rsidRPr="0060721D">
              <w:rPr>
                <w:rFonts w:ascii="Times New Roman" w:eastAsia="Times New Roman" w:hAnsi="Times New Roman"/>
                <w:lang w:val="es-ES" w:eastAsia="ru-RU"/>
              </w:rPr>
              <w:t>Reabilitarea sistemelor de încălzire a clădirilor rezidențiale</w:t>
            </w:r>
          </w:p>
        </w:tc>
        <w:tc>
          <w:tcPr>
            <w:tcW w:w="2211" w:type="dxa"/>
            <w:gridSpan w:val="2"/>
            <w:hideMark/>
          </w:tcPr>
          <w:p w14:paraId="1A4EFE1D" w14:textId="77777777" w:rsidR="0060721D" w:rsidRPr="0060721D" w:rsidRDefault="0060721D" w:rsidP="0060721D">
            <w:pPr>
              <w:rPr>
                <w:rFonts w:ascii="Times New Roman" w:hAnsi="Times New Roman"/>
              </w:rPr>
            </w:pPr>
            <w:r w:rsidRPr="0060721D">
              <w:rPr>
                <w:rFonts w:ascii="Times New Roman" w:eastAsia="Times New Roman" w:hAnsi="Times New Roman"/>
                <w:lang w:val="es-ES" w:eastAsia="ru-RU"/>
              </w:rPr>
              <w:t xml:space="preserve">Modificarea schemei actuale de distribuţie verticală a agentului termic prin schemă orizontală va permite instalarea contoarelor de energie termică la fiecare apartament și a robinetelor termostatice la fiecare corp de încălzire, ceea ce va permite reglarea temperaturii în încăperi la 10-120C pe parcursul perioadelor în care </w:t>
            </w:r>
            <w:r w:rsidRPr="0060721D">
              <w:rPr>
                <w:rFonts w:ascii="Times New Roman" w:eastAsia="Times New Roman" w:hAnsi="Times New Roman"/>
                <w:lang w:val="es-ES" w:eastAsia="ru-RU"/>
              </w:rPr>
              <w:lastRenderedPageBreak/>
              <w:t>acestea nu sînt folosite (≈ 50</w:t>
            </w:r>
            <w:r w:rsidRPr="0060721D">
              <w:rPr>
                <w:rFonts w:ascii="Times New Roman" w:eastAsia="Times New Roman" w:hAnsi="Times New Roman"/>
                <w:lang w:eastAsia="ru-RU"/>
              </w:rPr>
              <w:t xml:space="preserve"> </w:t>
            </w:r>
            <w:r w:rsidRPr="0060721D">
              <w:rPr>
                <w:rFonts w:ascii="Times New Roman" w:hAnsi="Times New Roman"/>
              </w:rPr>
              <w:t xml:space="preserve">% din </w:t>
            </w:r>
            <w:proofErr w:type="spellStart"/>
            <w:r w:rsidRPr="0060721D">
              <w:rPr>
                <w:rFonts w:ascii="Times New Roman" w:hAnsi="Times New Roman"/>
              </w:rPr>
              <w:t>timp</w:t>
            </w:r>
            <w:proofErr w:type="spellEnd"/>
            <w:r w:rsidRPr="0060721D">
              <w:rPr>
                <w:rFonts w:ascii="Times New Roman" w:hAnsi="Times New Roman"/>
              </w:rPr>
              <w:t xml:space="preserve">), cu </w:t>
            </w:r>
            <w:proofErr w:type="spellStart"/>
            <w:r w:rsidRPr="0060721D">
              <w:rPr>
                <w:rFonts w:ascii="Times New Roman" w:hAnsi="Times New Roman"/>
              </w:rPr>
              <w:t>posibilitatea</w:t>
            </w:r>
            <w:proofErr w:type="spellEnd"/>
            <w:r w:rsidRPr="0060721D">
              <w:rPr>
                <w:rFonts w:ascii="Times New Roman" w:hAnsi="Times New Roman"/>
              </w:rPr>
              <w:t xml:space="preserve"> </w:t>
            </w:r>
            <w:proofErr w:type="spellStart"/>
            <w:r w:rsidRPr="0060721D">
              <w:rPr>
                <w:rFonts w:ascii="Times New Roman" w:hAnsi="Times New Roman"/>
              </w:rPr>
              <w:t>măsurării</w:t>
            </w:r>
            <w:proofErr w:type="spellEnd"/>
            <w:r w:rsidRPr="0060721D">
              <w:rPr>
                <w:rFonts w:ascii="Times New Roman" w:hAnsi="Times New Roman"/>
              </w:rPr>
              <w:t xml:space="preserve"> </w:t>
            </w:r>
            <w:proofErr w:type="spellStart"/>
            <w:r w:rsidRPr="0060721D">
              <w:rPr>
                <w:rFonts w:ascii="Times New Roman" w:hAnsi="Times New Roman"/>
              </w:rPr>
              <w:t>consumului</w:t>
            </w:r>
            <w:proofErr w:type="spellEnd"/>
            <w:r w:rsidRPr="0060721D">
              <w:rPr>
                <w:rFonts w:ascii="Times New Roman" w:hAnsi="Times New Roman"/>
              </w:rPr>
              <w:t xml:space="preserve"> real de </w:t>
            </w:r>
            <w:proofErr w:type="spellStart"/>
            <w:r w:rsidRPr="0060721D">
              <w:rPr>
                <w:rFonts w:ascii="Times New Roman" w:hAnsi="Times New Roman"/>
              </w:rPr>
              <w:t>căldură</w:t>
            </w:r>
            <w:proofErr w:type="spellEnd"/>
            <w:r w:rsidRPr="0060721D">
              <w:rPr>
                <w:rFonts w:ascii="Times New Roman" w:hAnsi="Times New Roman"/>
              </w:rPr>
              <w:t>.</w:t>
            </w:r>
          </w:p>
        </w:tc>
        <w:tc>
          <w:tcPr>
            <w:tcW w:w="1620" w:type="dxa"/>
            <w:gridSpan w:val="2"/>
            <w:hideMark/>
          </w:tcPr>
          <w:p w14:paraId="637759BA" w14:textId="77777777" w:rsidR="0060721D" w:rsidRPr="0060721D" w:rsidRDefault="0060721D" w:rsidP="0060721D">
            <w:pPr>
              <w:jc w:val="center"/>
              <w:rPr>
                <w:rFonts w:ascii="Times New Roman" w:eastAsia="Times New Roman" w:hAnsi="Times New Roman"/>
                <w:lang w:val="es-ES" w:eastAsia="ru-RU"/>
              </w:rPr>
            </w:pPr>
            <w:r w:rsidRPr="0060721D">
              <w:rPr>
                <w:rFonts w:ascii="Times New Roman" w:eastAsia="Times New Roman" w:hAnsi="Times New Roman"/>
                <w:lang w:val="es-ES" w:eastAsia="ru-RU"/>
              </w:rPr>
              <w:lastRenderedPageBreak/>
              <w:t>Reducerea consumului de combustibil cu 60 368 t.c.c. pînă în  2030 (cca 35 % din fondul urban de locuinţe)</w:t>
            </w:r>
          </w:p>
        </w:tc>
        <w:tc>
          <w:tcPr>
            <w:tcW w:w="1440" w:type="dxa"/>
            <w:gridSpan w:val="2"/>
            <w:noWrap/>
            <w:hideMark/>
          </w:tcPr>
          <w:p w14:paraId="74BA2170" w14:textId="77777777" w:rsidR="0060721D" w:rsidRPr="0060721D" w:rsidRDefault="0060721D" w:rsidP="0060721D">
            <w:pPr>
              <w:jc w:val="center"/>
              <w:rPr>
                <w:rFonts w:ascii="Times New Roman" w:hAnsi="Times New Roman"/>
                <w:lang w:val="ro-RO"/>
              </w:rPr>
            </w:pPr>
            <w:r w:rsidRPr="0060721D">
              <w:rPr>
                <w:rFonts w:ascii="Times New Roman" w:eastAsia="Times New Roman" w:hAnsi="Times New Roman"/>
                <w:lang w:val="es-ES" w:eastAsia="ru-RU"/>
              </w:rPr>
              <w:t> </w:t>
            </w:r>
          </w:p>
        </w:tc>
        <w:tc>
          <w:tcPr>
            <w:tcW w:w="3429" w:type="dxa"/>
            <w:gridSpan w:val="2"/>
            <w:hideMark/>
          </w:tcPr>
          <w:p w14:paraId="23A1C2F8" w14:textId="77777777" w:rsidR="0060721D" w:rsidRPr="0060721D" w:rsidRDefault="0060721D" w:rsidP="0060721D">
            <w:pPr>
              <w:jc w:val="center"/>
              <w:rPr>
                <w:rFonts w:ascii="Times New Roman" w:eastAsia="Times New Roman" w:hAnsi="Times New Roman"/>
                <w:lang w:val="ro-RO" w:eastAsia="ru-RU"/>
              </w:rPr>
            </w:pPr>
            <w:r w:rsidRPr="0060721D">
              <w:rPr>
                <w:rFonts w:ascii="Times New Roman" w:eastAsia="Times New Roman" w:hAnsi="Times New Roman"/>
                <w:lang w:eastAsia="ru-RU"/>
              </w:rPr>
              <w:t xml:space="preserve">99 229  tone CO2 </w:t>
            </w:r>
            <w:proofErr w:type="spellStart"/>
            <w:r w:rsidRPr="0060721D">
              <w:rPr>
                <w:rFonts w:ascii="Times New Roman" w:eastAsia="Times New Roman" w:hAnsi="Times New Roman"/>
                <w:lang w:eastAsia="ru-RU"/>
              </w:rPr>
              <w:t>echivalent</w:t>
            </w:r>
            <w:proofErr w:type="spellEnd"/>
            <w:r w:rsidRPr="0060721D">
              <w:rPr>
                <w:rFonts w:ascii="Times New Roman" w:eastAsia="Times New Roman" w:hAnsi="Times New Roman"/>
                <w:lang w:eastAsia="ru-RU"/>
              </w:rPr>
              <w:t xml:space="preserve"> </w:t>
            </w:r>
            <w:proofErr w:type="spellStart"/>
            <w:r w:rsidRPr="0060721D">
              <w:rPr>
                <w:rFonts w:ascii="Times New Roman" w:eastAsia="Times New Roman" w:hAnsi="Times New Roman"/>
                <w:lang w:eastAsia="ru-RU"/>
              </w:rPr>
              <w:t>pînă</w:t>
            </w:r>
            <w:proofErr w:type="spellEnd"/>
            <w:r w:rsidRPr="0060721D">
              <w:rPr>
                <w:rFonts w:ascii="Times New Roman" w:eastAsia="Times New Roman" w:hAnsi="Times New Roman"/>
                <w:lang w:eastAsia="ru-RU"/>
              </w:rPr>
              <w:t xml:space="preserve"> </w:t>
            </w:r>
            <w:proofErr w:type="spellStart"/>
            <w:r w:rsidRPr="0060721D">
              <w:rPr>
                <w:rFonts w:ascii="Times New Roman" w:eastAsia="Times New Roman" w:hAnsi="Times New Roman"/>
                <w:lang w:eastAsia="ru-RU"/>
              </w:rPr>
              <w:t>în</w:t>
            </w:r>
            <w:proofErr w:type="spellEnd"/>
            <w:r w:rsidRPr="0060721D">
              <w:rPr>
                <w:rFonts w:ascii="Times New Roman" w:eastAsia="Times New Roman" w:hAnsi="Times New Roman"/>
                <w:lang w:eastAsia="ru-RU"/>
              </w:rPr>
              <w:t xml:space="preserve"> 2030</w:t>
            </w:r>
          </w:p>
        </w:tc>
        <w:tc>
          <w:tcPr>
            <w:tcW w:w="1502" w:type="dxa"/>
            <w:gridSpan w:val="2"/>
            <w:noWrap/>
            <w:hideMark/>
          </w:tcPr>
          <w:p w14:paraId="0FC1728C" w14:textId="77777777" w:rsidR="0060721D" w:rsidRPr="0060721D" w:rsidRDefault="0060721D" w:rsidP="0060721D">
            <w:pPr>
              <w:jc w:val="center"/>
              <w:rPr>
                <w:rFonts w:ascii="Times New Roman" w:hAnsi="Times New Roman"/>
                <w:lang w:val="ro-RO"/>
              </w:rPr>
            </w:pPr>
            <w:r w:rsidRPr="0060721D">
              <w:rPr>
                <w:rFonts w:ascii="Times New Roman" w:eastAsia="Times New Roman" w:hAnsi="Times New Roman"/>
                <w:lang w:eastAsia="ru-RU"/>
              </w:rPr>
              <w:t> </w:t>
            </w:r>
          </w:p>
        </w:tc>
      </w:tr>
      <w:tr w:rsidR="00F11CCD" w:rsidRPr="0060721D" w14:paraId="0B62521E" w14:textId="77777777" w:rsidTr="00F11CCD">
        <w:trPr>
          <w:divId w:val="546725049"/>
          <w:trHeight w:val="1125"/>
        </w:trPr>
        <w:tc>
          <w:tcPr>
            <w:tcW w:w="500" w:type="dxa"/>
            <w:hideMark/>
          </w:tcPr>
          <w:p w14:paraId="353C0125" w14:textId="77777777" w:rsidR="0060721D" w:rsidRPr="0060721D" w:rsidRDefault="0060721D" w:rsidP="0060721D">
            <w:pPr>
              <w:jc w:val="center"/>
              <w:rPr>
                <w:rFonts w:ascii="Times New Roman" w:eastAsia="Times New Roman" w:hAnsi="Times New Roman"/>
                <w:lang w:val="ro-RO" w:eastAsia="ru-RU"/>
              </w:rPr>
            </w:pPr>
            <w:r w:rsidRPr="0060721D">
              <w:rPr>
                <w:rFonts w:ascii="Times New Roman" w:eastAsia="Times New Roman" w:hAnsi="Times New Roman"/>
                <w:lang w:eastAsia="ru-RU"/>
              </w:rPr>
              <w:t>3,3</w:t>
            </w:r>
          </w:p>
        </w:tc>
        <w:tc>
          <w:tcPr>
            <w:tcW w:w="3437" w:type="dxa"/>
            <w:gridSpan w:val="2"/>
            <w:hideMark/>
          </w:tcPr>
          <w:p w14:paraId="5A04CA72" w14:textId="77777777" w:rsidR="0060721D" w:rsidRPr="0060721D" w:rsidRDefault="0060721D" w:rsidP="0060721D">
            <w:pPr>
              <w:rPr>
                <w:rFonts w:ascii="Times New Roman" w:hAnsi="Times New Roman"/>
              </w:rPr>
            </w:pPr>
            <w:proofErr w:type="spellStart"/>
            <w:r w:rsidRPr="0060721D">
              <w:rPr>
                <w:rFonts w:ascii="Times New Roman" w:eastAsia="Times New Roman" w:hAnsi="Times New Roman"/>
                <w:lang w:eastAsia="ru-RU"/>
              </w:rPr>
              <w:t>Reabilitarea</w:t>
            </w:r>
            <w:proofErr w:type="spellEnd"/>
            <w:r w:rsidRPr="0060721D">
              <w:rPr>
                <w:rFonts w:ascii="Times New Roman" w:eastAsia="Times New Roman" w:hAnsi="Times New Roman"/>
                <w:lang w:eastAsia="ru-RU"/>
              </w:rPr>
              <w:t xml:space="preserve"> </w:t>
            </w:r>
            <w:proofErr w:type="spellStart"/>
            <w:r w:rsidRPr="0060721D">
              <w:rPr>
                <w:rFonts w:ascii="Times New Roman" w:eastAsia="Times New Roman" w:hAnsi="Times New Roman"/>
                <w:lang w:eastAsia="ru-RU"/>
              </w:rPr>
              <w:t>sistemelor</w:t>
            </w:r>
            <w:proofErr w:type="spellEnd"/>
            <w:r w:rsidRPr="0060721D">
              <w:rPr>
                <w:rFonts w:ascii="Times New Roman" w:eastAsia="Times New Roman" w:hAnsi="Times New Roman"/>
                <w:lang w:eastAsia="ru-RU"/>
              </w:rPr>
              <w:t xml:space="preserve"> de </w:t>
            </w:r>
            <w:proofErr w:type="spellStart"/>
            <w:r w:rsidRPr="0060721D">
              <w:rPr>
                <w:rFonts w:ascii="Times New Roman" w:eastAsia="Times New Roman" w:hAnsi="Times New Roman"/>
                <w:lang w:eastAsia="ru-RU"/>
              </w:rPr>
              <w:t>încălzire</w:t>
            </w:r>
            <w:proofErr w:type="spellEnd"/>
            <w:r w:rsidRPr="0060721D">
              <w:rPr>
                <w:rFonts w:ascii="Times New Roman" w:eastAsia="Times New Roman" w:hAnsi="Times New Roman"/>
                <w:lang w:eastAsia="ru-RU"/>
              </w:rPr>
              <w:t xml:space="preserve"> </w:t>
            </w:r>
            <w:proofErr w:type="spellStart"/>
            <w:r w:rsidRPr="0060721D">
              <w:rPr>
                <w:rFonts w:ascii="Times New Roman" w:eastAsia="Times New Roman" w:hAnsi="Times New Roman"/>
                <w:lang w:eastAsia="ru-RU"/>
              </w:rPr>
              <w:t>în</w:t>
            </w:r>
            <w:proofErr w:type="spellEnd"/>
            <w:r w:rsidRPr="0060721D">
              <w:rPr>
                <w:rFonts w:ascii="Times New Roman" w:eastAsia="Times New Roman" w:hAnsi="Times New Roman"/>
                <w:lang w:val="ro-RO" w:eastAsia="ru-RU"/>
              </w:rPr>
              <w:t xml:space="preserve"> </w:t>
            </w:r>
            <w:proofErr w:type="spellStart"/>
            <w:r w:rsidRPr="0060721D">
              <w:rPr>
                <w:rFonts w:ascii="Times New Roman" w:hAnsi="Times New Roman"/>
              </w:rPr>
              <w:t>clădirile</w:t>
            </w:r>
            <w:proofErr w:type="spellEnd"/>
            <w:r w:rsidRPr="0060721D">
              <w:rPr>
                <w:rFonts w:ascii="Times New Roman" w:hAnsi="Times New Roman"/>
              </w:rPr>
              <w:t xml:space="preserve"> </w:t>
            </w:r>
            <w:proofErr w:type="spellStart"/>
            <w:r w:rsidRPr="0060721D">
              <w:rPr>
                <w:rFonts w:ascii="Times New Roman" w:hAnsi="Times New Roman"/>
              </w:rPr>
              <w:t>publice</w:t>
            </w:r>
            <w:proofErr w:type="spellEnd"/>
            <w:r w:rsidRPr="0060721D">
              <w:rPr>
                <w:rFonts w:ascii="Times New Roman" w:hAnsi="Times New Roman"/>
              </w:rPr>
              <w:t xml:space="preserve"> cu </w:t>
            </w:r>
            <w:proofErr w:type="spellStart"/>
            <w:r w:rsidRPr="0060721D">
              <w:rPr>
                <w:rFonts w:ascii="Times New Roman" w:hAnsi="Times New Roman"/>
              </w:rPr>
              <w:t>instalarea</w:t>
            </w:r>
            <w:proofErr w:type="spellEnd"/>
            <w:r w:rsidRPr="0060721D">
              <w:rPr>
                <w:rFonts w:ascii="Times New Roman" w:hAnsi="Times New Roman"/>
              </w:rPr>
              <w:t xml:space="preserve"> </w:t>
            </w:r>
            <w:proofErr w:type="spellStart"/>
            <w:r w:rsidRPr="0060721D">
              <w:rPr>
                <w:rFonts w:ascii="Times New Roman" w:hAnsi="Times New Roman"/>
              </w:rPr>
              <w:t>robinetelor</w:t>
            </w:r>
            <w:proofErr w:type="spellEnd"/>
            <w:r w:rsidRPr="0060721D">
              <w:rPr>
                <w:rFonts w:ascii="Times New Roman" w:hAnsi="Times New Roman"/>
              </w:rPr>
              <w:t xml:space="preserve"> </w:t>
            </w:r>
            <w:proofErr w:type="spellStart"/>
            <w:r w:rsidRPr="0060721D">
              <w:rPr>
                <w:rFonts w:ascii="Times New Roman" w:hAnsi="Times New Roman"/>
              </w:rPr>
              <w:t>termostatice</w:t>
            </w:r>
            <w:proofErr w:type="spellEnd"/>
            <w:r w:rsidRPr="0060721D">
              <w:rPr>
                <w:rFonts w:ascii="Times New Roman" w:hAnsi="Times New Roman"/>
              </w:rPr>
              <w:t xml:space="preserve"> </w:t>
            </w:r>
            <w:proofErr w:type="spellStart"/>
            <w:r w:rsidRPr="0060721D">
              <w:rPr>
                <w:rFonts w:ascii="Times New Roman" w:hAnsi="Times New Roman"/>
              </w:rPr>
              <w:t>pentru</w:t>
            </w:r>
            <w:proofErr w:type="spellEnd"/>
            <w:r w:rsidRPr="0060721D">
              <w:rPr>
                <w:rFonts w:ascii="Times New Roman" w:hAnsi="Times New Roman"/>
              </w:rPr>
              <w:t xml:space="preserve"> </w:t>
            </w:r>
            <w:proofErr w:type="spellStart"/>
            <w:r w:rsidRPr="0060721D">
              <w:rPr>
                <w:rFonts w:ascii="Times New Roman" w:hAnsi="Times New Roman"/>
              </w:rPr>
              <w:t>reglarea</w:t>
            </w:r>
            <w:proofErr w:type="spellEnd"/>
            <w:r w:rsidRPr="0060721D">
              <w:rPr>
                <w:rFonts w:ascii="Times New Roman" w:hAnsi="Times New Roman"/>
              </w:rPr>
              <w:t xml:space="preserve"> </w:t>
            </w:r>
            <w:proofErr w:type="spellStart"/>
            <w:r w:rsidRPr="0060721D">
              <w:rPr>
                <w:rFonts w:ascii="Times New Roman" w:hAnsi="Times New Roman"/>
              </w:rPr>
              <w:t>temperaturii</w:t>
            </w:r>
            <w:proofErr w:type="spellEnd"/>
            <w:r w:rsidRPr="0060721D">
              <w:rPr>
                <w:rFonts w:ascii="Times New Roman" w:hAnsi="Times New Roman"/>
              </w:rPr>
              <w:t xml:space="preserve"> </w:t>
            </w:r>
            <w:proofErr w:type="spellStart"/>
            <w:r w:rsidRPr="0060721D">
              <w:rPr>
                <w:rFonts w:ascii="Times New Roman" w:hAnsi="Times New Roman"/>
              </w:rPr>
              <w:t>în</w:t>
            </w:r>
            <w:proofErr w:type="spellEnd"/>
            <w:r w:rsidRPr="0060721D">
              <w:rPr>
                <w:rFonts w:ascii="Times New Roman" w:hAnsi="Times New Roman"/>
              </w:rPr>
              <w:t xml:space="preserve"> </w:t>
            </w:r>
            <w:proofErr w:type="spellStart"/>
            <w:r w:rsidRPr="0060721D">
              <w:rPr>
                <w:rFonts w:ascii="Times New Roman" w:hAnsi="Times New Roman"/>
              </w:rPr>
              <w:t>încăperi</w:t>
            </w:r>
            <w:proofErr w:type="spellEnd"/>
            <w:r w:rsidRPr="0060721D">
              <w:rPr>
                <w:rFonts w:ascii="Times New Roman" w:hAnsi="Times New Roman"/>
              </w:rPr>
              <w:t xml:space="preserve">, </w:t>
            </w:r>
            <w:proofErr w:type="spellStart"/>
            <w:r w:rsidRPr="0060721D">
              <w:rPr>
                <w:rFonts w:ascii="Times New Roman" w:hAnsi="Times New Roman"/>
              </w:rPr>
              <w:t>inclusiv</w:t>
            </w:r>
            <w:proofErr w:type="spellEnd"/>
            <w:r w:rsidRPr="0060721D">
              <w:rPr>
                <w:rFonts w:ascii="Times New Roman" w:hAnsi="Times New Roman"/>
              </w:rPr>
              <w:t xml:space="preserve"> </w:t>
            </w:r>
            <w:proofErr w:type="spellStart"/>
            <w:r w:rsidRPr="0060721D">
              <w:rPr>
                <w:rFonts w:ascii="Times New Roman" w:hAnsi="Times New Roman"/>
              </w:rPr>
              <w:t>modul</w:t>
            </w:r>
            <w:proofErr w:type="spellEnd"/>
            <w:r w:rsidRPr="0060721D">
              <w:rPr>
                <w:rFonts w:ascii="Times New Roman" w:hAnsi="Times New Roman"/>
              </w:rPr>
              <w:t xml:space="preserve"> zi/</w:t>
            </w:r>
            <w:proofErr w:type="spellStart"/>
            <w:r w:rsidRPr="0060721D">
              <w:rPr>
                <w:rFonts w:ascii="Times New Roman" w:hAnsi="Times New Roman"/>
              </w:rPr>
              <w:t>noapte</w:t>
            </w:r>
            <w:proofErr w:type="spellEnd"/>
          </w:p>
        </w:tc>
        <w:tc>
          <w:tcPr>
            <w:tcW w:w="2211" w:type="dxa"/>
            <w:gridSpan w:val="2"/>
            <w:hideMark/>
          </w:tcPr>
          <w:p w14:paraId="04D767BC" w14:textId="77777777" w:rsidR="0060721D" w:rsidRPr="0060721D" w:rsidRDefault="0060721D" w:rsidP="0060721D">
            <w:pPr>
              <w:rPr>
                <w:rFonts w:ascii="Times New Roman" w:eastAsia="Times New Roman" w:hAnsi="Times New Roman"/>
                <w:lang w:val="es-ES" w:eastAsia="ru-RU"/>
              </w:rPr>
            </w:pPr>
            <w:r w:rsidRPr="0060721D">
              <w:rPr>
                <w:rFonts w:ascii="Times New Roman" w:eastAsia="Times New Roman" w:hAnsi="Times New Roman"/>
                <w:lang w:val="es-ES" w:eastAsia="ru-RU"/>
              </w:rPr>
              <w:t xml:space="preserve">În clădirile administrative se lucrează aproximativ 10 ore, pe parcursul a 5 zile din săptămînă. Pe parcursul celorlalte perioade de timp, temperatura în încăperi poate fi redusă pînă la 10-120C, modul „noapte” </w:t>
            </w:r>
          </w:p>
        </w:tc>
        <w:tc>
          <w:tcPr>
            <w:tcW w:w="1620" w:type="dxa"/>
            <w:gridSpan w:val="2"/>
            <w:hideMark/>
          </w:tcPr>
          <w:p w14:paraId="56B3557C" w14:textId="77777777" w:rsidR="0060721D" w:rsidRPr="0060721D" w:rsidRDefault="0060721D" w:rsidP="0060721D">
            <w:pPr>
              <w:jc w:val="center"/>
              <w:rPr>
                <w:rFonts w:ascii="Times New Roman" w:hAnsi="Times New Roman"/>
              </w:rPr>
            </w:pPr>
            <w:proofErr w:type="spellStart"/>
            <w:r w:rsidRPr="0060721D">
              <w:rPr>
                <w:rFonts w:ascii="Times New Roman" w:eastAsia="Times New Roman" w:hAnsi="Times New Roman"/>
                <w:lang w:eastAsia="ru-RU"/>
              </w:rPr>
              <w:t>Reducerea</w:t>
            </w:r>
            <w:proofErr w:type="spellEnd"/>
            <w:r w:rsidRPr="0060721D">
              <w:rPr>
                <w:rFonts w:ascii="Times New Roman" w:eastAsia="Times New Roman" w:hAnsi="Times New Roman"/>
                <w:lang w:eastAsia="ru-RU"/>
              </w:rPr>
              <w:t xml:space="preserve"> </w:t>
            </w:r>
            <w:proofErr w:type="spellStart"/>
            <w:r w:rsidRPr="0060721D">
              <w:rPr>
                <w:rFonts w:ascii="Times New Roman" w:eastAsia="Times New Roman" w:hAnsi="Times New Roman"/>
                <w:lang w:eastAsia="ru-RU"/>
              </w:rPr>
              <w:t>consumului</w:t>
            </w:r>
            <w:proofErr w:type="spellEnd"/>
            <w:r w:rsidRPr="0060721D">
              <w:rPr>
                <w:rFonts w:ascii="Times New Roman" w:eastAsia="Times New Roman" w:hAnsi="Times New Roman"/>
                <w:lang w:eastAsia="ru-RU"/>
              </w:rPr>
              <w:t xml:space="preserve"> de </w:t>
            </w:r>
            <w:proofErr w:type="spellStart"/>
            <w:r w:rsidRPr="0060721D">
              <w:rPr>
                <w:rFonts w:ascii="Times New Roman" w:eastAsia="Times New Roman" w:hAnsi="Times New Roman"/>
                <w:lang w:eastAsia="ru-RU"/>
              </w:rPr>
              <w:t>combustibil</w:t>
            </w:r>
            <w:proofErr w:type="spellEnd"/>
            <w:r w:rsidRPr="0060721D">
              <w:rPr>
                <w:rFonts w:ascii="Times New Roman" w:eastAsia="Times New Roman" w:hAnsi="Times New Roman"/>
                <w:lang w:eastAsia="ru-RU"/>
              </w:rPr>
              <w:t xml:space="preserve"> </w:t>
            </w:r>
            <w:r w:rsidRPr="0060721D">
              <w:rPr>
                <w:rFonts w:ascii="Times New Roman" w:hAnsi="Times New Roman"/>
              </w:rPr>
              <w:t xml:space="preserve">cu 42,1 mii </w:t>
            </w:r>
            <w:proofErr w:type="spellStart"/>
            <w:r w:rsidRPr="0060721D">
              <w:rPr>
                <w:rFonts w:ascii="Times New Roman" w:hAnsi="Times New Roman"/>
              </w:rPr>
              <w:t>t.c.c</w:t>
            </w:r>
            <w:proofErr w:type="spellEnd"/>
            <w:r w:rsidRPr="0060721D">
              <w:rPr>
                <w:rFonts w:ascii="Times New Roman" w:hAnsi="Times New Roman"/>
              </w:rPr>
              <w:t xml:space="preserve">. </w:t>
            </w:r>
            <w:proofErr w:type="spellStart"/>
            <w:r w:rsidRPr="0060721D">
              <w:rPr>
                <w:rFonts w:ascii="Times New Roman" w:hAnsi="Times New Roman"/>
              </w:rPr>
              <w:t>în</w:t>
            </w:r>
            <w:proofErr w:type="spellEnd"/>
            <w:r w:rsidRPr="0060721D">
              <w:rPr>
                <w:rFonts w:ascii="Times New Roman" w:hAnsi="Times New Roman"/>
              </w:rPr>
              <w:t xml:space="preserve"> </w:t>
            </w:r>
            <w:proofErr w:type="spellStart"/>
            <w:r w:rsidRPr="0060721D">
              <w:rPr>
                <w:rFonts w:ascii="Times New Roman" w:hAnsi="Times New Roman"/>
              </w:rPr>
              <w:t>urma</w:t>
            </w:r>
            <w:proofErr w:type="spellEnd"/>
            <w:r w:rsidRPr="0060721D">
              <w:rPr>
                <w:rFonts w:ascii="Times New Roman" w:hAnsi="Times New Roman"/>
              </w:rPr>
              <w:t xml:space="preserve"> </w:t>
            </w:r>
            <w:proofErr w:type="spellStart"/>
            <w:r w:rsidRPr="0060721D">
              <w:rPr>
                <w:rFonts w:ascii="Times New Roman" w:hAnsi="Times New Roman"/>
              </w:rPr>
              <w:t>reabilitării</w:t>
            </w:r>
            <w:proofErr w:type="spellEnd"/>
            <w:r w:rsidRPr="0060721D">
              <w:rPr>
                <w:rFonts w:ascii="Times New Roman" w:hAnsi="Times New Roman"/>
              </w:rPr>
              <w:t xml:space="preserve"> a 70 % din </w:t>
            </w:r>
            <w:proofErr w:type="spellStart"/>
            <w:r w:rsidRPr="0060721D">
              <w:rPr>
                <w:rFonts w:ascii="Times New Roman" w:hAnsi="Times New Roman"/>
              </w:rPr>
              <w:t>sistemele</w:t>
            </w:r>
            <w:proofErr w:type="spellEnd"/>
            <w:r w:rsidRPr="0060721D">
              <w:rPr>
                <w:rFonts w:ascii="Times New Roman" w:hAnsi="Times New Roman"/>
              </w:rPr>
              <w:t xml:space="preserve"> de </w:t>
            </w:r>
            <w:proofErr w:type="spellStart"/>
            <w:r w:rsidRPr="0060721D">
              <w:rPr>
                <w:rFonts w:ascii="Times New Roman" w:hAnsi="Times New Roman"/>
              </w:rPr>
              <w:t>încălzire</w:t>
            </w:r>
            <w:proofErr w:type="spellEnd"/>
            <w:r w:rsidRPr="0060721D">
              <w:rPr>
                <w:rFonts w:ascii="Times New Roman" w:hAnsi="Times New Roman"/>
              </w:rPr>
              <w:t xml:space="preserve"> a </w:t>
            </w:r>
            <w:proofErr w:type="spellStart"/>
            <w:r w:rsidRPr="0060721D">
              <w:rPr>
                <w:rFonts w:ascii="Times New Roman" w:hAnsi="Times New Roman"/>
              </w:rPr>
              <w:t>clădirilor</w:t>
            </w:r>
            <w:proofErr w:type="spellEnd"/>
            <w:r w:rsidRPr="0060721D">
              <w:rPr>
                <w:rFonts w:ascii="Times New Roman" w:hAnsi="Times New Roman"/>
              </w:rPr>
              <w:t xml:space="preserve"> </w:t>
            </w:r>
            <w:proofErr w:type="spellStart"/>
            <w:r w:rsidRPr="0060721D">
              <w:rPr>
                <w:rFonts w:ascii="Times New Roman" w:hAnsi="Times New Roman"/>
              </w:rPr>
              <w:t>publice</w:t>
            </w:r>
            <w:proofErr w:type="spellEnd"/>
            <w:r w:rsidRPr="0060721D">
              <w:rPr>
                <w:rFonts w:ascii="Times New Roman" w:hAnsi="Times New Roman"/>
              </w:rPr>
              <w:t xml:space="preserve"> </w:t>
            </w:r>
            <w:proofErr w:type="spellStart"/>
            <w:r w:rsidRPr="0060721D">
              <w:rPr>
                <w:rFonts w:ascii="Times New Roman" w:hAnsi="Times New Roman"/>
              </w:rPr>
              <w:t>pînă</w:t>
            </w:r>
            <w:proofErr w:type="spellEnd"/>
            <w:r w:rsidRPr="0060721D">
              <w:rPr>
                <w:rFonts w:ascii="Times New Roman" w:hAnsi="Times New Roman"/>
              </w:rPr>
              <w:t xml:space="preserve"> </w:t>
            </w:r>
            <w:proofErr w:type="spellStart"/>
            <w:r w:rsidRPr="0060721D">
              <w:rPr>
                <w:rFonts w:ascii="Times New Roman" w:hAnsi="Times New Roman"/>
              </w:rPr>
              <w:t>în</w:t>
            </w:r>
            <w:proofErr w:type="spellEnd"/>
            <w:r w:rsidRPr="0060721D">
              <w:rPr>
                <w:rFonts w:ascii="Times New Roman" w:hAnsi="Times New Roman"/>
              </w:rPr>
              <w:t xml:space="preserve"> </w:t>
            </w:r>
            <w:proofErr w:type="spellStart"/>
            <w:r w:rsidRPr="0060721D">
              <w:rPr>
                <w:rFonts w:ascii="Times New Roman" w:hAnsi="Times New Roman"/>
              </w:rPr>
              <w:t>anul</w:t>
            </w:r>
            <w:proofErr w:type="spellEnd"/>
            <w:r w:rsidRPr="0060721D">
              <w:rPr>
                <w:rFonts w:ascii="Times New Roman" w:hAnsi="Times New Roman"/>
              </w:rPr>
              <w:t xml:space="preserve"> 2030</w:t>
            </w:r>
          </w:p>
        </w:tc>
        <w:tc>
          <w:tcPr>
            <w:tcW w:w="1440" w:type="dxa"/>
            <w:gridSpan w:val="2"/>
            <w:hideMark/>
          </w:tcPr>
          <w:p w14:paraId="38E36D1C" w14:textId="77777777" w:rsidR="0060721D" w:rsidRPr="0060721D" w:rsidRDefault="0060721D" w:rsidP="0060721D">
            <w:pPr>
              <w:jc w:val="center"/>
              <w:rPr>
                <w:rFonts w:ascii="Times New Roman" w:eastAsia="Times New Roman" w:hAnsi="Times New Roman"/>
                <w:lang w:eastAsia="ru-RU"/>
              </w:rPr>
            </w:pPr>
            <w:r w:rsidRPr="0060721D">
              <w:rPr>
                <w:rFonts w:ascii="Times New Roman" w:eastAsia="Times New Roman" w:hAnsi="Times New Roman"/>
                <w:lang w:eastAsia="ru-RU"/>
              </w:rPr>
              <w:t> </w:t>
            </w:r>
          </w:p>
        </w:tc>
        <w:tc>
          <w:tcPr>
            <w:tcW w:w="3429" w:type="dxa"/>
            <w:gridSpan w:val="2"/>
            <w:hideMark/>
          </w:tcPr>
          <w:p w14:paraId="07DD96B4" w14:textId="77777777" w:rsidR="0060721D" w:rsidRPr="0060721D" w:rsidRDefault="0060721D" w:rsidP="0060721D">
            <w:pPr>
              <w:jc w:val="center"/>
              <w:rPr>
                <w:rFonts w:ascii="Times New Roman" w:hAnsi="Times New Roman"/>
              </w:rPr>
            </w:pPr>
            <w:r w:rsidRPr="0060721D">
              <w:rPr>
                <w:rFonts w:ascii="Times New Roman" w:eastAsia="Times New Roman" w:hAnsi="Times New Roman"/>
                <w:lang w:eastAsia="ru-RU"/>
              </w:rPr>
              <w:t>70 810 tone CO2</w:t>
            </w:r>
            <w:r w:rsidRPr="0060721D">
              <w:rPr>
                <w:rFonts w:ascii="Times New Roman" w:eastAsia="Times New Roman" w:hAnsi="Times New Roman"/>
                <w:lang w:val="ro-RO" w:eastAsia="ru-RU"/>
              </w:rPr>
              <w:t xml:space="preserve"> </w:t>
            </w:r>
            <w:proofErr w:type="spellStart"/>
            <w:r w:rsidRPr="0060721D">
              <w:rPr>
                <w:rFonts w:ascii="Times New Roman" w:hAnsi="Times New Roman"/>
              </w:rPr>
              <w:t>echivalent</w:t>
            </w:r>
            <w:proofErr w:type="spellEnd"/>
            <w:r w:rsidRPr="0060721D">
              <w:rPr>
                <w:rFonts w:ascii="Times New Roman" w:hAnsi="Times New Roman"/>
              </w:rPr>
              <w:t xml:space="preserve"> </w:t>
            </w:r>
            <w:proofErr w:type="spellStart"/>
            <w:r w:rsidRPr="0060721D">
              <w:rPr>
                <w:rFonts w:ascii="Times New Roman" w:hAnsi="Times New Roman"/>
              </w:rPr>
              <w:t>pînă</w:t>
            </w:r>
            <w:proofErr w:type="spellEnd"/>
            <w:r w:rsidRPr="0060721D">
              <w:rPr>
                <w:rFonts w:ascii="Times New Roman" w:hAnsi="Times New Roman"/>
              </w:rPr>
              <w:t xml:space="preserve"> </w:t>
            </w:r>
            <w:proofErr w:type="spellStart"/>
            <w:r w:rsidRPr="0060721D">
              <w:rPr>
                <w:rFonts w:ascii="Times New Roman" w:hAnsi="Times New Roman"/>
              </w:rPr>
              <w:t>în</w:t>
            </w:r>
            <w:proofErr w:type="spellEnd"/>
            <w:r w:rsidRPr="0060721D">
              <w:rPr>
                <w:rFonts w:ascii="Times New Roman" w:hAnsi="Times New Roman"/>
              </w:rPr>
              <w:t xml:space="preserve">  2030</w:t>
            </w:r>
          </w:p>
        </w:tc>
        <w:tc>
          <w:tcPr>
            <w:tcW w:w="1502" w:type="dxa"/>
            <w:gridSpan w:val="2"/>
            <w:hideMark/>
          </w:tcPr>
          <w:p w14:paraId="5AEB2E76" w14:textId="77777777" w:rsidR="0060721D" w:rsidRPr="0060721D" w:rsidRDefault="0060721D" w:rsidP="0060721D">
            <w:pPr>
              <w:jc w:val="center"/>
              <w:rPr>
                <w:rFonts w:ascii="Times New Roman" w:eastAsia="Times New Roman" w:hAnsi="Times New Roman"/>
                <w:lang w:eastAsia="ru-RU"/>
              </w:rPr>
            </w:pPr>
            <w:r w:rsidRPr="0060721D">
              <w:rPr>
                <w:rFonts w:ascii="Times New Roman" w:eastAsia="Times New Roman" w:hAnsi="Times New Roman"/>
                <w:lang w:eastAsia="ru-RU"/>
              </w:rPr>
              <w:t> </w:t>
            </w:r>
          </w:p>
        </w:tc>
      </w:tr>
      <w:tr w:rsidR="00F11CCD" w:rsidRPr="0060721D" w14:paraId="59A669F8" w14:textId="77777777" w:rsidTr="00F11CCD">
        <w:trPr>
          <w:divId w:val="546725049"/>
          <w:trHeight w:val="1380"/>
        </w:trPr>
        <w:tc>
          <w:tcPr>
            <w:tcW w:w="500" w:type="dxa"/>
            <w:hideMark/>
          </w:tcPr>
          <w:p w14:paraId="55F4F5EE" w14:textId="77777777" w:rsidR="0060721D" w:rsidRPr="0060721D" w:rsidRDefault="0060721D" w:rsidP="0060721D">
            <w:pPr>
              <w:jc w:val="center"/>
              <w:rPr>
                <w:rFonts w:ascii="Times New Roman" w:eastAsia="Times New Roman" w:hAnsi="Times New Roman"/>
                <w:lang w:val="ro-RO" w:eastAsia="ru-RU"/>
              </w:rPr>
            </w:pPr>
            <w:r w:rsidRPr="0060721D">
              <w:rPr>
                <w:rFonts w:ascii="Times New Roman" w:eastAsia="Times New Roman" w:hAnsi="Times New Roman"/>
                <w:lang w:eastAsia="ru-RU"/>
              </w:rPr>
              <w:t>3,4</w:t>
            </w:r>
          </w:p>
        </w:tc>
        <w:tc>
          <w:tcPr>
            <w:tcW w:w="3437" w:type="dxa"/>
            <w:gridSpan w:val="2"/>
            <w:hideMark/>
          </w:tcPr>
          <w:p w14:paraId="318B8BAC" w14:textId="77777777" w:rsidR="0060721D" w:rsidRPr="0060721D" w:rsidRDefault="0060721D" w:rsidP="0060721D">
            <w:pPr>
              <w:rPr>
                <w:rFonts w:ascii="Times New Roman" w:eastAsia="Times New Roman" w:hAnsi="Times New Roman"/>
                <w:lang w:val="es-ES" w:eastAsia="ru-RU"/>
              </w:rPr>
            </w:pPr>
            <w:r w:rsidRPr="0060721D">
              <w:rPr>
                <w:rFonts w:ascii="Times New Roman" w:eastAsia="Times New Roman" w:hAnsi="Times New Roman"/>
                <w:lang w:val="es-ES" w:eastAsia="ru-RU"/>
              </w:rPr>
              <w:t>Înlocuirea becurilor incandescente cu becuri energetic eficiente de tip LED</w:t>
            </w:r>
          </w:p>
        </w:tc>
        <w:tc>
          <w:tcPr>
            <w:tcW w:w="2211" w:type="dxa"/>
            <w:gridSpan w:val="2"/>
            <w:hideMark/>
          </w:tcPr>
          <w:p w14:paraId="517A01A7" w14:textId="77777777" w:rsidR="0060721D" w:rsidRPr="0060721D" w:rsidRDefault="0060721D" w:rsidP="0060721D">
            <w:pPr>
              <w:rPr>
                <w:rFonts w:ascii="Times New Roman" w:eastAsia="Times New Roman" w:hAnsi="Times New Roman"/>
                <w:lang w:val="es-ES" w:eastAsia="ru-RU"/>
              </w:rPr>
            </w:pPr>
            <w:r w:rsidRPr="0060721D">
              <w:rPr>
                <w:rFonts w:ascii="Times New Roman" w:eastAsia="Times New Roman" w:hAnsi="Times New Roman"/>
                <w:lang w:val="es-ES" w:eastAsia="ru-RU"/>
              </w:rPr>
              <w:t>Becurile incandescente utilizate în prezent au eficienţa luminoasă de  10-12 lm/W, în timp ce la becurile eficiente energetic de tip LED indicatorul respectiv constituie  100 lm/W. Dacă intensitatea energetică la iluminare constituie în medie 10 W/m2, atunci la utilizarea becurilor LED acest indicator va fi de 1 W/m2</w:t>
            </w:r>
          </w:p>
        </w:tc>
        <w:tc>
          <w:tcPr>
            <w:tcW w:w="1620" w:type="dxa"/>
            <w:gridSpan w:val="2"/>
            <w:hideMark/>
          </w:tcPr>
          <w:p w14:paraId="509E3809" w14:textId="77777777" w:rsidR="0060721D" w:rsidRPr="0060721D" w:rsidRDefault="0060721D" w:rsidP="0060721D">
            <w:pPr>
              <w:jc w:val="center"/>
              <w:rPr>
                <w:rFonts w:ascii="Times New Roman" w:hAnsi="Times New Roman"/>
              </w:rPr>
            </w:pPr>
            <w:r w:rsidRPr="0060721D">
              <w:rPr>
                <w:rFonts w:ascii="Times New Roman" w:eastAsia="Times New Roman" w:hAnsi="Times New Roman"/>
                <w:lang w:val="es-ES" w:eastAsia="ru-RU"/>
              </w:rPr>
              <w:t xml:space="preserve">Înlocuirea 100 % din becuri incandescente cu becurile LED (inclusiv instalarea </w:t>
            </w:r>
            <w:proofErr w:type="spellStart"/>
            <w:r w:rsidRPr="0060721D">
              <w:rPr>
                <w:rFonts w:ascii="Times New Roman" w:eastAsia="Times New Roman" w:hAnsi="Times New Roman"/>
                <w:lang w:eastAsia="ru-RU"/>
              </w:rPr>
              <w:t>becurilor</w:t>
            </w:r>
            <w:proofErr w:type="spellEnd"/>
            <w:r w:rsidRPr="0060721D">
              <w:rPr>
                <w:rFonts w:ascii="Times New Roman" w:hAnsi="Times New Roman"/>
              </w:rPr>
              <w:t xml:space="preserve"> LED </w:t>
            </w:r>
            <w:proofErr w:type="spellStart"/>
            <w:r w:rsidRPr="0060721D">
              <w:rPr>
                <w:rFonts w:ascii="Times New Roman" w:hAnsi="Times New Roman"/>
              </w:rPr>
              <w:t>în</w:t>
            </w:r>
            <w:proofErr w:type="spellEnd"/>
            <w:r w:rsidRPr="0060721D">
              <w:rPr>
                <w:rFonts w:ascii="Times New Roman" w:hAnsi="Times New Roman"/>
              </w:rPr>
              <w:t xml:space="preserve"> </w:t>
            </w:r>
            <w:proofErr w:type="spellStart"/>
            <w:r w:rsidRPr="0060721D">
              <w:rPr>
                <w:rFonts w:ascii="Times New Roman" w:hAnsi="Times New Roman"/>
              </w:rPr>
              <w:t>clădiri</w:t>
            </w:r>
            <w:proofErr w:type="spellEnd"/>
            <w:r w:rsidRPr="0060721D">
              <w:rPr>
                <w:rFonts w:ascii="Times New Roman" w:hAnsi="Times New Roman"/>
              </w:rPr>
              <w:t xml:space="preserve"> </w:t>
            </w:r>
            <w:proofErr w:type="spellStart"/>
            <w:r w:rsidRPr="0060721D">
              <w:rPr>
                <w:rFonts w:ascii="Times New Roman" w:hAnsi="Times New Roman"/>
              </w:rPr>
              <w:t>noi</w:t>
            </w:r>
            <w:proofErr w:type="spellEnd"/>
            <w:r w:rsidRPr="0060721D">
              <w:rPr>
                <w:rFonts w:ascii="Times New Roman" w:hAnsi="Times New Roman"/>
              </w:rPr>
              <w:t xml:space="preserve">) duce la </w:t>
            </w:r>
            <w:proofErr w:type="spellStart"/>
            <w:r w:rsidRPr="0060721D">
              <w:rPr>
                <w:rFonts w:ascii="Times New Roman" w:hAnsi="Times New Roman"/>
              </w:rPr>
              <w:t>economisirea</w:t>
            </w:r>
            <w:proofErr w:type="spellEnd"/>
            <w:r w:rsidRPr="0060721D">
              <w:rPr>
                <w:rFonts w:ascii="Times New Roman" w:hAnsi="Times New Roman"/>
              </w:rPr>
              <w:t xml:space="preserve"> 538,26 </w:t>
            </w:r>
            <w:proofErr w:type="spellStart"/>
            <w:r w:rsidRPr="0060721D">
              <w:rPr>
                <w:rFonts w:ascii="Times New Roman" w:hAnsi="Times New Roman"/>
              </w:rPr>
              <w:t>mln</w:t>
            </w:r>
            <w:proofErr w:type="spellEnd"/>
            <w:r w:rsidRPr="0060721D">
              <w:rPr>
                <w:rFonts w:ascii="Times New Roman" w:hAnsi="Times New Roman"/>
              </w:rPr>
              <w:t xml:space="preserve"> kWh </w:t>
            </w:r>
            <w:proofErr w:type="spellStart"/>
            <w:r w:rsidRPr="0060721D">
              <w:rPr>
                <w:rFonts w:ascii="Times New Roman" w:hAnsi="Times New Roman"/>
              </w:rPr>
              <w:t>în</w:t>
            </w:r>
            <w:proofErr w:type="spellEnd"/>
            <w:r w:rsidRPr="0060721D">
              <w:rPr>
                <w:rFonts w:ascii="Times New Roman" w:hAnsi="Times New Roman"/>
              </w:rPr>
              <w:t xml:space="preserve"> </w:t>
            </w:r>
            <w:proofErr w:type="spellStart"/>
            <w:r w:rsidRPr="0060721D">
              <w:rPr>
                <w:rFonts w:ascii="Times New Roman" w:hAnsi="Times New Roman"/>
              </w:rPr>
              <w:t>anul</w:t>
            </w:r>
            <w:proofErr w:type="spellEnd"/>
            <w:r w:rsidRPr="0060721D">
              <w:rPr>
                <w:rFonts w:ascii="Times New Roman" w:hAnsi="Times New Roman"/>
              </w:rPr>
              <w:t xml:space="preserve"> 2030</w:t>
            </w:r>
          </w:p>
        </w:tc>
        <w:tc>
          <w:tcPr>
            <w:tcW w:w="1440" w:type="dxa"/>
            <w:gridSpan w:val="2"/>
            <w:hideMark/>
          </w:tcPr>
          <w:p w14:paraId="60D89F56" w14:textId="77777777" w:rsidR="0060721D" w:rsidRPr="0060721D" w:rsidRDefault="0060721D" w:rsidP="0060721D">
            <w:pPr>
              <w:jc w:val="center"/>
              <w:rPr>
                <w:rFonts w:ascii="Times New Roman" w:eastAsia="Times New Roman" w:hAnsi="Times New Roman"/>
                <w:lang w:val="es-ES" w:eastAsia="ru-RU"/>
              </w:rPr>
            </w:pPr>
            <w:r w:rsidRPr="0060721D">
              <w:rPr>
                <w:rFonts w:ascii="Times New Roman" w:eastAsia="Times New Roman" w:hAnsi="Times New Roman"/>
                <w:lang w:val="es-ES" w:eastAsia="ru-RU"/>
              </w:rPr>
              <w:t> </w:t>
            </w:r>
          </w:p>
        </w:tc>
        <w:tc>
          <w:tcPr>
            <w:tcW w:w="3429" w:type="dxa"/>
            <w:gridSpan w:val="2"/>
            <w:hideMark/>
          </w:tcPr>
          <w:p w14:paraId="71659FEC" w14:textId="77777777" w:rsidR="0060721D" w:rsidRPr="0060721D" w:rsidRDefault="0060721D" w:rsidP="0060721D">
            <w:pPr>
              <w:jc w:val="center"/>
              <w:rPr>
                <w:rFonts w:ascii="Times New Roman" w:hAnsi="Times New Roman"/>
              </w:rPr>
            </w:pPr>
            <w:r w:rsidRPr="0060721D">
              <w:rPr>
                <w:rFonts w:ascii="Times New Roman" w:eastAsia="Times New Roman" w:hAnsi="Times New Roman"/>
                <w:lang w:eastAsia="ru-RU"/>
              </w:rPr>
              <w:t>249 914  tone CO2</w:t>
            </w:r>
            <w:r w:rsidRPr="0060721D">
              <w:rPr>
                <w:rFonts w:ascii="Times New Roman" w:eastAsia="Times New Roman" w:hAnsi="Times New Roman"/>
                <w:lang w:val="ro-RO" w:eastAsia="ru-RU"/>
              </w:rPr>
              <w:t xml:space="preserve"> </w:t>
            </w:r>
            <w:proofErr w:type="spellStart"/>
            <w:r w:rsidRPr="0060721D">
              <w:rPr>
                <w:rFonts w:ascii="Times New Roman" w:hAnsi="Times New Roman"/>
              </w:rPr>
              <w:t>echivalent</w:t>
            </w:r>
            <w:proofErr w:type="spellEnd"/>
            <w:r w:rsidRPr="0060721D">
              <w:rPr>
                <w:rFonts w:ascii="Times New Roman" w:hAnsi="Times New Roman"/>
              </w:rPr>
              <w:t xml:space="preserve"> </w:t>
            </w:r>
            <w:proofErr w:type="spellStart"/>
            <w:r w:rsidRPr="0060721D">
              <w:rPr>
                <w:rFonts w:ascii="Times New Roman" w:hAnsi="Times New Roman"/>
              </w:rPr>
              <w:t>pînă</w:t>
            </w:r>
            <w:proofErr w:type="spellEnd"/>
            <w:r w:rsidRPr="0060721D">
              <w:rPr>
                <w:rFonts w:ascii="Times New Roman" w:hAnsi="Times New Roman"/>
              </w:rPr>
              <w:t xml:space="preserve"> </w:t>
            </w:r>
            <w:proofErr w:type="spellStart"/>
            <w:r w:rsidRPr="0060721D">
              <w:rPr>
                <w:rFonts w:ascii="Times New Roman" w:hAnsi="Times New Roman"/>
              </w:rPr>
              <w:t>în</w:t>
            </w:r>
            <w:proofErr w:type="spellEnd"/>
            <w:r w:rsidRPr="0060721D">
              <w:rPr>
                <w:rFonts w:ascii="Times New Roman" w:hAnsi="Times New Roman"/>
              </w:rPr>
              <w:t xml:space="preserve">  2030</w:t>
            </w:r>
          </w:p>
        </w:tc>
        <w:tc>
          <w:tcPr>
            <w:tcW w:w="1502" w:type="dxa"/>
            <w:gridSpan w:val="2"/>
            <w:hideMark/>
          </w:tcPr>
          <w:p w14:paraId="62B52056" w14:textId="77777777" w:rsidR="0060721D" w:rsidRPr="0060721D" w:rsidRDefault="0060721D" w:rsidP="0060721D">
            <w:pPr>
              <w:jc w:val="center"/>
              <w:rPr>
                <w:rFonts w:ascii="Times New Roman" w:eastAsia="Times New Roman" w:hAnsi="Times New Roman"/>
                <w:lang w:eastAsia="ru-RU"/>
              </w:rPr>
            </w:pPr>
            <w:r w:rsidRPr="0060721D">
              <w:rPr>
                <w:rFonts w:ascii="Times New Roman" w:eastAsia="Times New Roman" w:hAnsi="Times New Roman"/>
                <w:lang w:eastAsia="ru-RU"/>
              </w:rPr>
              <w:t> </w:t>
            </w:r>
          </w:p>
        </w:tc>
      </w:tr>
      <w:tr w:rsidR="00F11CCD" w:rsidRPr="0060721D" w14:paraId="7738BC0F" w14:textId="77777777" w:rsidTr="00F11CCD">
        <w:trPr>
          <w:divId w:val="546725049"/>
          <w:trHeight w:val="1605"/>
        </w:trPr>
        <w:tc>
          <w:tcPr>
            <w:tcW w:w="500" w:type="dxa"/>
            <w:hideMark/>
          </w:tcPr>
          <w:p w14:paraId="603C2A0E" w14:textId="77777777" w:rsidR="0060721D" w:rsidRPr="0060721D" w:rsidRDefault="0060721D" w:rsidP="0060721D">
            <w:pPr>
              <w:jc w:val="center"/>
              <w:rPr>
                <w:rFonts w:ascii="Times New Roman" w:eastAsia="Times New Roman" w:hAnsi="Times New Roman"/>
                <w:lang w:val="ro-RO" w:eastAsia="ru-RU"/>
              </w:rPr>
            </w:pPr>
            <w:r w:rsidRPr="0060721D">
              <w:rPr>
                <w:rFonts w:ascii="Times New Roman" w:eastAsia="Times New Roman" w:hAnsi="Times New Roman"/>
                <w:lang w:eastAsia="ru-RU"/>
              </w:rPr>
              <w:lastRenderedPageBreak/>
              <w:t>3,5</w:t>
            </w:r>
          </w:p>
        </w:tc>
        <w:tc>
          <w:tcPr>
            <w:tcW w:w="3437" w:type="dxa"/>
            <w:gridSpan w:val="2"/>
            <w:hideMark/>
          </w:tcPr>
          <w:p w14:paraId="7F26488D" w14:textId="77777777" w:rsidR="0060721D" w:rsidRPr="0060721D" w:rsidRDefault="0060721D" w:rsidP="0060721D">
            <w:pPr>
              <w:rPr>
                <w:rFonts w:ascii="Times New Roman" w:eastAsia="Times New Roman" w:hAnsi="Times New Roman"/>
                <w:lang w:val="es-ES" w:eastAsia="ru-RU"/>
              </w:rPr>
            </w:pPr>
            <w:r w:rsidRPr="0060721D">
              <w:rPr>
                <w:rFonts w:ascii="Times New Roman" w:eastAsia="Times New Roman" w:hAnsi="Times New Roman"/>
                <w:lang w:val="es-ES" w:eastAsia="ru-RU"/>
              </w:rPr>
              <w:t>Valorificarea biomasei în scop energetic</w:t>
            </w:r>
          </w:p>
        </w:tc>
        <w:tc>
          <w:tcPr>
            <w:tcW w:w="2211" w:type="dxa"/>
            <w:gridSpan w:val="2"/>
            <w:hideMark/>
          </w:tcPr>
          <w:p w14:paraId="7ABA57E2" w14:textId="77777777" w:rsidR="0060721D" w:rsidRPr="0060721D" w:rsidRDefault="0060721D" w:rsidP="0060721D">
            <w:pPr>
              <w:rPr>
                <w:rFonts w:ascii="Times New Roman" w:eastAsia="Times New Roman" w:hAnsi="Times New Roman"/>
                <w:lang w:val="es-ES" w:eastAsia="ru-RU"/>
              </w:rPr>
            </w:pPr>
            <w:r w:rsidRPr="0060721D">
              <w:rPr>
                <w:rFonts w:ascii="Times New Roman" w:eastAsia="Times New Roman" w:hAnsi="Times New Roman"/>
                <w:lang w:val="es-ES" w:eastAsia="ru-RU"/>
              </w:rPr>
              <w:t>Centralele termice pe bază de biomasă sînt preconizate pentru instituţii de învăţămînt preşcolar, şcolar, case de cultură etc. Centralele termice pe bază de baloturi de paie şi/sau  produse din lemn (pelete, brichete din lemn) sînt prevăzute a fi utilizate   în localităţile rurale. Puterea termică unitară constituie 12-750 kW</w:t>
            </w:r>
          </w:p>
        </w:tc>
        <w:tc>
          <w:tcPr>
            <w:tcW w:w="1620" w:type="dxa"/>
            <w:gridSpan w:val="2"/>
            <w:hideMark/>
          </w:tcPr>
          <w:p w14:paraId="59CA734F" w14:textId="77777777" w:rsidR="0060721D" w:rsidRPr="0060721D" w:rsidRDefault="0060721D" w:rsidP="0060721D">
            <w:pPr>
              <w:jc w:val="center"/>
              <w:rPr>
                <w:rFonts w:ascii="Times New Roman" w:eastAsia="Times New Roman" w:hAnsi="Times New Roman"/>
                <w:lang w:val="es-ES" w:eastAsia="ru-RU"/>
              </w:rPr>
            </w:pPr>
            <w:r w:rsidRPr="0060721D">
              <w:rPr>
                <w:rFonts w:ascii="Times New Roman" w:eastAsia="Times New Roman" w:hAnsi="Times New Roman"/>
                <w:lang w:val="es-ES" w:eastAsia="ru-RU"/>
              </w:rPr>
              <w:t>Puterea instalată 250 MW</w:t>
            </w:r>
          </w:p>
        </w:tc>
        <w:tc>
          <w:tcPr>
            <w:tcW w:w="1440" w:type="dxa"/>
            <w:gridSpan w:val="2"/>
            <w:hideMark/>
          </w:tcPr>
          <w:p w14:paraId="46B6816E" w14:textId="77777777" w:rsidR="0060721D" w:rsidRPr="0060721D" w:rsidRDefault="0060721D" w:rsidP="0060721D">
            <w:pPr>
              <w:jc w:val="center"/>
              <w:rPr>
                <w:rFonts w:ascii="Times New Roman" w:eastAsia="Times New Roman" w:hAnsi="Times New Roman"/>
                <w:lang w:val="es-ES" w:eastAsia="ru-RU"/>
              </w:rPr>
            </w:pPr>
            <w:r w:rsidRPr="0060721D">
              <w:rPr>
                <w:rFonts w:ascii="Times New Roman" w:eastAsia="Times New Roman" w:hAnsi="Times New Roman"/>
                <w:lang w:val="es-ES" w:eastAsia="ru-RU"/>
              </w:rPr>
              <w:t>Puterea instalată 300 MW</w:t>
            </w:r>
          </w:p>
        </w:tc>
        <w:tc>
          <w:tcPr>
            <w:tcW w:w="3429" w:type="dxa"/>
            <w:gridSpan w:val="2"/>
            <w:hideMark/>
          </w:tcPr>
          <w:p w14:paraId="629029BB" w14:textId="77777777" w:rsidR="0060721D" w:rsidRPr="0060721D" w:rsidRDefault="0060721D" w:rsidP="0060721D">
            <w:pPr>
              <w:jc w:val="center"/>
              <w:rPr>
                <w:rFonts w:ascii="Times New Roman" w:eastAsia="Times New Roman" w:hAnsi="Times New Roman"/>
                <w:lang w:val="ro-RO" w:eastAsia="ru-RU"/>
              </w:rPr>
            </w:pPr>
            <w:r w:rsidRPr="0060721D">
              <w:rPr>
                <w:rFonts w:ascii="Times New Roman" w:eastAsia="Times New Roman" w:hAnsi="Times New Roman"/>
                <w:lang w:eastAsia="ru-RU"/>
              </w:rPr>
              <w:t>116 000 tone CO2</w:t>
            </w:r>
          </w:p>
        </w:tc>
        <w:tc>
          <w:tcPr>
            <w:tcW w:w="1502" w:type="dxa"/>
            <w:gridSpan w:val="2"/>
            <w:hideMark/>
          </w:tcPr>
          <w:p w14:paraId="4F9DE3CB" w14:textId="77777777" w:rsidR="0060721D" w:rsidRPr="0060721D" w:rsidRDefault="0060721D" w:rsidP="0060721D">
            <w:pPr>
              <w:jc w:val="center"/>
              <w:rPr>
                <w:rFonts w:ascii="Times New Roman" w:eastAsia="Times New Roman" w:hAnsi="Times New Roman"/>
                <w:lang w:val="ro-RO" w:eastAsia="ru-RU"/>
              </w:rPr>
            </w:pPr>
            <w:r w:rsidRPr="0060721D">
              <w:rPr>
                <w:rFonts w:ascii="Times New Roman" w:eastAsia="Times New Roman" w:hAnsi="Times New Roman"/>
                <w:lang w:eastAsia="ru-RU"/>
              </w:rPr>
              <w:t>139 800 tone CO2</w:t>
            </w:r>
          </w:p>
        </w:tc>
      </w:tr>
      <w:tr w:rsidR="002D5884" w:rsidRPr="0060721D" w14:paraId="3C56E900" w14:textId="77777777" w:rsidTr="00F11CCD">
        <w:trPr>
          <w:divId w:val="546725049"/>
          <w:trHeight w:val="600"/>
        </w:trPr>
        <w:tc>
          <w:tcPr>
            <w:tcW w:w="500" w:type="dxa"/>
            <w:hideMark/>
          </w:tcPr>
          <w:p w14:paraId="56937911" w14:textId="77777777" w:rsidR="0060721D" w:rsidRPr="0060721D" w:rsidRDefault="0060721D" w:rsidP="0060721D">
            <w:pPr>
              <w:jc w:val="center"/>
              <w:rPr>
                <w:rFonts w:ascii="Times New Roman" w:eastAsia="Times New Roman" w:hAnsi="Times New Roman"/>
                <w:lang w:val="ro-RO" w:eastAsia="ru-RU"/>
              </w:rPr>
            </w:pPr>
            <w:r w:rsidRPr="0060721D">
              <w:rPr>
                <w:rFonts w:ascii="Times New Roman" w:eastAsia="Times New Roman" w:hAnsi="Times New Roman"/>
                <w:lang w:eastAsia="ru-RU"/>
              </w:rPr>
              <w:t>3,6</w:t>
            </w:r>
          </w:p>
        </w:tc>
        <w:tc>
          <w:tcPr>
            <w:tcW w:w="3437" w:type="dxa"/>
            <w:gridSpan w:val="2"/>
            <w:hideMark/>
          </w:tcPr>
          <w:p w14:paraId="7298777C" w14:textId="77777777" w:rsidR="0060721D" w:rsidRPr="0060721D" w:rsidRDefault="0060721D" w:rsidP="0060721D">
            <w:pPr>
              <w:jc w:val="center"/>
              <w:rPr>
                <w:rFonts w:ascii="Times New Roman" w:eastAsia="Times New Roman" w:hAnsi="Times New Roman"/>
                <w:lang w:val="es-ES" w:eastAsia="ru-RU"/>
              </w:rPr>
            </w:pPr>
            <w:r w:rsidRPr="0060721D">
              <w:rPr>
                <w:rFonts w:ascii="Times New Roman" w:eastAsia="Times New Roman" w:hAnsi="Times New Roman"/>
                <w:b/>
                <w:bCs/>
                <w:lang w:val="es-ES" w:eastAsia="ru-RU"/>
              </w:rPr>
              <w:t>Instalarea pompelor de</w:t>
            </w:r>
            <w:r w:rsidRPr="0060721D">
              <w:rPr>
                <w:rFonts w:ascii="Times New Roman" w:eastAsia="Times New Roman" w:hAnsi="Times New Roman"/>
                <w:lang w:val="es-ES" w:eastAsia="ru-RU"/>
              </w:rPr>
              <w:t xml:space="preserve"> căldură de capacitate mică, medie şi mare</w:t>
            </w:r>
          </w:p>
        </w:tc>
        <w:tc>
          <w:tcPr>
            <w:tcW w:w="1949" w:type="dxa"/>
            <w:hideMark/>
          </w:tcPr>
          <w:p w14:paraId="5E2CC8FB" w14:textId="77777777" w:rsidR="0060721D" w:rsidRPr="0060721D" w:rsidRDefault="0060721D" w:rsidP="0060721D">
            <w:pPr>
              <w:jc w:val="center"/>
              <w:rPr>
                <w:rFonts w:ascii="Times New Roman" w:hAnsi="Times New Roman"/>
              </w:rPr>
            </w:pPr>
            <w:proofErr w:type="spellStart"/>
            <w:r w:rsidRPr="0060721D">
              <w:rPr>
                <w:rFonts w:ascii="Times New Roman" w:hAnsi="Times New Roman"/>
              </w:rPr>
              <w:t>Pompele</w:t>
            </w:r>
            <w:proofErr w:type="spellEnd"/>
            <w:r w:rsidRPr="0060721D">
              <w:rPr>
                <w:rFonts w:ascii="Times New Roman" w:hAnsi="Times New Roman"/>
              </w:rPr>
              <w:t xml:space="preserve"> de </w:t>
            </w:r>
            <w:proofErr w:type="spellStart"/>
            <w:r w:rsidRPr="0060721D">
              <w:rPr>
                <w:rFonts w:ascii="Times New Roman" w:hAnsi="Times New Roman"/>
              </w:rPr>
              <w:t>căldură</w:t>
            </w:r>
            <w:proofErr w:type="spellEnd"/>
            <w:r w:rsidRPr="0060721D">
              <w:rPr>
                <w:rFonts w:ascii="Times New Roman" w:hAnsi="Times New Roman"/>
              </w:rPr>
              <w:t xml:space="preserve"> </w:t>
            </w:r>
            <w:proofErr w:type="spellStart"/>
            <w:r w:rsidRPr="0060721D">
              <w:rPr>
                <w:rFonts w:ascii="Times New Roman" w:hAnsi="Times New Roman"/>
              </w:rPr>
              <w:t>majorează</w:t>
            </w:r>
            <w:proofErr w:type="spellEnd"/>
            <w:r w:rsidRPr="0060721D">
              <w:rPr>
                <w:rFonts w:ascii="Times New Roman" w:hAnsi="Times New Roman"/>
              </w:rPr>
              <w:t xml:space="preserve"> </w:t>
            </w:r>
            <w:proofErr w:type="spellStart"/>
            <w:r w:rsidRPr="0060721D">
              <w:rPr>
                <w:rFonts w:ascii="Times New Roman" w:hAnsi="Times New Roman"/>
              </w:rPr>
              <w:t>temperatura</w:t>
            </w:r>
            <w:proofErr w:type="spellEnd"/>
            <w:r w:rsidRPr="0060721D">
              <w:rPr>
                <w:rFonts w:ascii="Times New Roman" w:hAnsi="Times New Roman"/>
              </w:rPr>
              <w:t xml:space="preserve"> </w:t>
            </w:r>
            <w:proofErr w:type="spellStart"/>
            <w:r w:rsidRPr="0060721D">
              <w:rPr>
                <w:rFonts w:ascii="Times New Roman" w:hAnsi="Times New Roman"/>
              </w:rPr>
              <w:t>sursei</w:t>
            </w:r>
            <w:proofErr w:type="spellEnd"/>
            <w:r w:rsidRPr="0060721D">
              <w:rPr>
                <w:rFonts w:ascii="Times New Roman" w:hAnsi="Times New Roman"/>
              </w:rPr>
              <w:t xml:space="preserve"> de </w:t>
            </w:r>
            <w:proofErr w:type="spellStart"/>
            <w:r w:rsidRPr="0060721D">
              <w:rPr>
                <w:rFonts w:ascii="Times New Roman" w:hAnsi="Times New Roman"/>
              </w:rPr>
              <w:t>căldură</w:t>
            </w:r>
            <w:proofErr w:type="spellEnd"/>
            <w:r w:rsidRPr="0060721D">
              <w:rPr>
                <w:rFonts w:ascii="Times New Roman" w:hAnsi="Times New Roman"/>
              </w:rPr>
              <w:t xml:space="preserve"> de </w:t>
            </w:r>
            <w:proofErr w:type="spellStart"/>
            <w:r w:rsidRPr="0060721D">
              <w:rPr>
                <w:rFonts w:ascii="Times New Roman" w:hAnsi="Times New Roman"/>
              </w:rPr>
              <w:t>potenţial</w:t>
            </w:r>
            <w:proofErr w:type="spellEnd"/>
            <w:r w:rsidRPr="0060721D">
              <w:rPr>
                <w:rFonts w:ascii="Times New Roman" w:hAnsi="Times New Roman"/>
              </w:rPr>
              <w:t xml:space="preserve"> </w:t>
            </w:r>
            <w:proofErr w:type="spellStart"/>
            <w:r w:rsidRPr="0060721D">
              <w:rPr>
                <w:rFonts w:ascii="Times New Roman" w:hAnsi="Times New Roman"/>
              </w:rPr>
              <w:t>redus</w:t>
            </w:r>
            <w:proofErr w:type="spellEnd"/>
            <w:r w:rsidRPr="0060721D">
              <w:rPr>
                <w:rFonts w:ascii="Times New Roman" w:hAnsi="Times New Roman"/>
              </w:rPr>
              <w:t xml:space="preserve"> </w:t>
            </w:r>
            <w:proofErr w:type="spellStart"/>
            <w:r w:rsidRPr="0060721D">
              <w:rPr>
                <w:rFonts w:ascii="Times New Roman" w:hAnsi="Times New Roman"/>
              </w:rPr>
              <w:t>pînă</w:t>
            </w:r>
            <w:proofErr w:type="spellEnd"/>
            <w:r w:rsidRPr="0060721D">
              <w:rPr>
                <w:rFonts w:ascii="Times New Roman" w:hAnsi="Times New Roman"/>
              </w:rPr>
              <w:t xml:space="preserve"> la </w:t>
            </w:r>
            <w:proofErr w:type="spellStart"/>
            <w:r w:rsidRPr="0060721D">
              <w:rPr>
                <w:rFonts w:ascii="Times New Roman" w:hAnsi="Times New Roman"/>
              </w:rPr>
              <w:t>temperatura</w:t>
            </w:r>
            <w:proofErr w:type="spellEnd"/>
            <w:r w:rsidRPr="0060721D">
              <w:rPr>
                <w:rFonts w:ascii="Times New Roman" w:hAnsi="Times New Roman"/>
              </w:rPr>
              <w:t xml:space="preserve"> </w:t>
            </w:r>
            <w:proofErr w:type="spellStart"/>
            <w:r w:rsidRPr="0060721D">
              <w:rPr>
                <w:rFonts w:ascii="Times New Roman" w:hAnsi="Times New Roman"/>
              </w:rPr>
              <w:t>necesară</w:t>
            </w:r>
            <w:proofErr w:type="spellEnd"/>
            <w:r w:rsidRPr="0060721D">
              <w:rPr>
                <w:rFonts w:ascii="Times New Roman" w:hAnsi="Times New Roman"/>
              </w:rPr>
              <w:t xml:space="preserve"> </w:t>
            </w:r>
            <w:proofErr w:type="spellStart"/>
            <w:r w:rsidRPr="0060721D">
              <w:rPr>
                <w:rFonts w:ascii="Times New Roman" w:hAnsi="Times New Roman"/>
              </w:rPr>
              <w:t>consumatorului</w:t>
            </w:r>
            <w:proofErr w:type="spellEnd"/>
            <w:r w:rsidRPr="0060721D">
              <w:rPr>
                <w:rFonts w:ascii="Times New Roman" w:hAnsi="Times New Roman"/>
              </w:rPr>
              <w:t xml:space="preserve">. </w:t>
            </w:r>
            <w:proofErr w:type="spellStart"/>
            <w:r w:rsidRPr="0060721D">
              <w:rPr>
                <w:rFonts w:ascii="Times New Roman" w:hAnsi="Times New Roman"/>
              </w:rPr>
              <w:t>Sursa</w:t>
            </w:r>
            <w:proofErr w:type="spellEnd"/>
            <w:r w:rsidRPr="0060721D">
              <w:rPr>
                <w:rFonts w:ascii="Times New Roman" w:hAnsi="Times New Roman"/>
              </w:rPr>
              <w:t xml:space="preserve"> de </w:t>
            </w:r>
            <w:proofErr w:type="spellStart"/>
            <w:r w:rsidRPr="0060721D">
              <w:rPr>
                <w:rFonts w:ascii="Times New Roman" w:hAnsi="Times New Roman"/>
              </w:rPr>
              <w:t>căldură</w:t>
            </w:r>
            <w:proofErr w:type="spellEnd"/>
            <w:r w:rsidRPr="0060721D">
              <w:rPr>
                <w:rFonts w:ascii="Times New Roman" w:hAnsi="Times New Roman"/>
              </w:rPr>
              <w:t xml:space="preserve"> de </w:t>
            </w:r>
            <w:proofErr w:type="spellStart"/>
            <w:r w:rsidRPr="0060721D">
              <w:rPr>
                <w:rFonts w:ascii="Times New Roman" w:hAnsi="Times New Roman"/>
              </w:rPr>
              <w:t>potenţial</w:t>
            </w:r>
            <w:proofErr w:type="spellEnd"/>
            <w:r w:rsidRPr="0060721D">
              <w:rPr>
                <w:rFonts w:ascii="Times New Roman" w:hAnsi="Times New Roman"/>
              </w:rPr>
              <w:t xml:space="preserve"> </w:t>
            </w:r>
            <w:proofErr w:type="spellStart"/>
            <w:r w:rsidRPr="0060721D">
              <w:rPr>
                <w:rFonts w:ascii="Times New Roman" w:hAnsi="Times New Roman"/>
              </w:rPr>
              <w:t>redus</w:t>
            </w:r>
            <w:proofErr w:type="spellEnd"/>
            <w:r w:rsidRPr="0060721D">
              <w:rPr>
                <w:rFonts w:ascii="Times New Roman" w:hAnsi="Times New Roman"/>
              </w:rPr>
              <w:t xml:space="preserve"> </w:t>
            </w:r>
            <w:proofErr w:type="spellStart"/>
            <w:r w:rsidRPr="0060721D">
              <w:rPr>
                <w:rFonts w:ascii="Times New Roman" w:hAnsi="Times New Roman"/>
              </w:rPr>
              <w:t>poate</w:t>
            </w:r>
            <w:proofErr w:type="spellEnd"/>
            <w:r w:rsidRPr="0060721D">
              <w:rPr>
                <w:rFonts w:ascii="Times New Roman" w:hAnsi="Times New Roman"/>
              </w:rPr>
              <w:t xml:space="preserve"> fi </w:t>
            </w:r>
            <w:proofErr w:type="spellStart"/>
            <w:r w:rsidRPr="0060721D">
              <w:rPr>
                <w:rFonts w:ascii="Times New Roman" w:hAnsi="Times New Roman"/>
              </w:rPr>
              <w:t>aerul</w:t>
            </w:r>
            <w:proofErr w:type="spellEnd"/>
            <w:r w:rsidRPr="0060721D">
              <w:rPr>
                <w:rFonts w:ascii="Times New Roman" w:hAnsi="Times New Roman"/>
              </w:rPr>
              <w:t xml:space="preserve"> </w:t>
            </w:r>
            <w:proofErr w:type="spellStart"/>
            <w:r w:rsidRPr="0060721D">
              <w:rPr>
                <w:rFonts w:ascii="Times New Roman" w:hAnsi="Times New Roman"/>
              </w:rPr>
              <w:t>atmosferic</w:t>
            </w:r>
            <w:proofErr w:type="spellEnd"/>
            <w:r w:rsidRPr="0060721D">
              <w:rPr>
                <w:rFonts w:ascii="Times New Roman" w:hAnsi="Times New Roman"/>
              </w:rPr>
              <w:t xml:space="preserve">, </w:t>
            </w:r>
            <w:proofErr w:type="spellStart"/>
            <w:r w:rsidRPr="0060721D">
              <w:rPr>
                <w:rFonts w:ascii="Times New Roman" w:hAnsi="Times New Roman"/>
              </w:rPr>
              <w:t>solul</w:t>
            </w:r>
            <w:proofErr w:type="spellEnd"/>
            <w:r w:rsidRPr="0060721D">
              <w:rPr>
                <w:rFonts w:ascii="Times New Roman" w:hAnsi="Times New Roman"/>
              </w:rPr>
              <w:t xml:space="preserve">, </w:t>
            </w:r>
            <w:proofErr w:type="spellStart"/>
            <w:r w:rsidRPr="0060721D">
              <w:rPr>
                <w:rFonts w:ascii="Times New Roman" w:hAnsi="Times New Roman"/>
              </w:rPr>
              <w:t>apele</w:t>
            </w:r>
            <w:proofErr w:type="spellEnd"/>
            <w:r w:rsidRPr="0060721D">
              <w:rPr>
                <w:rFonts w:ascii="Times New Roman" w:hAnsi="Times New Roman"/>
              </w:rPr>
              <w:t xml:space="preserve"> de </w:t>
            </w:r>
            <w:proofErr w:type="spellStart"/>
            <w:r w:rsidRPr="0060721D">
              <w:rPr>
                <w:rFonts w:ascii="Times New Roman" w:hAnsi="Times New Roman"/>
              </w:rPr>
              <w:t>suprafaţă</w:t>
            </w:r>
            <w:proofErr w:type="spellEnd"/>
            <w:r w:rsidRPr="0060721D">
              <w:rPr>
                <w:rFonts w:ascii="Times New Roman" w:hAnsi="Times New Roman"/>
              </w:rPr>
              <w:t xml:space="preserve"> </w:t>
            </w:r>
            <w:proofErr w:type="spellStart"/>
            <w:r w:rsidRPr="0060721D">
              <w:rPr>
                <w:rFonts w:ascii="Times New Roman" w:hAnsi="Times New Roman"/>
              </w:rPr>
              <w:t>şi</w:t>
            </w:r>
            <w:proofErr w:type="spellEnd"/>
            <w:r w:rsidRPr="0060721D">
              <w:rPr>
                <w:rFonts w:ascii="Times New Roman" w:hAnsi="Times New Roman"/>
              </w:rPr>
              <w:t xml:space="preserve"> </w:t>
            </w:r>
            <w:proofErr w:type="spellStart"/>
            <w:r w:rsidRPr="0060721D">
              <w:rPr>
                <w:rFonts w:ascii="Times New Roman" w:hAnsi="Times New Roman"/>
              </w:rPr>
              <w:t>apele</w:t>
            </w:r>
            <w:proofErr w:type="spellEnd"/>
            <w:r w:rsidRPr="0060721D">
              <w:rPr>
                <w:rFonts w:ascii="Times New Roman" w:hAnsi="Times New Roman"/>
              </w:rPr>
              <w:t xml:space="preserve"> </w:t>
            </w:r>
            <w:proofErr w:type="spellStart"/>
            <w:r w:rsidRPr="0060721D">
              <w:rPr>
                <w:rFonts w:ascii="Times New Roman" w:hAnsi="Times New Roman"/>
              </w:rPr>
              <w:t>freatice</w:t>
            </w:r>
            <w:proofErr w:type="spellEnd"/>
            <w:r w:rsidRPr="0060721D">
              <w:rPr>
                <w:rFonts w:ascii="Times New Roman" w:hAnsi="Times New Roman"/>
              </w:rPr>
              <w:t xml:space="preserve"> </w:t>
            </w:r>
            <w:proofErr w:type="spellStart"/>
            <w:r w:rsidRPr="0060721D">
              <w:rPr>
                <w:rFonts w:ascii="Times New Roman" w:hAnsi="Times New Roman"/>
              </w:rPr>
              <w:t>şi</w:t>
            </w:r>
            <w:proofErr w:type="spellEnd"/>
            <w:r w:rsidRPr="0060721D">
              <w:rPr>
                <w:rFonts w:ascii="Times New Roman" w:hAnsi="Times New Roman"/>
              </w:rPr>
              <w:t xml:space="preserve">, de </w:t>
            </w:r>
            <w:proofErr w:type="spellStart"/>
            <w:r w:rsidRPr="0060721D">
              <w:rPr>
                <w:rFonts w:ascii="Times New Roman" w:hAnsi="Times New Roman"/>
              </w:rPr>
              <w:t>asemenea</w:t>
            </w:r>
            <w:proofErr w:type="spellEnd"/>
            <w:r w:rsidRPr="0060721D">
              <w:rPr>
                <w:rFonts w:ascii="Times New Roman" w:hAnsi="Times New Roman"/>
              </w:rPr>
              <w:t xml:space="preserve">, </w:t>
            </w:r>
            <w:proofErr w:type="spellStart"/>
            <w:r w:rsidRPr="0060721D">
              <w:rPr>
                <w:rFonts w:ascii="Times New Roman" w:hAnsi="Times New Roman"/>
              </w:rPr>
              <w:t>sursele</w:t>
            </w:r>
            <w:proofErr w:type="spellEnd"/>
            <w:r w:rsidRPr="0060721D">
              <w:rPr>
                <w:rFonts w:ascii="Times New Roman" w:hAnsi="Times New Roman"/>
              </w:rPr>
              <w:t xml:space="preserve"> </w:t>
            </w:r>
            <w:proofErr w:type="spellStart"/>
            <w:r w:rsidRPr="0060721D">
              <w:rPr>
                <w:rFonts w:ascii="Times New Roman" w:hAnsi="Times New Roman"/>
              </w:rPr>
              <w:t>tehnologice</w:t>
            </w:r>
            <w:proofErr w:type="spellEnd"/>
            <w:r w:rsidRPr="0060721D">
              <w:rPr>
                <w:rFonts w:ascii="Times New Roman" w:hAnsi="Times New Roman"/>
              </w:rPr>
              <w:t xml:space="preserve"> de </w:t>
            </w:r>
            <w:proofErr w:type="spellStart"/>
            <w:r w:rsidRPr="0060721D">
              <w:rPr>
                <w:rFonts w:ascii="Times New Roman" w:hAnsi="Times New Roman"/>
              </w:rPr>
              <w:t>energie</w:t>
            </w:r>
            <w:proofErr w:type="spellEnd"/>
            <w:r w:rsidRPr="0060721D">
              <w:rPr>
                <w:rFonts w:ascii="Times New Roman" w:hAnsi="Times New Roman"/>
              </w:rPr>
              <w:t xml:space="preserve"> </w:t>
            </w:r>
            <w:proofErr w:type="spellStart"/>
            <w:r w:rsidRPr="0060721D">
              <w:rPr>
                <w:rFonts w:ascii="Times New Roman" w:hAnsi="Times New Roman"/>
              </w:rPr>
              <w:t>termică</w:t>
            </w:r>
            <w:proofErr w:type="spellEnd"/>
            <w:r w:rsidRPr="0060721D">
              <w:rPr>
                <w:rFonts w:ascii="Times New Roman" w:hAnsi="Times New Roman"/>
              </w:rPr>
              <w:t xml:space="preserve">. </w:t>
            </w:r>
            <w:proofErr w:type="spellStart"/>
            <w:r w:rsidRPr="0060721D">
              <w:rPr>
                <w:rFonts w:ascii="Times New Roman" w:hAnsi="Times New Roman"/>
              </w:rPr>
              <w:t>Pompele</w:t>
            </w:r>
            <w:proofErr w:type="spellEnd"/>
            <w:r w:rsidRPr="0060721D">
              <w:rPr>
                <w:rFonts w:ascii="Times New Roman" w:hAnsi="Times New Roman"/>
              </w:rPr>
              <w:t xml:space="preserve"> de </w:t>
            </w:r>
            <w:proofErr w:type="spellStart"/>
            <w:r w:rsidRPr="0060721D">
              <w:rPr>
                <w:rFonts w:ascii="Times New Roman" w:hAnsi="Times New Roman"/>
              </w:rPr>
              <w:t>căldură</w:t>
            </w:r>
            <w:proofErr w:type="spellEnd"/>
            <w:r w:rsidRPr="0060721D">
              <w:rPr>
                <w:rFonts w:ascii="Times New Roman" w:hAnsi="Times New Roman"/>
              </w:rPr>
              <w:t xml:space="preserve"> </w:t>
            </w:r>
            <w:proofErr w:type="spellStart"/>
            <w:r w:rsidRPr="0060721D">
              <w:rPr>
                <w:rFonts w:ascii="Times New Roman" w:hAnsi="Times New Roman"/>
              </w:rPr>
              <w:t>folosesc</w:t>
            </w:r>
            <w:proofErr w:type="spellEnd"/>
            <w:r w:rsidRPr="0060721D">
              <w:rPr>
                <w:rFonts w:ascii="Times New Roman" w:hAnsi="Times New Roman"/>
              </w:rPr>
              <w:t xml:space="preserve"> 1 kWh </w:t>
            </w:r>
            <w:proofErr w:type="spellStart"/>
            <w:r w:rsidRPr="0060721D">
              <w:rPr>
                <w:rFonts w:ascii="Times New Roman" w:hAnsi="Times New Roman"/>
              </w:rPr>
              <w:t>energie</w:t>
            </w:r>
            <w:proofErr w:type="spellEnd"/>
            <w:r w:rsidRPr="0060721D">
              <w:rPr>
                <w:rFonts w:ascii="Times New Roman" w:hAnsi="Times New Roman"/>
              </w:rPr>
              <w:t xml:space="preserve"> </w:t>
            </w:r>
            <w:proofErr w:type="spellStart"/>
            <w:r w:rsidRPr="0060721D">
              <w:rPr>
                <w:rFonts w:ascii="Times New Roman" w:hAnsi="Times New Roman"/>
              </w:rPr>
              <w:t>electrică</w:t>
            </w:r>
            <w:proofErr w:type="spellEnd"/>
            <w:r w:rsidRPr="0060721D">
              <w:rPr>
                <w:rFonts w:ascii="Times New Roman" w:hAnsi="Times New Roman"/>
              </w:rPr>
              <w:t xml:space="preserve"> </w:t>
            </w:r>
            <w:proofErr w:type="spellStart"/>
            <w:r w:rsidRPr="0060721D">
              <w:rPr>
                <w:rFonts w:ascii="Times New Roman" w:hAnsi="Times New Roman"/>
              </w:rPr>
              <w:t>pentru</w:t>
            </w:r>
            <w:proofErr w:type="spellEnd"/>
            <w:r w:rsidRPr="0060721D">
              <w:rPr>
                <w:rFonts w:ascii="Times New Roman" w:hAnsi="Times New Roman"/>
              </w:rPr>
              <w:t xml:space="preserve"> a </w:t>
            </w:r>
            <w:proofErr w:type="spellStart"/>
            <w:r w:rsidRPr="0060721D">
              <w:rPr>
                <w:rFonts w:ascii="Times New Roman" w:hAnsi="Times New Roman"/>
              </w:rPr>
              <w:t>obţine</w:t>
            </w:r>
            <w:proofErr w:type="spellEnd"/>
            <w:r w:rsidRPr="0060721D">
              <w:rPr>
                <w:rFonts w:ascii="Times New Roman" w:hAnsi="Times New Roman"/>
              </w:rPr>
              <w:t xml:space="preserve"> de la 3 la 5 kWh de </w:t>
            </w:r>
            <w:proofErr w:type="spellStart"/>
            <w:r w:rsidRPr="0060721D">
              <w:rPr>
                <w:rFonts w:ascii="Times New Roman" w:hAnsi="Times New Roman"/>
              </w:rPr>
              <w:t>căldură</w:t>
            </w:r>
            <w:proofErr w:type="spellEnd"/>
            <w:r w:rsidRPr="0060721D">
              <w:rPr>
                <w:rFonts w:ascii="Times New Roman" w:hAnsi="Times New Roman"/>
              </w:rPr>
              <w:t xml:space="preserve"> </w:t>
            </w:r>
          </w:p>
        </w:tc>
        <w:tc>
          <w:tcPr>
            <w:tcW w:w="1882" w:type="dxa"/>
            <w:gridSpan w:val="3"/>
            <w:hideMark/>
          </w:tcPr>
          <w:p w14:paraId="7727259D" w14:textId="77777777" w:rsidR="0060721D" w:rsidRPr="0060721D" w:rsidRDefault="0060721D" w:rsidP="0060721D">
            <w:pPr>
              <w:jc w:val="center"/>
              <w:rPr>
                <w:rFonts w:ascii="Times New Roman" w:hAnsi="Times New Roman"/>
              </w:rPr>
            </w:pPr>
            <w:r w:rsidRPr="0060721D">
              <w:rPr>
                <w:rFonts w:ascii="Times New Roman" w:hAnsi="Times New Roman"/>
              </w:rPr>
              <w:t xml:space="preserve">≈ 2,7 % din </w:t>
            </w:r>
            <w:proofErr w:type="spellStart"/>
            <w:r w:rsidRPr="0060721D">
              <w:rPr>
                <w:rFonts w:ascii="Times New Roman" w:hAnsi="Times New Roman"/>
              </w:rPr>
              <w:t>necesarul</w:t>
            </w:r>
            <w:proofErr w:type="spellEnd"/>
            <w:r w:rsidRPr="0060721D">
              <w:rPr>
                <w:rFonts w:ascii="Times New Roman" w:hAnsi="Times New Roman"/>
              </w:rPr>
              <w:t xml:space="preserve"> de </w:t>
            </w:r>
            <w:proofErr w:type="spellStart"/>
            <w:r w:rsidRPr="0060721D">
              <w:rPr>
                <w:rFonts w:ascii="Times New Roman" w:hAnsi="Times New Roman"/>
              </w:rPr>
              <w:t>energie</w:t>
            </w:r>
            <w:proofErr w:type="spellEnd"/>
            <w:r w:rsidRPr="0060721D">
              <w:rPr>
                <w:rFonts w:ascii="Times New Roman" w:hAnsi="Times New Roman"/>
              </w:rPr>
              <w:t xml:space="preserve"> </w:t>
            </w:r>
            <w:proofErr w:type="spellStart"/>
            <w:r w:rsidRPr="0060721D">
              <w:rPr>
                <w:rFonts w:ascii="Times New Roman" w:hAnsi="Times New Roman"/>
              </w:rPr>
              <w:t>termică</w:t>
            </w:r>
            <w:proofErr w:type="spellEnd"/>
            <w:r w:rsidRPr="0060721D">
              <w:rPr>
                <w:rFonts w:ascii="Times New Roman" w:hAnsi="Times New Roman"/>
              </w:rPr>
              <w:t xml:space="preserve"> </w:t>
            </w:r>
            <w:proofErr w:type="spellStart"/>
            <w:r w:rsidRPr="0060721D">
              <w:rPr>
                <w:rFonts w:ascii="Times New Roman" w:hAnsi="Times New Roman"/>
              </w:rPr>
              <w:t>pînă</w:t>
            </w:r>
            <w:proofErr w:type="spellEnd"/>
            <w:r w:rsidRPr="0060721D">
              <w:rPr>
                <w:rFonts w:ascii="Times New Roman" w:hAnsi="Times New Roman"/>
              </w:rPr>
              <w:t xml:space="preserve"> </w:t>
            </w:r>
            <w:proofErr w:type="spellStart"/>
            <w:r w:rsidRPr="0060721D">
              <w:rPr>
                <w:rFonts w:ascii="Times New Roman" w:hAnsi="Times New Roman"/>
              </w:rPr>
              <w:t>în</w:t>
            </w:r>
            <w:proofErr w:type="spellEnd"/>
            <w:r w:rsidRPr="0060721D">
              <w:rPr>
                <w:rFonts w:ascii="Times New Roman" w:hAnsi="Times New Roman"/>
              </w:rPr>
              <w:t xml:space="preserve">  </w:t>
            </w:r>
            <w:proofErr w:type="spellStart"/>
            <w:r w:rsidRPr="0060721D">
              <w:rPr>
                <w:rFonts w:ascii="Times New Roman" w:hAnsi="Times New Roman"/>
              </w:rPr>
              <w:t>anul</w:t>
            </w:r>
            <w:proofErr w:type="spellEnd"/>
            <w:r w:rsidRPr="0060721D">
              <w:rPr>
                <w:rFonts w:ascii="Times New Roman" w:hAnsi="Times New Roman"/>
              </w:rPr>
              <w:t xml:space="preserve"> 2030</w:t>
            </w:r>
          </w:p>
        </w:tc>
        <w:tc>
          <w:tcPr>
            <w:tcW w:w="1440" w:type="dxa"/>
            <w:gridSpan w:val="2"/>
            <w:hideMark/>
          </w:tcPr>
          <w:p w14:paraId="33DAEF79" w14:textId="77777777" w:rsidR="0060721D" w:rsidRPr="0060721D" w:rsidRDefault="0060721D" w:rsidP="0060721D">
            <w:pPr>
              <w:jc w:val="center"/>
              <w:rPr>
                <w:rFonts w:ascii="Times New Roman" w:hAnsi="Times New Roman"/>
              </w:rPr>
            </w:pPr>
            <w:r w:rsidRPr="0060721D">
              <w:rPr>
                <w:rFonts w:ascii="Times New Roman" w:hAnsi="Times New Roman"/>
              </w:rPr>
              <w:t xml:space="preserve">≈ 4,3 % din </w:t>
            </w:r>
            <w:proofErr w:type="spellStart"/>
            <w:r w:rsidRPr="0060721D">
              <w:rPr>
                <w:rFonts w:ascii="Times New Roman" w:hAnsi="Times New Roman"/>
              </w:rPr>
              <w:t>necesarul</w:t>
            </w:r>
            <w:proofErr w:type="spellEnd"/>
            <w:r w:rsidRPr="0060721D">
              <w:rPr>
                <w:rFonts w:ascii="Times New Roman" w:hAnsi="Times New Roman"/>
              </w:rPr>
              <w:t xml:space="preserve"> de </w:t>
            </w:r>
            <w:proofErr w:type="spellStart"/>
            <w:r w:rsidRPr="0060721D">
              <w:rPr>
                <w:rFonts w:ascii="Times New Roman" w:hAnsi="Times New Roman"/>
              </w:rPr>
              <w:t>energie</w:t>
            </w:r>
            <w:proofErr w:type="spellEnd"/>
            <w:r w:rsidRPr="0060721D">
              <w:rPr>
                <w:rFonts w:ascii="Times New Roman" w:hAnsi="Times New Roman"/>
              </w:rPr>
              <w:t xml:space="preserve"> </w:t>
            </w:r>
            <w:proofErr w:type="spellStart"/>
            <w:r w:rsidRPr="0060721D">
              <w:rPr>
                <w:rFonts w:ascii="Times New Roman" w:hAnsi="Times New Roman"/>
              </w:rPr>
              <w:t>termică</w:t>
            </w:r>
            <w:proofErr w:type="spellEnd"/>
            <w:r w:rsidRPr="0060721D">
              <w:rPr>
                <w:rFonts w:ascii="Times New Roman" w:hAnsi="Times New Roman"/>
              </w:rPr>
              <w:t xml:space="preserve"> </w:t>
            </w:r>
            <w:proofErr w:type="spellStart"/>
            <w:r w:rsidRPr="0060721D">
              <w:rPr>
                <w:rFonts w:ascii="Times New Roman" w:hAnsi="Times New Roman"/>
              </w:rPr>
              <w:t>pînă</w:t>
            </w:r>
            <w:proofErr w:type="spellEnd"/>
            <w:r w:rsidRPr="0060721D">
              <w:rPr>
                <w:rFonts w:ascii="Times New Roman" w:hAnsi="Times New Roman"/>
              </w:rPr>
              <w:t xml:space="preserve"> </w:t>
            </w:r>
            <w:proofErr w:type="spellStart"/>
            <w:r w:rsidRPr="0060721D">
              <w:rPr>
                <w:rFonts w:ascii="Times New Roman" w:hAnsi="Times New Roman"/>
              </w:rPr>
              <w:t>în</w:t>
            </w:r>
            <w:proofErr w:type="spellEnd"/>
            <w:r w:rsidRPr="0060721D">
              <w:rPr>
                <w:rFonts w:ascii="Times New Roman" w:hAnsi="Times New Roman"/>
              </w:rPr>
              <w:t xml:space="preserve">  </w:t>
            </w:r>
            <w:proofErr w:type="spellStart"/>
            <w:r w:rsidRPr="0060721D">
              <w:rPr>
                <w:rFonts w:ascii="Times New Roman" w:hAnsi="Times New Roman"/>
              </w:rPr>
              <w:t>anul</w:t>
            </w:r>
            <w:proofErr w:type="spellEnd"/>
            <w:r w:rsidRPr="0060721D">
              <w:rPr>
                <w:rFonts w:ascii="Times New Roman" w:hAnsi="Times New Roman"/>
              </w:rPr>
              <w:t xml:space="preserve"> 2030</w:t>
            </w:r>
          </w:p>
        </w:tc>
        <w:tc>
          <w:tcPr>
            <w:tcW w:w="3429" w:type="dxa"/>
            <w:gridSpan w:val="2"/>
            <w:hideMark/>
          </w:tcPr>
          <w:p w14:paraId="7121BD1C" w14:textId="77777777" w:rsidR="0060721D" w:rsidRPr="0060721D" w:rsidRDefault="0060721D" w:rsidP="0060721D">
            <w:pPr>
              <w:jc w:val="center"/>
              <w:rPr>
                <w:rFonts w:ascii="Times New Roman" w:hAnsi="Times New Roman"/>
              </w:rPr>
            </w:pPr>
            <w:r w:rsidRPr="0060721D">
              <w:rPr>
                <w:rFonts w:ascii="Times New Roman" w:hAnsi="Times New Roman"/>
              </w:rPr>
              <w:t>34 720 tone CO2</w:t>
            </w:r>
          </w:p>
        </w:tc>
        <w:tc>
          <w:tcPr>
            <w:tcW w:w="1502" w:type="dxa"/>
            <w:gridSpan w:val="2"/>
            <w:hideMark/>
          </w:tcPr>
          <w:p w14:paraId="3660D84E" w14:textId="77777777" w:rsidR="0060721D" w:rsidRPr="0060721D" w:rsidRDefault="0060721D" w:rsidP="0060721D">
            <w:pPr>
              <w:jc w:val="center"/>
              <w:rPr>
                <w:rFonts w:ascii="Times New Roman" w:hAnsi="Times New Roman"/>
              </w:rPr>
            </w:pPr>
            <w:r w:rsidRPr="0060721D">
              <w:rPr>
                <w:rFonts w:ascii="Times New Roman" w:hAnsi="Times New Roman"/>
              </w:rPr>
              <w:t>46 290 tone CO2</w:t>
            </w:r>
          </w:p>
        </w:tc>
      </w:tr>
      <w:tr w:rsidR="00F11CCD" w:rsidRPr="0060721D" w14:paraId="4DBC814D" w14:textId="77777777" w:rsidTr="00F11CCD">
        <w:trPr>
          <w:divId w:val="546725049"/>
          <w:trHeight w:val="2475"/>
        </w:trPr>
        <w:tc>
          <w:tcPr>
            <w:tcW w:w="500" w:type="dxa"/>
            <w:hideMark/>
          </w:tcPr>
          <w:p w14:paraId="6D357578" w14:textId="77777777" w:rsidR="0060721D" w:rsidRPr="0060721D" w:rsidRDefault="0060721D" w:rsidP="0060721D">
            <w:pPr>
              <w:jc w:val="center"/>
              <w:rPr>
                <w:rFonts w:ascii="Times New Roman" w:eastAsia="Times New Roman" w:hAnsi="Times New Roman"/>
                <w:lang w:val="ro-RO" w:eastAsia="ru-RU"/>
              </w:rPr>
            </w:pPr>
            <w:r w:rsidRPr="0060721D">
              <w:rPr>
                <w:rFonts w:ascii="Times New Roman" w:eastAsia="Times New Roman" w:hAnsi="Times New Roman"/>
                <w:lang w:eastAsia="ru-RU"/>
              </w:rPr>
              <w:lastRenderedPageBreak/>
              <w:t>3,7</w:t>
            </w:r>
          </w:p>
        </w:tc>
        <w:tc>
          <w:tcPr>
            <w:tcW w:w="3437" w:type="dxa"/>
            <w:gridSpan w:val="2"/>
            <w:hideMark/>
          </w:tcPr>
          <w:p w14:paraId="36E87FF2" w14:textId="77777777" w:rsidR="0060721D" w:rsidRPr="0060721D" w:rsidRDefault="0060721D" w:rsidP="0060721D">
            <w:pPr>
              <w:rPr>
                <w:rFonts w:ascii="Times New Roman" w:hAnsi="Times New Roman"/>
              </w:rPr>
            </w:pPr>
            <w:proofErr w:type="spellStart"/>
            <w:r w:rsidRPr="0060721D">
              <w:rPr>
                <w:rFonts w:ascii="Times New Roman" w:eastAsia="Times New Roman" w:hAnsi="Times New Roman"/>
                <w:lang w:eastAsia="ru-RU"/>
              </w:rPr>
              <w:t>Valorificarea</w:t>
            </w:r>
            <w:proofErr w:type="spellEnd"/>
            <w:r w:rsidRPr="0060721D">
              <w:rPr>
                <w:rFonts w:ascii="Times New Roman" w:eastAsia="Times New Roman" w:hAnsi="Times New Roman"/>
                <w:lang w:eastAsia="ru-RU"/>
              </w:rPr>
              <w:t xml:space="preserve"> </w:t>
            </w:r>
            <w:proofErr w:type="spellStart"/>
            <w:r w:rsidRPr="0060721D">
              <w:rPr>
                <w:rFonts w:ascii="Times New Roman" w:eastAsia="Times New Roman" w:hAnsi="Times New Roman"/>
                <w:lang w:eastAsia="ru-RU"/>
              </w:rPr>
              <w:t>energiei</w:t>
            </w:r>
            <w:proofErr w:type="spellEnd"/>
            <w:r w:rsidRPr="0060721D">
              <w:rPr>
                <w:rFonts w:ascii="Times New Roman" w:eastAsia="Times New Roman" w:hAnsi="Times New Roman"/>
                <w:lang w:eastAsia="ru-RU"/>
              </w:rPr>
              <w:t xml:space="preserve"> </w:t>
            </w:r>
            <w:proofErr w:type="spellStart"/>
            <w:r w:rsidRPr="0060721D">
              <w:rPr>
                <w:rFonts w:ascii="Times New Roman" w:eastAsia="Times New Roman" w:hAnsi="Times New Roman"/>
                <w:lang w:eastAsia="ru-RU"/>
              </w:rPr>
              <w:t>solare</w:t>
            </w:r>
            <w:proofErr w:type="spellEnd"/>
            <w:r w:rsidRPr="0060721D">
              <w:rPr>
                <w:rFonts w:ascii="Times New Roman" w:eastAsia="Times New Roman" w:hAnsi="Times New Roman"/>
                <w:lang w:eastAsia="ru-RU"/>
              </w:rPr>
              <w:t xml:space="preserve"> </w:t>
            </w:r>
            <w:proofErr w:type="spellStart"/>
            <w:r w:rsidRPr="0060721D">
              <w:rPr>
                <w:rFonts w:ascii="Times New Roman" w:eastAsia="Times New Roman" w:hAnsi="Times New Roman"/>
                <w:lang w:eastAsia="ru-RU"/>
              </w:rPr>
              <w:t>pentru</w:t>
            </w:r>
            <w:proofErr w:type="spellEnd"/>
            <w:r w:rsidRPr="0060721D">
              <w:rPr>
                <w:rFonts w:ascii="Times New Roman" w:eastAsia="Times New Roman" w:hAnsi="Times New Roman"/>
                <w:lang w:eastAsia="ru-RU"/>
              </w:rPr>
              <w:t xml:space="preserve"> </w:t>
            </w:r>
            <w:proofErr w:type="spellStart"/>
            <w:r w:rsidRPr="0060721D">
              <w:rPr>
                <w:rFonts w:ascii="Times New Roman" w:eastAsia="Times New Roman" w:hAnsi="Times New Roman"/>
                <w:lang w:eastAsia="ru-RU"/>
              </w:rPr>
              <w:t>producerea</w:t>
            </w:r>
            <w:proofErr w:type="spellEnd"/>
            <w:r w:rsidRPr="0060721D">
              <w:rPr>
                <w:rFonts w:ascii="Times New Roman" w:eastAsia="Times New Roman" w:hAnsi="Times New Roman"/>
                <w:lang w:val="ro-RO" w:eastAsia="ru-RU"/>
              </w:rPr>
              <w:t xml:space="preserve"> </w:t>
            </w:r>
            <w:proofErr w:type="spellStart"/>
            <w:r w:rsidRPr="0060721D">
              <w:rPr>
                <w:rFonts w:ascii="Times New Roman" w:hAnsi="Times New Roman"/>
              </w:rPr>
              <w:t>apei</w:t>
            </w:r>
            <w:proofErr w:type="spellEnd"/>
            <w:r w:rsidRPr="0060721D">
              <w:rPr>
                <w:rFonts w:ascii="Times New Roman" w:hAnsi="Times New Roman"/>
              </w:rPr>
              <w:t xml:space="preserve"> </w:t>
            </w:r>
            <w:proofErr w:type="spellStart"/>
            <w:r w:rsidRPr="0060721D">
              <w:rPr>
                <w:rFonts w:ascii="Times New Roman" w:hAnsi="Times New Roman"/>
              </w:rPr>
              <w:t>calde</w:t>
            </w:r>
            <w:proofErr w:type="spellEnd"/>
            <w:r w:rsidRPr="0060721D">
              <w:rPr>
                <w:rFonts w:ascii="Times New Roman" w:hAnsi="Times New Roman"/>
              </w:rPr>
              <w:t xml:space="preserve"> </w:t>
            </w:r>
            <w:proofErr w:type="spellStart"/>
            <w:r w:rsidRPr="0060721D">
              <w:rPr>
                <w:rFonts w:ascii="Times New Roman" w:hAnsi="Times New Roman"/>
              </w:rPr>
              <w:t>menajere</w:t>
            </w:r>
            <w:proofErr w:type="spellEnd"/>
            <w:r w:rsidRPr="0060721D">
              <w:rPr>
                <w:rFonts w:ascii="Times New Roman" w:hAnsi="Times New Roman"/>
              </w:rPr>
              <w:t xml:space="preserve"> </w:t>
            </w:r>
            <w:proofErr w:type="spellStart"/>
            <w:r w:rsidRPr="0060721D">
              <w:rPr>
                <w:rFonts w:ascii="Times New Roman" w:hAnsi="Times New Roman"/>
              </w:rPr>
              <w:t>în</w:t>
            </w:r>
            <w:proofErr w:type="spellEnd"/>
            <w:r w:rsidRPr="0060721D">
              <w:rPr>
                <w:rFonts w:ascii="Times New Roman" w:hAnsi="Times New Roman"/>
              </w:rPr>
              <w:t xml:space="preserve"> </w:t>
            </w:r>
            <w:proofErr w:type="spellStart"/>
            <w:r w:rsidRPr="0060721D">
              <w:rPr>
                <w:rFonts w:ascii="Times New Roman" w:hAnsi="Times New Roman"/>
              </w:rPr>
              <w:t>localităţi</w:t>
            </w:r>
            <w:proofErr w:type="spellEnd"/>
            <w:r w:rsidRPr="0060721D">
              <w:rPr>
                <w:rFonts w:ascii="Times New Roman" w:hAnsi="Times New Roman"/>
              </w:rPr>
              <w:t xml:space="preserve"> urbane </w:t>
            </w:r>
            <w:proofErr w:type="spellStart"/>
            <w:r w:rsidRPr="0060721D">
              <w:rPr>
                <w:rFonts w:ascii="Times New Roman" w:hAnsi="Times New Roman"/>
              </w:rPr>
              <w:t>şi</w:t>
            </w:r>
            <w:proofErr w:type="spellEnd"/>
            <w:r w:rsidRPr="0060721D">
              <w:rPr>
                <w:rFonts w:ascii="Times New Roman" w:hAnsi="Times New Roman"/>
              </w:rPr>
              <w:t xml:space="preserve"> </w:t>
            </w:r>
            <w:proofErr w:type="spellStart"/>
            <w:r w:rsidRPr="0060721D">
              <w:rPr>
                <w:rFonts w:ascii="Times New Roman" w:hAnsi="Times New Roman"/>
              </w:rPr>
              <w:t>rurale</w:t>
            </w:r>
            <w:proofErr w:type="spellEnd"/>
            <w:r w:rsidRPr="0060721D">
              <w:rPr>
                <w:rFonts w:ascii="Times New Roman" w:hAnsi="Times New Roman"/>
              </w:rPr>
              <w:t xml:space="preserve"> </w:t>
            </w:r>
            <w:proofErr w:type="spellStart"/>
            <w:r w:rsidRPr="0060721D">
              <w:rPr>
                <w:rFonts w:ascii="Times New Roman" w:hAnsi="Times New Roman"/>
              </w:rPr>
              <w:t>şi</w:t>
            </w:r>
            <w:proofErr w:type="spellEnd"/>
            <w:r w:rsidRPr="0060721D">
              <w:rPr>
                <w:rFonts w:ascii="Times New Roman" w:hAnsi="Times New Roman"/>
              </w:rPr>
              <w:t xml:space="preserve"> </w:t>
            </w:r>
            <w:proofErr w:type="spellStart"/>
            <w:r w:rsidRPr="0060721D">
              <w:rPr>
                <w:rFonts w:ascii="Times New Roman" w:hAnsi="Times New Roman"/>
              </w:rPr>
              <w:t>în</w:t>
            </w:r>
            <w:proofErr w:type="spellEnd"/>
            <w:r w:rsidRPr="0060721D">
              <w:rPr>
                <w:rFonts w:ascii="Times New Roman" w:hAnsi="Times New Roman"/>
              </w:rPr>
              <w:t xml:space="preserve"> </w:t>
            </w:r>
            <w:proofErr w:type="spellStart"/>
            <w:r w:rsidRPr="0060721D">
              <w:rPr>
                <w:rFonts w:ascii="Times New Roman" w:hAnsi="Times New Roman"/>
              </w:rPr>
              <w:t>cadrul</w:t>
            </w:r>
            <w:proofErr w:type="spellEnd"/>
            <w:r w:rsidRPr="0060721D">
              <w:rPr>
                <w:rFonts w:ascii="Times New Roman" w:hAnsi="Times New Roman"/>
              </w:rPr>
              <w:t xml:space="preserve"> </w:t>
            </w:r>
            <w:proofErr w:type="spellStart"/>
            <w:r w:rsidRPr="0060721D">
              <w:rPr>
                <w:rFonts w:ascii="Times New Roman" w:hAnsi="Times New Roman"/>
              </w:rPr>
              <w:t>întreprinderilor</w:t>
            </w:r>
            <w:proofErr w:type="spellEnd"/>
          </w:p>
        </w:tc>
        <w:tc>
          <w:tcPr>
            <w:tcW w:w="2211" w:type="dxa"/>
            <w:gridSpan w:val="2"/>
            <w:hideMark/>
          </w:tcPr>
          <w:p w14:paraId="10812A6D" w14:textId="77777777" w:rsidR="0060721D" w:rsidRPr="0060721D" w:rsidRDefault="0060721D" w:rsidP="0060721D">
            <w:pPr>
              <w:rPr>
                <w:rFonts w:ascii="Times New Roman" w:eastAsia="Times New Roman" w:hAnsi="Times New Roman"/>
                <w:lang w:val="es-ES" w:eastAsia="ru-RU"/>
              </w:rPr>
            </w:pPr>
            <w:r w:rsidRPr="0060721D">
              <w:rPr>
                <w:rFonts w:ascii="Times New Roman" w:eastAsia="Times New Roman" w:hAnsi="Times New Roman"/>
                <w:lang w:val="es-ES" w:eastAsia="ru-RU"/>
              </w:rPr>
              <w:t>Pentru producerea apei calde menajere pot fi utilizate cu succes panouri solare cu tuburi vidate. Vidarea tubului are ca efect o izolare perfectă a interiorului, fapt ce duce la minimizarea pierderilor de căldură şi creşterea eficienţei de absorbţie a radiaţiei. Tuburile vidate asigură preîncălzirea agentului termic în diapazon larg de temperaturi cu un randament sporit (pînă la 80 %). Durata de exploatare este de circa 20 de ani. Această măsură se recomandă, în deosebi, în cazul folosirii energiei electrice pentru producerea apei calde</w:t>
            </w:r>
          </w:p>
        </w:tc>
        <w:tc>
          <w:tcPr>
            <w:tcW w:w="1620" w:type="dxa"/>
            <w:gridSpan w:val="2"/>
            <w:hideMark/>
          </w:tcPr>
          <w:p w14:paraId="46456453" w14:textId="77777777" w:rsidR="0060721D" w:rsidRPr="0060721D" w:rsidRDefault="0060721D" w:rsidP="0060721D">
            <w:pPr>
              <w:jc w:val="center"/>
              <w:rPr>
                <w:rFonts w:ascii="Times New Roman" w:eastAsia="Times New Roman" w:hAnsi="Times New Roman"/>
                <w:lang w:val="es-ES" w:eastAsia="ru-RU"/>
              </w:rPr>
            </w:pPr>
            <w:r w:rsidRPr="0060721D">
              <w:rPr>
                <w:rFonts w:ascii="Times New Roman" w:eastAsia="Times New Roman" w:hAnsi="Times New Roman"/>
                <w:lang w:val="es-ES" w:eastAsia="ru-RU"/>
              </w:rPr>
              <w:t>Reducerea consumului cu 78 976 tone combustibil convențional până anul 2030</w:t>
            </w:r>
          </w:p>
        </w:tc>
        <w:tc>
          <w:tcPr>
            <w:tcW w:w="1440" w:type="dxa"/>
            <w:gridSpan w:val="2"/>
            <w:hideMark/>
          </w:tcPr>
          <w:p w14:paraId="6F269DFD" w14:textId="77777777" w:rsidR="0060721D" w:rsidRPr="0060721D" w:rsidRDefault="0060721D" w:rsidP="0060721D">
            <w:pPr>
              <w:jc w:val="center"/>
              <w:rPr>
                <w:rFonts w:ascii="Times New Roman" w:hAnsi="Times New Roman"/>
              </w:rPr>
            </w:pPr>
            <w:r w:rsidRPr="0060721D">
              <w:rPr>
                <w:rFonts w:ascii="Times New Roman" w:eastAsia="Times New Roman" w:hAnsi="Times New Roman"/>
                <w:lang w:val="es-ES" w:eastAsia="ru-RU"/>
              </w:rPr>
              <w:t>Reducerea</w:t>
            </w:r>
            <w:r w:rsidRPr="0060721D">
              <w:rPr>
                <w:rFonts w:ascii="Times New Roman" w:hAnsi="Times New Roman"/>
                <w:lang w:val="ro-RO"/>
              </w:rPr>
              <w:t xml:space="preserve"> </w:t>
            </w:r>
            <w:proofErr w:type="spellStart"/>
            <w:r w:rsidRPr="0060721D">
              <w:rPr>
                <w:rFonts w:ascii="Times New Roman" w:hAnsi="Times New Roman"/>
              </w:rPr>
              <w:t>consumului</w:t>
            </w:r>
            <w:proofErr w:type="spellEnd"/>
            <w:r w:rsidRPr="0060721D">
              <w:rPr>
                <w:rFonts w:ascii="Times New Roman" w:hAnsi="Times New Roman"/>
              </w:rPr>
              <w:t xml:space="preserve"> cu 34 130 tone </w:t>
            </w:r>
            <w:proofErr w:type="spellStart"/>
            <w:r w:rsidRPr="0060721D">
              <w:rPr>
                <w:rFonts w:ascii="Times New Roman" w:hAnsi="Times New Roman"/>
              </w:rPr>
              <w:t>combustibil</w:t>
            </w:r>
            <w:proofErr w:type="spellEnd"/>
            <w:r w:rsidRPr="0060721D">
              <w:rPr>
                <w:rFonts w:ascii="Times New Roman" w:hAnsi="Times New Roman"/>
              </w:rPr>
              <w:t xml:space="preserve"> </w:t>
            </w:r>
            <w:proofErr w:type="spellStart"/>
            <w:r w:rsidRPr="0060721D">
              <w:rPr>
                <w:rFonts w:ascii="Times New Roman" w:hAnsi="Times New Roman"/>
              </w:rPr>
              <w:t>convențional</w:t>
            </w:r>
            <w:proofErr w:type="spellEnd"/>
            <w:r w:rsidRPr="0060721D">
              <w:rPr>
                <w:rFonts w:ascii="Times New Roman" w:hAnsi="Times New Roman"/>
              </w:rPr>
              <w:t xml:space="preserve"> </w:t>
            </w:r>
            <w:proofErr w:type="spellStart"/>
            <w:r w:rsidRPr="0060721D">
              <w:rPr>
                <w:rFonts w:ascii="Times New Roman" w:hAnsi="Times New Roman"/>
              </w:rPr>
              <w:t>până</w:t>
            </w:r>
            <w:proofErr w:type="spellEnd"/>
            <w:r w:rsidRPr="0060721D">
              <w:rPr>
                <w:rFonts w:ascii="Times New Roman" w:hAnsi="Times New Roman"/>
              </w:rPr>
              <w:t xml:space="preserve"> </w:t>
            </w:r>
            <w:proofErr w:type="spellStart"/>
            <w:r w:rsidRPr="0060721D">
              <w:rPr>
                <w:rFonts w:ascii="Times New Roman" w:hAnsi="Times New Roman"/>
              </w:rPr>
              <w:t>anul</w:t>
            </w:r>
            <w:proofErr w:type="spellEnd"/>
            <w:r w:rsidRPr="0060721D">
              <w:rPr>
                <w:rFonts w:ascii="Times New Roman" w:hAnsi="Times New Roman"/>
              </w:rPr>
              <w:t xml:space="preserve"> 2030</w:t>
            </w:r>
          </w:p>
        </w:tc>
        <w:tc>
          <w:tcPr>
            <w:tcW w:w="3429" w:type="dxa"/>
            <w:gridSpan w:val="2"/>
            <w:hideMark/>
          </w:tcPr>
          <w:p w14:paraId="3787EAF2" w14:textId="77777777" w:rsidR="0060721D" w:rsidRPr="0060721D" w:rsidRDefault="0060721D" w:rsidP="0060721D">
            <w:pPr>
              <w:jc w:val="center"/>
              <w:rPr>
                <w:rFonts w:ascii="Times New Roman" w:eastAsia="Times New Roman" w:hAnsi="Times New Roman"/>
                <w:lang w:eastAsia="ru-RU"/>
              </w:rPr>
            </w:pPr>
            <w:r w:rsidRPr="0060721D">
              <w:rPr>
                <w:rFonts w:ascii="Times New Roman" w:eastAsia="Times New Roman" w:hAnsi="Times New Roman"/>
                <w:lang w:eastAsia="ru-RU"/>
              </w:rPr>
              <w:t>130 174 tone CO2</w:t>
            </w:r>
          </w:p>
        </w:tc>
        <w:tc>
          <w:tcPr>
            <w:tcW w:w="1502" w:type="dxa"/>
            <w:gridSpan w:val="2"/>
            <w:hideMark/>
          </w:tcPr>
          <w:p w14:paraId="744D1F73" w14:textId="77777777" w:rsidR="0060721D" w:rsidRPr="0060721D" w:rsidRDefault="0060721D" w:rsidP="0060721D">
            <w:pPr>
              <w:jc w:val="center"/>
              <w:rPr>
                <w:rFonts w:ascii="Times New Roman" w:hAnsi="Times New Roman"/>
              </w:rPr>
            </w:pPr>
            <w:r w:rsidRPr="0060721D">
              <w:rPr>
                <w:rFonts w:ascii="Times New Roman" w:eastAsia="Times New Roman" w:hAnsi="Times New Roman"/>
                <w:lang w:eastAsia="ru-RU"/>
              </w:rPr>
              <w:t>56</w:t>
            </w:r>
            <w:r w:rsidRPr="0060721D">
              <w:rPr>
                <w:rFonts w:ascii="Times New Roman" w:hAnsi="Times New Roman"/>
                <w:lang w:val="ro-RO"/>
              </w:rPr>
              <w:t xml:space="preserve"> </w:t>
            </w:r>
            <w:r w:rsidRPr="0060721D">
              <w:rPr>
                <w:rFonts w:ascii="Times New Roman" w:hAnsi="Times New Roman"/>
              </w:rPr>
              <w:t>255 tone CO2</w:t>
            </w:r>
          </w:p>
        </w:tc>
      </w:tr>
      <w:tr w:rsidR="0060721D" w:rsidRPr="0060721D" w14:paraId="4DBB5892" w14:textId="77777777" w:rsidTr="00F11CCD">
        <w:trPr>
          <w:divId w:val="546725049"/>
          <w:trHeight w:val="1695"/>
        </w:trPr>
        <w:tc>
          <w:tcPr>
            <w:tcW w:w="500" w:type="dxa"/>
            <w:hideMark/>
          </w:tcPr>
          <w:p w14:paraId="53B950FF" w14:textId="77777777" w:rsidR="0060721D" w:rsidRPr="0060721D" w:rsidRDefault="0060721D" w:rsidP="0060721D">
            <w:pPr>
              <w:jc w:val="center"/>
              <w:rPr>
                <w:rFonts w:ascii="Times New Roman" w:eastAsia="Times New Roman" w:hAnsi="Times New Roman"/>
                <w:lang w:val="ro-RO" w:eastAsia="ru-RU"/>
              </w:rPr>
            </w:pPr>
            <w:r w:rsidRPr="0060721D">
              <w:rPr>
                <w:rFonts w:ascii="Times New Roman" w:eastAsia="Times New Roman" w:hAnsi="Times New Roman"/>
                <w:lang w:eastAsia="ru-RU"/>
              </w:rPr>
              <w:t>4</w:t>
            </w:r>
          </w:p>
        </w:tc>
        <w:tc>
          <w:tcPr>
            <w:tcW w:w="13639" w:type="dxa"/>
            <w:gridSpan w:val="12"/>
            <w:hideMark/>
          </w:tcPr>
          <w:p w14:paraId="0765214E" w14:textId="77777777" w:rsidR="0060721D" w:rsidRPr="0060721D" w:rsidRDefault="0060721D" w:rsidP="0060721D">
            <w:pPr>
              <w:rPr>
                <w:rFonts w:ascii="Times New Roman" w:hAnsi="Times New Roman"/>
                <w:b/>
                <w:bCs/>
              </w:rPr>
            </w:pPr>
            <w:r w:rsidRPr="0060721D">
              <w:rPr>
                <w:rFonts w:ascii="Times New Roman" w:eastAsia="Times New Roman" w:hAnsi="Times New Roman"/>
                <w:lang w:val="es-ES" w:eastAsia="ru-RU"/>
              </w:rPr>
              <w:t xml:space="preserve">Obiectivul specific 4. Reducerea necondiţionată, </w:t>
            </w:r>
            <w:proofErr w:type="spellStart"/>
            <w:r w:rsidRPr="0060721D">
              <w:rPr>
                <w:rFonts w:ascii="Times New Roman" w:eastAsia="Times New Roman" w:hAnsi="Times New Roman"/>
                <w:lang w:val="ro-RO" w:eastAsia="ru-RU"/>
              </w:rPr>
              <w:t>pînă</w:t>
            </w:r>
            <w:proofErr w:type="spellEnd"/>
            <w:r w:rsidRPr="0060721D">
              <w:rPr>
                <w:rFonts w:ascii="Times New Roman" w:hAnsi="Times New Roman"/>
              </w:rPr>
              <w:t xml:space="preserve"> </w:t>
            </w:r>
            <w:proofErr w:type="spellStart"/>
            <w:r w:rsidRPr="0060721D">
              <w:rPr>
                <w:rFonts w:ascii="Times New Roman" w:hAnsi="Times New Roman"/>
              </w:rPr>
              <w:t>în</w:t>
            </w:r>
            <w:proofErr w:type="spellEnd"/>
            <w:r w:rsidRPr="0060721D">
              <w:rPr>
                <w:rFonts w:ascii="Times New Roman" w:hAnsi="Times New Roman"/>
              </w:rPr>
              <w:t xml:space="preserve">  </w:t>
            </w:r>
            <w:proofErr w:type="spellStart"/>
            <w:r w:rsidRPr="0060721D">
              <w:rPr>
                <w:rFonts w:ascii="Times New Roman" w:hAnsi="Times New Roman"/>
              </w:rPr>
              <w:t>anul</w:t>
            </w:r>
            <w:proofErr w:type="spellEnd"/>
            <w:r w:rsidRPr="0060721D">
              <w:rPr>
                <w:rFonts w:ascii="Times New Roman" w:hAnsi="Times New Roman"/>
              </w:rPr>
              <w:t xml:space="preserve"> 2030, a </w:t>
            </w:r>
            <w:proofErr w:type="spellStart"/>
            <w:r w:rsidRPr="0060721D">
              <w:rPr>
                <w:rFonts w:ascii="Times New Roman" w:hAnsi="Times New Roman"/>
              </w:rPr>
              <w:t>emisiilor</w:t>
            </w:r>
            <w:proofErr w:type="spellEnd"/>
            <w:r w:rsidRPr="0060721D">
              <w:rPr>
                <w:rFonts w:ascii="Times New Roman" w:hAnsi="Times New Roman"/>
              </w:rPr>
              <w:t xml:space="preserve"> de gaze cu </w:t>
            </w:r>
            <w:proofErr w:type="spellStart"/>
            <w:r w:rsidRPr="0060721D">
              <w:rPr>
                <w:rFonts w:ascii="Times New Roman" w:hAnsi="Times New Roman"/>
              </w:rPr>
              <w:t>efect</w:t>
            </w:r>
            <w:proofErr w:type="spellEnd"/>
            <w:r w:rsidRPr="0060721D">
              <w:rPr>
                <w:rFonts w:ascii="Times New Roman" w:hAnsi="Times New Roman"/>
              </w:rPr>
              <w:t xml:space="preserve"> de </w:t>
            </w:r>
            <w:proofErr w:type="spellStart"/>
            <w:r w:rsidRPr="0060721D">
              <w:rPr>
                <w:rFonts w:ascii="Times New Roman" w:hAnsi="Times New Roman"/>
              </w:rPr>
              <w:t>seră</w:t>
            </w:r>
            <w:proofErr w:type="spellEnd"/>
            <w:r w:rsidRPr="0060721D">
              <w:rPr>
                <w:rFonts w:ascii="Times New Roman" w:hAnsi="Times New Roman"/>
              </w:rPr>
              <w:t xml:space="preserve"> </w:t>
            </w:r>
            <w:proofErr w:type="spellStart"/>
            <w:r w:rsidRPr="0060721D">
              <w:rPr>
                <w:rFonts w:ascii="Times New Roman" w:hAnsi="Times New Roman"/>
              </w:rPr>
              <w:t>provenite</w:t>
            </w:r>
            <w:proofErr w:type="spellEnd"/>
            <w:r w:rsidRPr="0060721D">
              <w:rPr>
                <w:rFonts w:ascii="Times New Roman" w:hAnsi="Times New Roman"/>
              </w:rPr>
              <w:t xml:space="preserve"> din </w:t>
            </w:r>
            <w:proofErr w:type="spellStart"/>
            <w:r w:rsidRPr="0060721D">
              <w:rPr>
                <w:rFonts w:ascii="Times New Roman" w:hAnsi="Times New Roman"/>
                <w:b/>
                <w:bCs/>
              </w:rPr>
              <w:t>sectorul</w:t>
            </w:r>
            <w:proofErr w:type="spellEnd"/>
            <w:r w:rsidRPr="0060721D">
              <w:rPr>
                <w:rFonts w:ascii="Times New Roman" w:hAnsi="Times New Roman"/>
                <w:b/>
                <w:bCs/>
              </w:rPr>
              <w:t xml:space="preserve"> industrial </w:t>
            </w:r>
            <w:r w:rsidRPr="0060721D">
              <w:rPr>
                <w:rFonts w:ascii="Times New Roman" w:hAnsi="Times New Roman"/>
              </w:rPr>
              <w:t xml:space="preserve">cu 27% </w:t>
            </w:r>
            <w:proofErr w:type="spellStart"/>
            <w:r w:rsidRPr="0060721D">
              <w:rPr>
                <w:rFonts w:ascii="Times New Roman" w:hAnsi="Times New Roman"/>
              </w:rPr>
              <w:t>şi</w:t>
            </w:r>
            <w:proofErr w:type="spellEnd"/>
            <w:r w:rsidRPr="0060721D">
              <w:rPr>
                <w:rFonts w:ascii="Times New Roman" w:hAnsi="Times New Roman"/>
              </w:rPr>
              <w:t xml:space="preserve"> </w:t>
            </w:r>
            <w:proofErr w:type="spellStart"/>
            <w:r w:rsidRPr="0060721D">
              <w:rPr>
                <w:rFonts w:ascii="Times New Roman" w:hAnsi="Times New Roman"/>
              </w:rPr>
              <w:t>reducerea</w:t>
            </w:r>
            <w:proofErr w:type="spellEnd"/>
            <w:r w:rsidRPr="0060721D">
              <w:rPr>
                <w:rFonts w:ascii="Times New Roman" w:hAnsi="Times New Roman"/>
              </w:rPr>
              <w:t xml:space="preserve"> de gaze cu </w:t>
            </w:r>
            <w:proofErr w:type="spellStart"/>
            <w:r w:rsidRPr="0060721D">
              <w:rPr>
                <w:rFonts w:ascii="Times New Roman" w:hAnsi="Times New Roman"/>
              </w:rPr>
              <w:t>efect</w:t>
            </w:r>
            <w:proofErr w:type="spellEnd"/>
            <w:r w:rsidRPr="0060721D">
              <w:rPr>
                <w:rFonts w:ascii="Times New Roman" w:hAnsi="Times New Roman"/>
              </w:rPr>
              <w:t xml:space="preserve"> de </w:t>
            </w:r>
            <w:proofErr w:type="spellStart"/>
            <w:r w:rsidRPr="0060721D">
              <w:rPr>
                <w:rFonts w:ascii="Times New Roman" w:hAnsi="Times New Roman"/>
              </w:rPr>
              <w:t>seră</w:t>
            </w:r>
            <w:proofErr w:type="spellEnd"/>
            <w:r w:rsidRPr="0060721D">
              <w:rPr>
                <w:rFonts w:ascii="Times New Roman" w:hAnsi="Times New Roman"/>
              </w:rPr>
              <w:t xml:space="preserve"> </w:t>
            </w:r>
            <w:proofErr w:type="spellStart"/>
            <w:r w:rsidRPr="0060721D">
              <w:rPr>
                <w:rFonts w:ascii="Times New Roman" w:hAnsi="Times New Roman"/>
              </w:rPr>
              <w:t>condiţionată</w:t>
            </w:r>
            <w:proofErr w:type="spellEnd"/>
            <w:r w:rsidRPr="0060721D">
              <w:rPr>
                <w:rFonts w:ascii="Times New Roman" w:hAnsi="Times New Roman"/>
              </w:rPr>
              <w:t xml:space="preserve"> </w:t>
            </w:r>
            <w:proofErr w:type="spellStart"/>
            <w:r w:rsidRPr="0060721D">
              <w:rPr>
                <w:rFonts w:ascii="Times New Roman" w:hAnsi="Times New Roman"/>
              </w:rPr>
              <w:t>pînă</w:t>
            </w:r>
            <w:proofErr w:type="spellEnd"/>
            <w:r w:rsidRPr="0060721D">
              <w:rPr>
                <w:rFonts w:ascii="Times New Roman" w:hAnsi="Times New Roman"/>
              </w:rPr>
              <w:t xml:space="preserve"> la 31% </w:t>
            </w:r>
            <w:proofErr w:type="spellStart"/>
            <w:r w:rsidRPr="0060721D">
              <w:rPr>
                <w:rFonts w:ascii="Times New Roman" w:hAnsi="Times New Roman"/>
              </w:rPr>
              <w:t>comparativ</w:t>
            </w:r>
            <w:proofErr w:type="spellEnd"/>
            <w:r w:rsidRPr="0060721D">
              <w:rPr>
                <w:rFonts w:ascii="Times New Roman" w:hAnsi="Times New Roman"/>
              </w:rPr>
              <w:t xml:space="preserve"> cu </w:t>
            </w:r>
            <w:proofErr w:type="spellStart"/>
            <w:r w:rsidRPr="0060721D">
              <w:rPr>
                <w:rFonts w:ascii="Times New Roman" w:hAnsi="Times New Roman"/>
              </w:rPr>
              <w:t>anul</w:t>
            </w:r>
            <w:proofErr w:type="spellEnd"/>
            <w:r w:rsidRPr="0060721D">
              <w:rPr>
                <w:rFonts w:ascii="Times New Roman" w:hAnsi="Times New Roman"/>
              </w:rPr>
              <w:t xml:space="preserve"> 1990</w:t>
            </w:r>
          </w:p>
        </w:tc>
      </w:tr>
      <w:tr w:rsidR="00F11CCD" w:rsidRPr="0060721D" w14:paraId="4AFA4959" w14:textId="77777777" w:rsidTr="00F11CCD">
        <w:trPr>
          <w:divId w:val="546725049"/>
          <w:trHeight w:val="2115"/>
        </w:trPr>
        <w:tc>
          <w:tcPr>
            <w:tcW w:w="500" w:type="dxa"/>
            <w:hideMark/>
          </w:tcPr>
          <w:p w14:paraId="2741AB76" w14:textId="77777777" w:rsidR="0060721D" w:rsidRPr="0060721D" w:rsidRDefault="0060721D" w:rsidP="0060721D">
            <w:pPr>
              <w:jc w:val="center"/>
              <w:rPr>
                <w:rFonts w:ascii="Times New Roman" w:eastAsia="Times New Roman" w:hAnsi="Times New Roman"/>
                <w:lang w:eastAsia="ru-RU"/>
              </w:rPr>
            </w:pPr>
            <w:r w:rsidRPr="0060721D">
              <w:rPr>
                <w:rFonts w:ascii="Times New Roman" w:eastAsia="Times New Roman" w:hAnsi="Times New Roman"/>
                <w:lang w:eastAsia="ru-RU"/>
              </w:rPr>
              <w:lastRenderedPageBreak/>
              <w:t>4,1</w:t>
            </w:r>
          </w:p>
        </w:tc>
        <w:tc>
          <w:tcPr>
            <w:tcW w:w="3437" w:type="dxa"/>
            <w:gridSpan w:val="2"/>
            <w:hideMark/>
          </w:tcPr>
          <w:p w14:paraId="1D5BA037" w14:textId="77777777" w:rsidR="0060721D" w:rsidRPr="0060721D" w:rsidRDefault="0060721D" w:rsidP="0060721D">
            <w:pPr>
              <w:rPr>
                <w:rFonts w:ascii="Times New Roman" w:eastAsia="Times New Roman" w:hAnsi="Times New Roman"/>
                <w:lang w:val="es-ES" w:eastAsia="ru-RU"/>
              </w:rPr>
            </w:pPr>
            <w:r w:rsidRPr="0060721D">
              <w:rPr>
                <w:rFonts w:ascii="Times New Roman" w:eastAsia="Times New Roman" w:hAnsi="Times New Roman"/>
                <w:lang w:val="es-ES" w:eastAsia="ru-RU"/>
              </w:rPr>
              <w:t>Implementarea sistemului de management energetic</w:t>
            </w:r>
          </w:p>
        </w:tc>
        <w:tc>
          <w:tcPr>
            <w:tcW w:w="2211" w:type="dxa"/>
            <w:gridSpan w:val="2"/>
            <w:hideMark/>
          </w:tcPr>
          <w:p w14:paraId="5F1E295B" w14:textId="77777777" w:rsidR="0060721D" w:rsidRPr="0060721D" w:rsidRDefault="0060721D" w:rsidP="0060721D">
            <w:pPr>
              <w:rPr>
                <w:rFonts w:ascii="Times New Roman" w:hAnsi="Times New Roman"/>
              </w:rPr>
            </w:pPr>
            <w:r w:rsidRPr="0060721D">
              <w:rPr>
                <w:rFonts w:ascii="Times New Roman" w:eastAsia="Times New Roman" w:hAnsi="Times New Roman"/>
                <w:lang w:val="es-ES" w:eastAsia="ru-RU"/>
              </w:rPr>
              <w:t>Sistemul de management energetic, introdus prin standardul ISO 50001, aprobat ca standard naţional în 2012, include colectarea, prelucrarea şi analiza datelor privind consumul tuturor formelor de energie şi a diferitor purtători de  energie pe puncte de consum al energiei (energie electrică, termică, răcire, aer  comprimat, gaze naturale, alţi combustibili etc.) şi informarea managementului de vîrf despre datele colectate  şi propunerea măsurilor de eliminare a risipei de energie, implementarea măsurilor adoptate, inclusiv monitorizarea rezultatelor obţinute. Practica întreprinderilor din Uniunea Europeană arată că implementarea sistemului de management energetic poate rezulta</w:t>
            </w:r>
            <w:r w:rsidRPr="0060721D">
              <w:rPr>
                <w:rFonts w:ascii="Times New Roman" w:eastAsia="Times New Roman" w:hAnsi="Times New Roman"/>
                <w:lang w:eastAsia="ru-RU"/>
              </w:rPr>
              <w:t xml:space="preserve"> </w:t>
            </w:r>
            <w:proofErr w:type="spellStart"/>
            <w:r w:rsidRPr="0060721D">
              <w:rPr>
                <w:rFonts w:ascii="Times New Roman" w:hAnsi="Times New Roman"/>
              </w:rPr>
              <w:t>în</w:t>
            </w:r>
            <w:proofErr w:type="spellEnd"/>
            <w:r w:rsidRPr="0060721D">
              <w:rPr>
                <w:rFonts w:ascii="Times New Roman" w:hAnsi="Times New Roman"/>
              </w:rPr>
              <w:t xml:space="preserve"> </w:t>
            </w:r>
            <w:proofErr w:type="spellStart"/>
            <w:r w:rsidRPr="0060721D">
              <w:rPr>
                <w:rFonts w:ascii="Times New Roman" w:hAnsi="Times New Roman"/>
              </w:rPr>
              <w:t>reducerea</w:t>
            </w:r>
            <w:proofErr w:type="spellEnd"/>
            <w:r w:rsidRPr="0060721D">
              <w:rPr>
                <w:rFonts w:ascii="Times New Roman" w:hAnsi="Times New Roman"/>
              </w:rPr>
              <w:t xml:space="preserve"> </w:t>
            </w:r>
            <w:proofErr w:type="spellStart"/>
            <w:r w:rsidRPr="0060721D">
              <w:rPr>
                <w:rFonts w:ascii="Times New Roman" w:hAnsi="Times New Roman"/>
              </w:rPr>
              <w:t>consumurilor</w:t>
            </w:r>
            <w:proofErr w:type="spellEnd"/>
            <w:r w:rsidRPr="0060721D">
              <w:rPr>
                <w:rFonts w:ascii="Times New Roman" w:hAnsi="Times New Roman"/>
              </w:rPr>
              <w:t xml:space="preserve"> de </w:t>
            </w:r>
            <w:proofErr w:type="spellStart"/>
            <w:r w:rsidRPr="0060721D">
              <w:rPr>
                <w:rFonts w:ascii="Times New Roman" w:hAnsi="Times New Roman"/>
              </w:rPr>
              <w:t>energie</w:t>
            </w:r>
            <w:proofErr w:type="spellEnd"/>
            <w:r w:rsidRPr="0060721D">
              <w:rPr>
                <w:rFonts w:ascii="Times New Roman" w:hAnsi="Times New Roman"/>
              </w:rPr>
              <w:t xml:space="preserve"> la </w:t>
            </w:r>
            <w:proofErr w:type="spellStart"/>
            <w:r w:rsidRPr="0060721D">
              <w:rPr>
                <w:rFonts w:ascii="Times New Roman" w:hAnsi="Times New Roman"/>
              </w:rPr>
              <w:t>întreprinderi</w:t>
            </w:r>
            <w:proofErr w:type="spellEnd"/>
            <w:r w:rsidRPr="0060721D">
              <w:rPr>
                <w:rFonts w:ascii="Times New Roman" w:hAnsi="Times New Roman"/>
              </w:rPr>
              <w:t xml:space="preserve"> cu circa 10-30% </w:t>
            </w:r>
          </w:p>
        </w:tc>
        <w:tc>
          <w:tcPr>
            <w:tcW w:w="1620" w:type="dxa"/>
            <w:gridSpan w:val="2"/>
            <w:hideMark/>
          </w:tcPr>
          <w:p w14:paraId="23257DEC" w14:textId="77777777" w:rsidR="0060721D" w:rsidRPr="0060721D" w:rsidRDefault="0060721D" w:rsidP="0060721D">
            <w:pPr>
              <w:jc w:val="center"/>
              <w:rPr>
                <w:rFonts w:ascii="Times New Roman" w:eastAsia="Times New Roman" w:hAnsi="Times New Roman"/>
                <w:lang w:eastAsia="ru-RU"/>
              </w:rPr>
            </w:pPr>
            <w:proofErr w:type="spellStart"/>
            <w:r w:rsidRPr="0060721D">
              <w:rPr>
                <w:rFonts w:ascii="Times New Roman" w:eastAsia="Times New Roman" w:hAnsi="Times New Roman"/>
                <w:lang w:eastAsia="ru-RU"/>
              </w:rPr>
              <w:t>Implementarea</w:t>
            </w:r>
            <w:proofErr w:type="spellEnd"/>
            <w:r w:rsidRPr="0060721D">
              <w:rPr>
                <w:rFonts w:ascii="Times New Roman" w:eastAsia="Times New Roman" w:hAnsi="Times New Roman"/>
                <w:lang w:eastAsia="ru-RU"/>
              </w:rPr>
              <w:t xml:space="preserve"> </w:t>
            </w:r>
            <w:proofErr w:type="spellStart"/>
            <w:r w:rsidRPr="0060721D">
              <w:rPr>
                <w:rFonts w:ascii="Times New Roman" w:eastAsia="Times New Roman" w:hAnsi="Times New Roman"/>
                <w:lang w:eastAsia="ru-RU"/>
              </w:rPr>
              <w:t>în</w:t>
            </w:r>
            <w:proofErr w:type="spellEnd"/>
            <w:r w:rsidRPr="0060721D">
              <w:rPr>
                <w:rFonts w:ascii="Times New Roman" w:eastAsia="Times New Roman" w:hAnsi="Times New Roman"/>
                <w:lang w:eastAsia="ru-RU"/>
              </w:rPr>
              <w:t xml:space="preserve"> 15% din </w:t>
            </w:r>
            <w:proofErr w:type="spellStart"/>
            <w:r w:rsidRPr="0060721D">
              <w:rPr>
                <w:rFonts w:ascii="Times New Roman" w:eastAsia="Times New Roman" w:hAnsi="Times New Roman"/>
                <w:lang w:eastAsia="ru-RU"/>
              </w:rPr>
              <w:t>întreprinderi</w:t>
            </w:r>
            <w:proofErr w:type="spellEnd"/>
            <w:r w:rsidRPr="0060721D">
              <w:rPr>
                <w:rFonts w:ascii="Times New Roman" w:eastAsia="Times New Roman" w:hAnsi="Times New Roman"/>
                <w:lang w:eastAsia="ru-RU"/>
              </w:rPr>
              <w:t xml:space="preserve"> </w:t>
            </w:r>
            <w:proofErr w:type="spellStart"/>
            <w:r w:rsidRPr="0060721D">
              <w:rPr>
                <w:rFonts w:ascii="Times New Roman" w:eastAsia="Times New Roman" w:hAnsi="Times New Roman"/>
                <w:lang w:eastAsia="ru-RU"/>
              </w:rPr>
              <w:t>şi</w:t>
            </w:r>
            <w:proofErr w:type="spellEnd"/>
            <w:r w:rsidRPr="0060721D">
              <w:rPr>
                <w:rFonts w:ascii="Times New Roman" w:eastAsia="Times New Roman" w:hAnsi="Times New Roman"/>
                <w:lang w:eastAsia="ru-RU"/>
              </w:rPr>
              <w:t xml:space="preserve"> </w:t>
            </w:r>
            <w:proofErr w:type="spellStart"/>
            <w:r w:rsidRPr="0060721D">
              <w:rPr>
                <w:rFonts w:ascii="Times New Roman" w:eastAsia="Times New Roman" w:hAnsi="Times New Roman"/>
                <w:lang w:eastAsia="ru-RU"/>
              </w:rPr>
              <w:t>organizaţii</w:t>
            </w:r>
            <w:proofErr w:type="spellEnd"/>
            <w:r w:rsidRPr="0060721D">
              <w:rPr>
                <w:rFonts w:ascii="Times New Roman" w:eastAsia="Times New Roman" w:hAnsi="Times New Roman"/>
                <w:lang w:eastAsia="ru-RU"/>
              </w:rPr>
              <w:t xml:space="preserve"> duce la </w:t>
            </w:r>
            <w:proofErr w:type="spellStart"/>
            <w:r w:rsidRPr="0060721D">
              <w:rPr>
                <w:rFonts w:ascii="Times New Roman" w:eastAsia="Times New Roman" w:hAnsi="Times New Roman"/>
                <w:lang w:eastAsia="ru-RU"/>
              </w:rPr>
              <w:t>reducerea</w:t>
            </w:r>
            <w:proofErr w:type="spellEnd"/>
            <w:r w:rsidRPr="0060721D">
              <w:rPr>
                <w:rFonts w:ascii="Times New Roman" w:eastAsia="Times New Roman" w:hAnsi="Times New Roman"/>
                <w:lang w:eastAsia="ru-RU"/>
              </w:rPr>
              <w:t xml:space="preserve"> </w:t>
            </w:r>
            <w:proofErr w:type="spellStart"/>
            <w:r w:rsidRPr="0060721D">
              <w:rPr>
                <w:rFonts w:ascii="Times New Roman" w:eastAsia="Times New Roman" w:hAnsi="Times New Roman"/>
                <w:lang w:eastAsia="ru-RU"/>
              </w:rPr>
              <w:t>consumului</w:t>
            </w:r>
            <w:proofErr w:type="spellEnd"/>
            <w:r w:rsidRPr="0060721D">
              <w:rPr>
                <w:rFonts w:ascii="Times New Roman" w:eastAsia="Times New Roman" w:hAnsi="Times New Roman"/>
                <w:lang w:eastAsia="ru-RU"/>
              </w:rPr>
              <w:t xml:space="preserve"> de </w:t>
            </w:r>
            <w:proofErr w:type="spellStart"/>
            <w:r w:rsidRPr="0060721D">
              <w:rPr>
                <w:rFonts w:ascii="Times New Roman" w:eastAsia="Times New Roman" w:hAnsi="Times New Roman"/>
                <w:lang w:eastAsia="ru-RU"/>
              </w:rPr>
              <w:t>energie</w:t>
            </w:r>
            <w:proofErr w:type="spellEnd"/>
            <w:r w:rsidRPr="0060721D">
              <w:rPr>
                <w:rFonts w:ascii="Times New Roman" w:eastAsia="Times New Roman" w:hAnsi="Times New Roman"/>
                <w:lang w:eastAsia="ru-RU"/>
              </w:rPr>
              <w:t xml:space="preserve"> </w:t>
            </w:r>
            <w:proofErr w:type="spellStart"/>
            <w:r w:rsidRPr="0060721D">
              <w:rPr>
                <w:rFonts w:ascii="Times New Roman" w:eastAsia="Times New Roman" w:hAnsi="Times New Roman"/>
                <w:lang w:eastAsia="ru-RU"/>
              </w:rPr>
              <w:t>în</w:t>
            </w:r>
            <w:proofErr w:type="spellEnd"/>
            <w:r w:rsidRPr="0060721D">
              <w:rPr>
                <w:rFonts w:ascii="Times New Roman" w:eastAsia="Times New Roman" w:hAnsi="Times New Roman"/>
                <w:lang w:eastAsia="ru-RU"/>
              </w:rPr>
              <w:t xml:space="preserve"> 2030 cu 2%, </w:t>
            </w:r>
            <w:proofErr w:type="spellStart"/>
            <w:r w:rsidRPr="0060721D">
              <w:rPr>
                <w:rFonts w:ascii="Times New Roman" w:eastAsia="Times New Roman" w:hAnsi="Times New Roman"/>
                <w:lang w:eastAsia="ru-RU"/>
              </w:rPr>
              <w:t>echivalent</w:t>
            </w:r>
            <w:proofErr w:type="spellEnd"/>
            <w:r w:rsidRPr="0060721D">
              <w:rPr>
                <w:rFonts w:ascii="Times New Roman" w:eastAsia="Times New Roman" w:hAnsi="Times New Roman"/>
                <w:lang w:eastAsia="ru-RU"/>
              </w:rPr>
              <w:t xml:space="preserve"> cu 0,278 PJ/an</w:t>
            </w:r>
          </w:p>
        </w:tc>
        <w:tc>
          <w:tcPr>
            <w:tcW w:w="1440" w:type="dxa"/>
            <w:gridSpan w:val="2"/>
            <w:hideMark/>
          </w:tcPr>
          <w:p w14:paraId="705C95DB" w14:textId="77777777" w:rsidR="0060721D" w:rsidRPr="0060721D" w:rsidRDefault="0060721D" w:rsidP="0060721D">
            <w:pPr>
              <w:jc w:val="center"/>
              <w:rPr>
                <w:rFonts w:ascii="Times New Roman" w:hAnsi="Times New Roman"/>
                <w:lang w:val="ro-RO"/>
              </w:rPr>
            </w:pPr>
            <w:r w:rsidRPr="0060721D">
              <w:rPr>
                <w:rFonts w:ascii="Times New Roman" w:eastAsia="Times New Roman" w:hAnsi="Times New Roman"/>
                <w:lang w:val="ro-RO" w:eastAsia="ru-RU"/>
              </w:rPr>
              <w:t> </w:t>
            </w:r>
          </w:p>
        </w:tc>
        <w:tc>
          <w:tcPr>
            <w:tcW w:w="3429" w:type="dxa"/>
            <w:gridSpan w:val="2"/>
            <w:hideMark/>
          </w:tcPr>
          <w:p w14:paraId="2AEDEB92" w14:textId="77777777" w:rsidR="0060721D" w:rsidRPr="0060721D" w:rsidRDefault="0060721D" w:rsidP="0060721D">
            <w:pPr>
              <w:jc w:val="center"/>
              <w:rPr>
                <w:rFonts w:ascii="Times New Roman" w:hAnsi="Times New Roman"/>
              </w:rPr>
            </w:pPr>
            <w:r w:rsidRPr="0060721D">
              <w:rPr>
                <w:rFonts w:ascii="Times New Roman" w:eastAsia="Times New Roman" w:hAnsi="Times New Roman"/>
                <w:lang w:val="es-ES" w:eastAsia="ru-RU"/>
              </w:rPr>
              <w:t>Pînă în anul 2030 emisiile vor fi reduse cu  21 201 tone CO2 echivalent</w:t>
            </w:r>
            <w:r w:rsidRPr="0060721D">
              <w:rPr>
                <w:rFonts w:ascii="Times New Roman" w:eastAsia="Times New Roman" w:hAnsi="Times New Roman"/>
                <w:lang w:val="ro-RO" w:eastAsia="ru-RU"/>
              </w:rPr>
              <w:t>/</w:t>
            </w:r>
            <w:r w:rsidRPr="0060721D">
              <w:rPr>
                <w:rFonts w:ascii="Times New Roman" w:hAnsi="Times New Roman"/>
              </w:rPr>
              <w:t>an</w:t>
            </w:r>
          </w:p>
        </w:tc>
        <w:tc>
          <w:tcPr>
            <w:tcW w:w="1502" w:type="dxa"/>
            <w:gridSpan w:val="2"/>
            <w:hideMark/>
          </w:tcPr>
          <w:p w14:paraId="04730101" w14:textId="77777777" w:rsidR="0060721D" w:rsidRPr="0060721D" w:rsidRDefault="0060721D" w:rsidP="0060721D">
            <w:pPr>
              <w:jc w:val="center"/>
              <w:rPr>
                <w:rFonts w:ascii="Times New Roman" w:hAnsi="Times New Roman"/>
                <w:lang w:val="ro-RO"/>
              </w:rPr>
            </w:pPr>
            <w:r w:rsidRPr="0060721D">
              <w:rPr>
                <w:rFonts w:ascii="Times New Roman" w:eastAsia="Times New Roman" w:hAnsi="Times New Roman"/>
                <w:lang w:val="es-ES" w:eastAsia="ru-RU"/>
              </w:rPr>
              <w:t> </w:t>
            </w:r>
          </w:p>
        </w:tc>
      </w:tr>
      <w:tr w:rsidR="00F11CCD" w:rsidRPr="0060721D" w14:paraId="55AE3912" w14:textId="77777777" w:rsidTr="00F11CCD">
        <w:trPr>
          <w:divId w:val="546725049"/>
          <w:trHeight w:val="1710"/>
        </w:trPr>
        <w:tc>
          <w:tcPr>
            <w:tcW w:w="500" w:type="dxa"/>
            <w:hideMark/>
          </w:tcPr>
          <w:p w14:paraId="7EDCA7D5" w14:textId="77777777" w:rsidR="0060721D" w:rsidRPr="0060721D" w:rsidRDefault="0060721D" w:rsidP="0060721D">
            <w:pPr>
              <w:jc w:val="center"/>
              <w:rPr>
                <w:rFonts w:ascii="Times New Roman" w:eastAsia="Times New Roman" w:hAnsi="Times New Roman"/>
                <w:lang w:val="ro-RO" w:eastAsia="ru-RU"/>
              </w:rPr>
            </w:pPr>
            <w:r w:rsidRPr="0060721D">
              <w:rPr>
                <w:rFonts w:ascii="Times New Roman" w:eastAsia="Times New Roman" w:hAnsi="Times New Roman"/>
                <w:lang w:eastAsia="ru-RU"/>
              </w:rPr>
              <w:lastRenderedPageBreak/>
              <w:t>4,2</w:t>
            </w:r>
          </w:p>
        </w:tc>
        <w:tc>
          <w:tcPr>
            <w:tcW w:w="3437" w:type="dxa"/>
            <w:gridSpan w:val="2"/>
            <w:hideMark/>
          </w:tcPr>
          <w:p w14:paraId="721F81AC" w14:textId="77777777" w:rsidR="0060721D" w:rsidRPr="0060721D" w:rsidRDefault="0060721D" w:rsidP="0060721D">
            <w:pPr>
              <w:rPr>
                <w:rFonts w:ascii="Times New Roman" w:eastAsia="Times New Roman" w:hAnsi="Times New Roman"/>
                <w:lang w:val="es-ES" w:eastAsia="ru-RU"/>
              </w:rPr>
            </w:pPr>
            <w:r w:rsidRPr="0060721D">
              <w:rPr>
                <w:rFonts w:ascii="Times New Roman" w:eastAsia="Times New Roman" w:hAnsi="Times New Roman"/>
                <w:lang w:val="es-ES" w:eastAsia="ru-RU"/>
              </w:rPr>
              <w:t>Promovarea eficienţei energetice în sectorul industrial</w:t>
            </w:r>
          </w:p>
        </w:tc>
        <w:tc>
          <w:tcPr>
            <w:tcW w:w="2211" w:type="dxa"/>
            <w:gridSpan w:val="2"/>
            <w:hideMark/>
          </w:tcPr>
          <w:p w14:paraId="3DBEA7E2" w14:textId="77777777" w:rsidR="0060721D" w:rsidRPr="0060721D" w:rsidRDefault="0060721D" w:rsidP="0060721D">
            <w:pPr>
              <w:rPr>
                <w:rFonts w:ascii="Times New Roman" w:eastAsia="Times New Roman" w:hAnsi="Times New Roman"/>
                <w:lang w:eastAsia="ru-RU"/>
              </w:rPr>
            </w:pPr>
            <w:proofErr w:type="spellStart"/>
            <w:r w:rsidRPr="0060721D">
              <w:rPr>
                <w:rFonts w:ascii="Times New Roman" w:eastAsia="Times New Roman" w:hAnsi="Times New Roman"/>
                <w:lang w:eastAsia="ru-RU"/>
              </w:rPr>
              <w:t>Atingerea</w:t>
            </w:r>
            <w:proofErr w:type="spellEnd"/>
            <w:r w:rsidRPr="0060721D">
              <w:rPr>
                <w:rFonts w:ascii="Times New Roman" w:eastAsia="Times New Roman" w:hAnsi="Times New Roman"/>
                <w:lang w:eastAsia="ru-RU"/>
              </w:rPr>
              <w:t xml:space="preserve">  </w:t>
            </w:r>
            <w:proofErr w:type="spellStart"/>
            <w:r w:rsidRPr="0060721D">
              <w:rPr>
                <w:rFonts w:ascii="Times New Roman" w:eastAsia="Times New Roman" w:hAnsi="Times New Roman"/>
                <w:lang w:eastAsia="ru-RU"/>
              </w:rPr>
              <w:t>eficienţei</w:t>
            </w:r>
            <w:proofErr w:type="spellEnd"/>
            <w:r w:rsidRPr="0060721D">
              <w:rPr>
                <w:rFonts w:ascii="Times New Roman" w:eastAsia="Times New Roman" w:hAnsi="Times New Roman"/>
                <w:lang w:eastAsia="ru-RU"/>
              </w:rPr>
              <w:t xml:space="preserve"> </w:t>
            </w:r>
            <w:proofErr w:type="spellStart"/>
            <w:r w:rsidRPr="0060721D">
              <w:rPr>
                <w:rFonts w:ascii="Times New Roman" w:eastAsia="Times New Roman" w:hAnsi="Times New Roman"/>
                <w:lang w:eastAsia="ru-RU"/>
              </w:rPr>
              <w:t>energetice</w:t>
            </w:r>
            <w:proofErr w:type="spellEnd"/>
            <w:r w:rsidRPr="0060721D">
              <w:rPr>
                <w:rFonts w:ascii="Times New Roman" w:eastAsia="Times New Roman" w:hAnsi="Times New Roman"/>
                <w:lang w:eastAsia="ru-RU"/>
              </w:rPr>
              <w:t xml:space="preserve"> </w:t>
            </w:r>
            <w:proofErr w:type="spellStart"/>
            <w:r w:rsidRPr="0060721D">
              <w:rPr>
                <w:rFonts w:ascii="Times New Roman" w:eastAsia="Times New Roman" w:hAnsi="Times New Roman"/>
                <w:lang w:eastAsia="ru-RU"/>
              </w:rPr>
              <w:t>prin</w:t>
            </w:r>
            <w:proofErr w:type="spellEnd"/>
            <w:r w:rsidRPr="0060721D">
              <w:rPr>
                <w:rFonts w:ascii="Times New Roman" w:eastAsia="Times New Roman" w:hAnsi="Times New Roman"/>
                <w:lang w:eastAsia="ru-RU"/>
              </w:rPr>
              <w:t xml:space="preserve">: </w:t>
            </w:r>
            <w:proofErr w:type="spellStart"/>
            <w:r w:rsidRPr="0060721D">
              <w:rPr>
                <w:rFonts w:ascii="Times New Roman" w:eastAsia="Times New Roman" w:hAnsi="Times New Roman"/>
                <w:lang w:eastAsia="ru-RU"/>
              </w:rPr>
              <w:t>monitorizarea</w:t>
            </w:r>
            <w:proofErr w:type="spellEnd"/>
            <w:r w:rsidRPr="0060721D">
              <w:rPr>
                <w:rFonts w:ascii="Times New Roman" w:eastAsia="Times New Roman" w:hAnsi="Times New Roman"/>
                <w:lang w:eastAsia="ru-RU"/>
              </w:rPr>
              <w:t xml:space="preserve"> </w:t>
            </w:r>
            <w:proofErr w:type="spellStart"/>
            <w:r w:rsidRPr="0060721D">
              <w:rPr>
                <w:rFonts w:ascii="Times New Roman" w:eastAsia="Times New Roman" w:hAnsi="Times New Roman"/>
                <w:lang w:eastAsia="ru-RU"/>
              </w:rPr>
              <w:t>continuă</w:t>
            </w:r>
            <w:proofErr w:type="spellEnd"/>
            <w:r w:rsidRPr="0060721D">
              <w:rPr>
                <w:rFonts w:ascii="Times New Roman" w:eastAsia="Times New Roman" w:hAnsi="Times New Roman"/>
                <w:lang w:eastAsia="ru-RU"/>
              </w:rPr>
              <w:t xml:space="preserve"> a </w:t>
            </w:r>
            <w:proofErr w:type="spellStart"/>
            <w:r w:rsidRPr="0060721D">
              <w:rPr>
                <w:rFonts w:ascii="Times New Roman" w:eastAsia="Times New Roman" w:hAnsi="Times New Roman"/>
                <w:lang w:eastAsia="ru-RU"/>
              </w:rPr>
              <w:t>consumului</w:t>
            </w:r>
            <w:proofErr w:type="spellEnd"/>
            <w:r w:rsidRPr="0060721D">
              <w:rPr>
                <w:rFonts w:ascii="Times New Roman" w:eastAsia="Times New Roman" w:hAnsi="Times New Roman"/>
                <w:lang w:eastAsia="ru-RU"/>
              </w:rPr>
              <w:t xml:space="preserve"> de </w:t>
            </w:r>
            <w:proofErr w:type="spellStart"/>
            <w:r w:rsidRPr="0060721D">
              <w:rPr>
                <w:rFonts w:ascii="Times New Roman" w:eastAsia="Times New Roman" w:hAnsi="Times New Roman"/>
                <w:lang w:eastAsia="ru-RU"/>
              </w:rPr>
              <w:t>energie</w:t>
            </w:r>
            <w:proofErr w:type="spellEnd"/>
            <w:r w:rsidRPr="0060721D">
              <w:rPr>
                <w:rFonts w:ascii="Times New Roman" w:eastAsia="Times New Roman" w:hAnsi="Times New Roman"/>
                <w:lang w:eastAsia="ru-RU"/>
              </w:rPr>
              <w:t xml:space="preserve"> </w:t>
            </w:r>
            <w:proofErr w:type="spellStart"/>
            <w:r w:rsidRPr="0060721D">
              <w:rPr>
                <w:rFonts w:ascii="Times New Roman" w:eastAsia="Times New Roman" w:hAnsi="Times New Roman"/>
                <w:lang w:eastAsia="ru-RU"/>
              </w:rPr>
              <w:t>şi</w:t>
            </w:r>
            <w:proofErr w:type="spellEnd"/>
            <w:r w:rsidRPr="0060721D">
              <w:rPr>
                <w:rFonts w:ascii="Times New Roman" w:eastAsia="Times New Roman" w:hAnsi="Times New Roman"/>
                <w:lang w:eastAsia="ru-RU"/>
              </w:rPr>
              <w:t xml:space="preserve"> a </w:t>
            </w:r>
            <w:proofErr w:type="spellStart"/>
            <w:r w:rsidRPr="0060721D">
              <w:rPr>
                <w:rFonts w:ascii="Times New Roman" w:eastAsia="Times New Roman" w:hAnsi="Times New Roman"/>
                <w:lang w:eastAsia="ru-RU"/>
              </w:rPr>
              <w:t>parametrilor</w:t>
            </w:r>
            <w:proofErr w:type="spellEnd"/>
            <w:r w:rsidRPr="0060721D">
              <w:rPr>
                <w:rFonts w:ascii="Times New Roman" w:eastAsia="Times New Roman" w:hAnsi="Times New Roman"/>
                <w:lang w:eastAsia="ru-RU"/>
              </w:rPr>
              <w:t xml:space="preserve"> </w:t>
            </w:r>
            <w:proofErr w:type="spellStart"/>
            <w:r w:rsidRPr="0060721D">
              <w:rPr>
                <w:rFonts w:ascii="Times New Roman" w:eastAsia="Times New Roman" w:hAnsi="Times New Roman"/>
                <w:lang w:eastAsia="ru-RU"/>
              </w:rPr>
              <w:t>tehnologici</w:t>
            </w:r>
            <w:proofErr w:type="spellEnd"/>
            <w:r w:rsidRPr="0060721D">
              <w:rPr>
                <w:rFonts w:ascii="Times New Roman" w:eastAsia="Times New Roman" w:hAnsi="Times New Roman"/>
                <w:lang w:eastAsia="ru-RU"/>
              </w:rPr>
              <w:t xml:space="preserve"> cu </w:t>
            </w:r>
            <w:proofErr w:type="spellStart"/>
            <w:r w:rsidRPr="0060721D">
              <w:rPr>
                <w:rFonts w:ascii="Times New Roman" w:eastAsia="Times New Roman" w:hAnsi="Times New Roman"/>
                <w:lang w:eastAsia="ru-RU"/>
              </w:rPr>
              <w:t>sisteme</w:t>
            </w:r>
            <w:proofErr w:type="spellEnd"/>
            <w:r w:rsidRPr="0060721D">
              <w:rPr>
                <w:rFonts w:ascii="Times New Roman" w:eastAsia="Times New Roman" w:hAnsi="Times New Roman"/>
                <w:lang w:eastAsia="ru-RU"/>
              </w:rPr>
              <w:t xml:space="preserve"> de </w:t>
            </w:r>
            <w:proofErr w:type="spellStart"/>
            <w:r w:rsidRPr="0060721D">
              <w:rPr>
                <w:rFonts w:ascii="Times New Roman" w:eastAsia="Times New Roman" w:hAnsi="Times New Roman"/>
                <w:lang w:eastAsia="ru-RU"/>
              </w:rPr>
              <w:t>măsură</w:t>
            </w:r>
            <w:proofErr w:type="spellEnd"/>
            <w:r w:rsidRPr="0060721D">
              <w:rPr>
                <w:rFonts w:ascii="Times New Roman" w:eastAsia="Times New Roman" w:hAnsi="Times New Roman"/>
                <w:lang w:eastAsia="ru-RU"/>
              </w:rPr>
              <w:t xml:space="preserve"> </w:t>
            </w:r>
            <w:proofErr w:type="spellStart"/>
            <w:r w:rsidRPr="0060721D">
              <w:rPr>
                <w:rFonts w:ascii="Times New Roman" w:eastAsia="Times New Roman" w:hAnsi="Times New Roman"/>
                <w:lang w:eastAsia="ru-RU"/>
              </w:rPr>
              <w:t>şi</w:t>
            </w:r>
            <w:proofErr w:type="spellEnd"/>
            <w:r w:rsidRPr="0060721D">
              <w:rPr>
                <w:rFonts w:ascii="Times New Roman" w:eastAsia="Times New Roman" w:hAnsi="Times New Roman"/>
                <w:lang w:eastAsia="ru-RU"/>
              </w:rPr>
              <w:t xml:space="preserve"> control </w:t>
            </w:r>
            <w:proofErr w:type="spellStart"/>
            <w:r w:rsidRPr="0060721D">
              <w:rPr>
                <w:rFonts w:ascii="Times New Roman" w:eastAsia="Times New Roman" w:hAnsi="Times New Roman"/>
                <w:lang w:eastAsia="ru-RU"/>
              </w:rPr>
              <w:t>performante</w:t>
            </w:r>
            <w:proofErr w:type="spellEnd"/>
            <w:r w:rsidRPr="0060721D">
              <w:rPr>
                <w:rFonts w:ascii="Times New Roman" w:eastAsia="Times New Roman" w:hAnsi="Times New Roman"/>
                <w:lang w:eastAsia="ru-RU"/>
              </w:rPr>
              <w:t xml:space="preserve">, </w:t>
            </w:r>
            <w:proofErr w:type="spellStart"/>
            <w:r w:rsidRPr="0060721D">
              <w:rPr>
                <w:rFonts w:ascii="Times New Roman" w:eastAsia="Times New Roman" w:hAnsi="Times New Roman"/>
                <w:lang w:eastAsia="ru-RU"/>
              </w:rPr>
              <w:t>automatizarea</w:t>
            </w:r>
            <w:proofErr w:type="spellEnd"/>
            <w:r w:rsidRPr="0060721D">
              <w:rPr>
                <w:rFonts w:ascii="Times New Roman" w:eastAsia="Times New Roman" w:hAnsi="Times New Roman"/>
                <w:lang w:eastAsia="ru-RU"/>
              </w:rPr>
              <w:t xml:space="preserve"> </w:t>
            </w:r>
            <w:proofErr w:type="spellStart"/>
            <w:r w:rsidRPr="0060721D">
              <w:rPr>
                <w:rFonts w:ascii="Times New Roman" w:eastAsia="Times New Roman" w:hAnsi="Times New Roman"/>
                <w:lang w:eastAsia="ru-RU"/>
              </w:rPr>
              <w:t>proceselor</w:t>
            </w:r>
            <w:proofErr w:type="spellEnd"/>
            <w:r w:rsidRPr="0060721D">
              <w:rPr>
                <w:rFonts w:ascii="Times New Roman" w:eastAsia="Times New Roman" w:hAnsi="Times New Roman"/>
                <w:lang w:eastAsia="ru-RU"/>
              </w:rPr>
              <w:t xml:space="preserve"> </w:t>
            </w:r>
            <w:proofErr w:type="spellStart"/>
            <w:r w:rsidRPr="0060721D">
              <w:rPr>
                <w:rFonts w:ascii="Times New Roman" w:eastAsia="Times New Roman" w:hAnsi="Times New Roman"/>
                <w:lang w:eastAsia="ru-RU"/>
              </w:rPr>
              <w:t>industriale</w:t>
            </w:r>
            <w:proofErr w:type="spellEnd"/>
            <w:r w:rsidRPr="0060721D">
              <w:rPr>
                <w:rFonts w:ascii="Times New Roman" w:eastAsia="Times New Roman" w:hAnsi="Times New Roman"/>
                <w:lang w:eastAsia="ru-RU"/>
              </w:rPr>
              <w:t xml:space="preserve">, </w:t>
            </w:r>
            <w:proofErr w:type="spellStart"/>
            <w:r w:rsidRPr="0060721D">
              <w:rPr>
                <w:rFonts w:ascii="Times New Roman" w:eastAsia="Times New Roman" w:hAnsi="Times New Roman"/>
                <w:lang w:eastAsia="ru-RU"/>
              </w:rPr>
              <w:t>instalarea</w:t>
            </w:r>
            <w:proofErr w:type="spellEnd"/>
            <w:r w:rsidRPr="0060721D">
              <w:rPr>
                <w:rFonts w:ascii="Times New Roman" w:eastAsia="Times New Roman" w:hAnsi="Times New Roman"/>
                <w:lang w:eastAsia="ru-RU"/>
              </w:rPr>
              <w:t xml:space="preserve"> </w:t>
            </w:r>
            <w:proofErr w:type="spellStart"/>
            <w:r w:rsidRPr="0060721D">
              <w:rPr>
                <w:rFonts w:ascii="Times New Roman" w:eastAsia="Times New Roman" w:hAnsi="Times New Roman"/>
                <w:lang w:eastAsia="ru-RU"/>
              </w:rPr>
              <w:t>echipamentelor</w:t>
            </w:r>
            <w:proofErr w:type="spellEnd"/>
            <w:r w:rsidRPr="0060721D">
              <w:rPr>
                <w:rFonts w:ascii="Times New Roman" w:eastAsia="Times New Roman" w:hAnsi="Times New Roman"/>
                <w:lang w:eastAsia="ru-RU"/>
              </w:rPr>
              <w:t xml:space="preserve"> </w:t>
            </w:r>
            <w:proofErr w:type="spellStart"/>
            <w:r w:rsidRPr="0060721D">
              <w:rPr>
                <w:rFonts w:ascii="Times New Roman" w:eastAsia="Times New Roman" w:hAnsi="Times New Roman"/>
                <w:lang w:eastAsia="ru-RU"/>
              </w:rPr>
              <w:t>performante</w:t>
            </w:r>
            <w:proofErr w:type="spellEnd"/>
            <w:r w:rsidRPr="0060721D">
              <w:rPr>
                <w:rFonts w:ascii="Times New Roman" w:eastAsia="Times New Roman" w:hAnsi="Times New Roman"/>
                <w:lang w:eastAsia="ru-RU"/>
              </w:rPr>
              <w:t xml:space="preserve"> </w:t>
            </w:r>
            <w:proofErr w:type="spellStart"/>
            <w:r w:rsidRPr="0060721D">
              <w:rPr>
                <w:rFonts w:ascii="Times New Roman" w:eastAsia="Times New Roman" w:hAnsi="Times New Roman"/>
                <w:lang w:eastAsia="ru-RU"/>
              </w:rPr>
              <w:t>pentru</w:t>
            </w:r>
            <w:proofErr w:type="spellEnd"/>
            <w:r w:rsidRPr="0060721D">
              <w:rPr>
                <w:rFonts w:ascii="Times New Roman" w:eastAsia="Times New Roman" w:hAnsi="Times New Roman"/>
                <w:lang w:eastAsia="ru-RU"/>
              </w:rPr>
              <w:t xml:space="preserve"> </w:t>
            </w:r>
            <w:proofErr w:type="spellStart"/>
            <w:r w:rsidRPr="0060721D">
              <w:rPr>
                <w:rFonts w:ascii="Times New Roman" w:eastAsia="Times New Roman" w:hAnsi="Times New Roman"/>
                <w:lang w:eastAsia="ru-RU"/>
              </w:rPr>
              <w:t>producerea</w:t>
            </w:r>
            <w:proofErr w:type="spellEnd"/>
            <w:r w:rsidRPr="0060721D">
              <w:rPr>
                <w:rFonts w:ascii="Times New Roman" w:eastAsia="Times New Roman" w:hAnsi="Times New Roman"/>
                <w:lang w:eastAsia="ru-RU"/>
              </w:rPr>
              <w:t xml:space="preserve"> </w:t>
            </w:r>
            <w:proofErr w:type="spellStart"/>
            <w:r w:rsidRPr="0060721D">
              <w:rPr>
                <w:rFonts w:ascii="Times New Roman" w:eastAsia="Times New Roman" w:hAnsi="Times New Roman"/>
                <w:lang w:eastAsia="ru-RU"/>
              </w:rPr>
              <w:t>energiei</w:t>
            </w:r>
            <w:proofErr w:type="spellEnd"/>
            <w:r w:rsidRPr="0060721D">
              <w:rPr>
                <w:rFonts w:ascii="Times New Roman" w:eastAsia="Times New Roman" w:hAnsi="Times New Roman"/>
                <w:lang w:eastAsia="ru-RU"/>
              </w:rPr>
              <w:t xml:space="preserve"> </w:t>
            </w:r>
            <w:proofErr w:type="spellStart"/>
            <w:r w:rsidRPr="0060721D">
              <w:rPr>
                <w:rFonts w:ascii="Times New Roman" w:eastAsia="Times New Roman" w:hAnsi="Times New Roman"/>
                <w:lang w:eastAsia="ru-RU"/>
              </w:rPr>
              <w:t>termice</w:t>
            </w:r>
            <w:proofErr w:type="spellEnd"/>
            <w:r w:rsidRPr="0060721D">
              <w:rPr>
                <w:rFonts w:ascii="Times New Roman" w:eastAsia="Times New Roman" w:hAnsi="Times New Roman"/>
                <w:lang w:eastAsia="ru-RU"/>
              </w:rPr>
              <w:t xml:space="preserve"> </w:t>
            </w:r>
            <w:proofErr w:type="spellStart"/>
            <w:r w:rsidRPr="0060721D">
              <w:rPr>
                <w:rFonts w:ascii="Times New Roman" w:eastAsia="Times New Roman" w:hAnsi="Times New Roman"/>
                <w:lang w:eastAsia="ru-RU"/>
              </w:rPr>
              <w:t>şi</w:t>
            </w:r>
            <w:proofErr w:type="spellEnd"/>
            <w:r w:rsidRPr="0060721D">
              <w:rPr>
                <w:rFonts w:ascii="Times New Roman" w:eastAsia="Times New Roman" w:hAnsi="Times New Roman"/>
                <w:lang w:eastAsia="ru-RU"/>
              </w:rPr>
              <w:t xml:space="preserve"> </w:t>
            </w:r>
            <w:proofErr w:type="spellStart"/>
            <w:r w:rsidRPr="0060721D">
              <w:rPr>
                <w:rFonts w:ascii="Times New Roman" w:eastAsia="Times New Roman" w:hAnsi="Times New Roman"/>
                <w:lang w:eastAsia="ru-RU"/>
              </w:rPr>
              <w:t>pentru</w:t>
            </w:r>
            <w:proofErr w:type="spellEnd"/>
            <w:r w:rsidRPr="0060721D">
              <w:rPr>
                <w:rFonts w:ascii="Times New Roman" w:eastAsia="Times New Roman" w:hAnsi="Times New Roman"/>
                <w:lang w:eastAsia="ru-RU"/>
              </w:rPr>
              <w:t xml:space="preserve"> </w:t>
            </w:r>
            <w:proofErr w:type="spellStart"/>
            <w:r w:rsidRPr="0060721D">
              <w:rPr>
                <w:rFonts w:ascii="Times New Roman" w:eastAsia="Times New Roman" w:hAnsi="Times New Roman"/>
                <w:lang w:eastAsia="ru-RU"/>
              </w:rPr>
              <w:t>procesele</w:t>
            </w:r>
            <w:proofErr w:type="spellEnd"/>
            <w:r w:rsidRPr="0060721D">
              <w:rPr>
                <w:rFonts w:ascii="Times New Roman" w:eastAsia="Times New Roman" w:hAnsi="Times New Roman"/>
                <w:lang w:eastAsia="ru-RU"/>
              </w:rPr>
              <w:t xml:space="preserve"> </w:t>
            </w:r>
            <w:proofErr w:type="spellStart"/>
            <w:r w:rsidRPr="0060721D">
              <w:rPr>
                <w:rFonts w:ascii="Times New Roman" w:eastAsia="Times New Roman" w:hAnsi="Times New Roman"/>
                <w:lang w:eastAsia="ru-RU"/>
              </w:rPr>
              <w:t>tehnologice</w:t>
            </w:r>
            <w:proofErr w:type="spellEnd"/>
            <w:r w:rsidRPr="0060721D">
              <w:rPr>
                <w:rFonts w:ascii="Times New Roman" w:eastAsia="Times New Roman" w:hAnsi="Times New Roman"/>
                <w:lang w:eastAsia="ru-RU"/>
              </w:rPr>
              <w:t xml:space="preserve">, </w:t>
            </w:r>
            <w:proofErr w:type="spellStart"/>
            <w:r w:rsidRPr="0060721D">
              <w:rPr>
                <w:rFonts w:ascii="Times New Roman" w:eastAsia="Times New Roman" w:hAnsi="Times New Roman"/>
                <w:lang w:eastAsia="ru-RU"/>
              </w:rPr>
              <w:t>reducerea</w:t>
            </w:r>
            <w:proofErr w:type="spellEnd"/>
            <w:r w:rsidRPr="0060721D">
              <w:rPr>
                <w:rFonts w:ascii="Times New Roman" w:eastAsia="Times New Roman" w:hAnsi="Times New Roman"/>
                <w:lang w:eastAsia="ru-RU"/>
              </w:rPr>
              <w:t xml:space="preserve"> </w:t>
            </w:r>
            <w:proofErr w:type="spellStart"/>
            <w:r w:rsidRPr="0060721D">
              <w:rPr>
                <w:rFonts w:ascii="Times New Roman" w:eastAsia="Times New Roman" w:hAnsi="Times New Roman"/>
                <w:lang w:eastAsia="ru-RU"/>
              </w:rPr>
              <w:t>pierderilor</w:t>
            </w:r>
            <w:proofErr w:type="spellEnd"/>
            <w:r w:rsidRPr="0060721D">
              <w:rPr>
                <w:rFonts w:ascii="Times New Roman" w:eastAsia="Times New Roman" w:hAnsi="Times New Roman"/>
                <w:lang w:eastAsia="ru-RU"/>
              </w:rPr>
              <w:t xml:space="preserve"> de </w:t>
            </w:r>
            <w:proofErr w:type="spellStart"/>
            <w:r w:rsidRPr="0060721D">
              <w:rPr>
                <w:rFonts w:ascii="Times New Roman" w:eastAsia="Times New Roman" w:hAnsi="Times New Roman"/>
                <w:lang w:eastAsia="ru-RU"/>
              </w:rPr>
              <w:t>căldură</w:t>
            </w:r>
            <w:proofErr w:type="spellEnd"/>
            <w:r w:rsidRPr="0060721D">
              <w:rPr>
                <w:rFonts w:ascii="Times New Roman" w:eastAsia="Times New Roman" w:hAnsi="Times New Roman"/>
                <w:lang w:eastAsia="ru-RU"/>
              </w:rPr>
              <w:t xml:space="preserve">, </w:t>
            </w:r>
            <w:proofErr w:type="spellStart"/>
            <w:r w:rsidRPr="0060721D">
              <w:rPr>
                <w:rFonts w:ascii="Times New Roman" w:eastAsia="Times New Roman" w:hAnsi="Times New Roman"/>
                <w:lang w:eastAsia="ru-RU"/>
              </w:rPr>
              <w:t>izolarea</w:t>
            </w:r>
            <w:proofErr w:type="spellEnd"/>
            <w:r w:rsidRPr="0060721D">
              <w:rPr>
                <w:rFonts w:ascii="Times New Roman" w:eastAsia="Times New Roman" w:hAnsi="Times New Roman"/>
                <w:lang w:eastAsia="ru-RU"/>
              </w:rPr>
              <w:t xml:space="preserve"> </w:t>
            </w:r>
            <w:proofErr w:type="spellStart"/>
            <w:r w:rsidRPr="0060721D">
              <w:rPr>
                <w:rFonts w:ascii="Times New Roman" w:eastAsia="Times New Roman" w:hAnsi="Times New Roman"/>
                <w:lang w:eastAsia="ru-RU"/>
              </w:rPr>
              <w:t>termică</w:t>
            </w:r>
            <w:proofErr w:type="spellEnd"/>
            <w:r w:rsidRPr="0060721D">
              <w:rPr>
                <w:rFonts w:ascii="Times New Roman" w:eastAsia="Times New Roman" w:hAnsi="Times New Roman"/>
                <w:lang w:eastAsia="ru-RU"/>
              </w:rPr>
              <w:t xml:space="preserve"> a </w:t>
            </w:r>
            <w:proofErr w:type="spellStart"/>
            <w:r w:rsidRPr="0060721D">
              <w:rPr>
                <w:rFonts w:ascii="Times New Roman" w:eastAsia="Times New Roman" w:hAnsi="Times New Roman"/>
                <w:lang w:eastAsia="ru-RU"/>
              </w:rPr>
              <w:t>conductelor</w:t>
            </w:r>
            <w:proofErr w:type="spellEnd"/>
            <w:r w:rsidRPr="0060721D">
              <w:rPr>
                <w:rFonts w:ascii="Times New Roman" w:eastAsia="Times New Roman" w:hAnsi="Times New Roman"/>
                <w:lang w:eastAsia="ru-RU"/>
              </w:rPr>
              <w:t xml:space="preserve"> de </w:t>
            </w:r>
            <w:proofErr w:type="spellStart"/>
            <w:r w:rsidRPr="0060721D">
              <w:rPr>
                <w:rFonts w:ascii="Times New Roman" w:eastAsia="Times New Roman" w:hAnsi="Times New Roman"/>
                <w:lang w:eastAsia="ru-RU"/>
              </w:rPr>
              <w:t>abur</w:t>
            </w:r>
            <w:proofErr w:type="spellEnd"/>
            <w:r w:rsidRPr="0060721D">
              <w:rPr>
                <w:rFonts w:ascii="Times New Roman" w:eastAsia="Times New Roman" w:hAnsi="Times New Roman"/>
                <w:lang w:eastAsia="ru-RU"/>
              </w:rPr>
              <w:t xml:space="preserve"> </w:t>
            </w:r>
            <w:proofErr w:type="spellStart"/>
            <w:r w:rsidRPr="0060721D">
              <w:rPr>
                <w:rFonts w:ascii="Times New Roman" w:eastAsia="Times New Roman" w:hAnsi="Times New Roman"/>
                <w:lang w:eastAsia="ru-RU"/>
              </w:rPr>
              <w:t>şi</w:t>
            </w:r>
            <w:proofErr w:type="spellEnd"/>
            <w:r w:rsidRPr="0060721D">
              <w:rPr>
                <w:rFonts w:ascii="Times New Roman" w:eastAsia="Times New Roman" w:hAnsi="Times New Roman"/>
                <w:lang w:eastAsia="ru-RU"/>
              </w:rPr>
              <w:t xml:space="preserve"> </w:t>
            </w:r>
            <w:proofErr w:type="spellStart"/>
            <w:r w:rsidRPr="0060721D">
              <w:rPr>
                <w:rFonts w:ascii="Times New Roman" w:eastAsia="Times New Roman" w:hAnsi="Times New Roman"/>
                <w:lang w:eastAsia="ru-RU"/>
              </w:rPr>
              <w:t>apă</w:t>
            </w:r>
            <w:proofErr w:type="spellEnd"/>
            <w:r w:rsidRPr="0060721D">
              <w:rPr>
                <w:rFonts w:ascii="Times New Roman" w:eastAsia="Times New Roman" w:hAnsi="Times New Roman"/>
                <w:lang w:eastAsia="ru-RU"/>
              </w:rPr>
              <w:t xml:space="preserve"> </w:t>
            </w:r>
            <w:proofErr w:type="spellStart"/>
            <w:r w:rsidRPr="0060721D">
              <w:rPr>
                <w:rFonts w:ascii="Times New Roman" w:eastAsia="Times New Roman" w:hAnsi="Times New Roman"/>
                <w:lang w:eastAsia="ru-RU"/>
              </w:rPr>
              <w:t>caldă</w:t>
            </w:r>
            <w:proofErr w:type="spellEnd"/>
            <w:r w:rsidRPr="0060721D">
              <w:rPr>
                <w:rFonts w:ascii="Times New Roman" w:eastAsia="Times New Roman" w:hAnsi="Times New Roman"/>
                <w:lang w:eastAsia="ru-RU"/>
              </w:rPr>
              <w:t xml:space="preserve">, </w:t>
            </w:r>
            <w:proofErr w:type="spellStart"/>
            <w:r w:rsidRPr="0060721D">
              <w:rPr>
                <w:rFonts w:ascii="Times New Roman" w:eastAsia="Times New Roman" w:hAnsi="Times New Roman"/>
                <w:lang w:eastAsia="ru-RU"/>
              </w:rPr>
              <w:t>instalarea</w:t>
            </w:r>
            <w:proofErr w:type="spellEnd"/>
            <w:r w:rsidRPr="0060721D">
              <w:rPr>
                <w:rFonts w:ascii="Times New Roman" w:eastAsia="Times New Roman" w:hAnsi="Times New Roman"/>
                <w:lang w:eastAsia="ru-RU"/>
              </w:rPr>
              <w:t xml:space="preserve"> </w:t>
            </w:r>
            <w:proofErr w:type="spellStart"/>
            <w:r w:rsidRPr="0060721D">
              <w:rPr>
                <w:rFonts w:ascii="Times New Roman" w:eastAsia="Times New Roman" w:hAnsi="Times New Roman"/>
                <w:lang w:eastAsia="ru-RU"/>
              </w:rPr>
              <w:t>recuperatoarelor</w:t>
            </w:r>
            <w:proofErr w:type="spellEnd"/>
            <w:r w:rsidRPr="0060721D">
              <w:rPr>
                <w:rFonts w:ascii="Times New Roman" w:eastAsia="Times New Roman" w:hAnsi="Times New Roman"/>
                <w:lang w:eastAsia="ru-RU"/>
              </w:rPr>
              <w:t xml:space="preserve"> de </w:t>
            </w:r>
            <w:proofErr w:type="spellStart"/>
            <w:r w:rsidRPr="0060721D">
              <w:rPr>
                <w:rFonts w:ascii="Times New Roman" w:eastAsia="Times New Roman" w:hAnsi="Times New Roman"/>
                <w:lang w:eastAsia="ru-RU"/>
              </w:rPr>
              <w:t>căldură</w:t>
            </w:r>
            <w:proofErr w:type="spellEnd"/>
            <w:r w:rsidRPr="0060721D">
              <w:rPr>
                <w:rFonts w:ascii="Times New Roman" w:eastAsia="Times New Roman" w:hAnsi="Times New Roman"/>
                <w:lang w:eastAsia="ru-RU"/>
              </w:rPr>
              <w:t xml:space="preserve"> </w:t>
            </w:r>
            <w:proofErr w:type="spellStart"/>
            <w:r w:rsidRPr="0060721D">
              <w:rPr>
                <w:rFonts w:ascii="Times New Roman" w:eastAsia="Times New Roman" w:hAnsi="Times New Roman"/>
                <w:lang w:eastAsia="ru-RU"/>
              </w:rPr>
              <w:t>în</w:t>
            </w:r>
            <w:proofErr w:type="spellEnd"/>
            <w:r w:rsidRPr="0060721D">
              <w:rPr>
                <w:rFonts w:ascii="Times New Roman" w:eastAsia="Times New Roman" w:hAnsi="Times New Roman"/>
                <w:lang w:eastAsia="ru-RU"/>
              </w:rPr>
              <w:t xml:space="preserve"> </w:t>
            </w:r>
            <w:proofErr w:type="spellStart"/>
            <w:r w:rsidRPr="0060721D">
              <w:rPr>
                <w:rFonts w:ascii="Times New Roman" w:eastAsia="Times New Roman" w:hAnsi="Times New Roman"/>
                <w:lang w:eastAsia="ru-RU"/>
              </w:rPr>
              <w:t>sistemele</w:t>
            </w:r>
            <w:proofErr w:type="spellEnd"/>
            <w:r w:rsidRPr="0060721D">
              <w:rPr>
                <w:rFonts w:ascii="Times New Roman" w:eastAsia="Times New Roman" w:hAnsi="Times New Roman"/>
                <w:lang w:eastAsia="ru-RU"/>
              </w:rPr>
              <w:t xml:space="preserve"> de </w:t>
            </w:r>
            <w:proofErr w:type="spellStart"/>
            <w:r w:rsidRPr="0060721D">
              <w:rPr>
                <w:rFonts w:ascii="Times New Roman" w:eastAsia="Times New Roman" w:hAnsi="Times New Roman"/>
                <w:lang w:eastAsia="ru-RU"/>
              </w:rPr>
              <w:t>ventilare</w:t>
            </w:r>
            <w:proofErr w:type="spellEnd"/>
            <w:r w:rsidRPr="0060721D">
              <w:rPr>
                <w:rFonts w:ascii="Times New Roman" w:eastAsia="Times New Roman" w:hAnsi="Times New Roman"/>
                <w:lang w:eastAsia="ru-RU"/>
              </w:rPr>
              <w:t xml:space="preserve">, </w:t>
            </w:r>
            <w:proofErr w:type="spellStart"/>
            <w:r w:rsidRPr="0060721D">
              <w:rPr>
                <w:rFonts w:ascii="Times New Roman" w:eastAsia="Times New Roman" w:hAnsi="Times New Roman"/>
                <w:lang w:eastAsia="ru-RU"/>
              </w:rPr>
              <w:t>sporirea</w:t>
            </w:r>
            <w:proofErr w:type="spellEnd"/>
            <w:r w:rsidRPr="0060721D">
              <w:rPr>
                <w:rFonts w:ascii="Times New Roman" w:eastAsia="Times New Roman" w:hAnsi="Times New Roman"/>
                <w:lang w:eastAsia="ru-RU"/>
              </w:rPr>
              <w:t xml:space="preserve"> </w:t>
            </w:r>
            <w:proofErr w:type="spellStart"/>
            <w:r w:rsidRPr="0060721D">
              <w:rPr>
                <w:rFonts w:ascii="Times New Roman" w:eastAsia="Times New Roman" w:hAnsi="Times New Roman"/>
                <w:lang w:eastAsia="ru-RU"/>
              </w:rPr>
              <w:t>rezistenţei</w:t>
            </w:r>
            <w:proofErr w:type="spellEnd"/>
            <w:r w:rsidRPr="0060721D">
              <w:rPr>
                <w:rFonts w:ascii="Times New Roman" w:eastAsia="Times New Roman" w:hAnsi="Times New Roman"/>
                <w:lang w:eastAsia="ru-RU"/>
              </w:rPr>
              <w:t xml:space="preserve"> </w:t>
            </w:r>
            <w:proofErr w:type="spellStart"/>
            <w:r w:rsidRPr="0060721D">
              <w:rPr>
                <w:rFonts w:ascii="Times New Roman" w:eastAsia="Times New Roman" w:hAnsi="Times New Roman"/>
                <w:lang w:eastAsia="ru-RU"/>
              </w:rPr>
              <w:t>termice</w:t>
            </w:r>
            <w:proofErr w:type="spellEnd"/>
            <w:r w:rsidRPr="0060721D">
              <w:rPr>
                <w:rFonts w:ascii="Times New Roman" w:eastAsia="Times New Roman" w:hAnsi="Times New Roman"/>
                <w:lang w:eastAsia="ru-RU"/>
              </w:rPr>
              <w:t xml:space="preserve"> a </w:t>
            </w:r>
            <w:proofErr w:type="spellStart"/>
            <w:r w:rsidRPr="0060721D">
              <w:rPr>
                <w:rFonts w:ascii="Times New Roman" w:eastAsia="Times New Roman" w:hAnsi="Times New Roman"/>
                <w:lang w:eastAsia="ru-RU"/>
              </w:rPr>
              <w:t>anvelopei</w:t>
            </w:r>
            <w:proofErr w:type="spellEnd"/>
            <w:r w:rsidRPr="0060721D">
              <w:rPr>
                <w:rFonts w:ascii="Times New Roman" w:eastAsia="Times New Roman" w:hAnsi="Times New Roman"/>
                <w:lang w:eastAsia="ru-RU"/>
              </w:rPr>
              <w:t xml:space="preserve"> </w:t>
            </w:r>
            <w:proofErr w:type="spellStart"/>
            <w:r w:rsidRPr="0060721D">
              <w:rPr>
                <w:rFonts w:ascii="Times New Roman" w:eastAsia="Times New Roman" w:hAnsi="Times New Roman"/>
                <w:lang w:eastAsia="ru-RU"/>
              </w:rPr>
              <w:t>edificiilor</w:t>
            </w:r>
            <w:proofErr w:type="spellEnd"/>
            <w:r w:rsidRPr="0060721D">
              <w:rPr>
                <w:rFonts w:ascii="Times New Roman" w:eastAsia="Times New Roman" w:hAnsi="Times New Roman"/>
                <w:lang w:eastAsia="ru-RU"/>
              </w:rPr>
              <w:t xml:space="preserve"> administrative </w:t>
            </w:r>
            <w:proofErr w:type="spellStart"/>
            <w:r w:rsidRPr="0060721D">
              <w:rPr>
                <w:rFonts w:ascii="Times New Roman" w:eastAsia="Times New Roman" w:hAnsi="Times New Roman"/>
                <w:lang w:eastAsia="ru-RU"/>
              </w:rPr>
              <w:t>şi</w:t>
            </w:r>
            <w:proofErr w:type="spellEnd"/>
            <w:r w:rsidRPr="0060721D">
              <w:rPr>
                <w:rFonts w:ascii="Times New Roman" w:eastAsia="Times New Roman" w:hAnsi="Times New Roman"/>
                <w:lang w:eastAsia="ru-RU"/>
              </w:rPr>
              <w:t xml:space="preserve"> </w:t>
            </w:r>
            <w:proofErr w:type="spellStart"/>
            <w:r w:rsidRPr="0060721D">
              <w:rPr>
                <w:rFonts w:ascii="Times New Roman" w:eastAsia="Times New Roman" w:hAnsi="Times New Roman"/>
                <w:lang w:eastAsia="ru-RU"/>
              </w:rPr>
              <w:t>industriale</w:t>
            </w:r>
            <w:proofErr w:type="spellEnd"/>
          </w:p>
        </w:tc>
        <w:tc>
          <w:tcPr>
            <w:tcW w:w="1620" w:type="dxa"/>
            <w:gridSpan w:val="2"/>
            <w:hideMark/>
          </w:tcPr>
          <w:p w14:paraId="563B6171" w14:textId="77777777" w:rsidR="0060721D" w:rsidRPr="0060721D" w:rsidRDefault="0060721D" w:rsidP="0060721D">
            <w:pPr>
              <w:jc w:val="center"/>
              <w:rPr>
                <w:rFonts w:ascii="Times New Roman" w:hAnsi="Times New Roman"/>
              </w:rPr>
            </w:pPr>
            <w:proofErr w:type="spellStart"/>
            <w:r w:rsidRPr="0060721D">
              <w:rPr>
                <w:rFonts w:ascii="Times New Roman" w:eastAsia="Times New Roman" w:hAnsi="Times New Roman"/>
                <w:lang w:eastAsia="ru-RU"/>
              </w:rPr>
              <w:t>Reducerile</w:t>
            </w:r>
            <w:proofErr w:type="spellEnd"/>
            <w:r w:rsidRPr="0060721D">
              <w:rPr>
                <w:rFonts w:ascii="Times New Roman" w:eastAsia="Times New Roman" w:hAnsi="Times New Roman"/>
                <w:lang w:eastAsia="ru-RU"/>
              </w:rPr>
              <w:t xml:space="preserve"> de </w:t>
            </w:r>
            <w:proofErr w:type="spellStart"/>
            <w:r w:rsidRPr="0060721D">
              <w:rPr>
                <w:rFonts w:ascii="Times New Roman" w:hAnsi="Times New Roman"/>
              </w:rPr>
              <w:t>energie</w:t>
            </w:r>
            <w:proofErr w:type="spellEnd"/>
            <w:r w:rsidRPr="0060721D">
              <w:rPr>
                <w:rFonts w:ascii="Times New Roman" w:hAnsi="Times New Roman"/>
              </w:rPr>
              <w:t xml:space="preserve"> </w:t>
            </w:r>
            <w:proofErr w:type="spellStart"/>
            <w:r w:rsidRPr="0060721D">
              <w:rPr>
                <w:rFonts w:ascii="Times New Roman" w:hAnsi="Times New Roman"/>
              </w:rPr>
              <w:t>şi</w:t>
            </w:r>
            <w:proofErr w:type="spellEnd"/>
            <w:r w:rsidRPr="0060721D">
              <w:rPr>
                <w:rFonts w:ascii="Times New Roman" w:hAnsi="Times New Roman"/>
              </w:rPr>
              <w:t xml:space="preserve"> </w:t>
            </w:r>
            <w:proofErr w:type="spellStart"/>
            <w:r w:rsidRPr="0060721D">
              <w:rPr>
                <w:rFonts w:ascii="Times New Roman" w:hAnsi="Times New Roman"/>
              </w:rPr>
              <w:t>combustibil</w:t>
            </w:r>
            <w:proofErr w:type="spellEnd"/>
            <w:r w:rsidRPr="0060721D">
              <w:rPr>
                <w:rFonts w:ascii="Times New Roman" w:hAnsi="Times New Roman"/>
              </w:rPr>
              <w:t xml:space="preserve"> </w:t>
            </w:r>
            <w:proofErr w:type="spellStart"/>
            <w:r w:rsidRPr="0060721D">
              <w:rPr>
                <w:rFonts w:ascii="Times New Roman" w:hAnsi="Times New Roman"/>
              </w:rPr>
              <w:t>vor</w:t>
            </w:r>
            <w:proofErr w:type="spellEnd"/>
            <w:r w:rsidRPr="0060721D">
              <w:rPr>
                <w:rFonts w:ascii="Times New Roman" w:hAnsi="Times New Roman"/>
              </w:rPr>
              <w:t xml:space="preserve"> </w:t>
            </w:r>
            <w:proofErr w:type="spellStart"/>
            <w:r w:rsidRPr="0060721D">
              <w:rPr>
                <w:rFonts w:ascii="Times New Roman" w:hAnsi="Times New Roman"/>
              </w:rPr>
              <w:t>constitui</w:t>
            </w:r>
            <w:proofErr w:type="spellEnd"/>
            <w:r w:rsidRPr="0060721D">
              <w:rPr>
                <w:rFonts w:ascii="Times New Roman" w:hAnsi="Times New Roman"/>
              </w:rPr>
              <w:t xml:space="preserve">   ≈ 76 260 </w:t>
            </w:r>
            <w:proofErr w:type="spellStart"/>
            <w:r w:rsidRPr="0060721D">
              <w:rPr>
                <w:rFonts w:ascii="Times New Roman" w:hAnsi="Times New Roman"/>
              </w:rPr>
              <w:t>tcc</w:t>
            </w:r>
            <w:proofErr w:type="spellEnd"/>
            <w:r w:rsidRPr="0060721D">
              <w:rPr>
                <w:rFonts w:ascii="Times New Roman" w:hAnsi="Times New Roman"/>
              </w:rPr>
              <w:t xml:space="preserve"> </w:t>
            </w:r>
            <w:proofErr w:type="spellStart"/>
            <w:r w:rsidRPr="0060721D">
              <w:rPr>
                <w:rFonts w:ascii="Times New Roman" w:hAnsi="Times New Roman"/>
              </w:rPr>
              <w:t>în</w:t>
            </w:r>
            <w:proofErr w:type="spellEnd"/>
            <w:r w:rsidRPr="0060721D">
              <w:rPr>
                <w:rFonts w:ascii="Times New Roman" w:hAnsi="Times New Roman"/>
              </w:rPr>
              <w:t xml:space="preserve"> </w:t>
            </w:r>
            <w:proofErr w:type="spellStart"/>
            <w:r w:rsidRPr="0060721D">
              <w:rPr>
                <w:rFonts w:ascii="Times New Roman" w:hAnsi="Times New Roman"/>
              </w:rPr>
              <w:t>anul</w:t>
            </w:r>
            <w:proofErr w:type="spellEnd"/>
            <w:r w:rsidRPr="0060721D">
              <w:rPr>
                <w:rFonts w:ascii="Times New Roman" w:hAnsi="Times New Roman"/>
              </w:rPr>
              <w:t xml:space="preserve"> 2030</w:t>
            </w:r>
          </w:p>
        </w:tc>
        <w:tc>
          <w:tcPr>
            <w:tcW w:w="1440" w:type="dxa"/>
            <w:gridSpan w:val="2"/>
            <w:hideMark/>
          </w:tcPr>
          <w:p w14:paraId="3F160BCF" w14:textId="77777777" w:rsidR="0060721D" w:rsidRPr="0060721D" w:rsidRDefault="0060721D" w:rsidP="0060721D">
            <w:pPr>
              <w:jc w:val="center"/>
              <w:rPr>
                <w:rFonts w:ascii="Times New Roman" w:hAnsi="Times New Roman"/>
              </w:rPr>
            </w:pPr>
            <w:proofErr w:type="spellStart"/>
            <w:r w:rsidRPr="0060721D">
              <w:rPr>
                <w:rFonts w:ascii="Times New Roman" w:eastAsia="Times New Roman" w:hAnsi="Times New Roman"/>
                <w:lang w:eastAsia="ru-RU"/>
              </w:rPr>
              <w:t>Reducerile</w:t>
            </w:r>
            <w:proofErr w:type="spellEnd"/>
            <w:r w:rsidRPr="0060721D">
              <w:rPr>
                <w:rFonts w:ascii="Times New Roman" w:hAnsi="Times New Roman"/>
                <w:lang w:val="ro-RO"/>
              </w:rPr>
              <w:t xml:space="preserve"> </w:t>
            </w:r>
            <w:r w:rsidRPr="0060721D">
              <w:rPr>
                <w:rFonts w:ascii="Times New Roman" w:hAnsi="Times New Roman"/>
              </w:rPr>
              <w:t xml:space="preserve">de </w:t>
            </w:r>
            <w:proofErr w:type="spellStart"/>
            <w:r w:rsidRPr="0060721D">
              <w:rPr>
                <w:rFonts w:ascii="Times New Roman" w:hAnsi="Times New Roman"/>
              </w:rPr>
              <w:t>energie</w:t>
            </w:r>
            <w:proofErr w:type="spellEnd"/>
            <w:r w:rsidRPr="0060721D">
              <w:rPr>
                <w:rFonts w:ascii="Times New Roman" w:hAnsi="Times New Roman"/>
              </w:rPr>
              <w:t xml:space="preserve"> </w:t>
            </w:r>
            <w:proofErr w:type="spellStart"/>
            <w:r w:rsidRPr="0060721D">
              <w:rPr>
                <w:rFonts w:ascii="Times New Roman" w:hAnsi="Times New Roman"/>
              </w:rPr>
              <w:t>şi</w:t>
            </w:r>
            <w:proofErr w:type="spellEnd"/>
            <w:r w:rsidRPr="0060721D">
              <w:rPr>
                <w:rFonts w:ascii="Times New Roman" w:hAnsi="Times New Roman"/>
              </w:rPr>
              <w:t xml:space="preserve"> </w:t>
            </w:r>
            <w:proofErr w:type="spellStart"/>
            <w:r w:rsidRPr="0060721D">
              <w:rPr>
                <w:rFonts w:ascii="Times New Roman" w:hAnsi="Times New Roman"/>
              </w:rPr>
              <w:t>combustibil</w:t>
            </w:r>
            <w:proofErr w:type="spellEnd"/>
            <w:r w:rsidRPr="0060721D">
              <w:rPr>
                <w:rFonts w:ascii="Times New Roman" w:hAnsi="Times New Roman"/>
              </w:rPr>
              <w:t xml:space="preserve"> </w:t>
            </w:r>
            <w:proofErr w:type="spellStart"/>
            <w:r w:rsidRPr="0060721D">
              <w:rPr>
                <w:rFonts w:ascii="Times New Roman" w:hAnsi="Times New Roman"/>
              </w:rPr>
              <w:t>vor</w:t>
            </w:r>
            <w:proofErr w:type="spellEnd"/>
            <w:r w:rsidRPr="0060721D">
              <w:rPr>
                <w:rFonts w:ascii="Times New Roman" w:hAnsi="Times New Roman"/>
              </w:rPr>
              <w:t xml:space="preserve"> </w:t>
            </w:r>
            <w:proofErr w:type="spellStart"/>
            <w:r w:rsidRPr="0060721D">
              <w:rPr>
                <w:rFonts w:ascii="Times New Roman" w:hAnsi="Times New Roman"/>
              </w:rPr>
              <w:t>constitui</w:t>
            </w:r>
            <w:proofErr w:type="spellEnd"/>
            <w:r w:rsidRPr="0060721D">
              <w:rPr>
                <w:rFonts w:ascii="Times New Roman" w:hAnsi="Times New Roman"/>
              </w:rPr>
              <w:t xml:space="preserve">  ≈  37 127 </w:t>
            </w:r>
            <w:proofErr w:type="spellStart"/>
            <w:r w:rsidRPr="0060721D">
              <w:rPr>
                <w:rFonts w:ascii="Times New Roman" w:hAnsi="Times New Roman"/>
              </w:rPr>
              <w:t>tcc</w:t>
            </w:r>
            <w:proofErr w:type="spellEnd"/>
            <w:r w:rsidRPr="0060721D">
              <w:rPr>
                <w:rFonts w:ascii="Times New Roman" w:hAnsi="Times New Roman"/>
              </w:rPr>
              <w:t xml:space="preserve"> </w:t>
            </w:r>
            <w:proofErr w:type="spellStart"/>
            <w:r w:rsidRPr="0060721D">
              <w:rPr>
                <w:rFonts w:ascii="Times New Roman" w:hAnsi="Times New Roman"/>
              </w:rPr>
              <w:t>în</w:t>
            </w:r>
            <w:proofErr w:type="spellEnd"/>
            <w:r w:rsidRPr="0060721D">
              <w:rPr>
                <w:rFonts w:ascii="Times New Roman" w:hAnsi="Times New Roman"/>
              </w:rPr>
              <w:t xml:space="preserve"> </w:t>
            </w:r>
            <w:proofErr w:type="spellStart"/>
            <w:r w:rsidRPr="0060721D">
              <w:rPr>
                <w:rFonts w:ascii="Times New Roman" w:hAnsi="Times New Roman"/>
              </w:rPr>
              <w:t>anul</w:t>
            </w:r>
            <w:proofErr w:type="spellEnd"/>
            <w:r w:rsidRPr="0060721D">
              <w:rPr>
                <w:rFonts w:ascii="Times New Roman" w:hAnsi="Times New Roman"/>
              </w:rPr>
              <w:t xml:space="preserve"> 2030</w:t>
            </w:r>
          </w:p>
        </w:tc>
        <w:tc>
          <w:tcPr>
            <w:tcW w:w="3429" w:type="dxa"/>
            <w:gridSpan w:val="2"/>
            <w:hideMark/>
          </w:tcPr>
          <w:p w14:paraId="4BCFE348" w14:textId="77777777" w:rsidR="0060721D" w:rsidRPr="0060721D" w:rsidRDefault="0060721D" w:rsidP="0060721D">
            <w:pPr>
              <w:jc w:val="center"/>
              <w:rPr>
                <w:rFonts w:ascii="Times New Roman" w:hAnsi="Times New Roman"/>
              </w:rPr>
            </w:pPr>
            <w:r w:rsidRPr="0060721D">
              <w:rPr>
                <w:rFonts w:ascii="Times New Roman" w:eastAsia="Times New Roman" w:hAnsi="Times New Roman"/>
                <w:lang w:eastAsia="ru-RU"/>
              </w:rPr>
              <w:t>125 460</w:t>
            </w:r>
            <w:r w:rsidRPr="0060721D">
              <w:rPr>
                <w:rFonts w:ascii="Times New Roman" w:eastAsia="Times New Roman" w:hAnsi="Times New Roman"/>
                <w:lang w:val="ro-RO" w:eastAsia="ru-RU"/>
              </w:rPr>
              <w:t xml:space="preserve"> </w:t>
            </w:r>
            <w:r w:rsidRPr="0060721D">
              <w:rPr>
                <w:rFonts w:ascii="Times New Roman" w:hAnsi="Times New Roman"/>
              </w:rPr>
              <w:t xml:space="preserve">tone CO2 </w:t>
            </w:r>
            <w:proofErr w:type="spellStart"/>
            <w:r w:rsidRPr="0060721D">
              <w:rPr>
                <w:rFonts w:ascii="Times New Roman" w:hAnsi="Times New Roman"/>
              </w:rPr>
              <w:t>echivalent</w:t>
            </w:r>
            <w:proofErr w:type="spellEnd"/>
            <w:r w:rsidRPr="0060721D">
              <w:rPr>
                <w:rFonts w:ascii="Times New Roman" w:hAnsi="Times New Roman"/>
              </w:rPr>
              <w:t xml:space="preserve">/an </w:t>
            </w:r>
            <w:proofErr w:type="spellStart"/>
            <w:r w:rsidRPr="0060721D">
              <w:rPr>
                <w:rFonts w:ascii="Times New Roman" w:hAnsi="Times New Roman"/>
              </w:rPr>
              <w:t>pînă</w:t>
            </w:r>
            <w:proofErr w:type="spellEnd"/>
            <w:r w:rsidRPr="0060721D">
              <w:rPr>
                <w:rFonts w:ascii="Times New Roman" w:hAnsi="Times New Roman"/>
              </w:rPr>
              <w:t xml:space="preserve"> </w:t>
            </w:r>
            <w:proofErr w:type="spellStart"/>
            <w:r w:rsidRPr="0060721D">
              <w:rPr>
                <w:rFonts w:ascii="Times New Roman" w:hAnsi="Times New Roman"/>
              </w:rPr>
              <w:t>în</w:t>
            </w:r>
            <w:proofErr w:type="spellEnd"/>
            <w:r w:rsidRPr="0060721D">
              <w:rPr>
                <w:rFonts w:ascii="Times New Roman" w:hAnsi="Times New Roman"/>
              </w:rPr>
              <w:t xml:space="preserve">  2030</w:t>
            </w:r>
          </w:p>
        </w:tc>
        <w:tc>
          <w:tcPr>
            <w:tcW w:w="1502" w:type="dxa"/>
            <w:gridSpan w:val="2"/>
            <w:hideMark/>
          </w:tcPr>
          <w:p w14:paraId="014F2E42" w14:textId="77777777" w:rsidR="0060721D" w:rsidRPr="0060721D" w:rsidRDefault="0060721D" w:rsidP="0060721D">
            <w:pPr>
              <w:jc w:val="center"/>
              <w:rPr>
                <w:rFonts w:ascii="Times New Roman" w:hAnsi="Times New Roman"/>
              </w:rPr>
            </w:pPr>
            <w:r w:rsidRPr="0060721D">
              <w:rPr>
                <w:rFonts w:ascii="Times New Roman" w:eastAsia="Times New Roman" w:hAnsi="Times New Roman"/>
                <w:lang w:eastAsia="ru-RU"/>
              </w:rPr>
              <w:t>61</w:t>
            </w:r>
            <w:r w:rsidRPr="0060721D">
              <w:rPr>
                <w:rFonts w:ascii="Times New Roman" w:hAnsi="Times New Roman"/>
                <w:lang w:val="ro-RO"/>
              </w:rPr>
              <w:t xml:space="preserve"> </w:t>
            </w:r>
            <w:r w:rsidRPr="0060721D">
              <w:rPr>
                <w:rFonts w:ascii="Times New Roman" w:hAnsi="Times New Roman"/>
              </w:rPr>
              <w:t xml:space="preserve">079 tone CO2 </w:t>
            </w:r>
            <w:proofErr w:type="spellStart"/>
            <w:r w:rsidRPr="0060721D">
              <w:rPr>
                <w:rFonts w:ascii="Times New Roman" w:hAnsi="Times New Roman"/>
              </w:rPr>
              <w:t>echivalent</w:t>
            </w:r>
            <w:proofErr w:type="spellEnd"/>
            <w:r w:rsidRPr="0060721D">
              <w:rPr>
                <w:rFonts w:ascii="Times New Roman" w:hAnsi="Times New Roman"/>
              </w:rPr>
              <w:t xml:space="preserve">/an </w:t>
            </w:r>
            <w:proofErr w:type="spellStart"/>
            <w:r w:rsidRPr="0060721D">
              <w:rPr>
                <w:rFonts w:ascii="Times New Roman" w:hAnsi="Times New Roman"/>
              </w:rPr>
              <w:t>pînă</w:t>
            </w:r>
            <w:proofErr w:type="spellEnd"/>
            <w:r w:rsidRPr="0060721D">
              <w:rPr>
                <w:rFonts w:ascii="Times New Roman" w:hAnsi="Times New Roman"/>
              </w:rPr>
              <w:t xml:space="preserve"> </w:t>
            </w:r>
            <w:proofErr w:type="spellStart"/>
            <w:r w:rsidRPr="0060721D">
              <w:rPr>
                <w:rFonts w:ascii="Times New Roman" w:hAnsi="Times New Roman"/>
              </w:rPr>
              <w:t>în</w:t>
            </w:r>
            <w:proofErr w:type="spellEnd"/>
            <w:r w:rsidRPr="0060721D">
              <w:rPr>
                <w:rFonts w:ascii="Times New Roman" w:hAnsi="Times New Roman"/>
              </w:rPr>
              <w:t xml:space="preserve">  2030</w:t>
            </w:r>
          </w:p>
        </w:tc>
      </w:tr>
      <w:tr w:rsidR="002D5884" w:rsidRPr="0060721D" w14:paraId="080A0901" w14:textId="77777777" w:rsidTr="00F11CCD">
        <w:trPr>
          <w:divId w:val="546725049"/>
          <w:trHeight w:val="600"/>
        </w:trPr>
        <w:tc>
          <w:tcPr>
            <w:tcW w:w="500" w:type="dxa"/>
            <w:hideMark/>
          </w:tcPr>
          <w:p w14:paraId="17D04FFE" w14:textId="77777777" w:rsidR="0060721D" w:rsidRPr="0060721D" w:rsidRDefault="0060721D" w:rsidP="0060721D">
            <w:pPr>
              <w:jc w:val="center"/>
              <w:rPr>
                <w:rFonts w:ascii="Times New Roman" w:eastAsia="Times New Roman" w:hAnsi="Times New Roman"/>
                <w:lang w:val="ro-RO" w:eastAsia="ru-RU"/>
              </w:rPr>
            </w:pPr>
            <w:r w:rsidRPr="0060721D">
              <w:rPr>
                <w:rFonts w:ascii="Times New Roman" w:eastAsia="Times New Roman" w:hAnsi="Times New Roman"/>
                <w:lang w:eastAsia="ru-RU"/>
              </w:rPr>
              <w:t>4,3</w:t>
            </w:r>
          </w:p>
        </w:tc>
        <w:tc>
          <w:tcPr>
            <w:tcW w:w="3437" w:type="dxa"/>
            <w:gridSpan w:val="2"/>
            <w:hideMark/>
          </w:tcPr>
          <w:p w14:paraId="2D998A28" w14:textId="77777777" w:rsidR="0060721D" w:rsidRPr="0060721D" w:rsidRDefault="0060721D" w:rsidP="0060721D">
            <w:pPr>
              <w:jc w:val="center"/>
              <w:rPr>
                <w:rFonts w:ascii="Times New Roman" w:eastAsia="Times New Roman" w:hAnsi="Times New Roman"/>
                <w:lang w:val="es-ES" w:eastAsia="ru-RU"/>
              </w:rPr>
            </w:pPr>
            <w:r w:rsidRPr="0060721D">
              <w:rPr>
                <w:rFonts w:ascii="Times New Roman" w:eastAsia="Times New Roman" w:hAnsi="Times New Roman"/>
                <w:b/>
                <w:bCs/>
                <w:lang w:val="es-ES" w:eastAsia="ru-RU"/>
              </w:rPr>
              <w:t>Co-incinerarea combustibililor alternativi</w:t>
            </w:r>
            <w:r w:rsidRPr="0060721D">
              <w:rPr>
                <w:rFonts w:ascii="Times New Roman" w:eastAsia="Times New Roman" w:hAnsi="Times New Roman"/>
                <w:lang w:val="es-ES" w:eastAsia="ru-RU"/>
              </w:rPr>
              <w:t xml:space="preserve"> (biomasa si deșeuri solide menajere) în cuptorul de clincher, cu scopul valorificării energetice a deșeurilor la</w:t>
            </w:r>
            <w:r w:rsidRPr="0060721D">
              <w:rPr>
                <w:rFonts w:ascii="Times New Roman" w:eastAsia="Times New Roman" w:hAnsi="Times New Roman"/>
                <w:b/>
                <w:bCs/>
                <w:lang w:val="es-ES" w:eastAsia="ru-RU"/>
              </w:rPr>
              <w:t xml:space="preserve"> producerea cimentului</w:t>
            </w:r>
            <w:r w:rsidRPr="0060721D">
              <w:rPr>
                <w:rFonts w:ascii="Times New Roman" w:eastAsia="Times New Roman" w:hAnsi="Times New Roman"/>
                <w:lang w:val="es-ES" w:eastAsia="ru-RU"/>
              </w:rPr>
              <w:t xml:space="preserve"> și substituirea parțială a clincherului la întreprinderea Lafarge Ciment (Moldova) (membru al Grupului LafargeHolcim)</w:t>
            </w:r>
          </w:p>
        </w:tc>
        <w:tc>
          <w:tcPr>
            <w:tcW w:w="1949" w:type="dxa"/>
            <w:hideMark/>
          </w:tcPr>
          <w:p w14:paraId="7655F3EC" w14:textId="77777777" w:rsidR="0060721D" w:rsidRPr="0060721D" w:rsidRDefault="0060721D" w:rsidP="0060721D">
            <w:pPr>
              <w:jc w:val="center"/>
              <w:rPr>
                <w:rFonts w:ascii="Times New Roman" w:hAnsi="Times New Roman"/>
              </w:rPr>
            </w:pPr>
            <w:r w:rsidRPr="0060721D">
              <w:rPr>
                <w:rFonts w:ascii="Times New Roman" w:hAnsi="Times New Roman"/>
              </w:rPr>
              <w:t xml:space="preserve">      La 21 </w:t>
            </w:r>
            <w:proofErr w:type="spellStart"/>
            <w:r w:rsidRPr="0060721D">
              <w:rPr>
                <w:rFonts w:ascii="Times New Roman" w:hAnsi="Times New Roman"/>
              </w:rPr>
              <w:t>septembrie</w:t>
            </w:r>
            <w:proofErr w:type="spellEnd"/>
            <w:r w:rsidRPr="0060721D">
              <w:rPr>
                <w:rFonts w:ascii="Times New Roman" w:hAnsi="Times New Roman"/>
              </w:rPr>
              <w:t xml:space="preserve"> 2020, la New York </w:t>
            </w:r>
            <w:proofErr w:type="spellStart"/>
            <w:r w:rsidRPr="0060721D">
              <w:rPr>
                <w:rFonts w:ascii="Times New Roman" w:hAnsi="Times New Roman"/>
              </w:rPr>
              <w:t>grupul</w:t>
            </w:r>
            <w:proofErr w:type="spellEnd"/>
            <w:r w:rsidRPr="0060721D">
              <w:rPr>
                <w:rFonts w:ascii="Times New Roman" w:hAnsi="Times New Roman"/>
              </w:rPr>
              <w:t xml:space="preserve"> </w:t>
            </w:r>
            <w:proofErr w:type="spellStart"/>
            <w:r w:rsidRPr="0060721D">
              <w:rPr>
                <w:rFonts w:ascii="Times New Roman" w:hAnsi="Times New Roman"/>
              </w:rPr>
              <w:t>LafargeHolcim</w:t>
            </w:r>
            <w:proofErr w:type="spellEnd"/>
            <w:r w:rsidRPr="0060721D">
              <w:rPr>
                <w:rFonts w:ascii="Times New Roman" w:hAnsi="Times New Roman"/>
              </w:rPr>
              <w:t xml:space="preserve"> a </w:t>
            </w:r>
            <w:proofErr w:type="spellStart"/>
            <w:r w:rsidRPr="0060721D">
              <w:rPr>
                <w:rFonts w:ascii="Times New Roman" w:hAnsi="Times New Roman"/>
              </w:rPr>
              <w:t>semnat</w:t>
            </w:r>
            <w:proofErr w:type="spellEnd"/>
            <w:r w:rsidRPr="0060721D">
              <w:rPr>
                <w:rFonts w:ascii="Times New Roman" w:hAnsi="Times New Roman"/>
              </w:rPr>
              <w:t xml:space="preserve"> </w:t>
            </w:r>
            <w:proofErr w:type="spellStart"/>
            <w:r w:rsidRPr="0060721D">
              <w:rPr>
                <w:rFonts w:ascii="Times New Roman" w:hAnsi="Times New Roman"/>
              </w:rPr>
              <w:t>Angajamentul</w:t>
            </w:r>
            <w:proofErr w:type="spellEnd"/>
            <w:r w:rsidRPr="0060721D">
              <w:rPr>
                <w:rFonts w:ascii="Times New Roman" w:hAnsi="Times New Roman"/>
              </w:rPr>
              <w:t xml:space="preserve"> “</w:t>
            </w:r>
            <w:proofErr w:type="spellStart"/>
            <w:r w:rsidRPr="0060721D">
              <w:rPr>
                <w:rFonts w:ascii="Times New Roman" w:hAnsi="Times New Roman"/>
              </w:rPr>
              <w:t>Emisii</w:t>
            </w:r>
            <w:proofErr w:type="spellEnd"/>
            <w:r w:rsidRPr="0060721D">
              <w:rPr>
                <w:rFonts w:ascii="Times New Roman" w:hAnsi="Times New Roman"/>
              </w:rPr>
              <w:t xml:space="preserve"> de carbon nete zero, </w:t>
            </w:r>
            <w:proofErr w:type="spellStart"/>
            <w:r w:rsidRPr="0060721D">
              <w:rPr>
                <w:rFonts w:ascii="Times New Roman" w:hAnsi="Times New Roman"/>
              </w:rPr>
              <w:t>obiectiv</w:t>
            </w:r>
            <w:proofErr w:type="spellEnd"/>
            <w:r w:rsidRPr="0060721D">
              <w:rPr>
                <w:rFonts w:ascii="Times New Roman" w:hAnsi="Times New Roman"/>
              </w:rPr>
              <w:t xml:space="preserve"> </w:t>
            </w:r>
            <w:proofErr w:type="spellStart"/>
            <w:r w:rsidRPr="0060721D">
              <w:rPr>
                <w:rFonts w:ascii="Times New Roman" w:hAnsi="Times New Roman"/>
              </w:rPr>
              <w:t>bazat</w:t>
            </w:r>
            <w:proofErr w:type="spellEnd"/>
            <w:r w:rsidRPr="0060721D">
              <w:rPr>
                <w:rFonts w:ascii="Times New Roman" w:hAnsi="Times New Roman"/>
              </w:rPr>
              <w:t xml:space="preserve"> pe </w:t>
            </w:r>
            <w:proofErr w:type="spellStart"/>
            <w:r w:rsidRPr="0060721D">
              <w:rPr>
                <w:rFonts w:ascii="Times New Roman" w:hAnsi="Times New Roman"/>
              </w:rPr>
              <w:t>știință</w:t>
            </w:r>
            <w:proofErr w:type="spellEnd"/>
            <w:r w:rsidRPr="0060721D">
              <w:rPr>
                <w:rFonts w:ascii="Times New Roman" w:hAnsi="Times New Roman"/>
              </w:rPr>
              <w:t xml:space="preserve">”, </w:t>
            </w:r>
            <w:proofErr w:type="spellStart"/>
            <w:r w:rsidRPr="0060721D">
              <w:rPr>
                <w:rFonts w:ascii="Times New Roman" w:hAnsi="Times New Roman"/>
              </w:rPr>
              <w:t>fiind</w:t>
            </w:r>
            <w:proofErr w:type="spellEnd"/>
            <w:r w:rsidRPr="0060721D">
              <w:rPr>
                <w:rFonts w:ascii="Times New Roman" w:hAnsi="Times New Roman"/>
              </w:rPr>
              <w:t xml:space="preserve"> prima </w:t>
            </w:r>
            <w:proofErr w:type="spellStart"/>
            <w:r w:rsidRPr="0060721D">
              <w:rPr>
                <w:rFonts w:ascii="Times New Roman" w:hAnsi="Times New Roman"/>
              </w:rPr>
              <w:t>companie</w:t>
            </w:r>
            <w:proofErr w:type="spellEnd"/>
            <w:r w:rsidRPr="0060721D">
              <w:rPr>
                <w:rFonts w:ascii="Times New Roman" w:hAnsi="Times New Roman"/>
              </w:rPr>
              <w:t xml:space="preserve"> </w:t>
            </w:r>
            <w:proofErr w:type="spellStart"/>
            <w:r w:rsidRPr="0060721D">
              <w:rPr>
                <w:rFonts w:ascii="Times New Roman" w:hAnsi="Times New Roman"/>
              </w:rPr>
              <w:t>globală</w:t>
            </w:r>
            <w:proofErr w:type="spellEnd"/>
            <w:r w:rsidRPr="0060721D">
              <w:rPr>
                <w:rFonts w:ascii="Times New Roman" w:hAnsi="Times New Roman"/>
              </w:rPr>
              <w:t xml:space="preserve"> de </w:t>
            </w:r>
            <w:proofErr w:type="spellStart"/>
            <w:r w:rsidRPr="0060721D">
              <w:rPr>
                <w:rFonts w:ascii="Times New Roman" w:hAnsi="Times New Roman"/>
              </w:rPr>
              <w:t>materiale</w:t>
            </w:r>
            <w:proofErr w:type="spellEnd"/>
            <w:r w:rsidRPr="0060721D">
              <w:rPr>
                <w:rFonts w:ascii="Times New Roman" w:hAnsi="Times New Roman"/>
              </w:rPr>
              <w:t xml:space="preserve"> </w:t>
            </w:r>
            <w:r w:rsidRPr="0060721D">
              <w:rPr>
                <w:rFonts w:ascii="Times New Roman" w:hAnsi="Times New Roman"/>
              </w:rPr>
              <w:lastRenderedPageBreak/>
              <w:t xml:space="preserve">de </w:t>
            </w:r>
            <w:proofErr w:type="spellStart"/>
            <w:r w:rsidRPr="0060721D">
              <w:rPr>
                <w:rFonts w:ascii="Times New Roman" w:hAnsi="Times New Roman"/>
              </w:rPr>
              <w:t>construcții</w:t>
            </w:r>
            <w:proofErr w:type="spellEnd"/>
            <w:r w:rsidRPr="0060721D">
              <w:rPr>
                <w:rFonts w:ascii="Times New Roman" w:hAnsi="Times New Roman"/>
              </w:rPr>
              <w:t xml:space="preserve"> care a </w:t>
            </w:r>
            <w:proofErr w:type="spellStart"/>
            <w:r w:rsidRPr="0060721D">
              <w:rPr>
                <w:rFonts w:ascii="Times New Roman" w:hAnsi="Times New Roman"/>
              </w:rPr>
              <w:t>semnat</w:t>
            </w:r>
            <w:proofErr w:type="spellEnd"/>
            <w:r w:rsidRPr="0060721D">
              <w:rPr>
                <w:rFonts w:ascii="Times New Roman" w:hAnsi="Times New Roman"/>
              </w:rPr>
              <w:t xml:space="preserve"> “</w:t>
            </w:r>
            <w:proofErr w:type="spellStart"/>
            <w:r w:rsidRPr="0060721D">
              <w:rPr>
                <w:rFonts w:ascii="Times New Roman" w:hAnsi="Times New Roman"/>
              </w:rPr>
              <w:t>Ambiția</w:t>
            </w:r>
            <w:proofErr w:type="spellEnd"/>
            <w:r w:rsidRPr="0060721D">
              <w:rPr>
                <w:rFonts w:ascii="Times New Roman" w:hAnsi="Times New Roman"/>
              </w:rPr>
              <w:t xml:space="preserve"> </w:t>
            </w:r>
            <w:proofErr w:type="spellStart"/>
            <w:r w:rsidRPr="0060721D">
              <w:rPr>
                <w:rFonts w:ascii="Times New Roman" w:hAnsi="Times New Roman"/>
              </w:rPr>
              <w:t>în</w:t>
            </w:r>
            <w:proofErr w:type="spellEnd"/>
            <w:r w:rsidRPr="0060721D">
              <w:rPr>
                <w:rFonts w:ascii="Times New Roman" w:hAnsi="Times New Roman"/>
              </w:rPr>
              <w:t xml:space="preserve"> </w:t>
            </w:r>
            <w:proofErr w:type="spellStart"/>
            <w:r w:rsidRPr="0060721D">
              <w:rPr>
                <w:rFonts w:ascii="Times New Roman" w:hAnsi="Times New Roman"/>
              </w:rPr>
              <w:t>afaceri</w:t>
            </w:r>
            <w:proofErr w:type="spellEnd"/>
            <w:r w:rsidRPr="0060721D">
              <w:rPr>
                <w:rFonts w:ascii="Times New Roman" w:hAnsi="Times New Roman"/>
              </w:rPr>
              <w:t xml:space="preserve"> </w:t>
            </w:r>
            <w:proofErr w:type="spellStart"/>
            <w:r w:rsidRPr="0060721D">
              <w:rPr>
                <w:rFonts w:ascii="Times New Roman" w:hAnsi="Times New Roman"/>
              </w:rPr>
              <w:t>pentru</w:t>
            </w:r>
            <w:proofErr w:type="spellEnd"/>
            <w:r w:rsidRPr="0060721D">
              <w:rPr>
                <w:rFonts w:ascii="Times New Roman" w:hAnsi="Times New Roman"/>
              </w:rPr>
              <w:t xml:space="preserve"> </w:t>
            </w:r>
            <w:proofErr w:type="spellStart"/>
            <w:r w:rsidRPr="0060721D">
              <w:rPr>
                <w:rFonts w:ascii="Times New Roman" w:hAnsi="Times New Roman"/>
              </w:rPr>
              <w:t>obiectivul</w:t>
            </w:r>
            <w:proofErr w:type="spellEnd"/>
            <w:r w:rsidRPr="0060721D">
              <w:rPr>
                <w:rFonts w:ascii="Times New Roman" w:hAnsi="Times New Roman"/>
              </w:rPr>
              <w:t xml:space="preserve"> climatic 1.5°C”, </w:t>
            </w:r>
            <w:proofErr w:type="spellStart"/>
            <w:r w:rsidRPr="0060721D">
              <w:rPr>
                <w:rFonts w:ascii="Times New Roman" w:hAnsi="Times New Roman"/>
              </w:rPr>
              <w:t>angajament</w:t>
            </w:r>
            <w:proofErr w:type="spellEnd"/>
            <w:r w:rsidRPr="0060721D">
              <w:rPr>
                <w:rFonts w:ascii="Times New Roman" w:hAnsi="Times New Roman"/>
              </w:rPr>
              <w:t xml:space="preserve"> cu </w:t>
            </w:r>
            <w:proofErr w:type="spellStart"/>
            <w:r w:rsidRPr="0060721D">
              <w:rPr>
                <w:rFonts w:ascii="Times New Roman" w:hAnsi="Times New Roman"/>
              </w:rPr>
              <w:t>obiective</w:t>
            </w:r>
            <w:proofErr w:type="spellEnd"/>
            <w:r w:rsidRPr="0060721D">
              <w:rPr>
                <w:rFonts w:ascii="Times New Roman" w:hAnsi="Times New Roman"/>
              </w:rPr>
              <w:t xml:space="preserve"> </w:t>
            </w:r>
            <w:proofErr w:type="spellStart"/>
            <w:r w:rsidRPr="0060721D">
              <w:rPr>
                <w:rFonts w:ascii="Times New Roman" w:hAnsi="Times New Roman"/>
              </w:rPr>
              <w:t>intermediare</w:t>
            </w:r>
            <w:proofErr w:type="spellEnd"/>
            <w:r w:rsidRPr="0060721D">
              <w:rPr>
                <w:rFonts w:ascii="Times New Roman" w:hAnsi="Times New Roman"/>
              </w:rPr>
              <w:t xml:space="preserve"> validate </w:t>
            </w:r>
            <w:proofErr w:type="spellStart"/>
            <w:r w:rsidRPr="0060721D">
              <w:rPr>
                <w:rFonts w:ascii="Times New Roman" w:hAnsi="Times New Roman"/>
              </w:rPr>
              <w:t>prin</w:t>
            </w:r>
            <w:proofErr w:type="spellEnd"/>
            <w:r w:rsidRPr="0060721D">
              <w:rPr>
                <w:rFonts w:ascii="Times New Roman" w:hAnsi="Times New Roman"/>
              </w:rPr>
              <w:t xml:space="preserve"> </w:t>
            </w:r>
            <w:proofErr w:type="spellStart"/>
            <w:r w:rsidRPr="0060721D">
              <w:rPr>
                <w:rFonts w:ascii="Times New Roman" w:hAnsi="Times New Roman"/>
              </w:rPr>
              <w:t>Inițiativa</w:t>
            </w:r>
            <w:proofErr w:type="spellEnd"/>
            <w:r w:rsidRPr="0060721D">
              <w:rPr>
                <w:rFonts w:ascii="Times New Roman" w:hAnsi="Times New Roman"/>
              </w:rPr>
              <w:t xml:space="preserve"> “</w:t>
            </w:r>
            <w:proofErr w:type="spellStart"/>
            <w:r w:rsidRPr="0060721D">
              <w:rPr>
                <w:rFonts w:ascii="Times New Roman" w:hAnsi="Times New Roman"/>
              </w:rPr>
              <w:t>Obiective</w:t>
            </w:r>
            <w:proofErr w:type="spellEnd"/>
            <w:r w:rsidRPr="0060721D">
              <w:rPr>
                <w:rFonts w:ascii="Times New Roman" w:hAnsi="Times New Roman"/>
              </w:rPr>
              <w:t xml:space="preserve"> </w:t>
            </w:r>
            <w:proofErr w:type="spellStart"/>
            <w:r w:rsidRPr="0060721D">
              <w:rPr>
                <w:rFonts w:ascii="Times New Roman" w:hAnsi="Times New Roman"/>
              </w:rPr>
              <w:t>bazate</w:t>
            </w:r>
            <w:proofErr w:type="spellEnd"/>
            <w:r w:rsidRPr="0060721D">
              <w:rPr>
                <w:rFonts w:ascii="Times New Roman" w:hAnsi="Times New Roman"/>
              </w:rPr>
              <w:t xml:space="preserve"> pe </w:t>
            </w:r>
            <w:proofErr w:type="spellStart"/>
            <w:r w:rsidRPr="0060721D">
              <w:rPr>
                <w:rFonts w:ascii="Times New Roman" w:hAnsi="Times New Roman"/>
              </w:rPr>
              <w:t>știință</w:t>
            </w:r>
            <w:proofErr w:type="spellEnd"/>
            <w:r w:rsidRPr="0060721D">
              <w:rPr>
                <w:rFonts w:ascii="Times New Roman" w:hAnsi="Times New Roman"/>
              </w:rPr>
              <w:t xml:space="preserve">” (SBTi), </w:t>
            </w:r>
            <w:proofErr w:type="spellStart"/>
            <w:r w:rsidRPr="0060721D">
              <w:rPr>
                <w:rFonts w:ascii="Times New Roman" w:hAnsi="Times New Roman"/>
              </w:rPr>
              <w:t>în</w:t>
            </w:r>
            <w:proofErr w:type="spellEnd"/>
            <w:r w:rsidRPr="0060721D">
              <w:rPr>
                <w:rFonts w:ascii="Times New Roman" w:hAnsi="Times New Roman"/>
              </w:rPr>
              <w:t xml:space="preserve"> </w:t>
            </w:r>
            <w:proofErr w:type="spellStart"/>
            <w:r w:rsidRPr="0060721D">
              <w:rPr>
                <w:rFonts w:ascii="Times New Roman" w:hAnsi="Times New Roman"/>
              </w:rPr>
              <w:t>linie</w:t>
            </w:r>
            <w:proofErr w:type="spellEnd"/>
            <w:r w:rsidRPr="0060721D">
              <w:rPr>
                <w:rFonts w:ascii="Times New Roman" w:hAnsi="Times New Roman"/>
              </w:rPr>
              <w:t xml:space="preserve"> cu </w:t>
            </w:r>
            <w:proofErr w:type="spellStart"/>
            <w:r w:rsidRPr="0060721D">
              <w:rPr>
                <w:rFonts w:ascii="Times New Roman" w:hAnsi="Times New Roman"/>
              </w:rPr>
              <w:t>parcursul</w:t>
            </w:r>
            <w:proofErr w:type="spellEnd"/>
            <w:r w:rsidRPr="0060721D">
              <w:rPr>
                <w:rFonts w:ascii="Times New Roman" w:hAnsi="Times New Roman"/>
              </w:rPr>
              <w:t xml:space="preserve"> </w:t>
            </w:r>
            <w:proofErr w:type="spellStart"/>
            <w:r w:rsidRPr="0060721D">
              <w:rPr>
                <w:rFonts w:ascii="Times New Roman" w:hAnsi="Times New Roman"/>
              </w:rPr>
              <w:t>emisii</w:t>
            </w:r>
            <w:proofErr w:type="spellEnd"/>
            <w:r w:rsidRPr="0060721D">
              <w:rPr>
                <w:rFonts w:ascii="Times New Roman" w:hAnsi="Times New Roman"/>
              </w:rPr>
              <w:t xml:space="preserve"> de CO2 nete zero. </w:t>
            </w:r>
            <w:proofErr w:type="spellStart"/>
            <w:r w:rsidRPr="0060721D">
              <w:rPr>
                <w:rFonts w:ascii="Times New Roman" w:hAnsi="Times New Roman"/>
              </w:rPr>
              <w:t>Acest</w:t>
            </w:r>
            <w:proofErr w:type="spellEnd"/>
            <w:r w:rsidRPr="0060721D">
              <w:rPr>
                <w:rFonts w:ascii="Times New Roman" w:hAnsi="Times New Roman"/>
              </w:rPr>
              <w:t xml:space="preserve"> </w:t>
            </w:r>
            <w:proofErr w:type="spellStart"/>
            <w:r w:rsidRPr="0060721D">
              <w:rPr>
                <w:rFonts w:ascii="Times New Roman" w:hAnsi="Times New Roman"/>
              </w:rPr>
              <w:t>angajament</w:t>
            </w:r>
            <w:proofErr w:type="spellEnd"/>
            <w:r w:rsidRPr="0060721D">
              <w:rPr>
                <w:rFonts w:ascii="Times New Roman" w:hAnsi="Times New Roman"/>
              </w:rPr>
              <w:t xml:space="preserve"> </w:t>
            </w:r>
            <w:proofErr w:type="spellStart"/>
            <w:r w:rsidRPr="0060721D">
              <w:rPr>
                <w:rFonts w:ascii="Times New Roman" w:hAnsi="Times New Roman"/>
              </w:rPr>
              <w:t>este</w:t>
            </w:r>
            <w:proofErr w:type="spellEnd"/>
            <w:r w:rsidRPr="0060721D">
              <w:rPr>
                <w:rFonts w:ascii="Times New Roman" w:hAnsi="Times New Roman"/>
              </w:rPr>
              <w:t xml:space="preserve"> </w:t>
            </w:r>
            <w:proofErr w:type="spellStart"/>
            <w:r w:rsidRPr="0060721D">
              <w:rPr>
                <w:rFonts w:ascii="Times New Roman" w:hAnsi="Times New Roman"/>
              </w:rPr>
              <w:t>bazat</w:t>
            </w:r>
            <w:proofErr w:type="spellEnd"/>
            <w:r w:rsidRPr="0060721D">
              <w:rPr>
                <w:rFonts w:ascii="Times New Roman" w:hAnsi="Times New Roman"/>
              </w:rPr>
              <w:t xml:space="preserve"> pe </w:t>
            </w:r>
            <w:proofErr w:type="spellStart"/>
            <w:r w:rsidRPr="0060721D">
              <w:rPr>
                <w:rFonts w:ascii="Times New Roman" w:hAnsi="Times New Roman"/>
              </w:rPr>
              <w:t>poziția</w:t>
            </w:r>
            <w:proofErr w:type="spellEnd"/>
            <w:r w:rsidRPr="0060721D">
              <w:rPr>
                <w:rFonts w:ascii="Times New Roman" w:hAnsi="Times New Roman"/>
              </w:rPr>
              <w:t xml:space="preserve"> de </w:t>
            </w:r>
            <w:proofErr w:type="spellStart"/>
            <w:r w:rsidRPr="0060721D">
              <w:rPr>
                <w:rFonts w:ascii="Times New Roman" w:hAnsi="Times New Roman"/>
              </w:rPr>
              <w:t>lider</w:t>
            </w:r>
            <w:proofErr w:type="spellEnd"/>
            <w:r w:rsidRPr="0060721D">
              <w:rPr>
                <w:rFonts w:ascii="Times New Roman" w:hAnsi="Times New Roman"/>
              </w:rPr>
              <w:t xml:space="preserve"> global al </w:t>
            </w:r>
            <w:proofErr w:type="spellStart"/>
            <w:r w:rsidRPr="0060721D">
              <w:rPr>
                <w:rFonts w:ascii="Times New Roman" w:hAnsi="Times New Roman"/>
              </w:rPr>
              <w:t>grupului</w:t>
            </w:r>
            <w:proofErr w:type="spellEnd"/>
            <w:r w:rsidRPr="0060721D">
              <w:rPr>
                <w:rFonts w:ascii="Times New Roman" w:hAnsi="Times New Roman"/>
              </w:rPr>
              <w:t xml:space="preserve"> </w:t>
            </w:r>
            <w:proofErr w:type="spellStart"/>
            <w:r w:rsidRPr="0060721D">
              <w:rPr>
                <w:rFonts w:ascii="Times New Roman" w:hAnsi="Times New Roman"/>
              </w:rPr>
              <w:t>LafargeHolcim</w:t>
            </w:r>
            <w:proofErr w:type="spellEnd"/>
            <w:r w:rsidRPr="0060721D">
              <w:rPr>
                <w:rFonts w:ascii="Times New Roman" w:hAnsi="Times New Roman"/>
              </w:rPr>
              <w:t xml:space="preserve"> </w:t>
            </w:r>
            <w:proofErr w:type="spellStart"/>
            <w:r w:rsidRPr="0060721D">
              <w:rPr>
                <w:rFonts w:ascii="Times New Roman" w:hAnsi="Times New Roman"/>
              </w:rPr>
              <w:t>în</w:t>
            </w:r>
            <w:proofErr w:type="spellEnd"/>
            <w:r w:rsidRPr="0060721D">
              <w:rPr>
                <w:rFonts w:ascii="Times New Roman" w:hAnsi="Times New Roman"/>
              </w:rPr>
              <w:t xml:space="preserve"> </w:t>
            </w:r>
            <w:proofErr w:type="spellStart"/>
            <w:r w:rsidRPr="0060721D">
              <w:rPr>
                <w:rFonts w:ascii="Times New Roman" w:hAnsi="Times New Roman"/>
              </w:rPr>
              <w:t>sectorul</w:t>
            </w:r>
            <w:proofErr w:type="spellEnd"/>
            <w:r w:rsidRPr="0060721D">
              <w:rPr>
                <w:rFonts w:ascii="Times New Roman" w:hAnsi="Times New Roman"/>
              </w:rPr>
              <w:t xml:space="preserve"> </w:t>
            </w:r>
            <w:proofErr w:type="spellStart"/>
            <w:r w:rsidRPr="0060721D">
              <w:rPr>
                <w:rFonts w:ascii="Times New Roman" w:hAnsi="Times New Roman"/>
              </w:rPr>
              <w:t>construcții</w:t>
            </w:r>
            <w:proofErr w:type="spellEnd"/>
            <w:r w:rsidRPr="0060721D">
              <w:rPr>
                <w:rFonts w:ascii="Times New Roman" w:hAnsi="Times New Roman"/>
              </w:rPr>
              <w:t xml:space="preserve">, cu </w:t>
            </w:r>
            <w:proofErr w:type="spellStart"/>
            <w:r w:rsidRPr="0060721D">
              <w:rPr>
                <w:rFonts w:ascii="Times New Roman" w:hAnsi="Times New Roman"/>
              </w:rPr>
              <w:t>soluții</w:t>
            </w:r>
            <w:proofErr w:type="spellEnd"/>
            <w:r w:rsidRPr="0060721D">
              <w:rPr>
                <w:rFonts w:ascii="Times New Roman" w:hAnsi="Times New Roman"/>
              </w:rPr>
              <w:t xml:space="preserve"> ”</w:t>
            </w:r>
            <w:proofErr w:type="spellStart"/>
            <w:r w:rsidRPr="0060721D">
              <w:rPr>
                <w:rFonts w:ascii="Times New Roman" w:hAnsi="Times New Roman"/>
              </w:rPr>
              <w:t>verzi</w:t>
            </w:r>
            <w:proofErr w:type="spellEnd"/>
            <w:r w:rsidRPr="0060721D">
              <w:rPr>
                <w:rFonts w:ascii="Times New Roman" w:hAnsi="Times New Roman"/>
              </w:rPr>
              <w:t xml:space="preserve">” de </w:t>
            </w:r>
            <w:proofErr w:type="spellStart"/>
            <w:r w:rsidRPr="0060721D">
              <w:rPr>
                <w:rFonts w:ascii="Times New Roman" w:hAnsi="Times New Roman"/>
              </w:rPr>
              <w:t>ultimă</w:t>
            </w:r>
            <w:proofErr w:type="spellEnd"/>
            <w:r w:rsidRPr="0060721D">
              <w:rPr>
                <w:rFonts w:ascii="Times New Roman" w:hAnsi="Times New Roman"/>
              </w:rPr>
              <w:t xml:space="preserve"> </w:t>
            </w:r>
            <w:proofErr w:type="spellStart"/>
            <w:r w:rsidRPr="0060721D">
              <w:rPr>
                <w:rFonts w:ascii="Times New Roman" w:hAnsi="Times New Roman"/>
              </w:rPr>
              <w:t>generație</w:t>
            </w:r>
            <w:proofErr w:type="spellEnd"/>
            <w:r w:rsidRPr="0060721D">
              <w:rPr>
                <w:rFonts w:ascii="Times New Roman" w:hAnsi="Times New Roman"/>
              </w:rPr>
              <w:t xml:space="preserve">, precum </w:t>
            </w:r>
            <w:proofErr w:type="spellStart"/>
            <w:r w:rsidRPr="0060721D">
              <w:rPr>
                <w:rFonts w:ascii="Times New Roman" w:hAnsi="Times New Roman"/>
              </w:rPr>
              <w:t>betonul</w:t>
            </w:r>
            <w:proofErr w:type="spellEnd"/>
            <w:r w:rsidRPr="0060721D">
              <w:rPr>
                <w:rFonts w:ascii="Times New Roman" w:hAnsi="Times New Roman"/>
              </w:rPr>
              <w:t xml:space="preserve"> ecologic </w:t>
            </w:r>
            <w:proofErr w:type="spellStart"/>
            <w:r w:rsidRPr="0060721D">
              <w:rPr>
                <w:rFonts w:ascii="Times New Roman" w:hAnsi="Times New Roman"/>
              </w:rPr>
              <w:t>ECOPact</w:t>
            </w:r>
            <w:proofErr w:type="spellEnd"/>
            <w:r w:rsidRPr="0060721D">
              <w:rPr>
                <w:rFonts w:ascii="Times New Roman" w:hAnsi="Times New Roman"/>
              </w:rPr>
              <w:t xml:space="preserve"> </w:t>
            </w:r>
            <w:proofErr w:type="spellStart"/>
            <w:r w:rsidRPr="0060721D">
              <w:rPr>
                <w:rFonts w:ascii="Times New Roman" w:hAnsi="Times New Roman"/>
              </w:rPr>
              <w:t>și</w:t>
            </w:r>
            <w:proofErr w:type="spellEnd"/>
            <w:r w:rsidRPr="0060721D">
              <w:rPr>
                <w:rFonts w:ascii="Times New Roman" w:hAnsi="Times New Roman"/>
              </w:rPr>
              <w:t xml:space="preserve"> </w:t>
            </w:r>
            <w:proofErr w:type="spellStart"/>
            <w:r w:rsidRPr="0060721D">
              <w:rPr>
                <w:rFonts w:ascii="Times New Roman" w:hAnsi="Times New Roman"/>
              </w:rPr>
              <w:t>cimentul</w:t>
            </w:r>
            <w:proofErr w:type="spellEnd"/>
            <w:r w:rsidRPr="0060721D">
              <w:rPr>
                <w:rFonts w:ascii="Times New Roman" w:hAnsi="Times New Roman"/>
              </w:rPr>
              <w:t xml:space="preserve"> circular </w:t>
            </w:r>
            <w:proofErr w:type="spellStart"/>
            <w:r w:rsidRPr="0060721D">
              <w:rPr>
                <w:rFonts w:ascii="Times New Roman" w:hAnsi="Times New Roman"/>
              </w:rPr>
              <w:t>Susteno</w:t>
            </w:r>
            <w:proofErr w:type="spellEnd"/>
            <w:r w:rsidRPr="0060721D">
              <w:rPr>
                <w:rFonts w:ascii="Times New Roman" w:hAnsi="Times New Roman"/>
              </w:rPr>
              <w:t xml:space="preserve">. </w:t>
            </w:r>
            <w:proofErr w:type="spellStart"/>
            <w:r w:rsidRPr="0060721D">
              <w:rPr>
                <w:rFonts w:ascii="Times New Roman" w:hAnsi="Times New Roman"/>
              </w:rPr>
              <w:t>Ținta</w:t>
            </w:r>
            <w:proofErr w:type="spellEnd"/>
            <w:r w:rsidRPr="0060721D">
              <w:rPr>
                <w:rFonts w:ascii="Times New Roman" w:hAnsi="Times New Roman"/>
              </w:rPr>
              <w:t xml:space="preserve"> de </w:t>
            </w:r>
            <w:proofErr w:type="spellStart"/>
            <w:r w:rsidRPr="0060721D">
              <w:rPr>
                <w:rFonts w:ascii="Times New Roman" w:hAnsi="Times New Roman"/>
              </w:rPr>
              <w:t>reducere</w:t>
            </w:r>
            <w:proofErr w:type="spellEnd"/>
            <w:r w:rsidRPr="0060721D">
              <w:rPr>
                <w:rFonts w:ascii="Times New Roman" w:hAnsi="Times New Roman"/>
              </w:rPr>
              <w:t xml:space="preserve"> a </w:t>
            </w:r>
            <w:proofErr w:type="spellStart"/>
            <w:r w:rsidRPr="0060721D">
              <w:rPr>
                <w:rFonts w:ascii="Times New Roman" w:hAnsi="Times New Roman"/>
              </w:rPr>
              <w:t>emisiilor</w:t>
            </w:r>
            <w:proofErr w:type="spellEnd"/>
            <w:r w:rsidRPr="0060721D">
              <w:rPr>
                <w:rFonts w:ascii="Times New Roman" w:hAnsi="Times New Roman"/>
              </w:rPr>
              <w:t xml:space="preserve"> de CO2 </w:t>
            </w:r>
            <w:proofErr w:type="spellStart"/>
            <w:r w:rsidRPr="0060721D">
              <w:rPr>
                <w:rFonts w:ascii="Times New Roman" w:hAnsi="Times New Roman"/>
              </w:rPr>
              <w:t>va</w:t>
            </w:r>
            <w:proofErr w:type="spellEnd"/>
            <w:r w:rsidRPr="0060721D">
              <w:rPr>
                <w:rFonts w:ascii="Times New Roman" w:hAnsi="Times New Roman"/>
              </w:rPr>
              <w:t xml:space="preserve"> fi </w:t>
            </w:r>
            <w:proofErr w:type="spellStart"/>
            <w:r w:rsidRPr="0060721D">
              <w:rPr>
                <w:rFonts w:ascii="Times New Roman" w:hAnsi="Times New Roman"/>
              </w:rPr>
              <w:t>atinsă</w:t>
            </w:r>
            <w:proofErr w:type="spellEnd"/>
            <w:r w:rsidRPr="0060721D">
              <w:rPr>
                <w:rFonts w:ascii="Times New Roman" w:hAnsi="Times New Roman"/>
              </w:rPr>
              <w:t xml:space="preserve"> </w:t>
            </w:r>
            <w:proofErr w:type="spellStart"/>
            <w:r w:rsidRPr="0060721D">
              <w:rPr>
                <w:rFonts w:ascii="Times New Roman" w:hAnsi="Times New Roman"/>
              </w:rPr>
              <w:t>prin</w:t>
            </w:r>
            <w:proofErr w:type="spellEnd"/>
            <w:r w:rsidRPr="0060721D">
              <w:rPr>
                <w:rFonts w:ascii="Times New Roman" w:hAnsi="Times New Roman"/>
              </w:rPr>
              <w:t xml:space="preserve"> </w:t>
            </w:r>
            <w:proofErr w:type="spellStart"/>
            <w:r w:rsidRPr="0060721D">
              <w:rPr>
                <w:rFonts w:ascii="Times New Roman" w:hAnsi="Times New Roman"/>
              </w:rPr>
              <w:t>următoarele</w:t>
            </w:r>
            <w:proofErr w:type="spellEnd"/>
            <w:r w:rsidRPr="0060721D">
              <w:rPr>
                <w:rFonts w:ascii="Times New Roman" w:hAnsi="Times New Roman"/>
              </w:rPr>
              <w:t xml:space="preserve"> </w:t>
            </w:r>
            <w:proofErr w:type="spellStart"/>
            <w:r w:rsidRPr="0060721D">
              <w:rPr>
                <w:rFonts w:ascii="Times New Roman" w:hAnsi="Times New Roman"/>
              </w:rPr>
              <w:t>activități</w:t>
            </w:r>
            <w:proofErr w:type="spellEnd"/>
            <w:r w:rsidRPr="0060721D">
              <w:rPr>
                <w:rFonts w:ascii="Times New Roman" w:hAnsi="Times New Roman"/>
              </w:rPr>
              <w:t xml:space="preserve">: </w:t>
            </w:r>
            <w:proofErr w:type="spellStart"/>
            <w:r w:rsidRPr="0060721D">
              <w:rPr>
                <w:rFonts w:ascii="Times New Roman" w:hAnsi="Times New Roman"/>
              </w:rPr>
              <w:t>Reducerea</w:t>
            </w:r>
            <w:proofErr w:type="spellEnd"/>
            <w:r w:rsidRPr="0060721D">
              <w:rPr>
                <w:rFonts w:ascii="Times New Roman" w:hAnsi="Times New Roman"/>
              </w:rPr>
              <w:t xml:space="preserve"> </w:t>
            </w:r>
            <w:proofErr w:type="spellStart"/>
            <w:r w:rsidRPr="0060721D">
              <w:rPr>
                <w:rFonts w:ascii="Times New Roman" w:hAnsi="Times New Roman"/>
              </w:rPr>
              <w:t>conținutului</w:t>
            </w:r>
            <w:proofErr w:type="spellEnd"/>
            <w:r w:rsidRPr="0060721D">
              <w:rPr>
                <w:rFonts w:ascii="Times New Roman" w:hAnsi="Times New Roman"/>
              </w:rPr>
              <w:t xml:space="preserve"> de clincher </w:t>
            </w:r>
            <w:proofErr w:type="spellStart"/>
            <w:r w:rsidRPr="0060721D">
              <w:rPr>
                <w:rFonts w:ascii="Times New Roman" w:hAnsi="Times New Roman"/>
              </w:rPr>
              <w:t>până</w:t>
            </w:r>
            <w:proofErr w:type="spellEnd"/>
            <w:r w:rsidRPr="0060721D">
              <w:rPr>
                <w:rFonts w:ascii="Times New Roman" w:hAnsi="Times New Roman"/>
              </w:rPr>
              <w:t xml:space="preserve"> la 68%; </w:t>
            </w:r>
            <w:proofErr w:type="spellStart"/>
            <w:r w:rsidRPr="0060721D">
              <w:rPr>
                <w:rFonts w:ascii="Times New Roman" w:hAnsi="Times New Roman"/>
              </w:rPr>
              <w:t>Utilizarea</w:t>
            </w:r>
            <w:proofErr w:type="spellEnd"/>
            <w:r w:rsidRPr="0060721D">
              <w:rPr>
                <w:rFonts w:ascii="Times New Roman" w:hAnsi="Times New Roman"/>
              </w:rPr>
              <w:t xml:space="preserve"> </w:t>
            </w:r>
            <w:proofErr w:type="spellStart"/>
            <w:r w:rsidRPr="0060721D">
              <w:rPr>
                <w:rFonts w:ascii="Times New Roman" w:hAnsi="Times New Roman"/>
              </w:rPr>
              <w:t>mai</w:t>
            </w:r>
            <w:proofErr w:type="spellEnd"/>
            <w:r w:rsidRPr="0060721D">
              <w:rPr>
                <w:rFonts w:ascii="Times New Roman" w:hAnsi="Times New Roman"/>
              </w:rPr>
              <w:t xml:space="preserve"> </w:t>
            </w:r>
            <w:proofErr w:type="spellStart"/>
            <w:r w:rsidRPr="0060721D">
              <w:rPr>
                <w:rFonts w:ascii="Times New Roman" w:hAnsi="Times New Roman"/>
              </w:rPr>
              <w:t>largă</w:t>
            </w:r>
            <w:proofErr w:type="spellEnd"/>
            <w:r w:rsidRPr="0060721D">
              <w:rPr>
                <w:rFonts w:ascii="Times New Roman" w:hAnsi="Times New Roman"/>
              </w:rPr>
              <w:t xml:space="preserve"> a </w:t>
            </w:r>
            <w:proofErr w:type="spellStart"/>
            <w:r w:rsidRPr="0060721D">
              <w:rPr>
                <w:rFonts w:ascii="Times New Roman" w:hAnsi="Times New Roman"/>
              </w:rPr>
              <w:t>combustibililor</w:t>
            </w:r>
            <w:proofErr w:type="spellEnd"/>
            <w:r w:rsidRPr="0060721D">
              <w:rPr>
                <w:rFonts w:ascii="Times New Roman" w:hAnsi="Times New Roman"/>
              </w:rPr>
              <w:t xml:space="preserve"> </w:t>
            </w:r>
            <w:proofErr w:type="spellStart"/>
            <w:r w:rsidRPr="0060721D">
              <w:rPr>
                <w:rFonts w:ascii="Times New Roman" w:hAnsi="Times New Roman"/>
              </w:rPr>
              <w:t>derivați</w:t>
            </w:r>
            <w:proofErr w:type="spellEnd"/>
            <w:r w:rsidRPr="0060721D">
              <w:rPr>
                <w:rFonts w:ascii="Times New Roman" w:hAnsi="Times New Roman"/>
              </w:rPr>
              <w:t xml:space="preserve"> din </w:t>
            </w:r>
            <w:proofErr w:type="spellStart"/>
            <w:r w:rsidRPr="0060721D">
              <w:rPr>
                <w:rFonts w:ascii="Times New Roman" w:hAnsi="Times New Roman"/>
              </w:rPr>
              <w:t>deșeuri</w:t>
            </w:r>
            <w:proofErr w:type="spellEnd"/>
            <w:r w:rsidRPr="0060721D">
              <w:rPr>
                <w:rFonts w:ascii="Times New Roman" w:hAnsi="Times New Roman"/>
              </w:rPr>
              <w:t xml:space="preserve">, </w:t>
            </w:r>
            <w:proofErr w:type="spellStart"/>
            <w:r w:rsidRPr="0060721D">
              <w:rPr>
                <w:rFonts w:ascii="Times New Roman" w:hAnsi="Times New Roman"/>
              </w:rPr>
              <w:t>pentru</w:t>
            </w:r>
            <w:proofErr w:type="spellEnd"/>
            <w:r w:rsidRPr="0060721D">
              <w:rPr>
                <w:rFonts w:ascii="Times New Roman" w:hAnsi="Times New Roman"/>
              </w:rPr>
              <w:t xml:space="preserve"> a </w:t>
            </w:r>
            <w:proofErr w:type="spellStart"/>
            <w:r w:rsidRPr="0060721D">
              <w:rPr>
                <w:rFonts w:ascii="Times New Roman" w:hAnsi="Times New Roman"/>
              </w:rPr>
              <w:t>atinge</w:t>
            </w:r>
            <w:proofErr w:type="spellEnd"/>
            <w:r w:rsidRPr="0060721D">
              <w:rPr>
                <w:rFonts w:ascii="Times New Roman" w:hAnsi="Times New Roman"/>
              </w:rPr>
              <w:t xml:space="preserve"> </w:t>
            </w:r>
            <w:proofErr w:type="spellStart"/>
            <w:r w:rsidRPr="0060721D">
              <w:rPr>
                <w:rFonts w:ascii="Times New Roman" w:hAnsi="Times New Roman"/>
              </w:rPr>
              <w:t>rată</w:t>
            </w:r>
            <w:proofErr w:type="spellEnd"/>
            <w:r w:rsidRPr="0060721D">
              <w:rPr>
                <w:rFonts w:ascii="Times New Roman" w:hAnsi="Times New Roman"/>
              </w:rPr>
              <w:t xml:space="preserve"> de </w:t>
            </w:r>
            <w:proofErr w:type="spellStart"/>
            <w:r w:rsidRPr="0060721D">
              <w:rPr>
                <w:rFonts w:ascii="Times New Roman" w:hAnsi="Times New Roman"/>
              </w:rPr>
              <w:t>substituție</w:t>
            </w:r>
            <w:proofErr w:type="spellEnd"/>
            <w:r w:rsidRPr="0060721D">
              <w:rPr>
                <w:rFonts w:ascii="Times New Roman" w:hAnsi="Times New Roman"/>
              </w:rPr>
              <w:t xml:space="preserve"> de 37%; </w:t>
            </w:r>
            <w:proofErr w:type="spellStart"/>
            <w:r w:rsidRPr="0060721D">
              <w:rPr>
                <w:rFonts w:ascii="Times New Roman" w:hAnsi="Times New Roman"/>
              </w:rPr>
              <w:t>Utilizarea</w:t>
            </w:r>
            <w:proofErr w:type="spellEnd"/>
            <w:r w:rsidRPr="0060721D">
              <w:rPr>
                <w:rFonts w:ascii="Times New Roman" w:hAnsi="Times New Roman"/>
              </w:rPr>
              <w:t xml:space="preserve"> </w:t>
            </w:r>
            <w:proofErr w:type="spellStart"/>
            <w:r w:rsidRPr="0060721D">
              <w:rPr>
                <w:rFonts w:ascii="Times New Roman" w:hAnsi="Times New Roman"/>
              </w:rPr>
              <w:lastRenderedPageBreak/>
              <w:t>materiei</w:t>
            </w:r>
            <w:proofErr w:type="spellEnd"/>
            <w:r w:rsidRPr="0060721D">
              <w:rPr>
                <w:rFonts w:ascii="Times New Roman" w:hAnsi="Times New Roman"/>
              </w:rPr>
              <w:t xml:space="preserve"> prime alternative; </w:t>
            </w:r>
            <w:proofErr w:type="spellStart"/>
            <w:r w:rsidRPr="0060721D">
              <w:rPr>
                <w:rFonts w:ascii="Times New Roman" w:hAnsi="Times New Roman"/>
              </w:rPr>
              <w:t>Captarea</w:t>
            </w:r>
            <w:proofErr w:type="spellEnd"/>
            <w:r w:rsidRPr="0060721D">
              <w:rPr>
                <w:rFonts w:ascii="Times New Roman" w:hAnsi="Times New Roman"/>
              </w:rPr>
              <w:t xml:space="preserve"> </w:t>
            </w:r>
            <w:proofErr w:type="spellStart"/>
            <w:r w:rsidRPr="0060721D">
              <w:rPr>
                <w:rFonts w:ascii="Times New Roman" w:hAnsi="Times New Roman"/>
              </w:rPr>
              <w:t>și</w:t>
            </w:r>
            <w:proofErr w:type="spellEnd"/>
            <w:r w:rsidRPr="0060721D">
              <w:rPr>
                <w:rFonts w:ascii="Times New Roman" w:hAnsi="Times New Roman"/>
              </w:rPr>
              <w:t xml:space="preserve"> </w:t>
            </w:r>
            <w:proofErr w:type="spellStart"/>
            <w:r w:rsidRPr="0060721D">
              <w:rPr>
                <w:rFonts w:ascii="Times New Roman" w:hAnsi="Times New Roman"/>
              </w:rPr>
              <w:t>stocarea</w:t>
            </w:r>
            <w:proofErr w:type="spellEnd"/>
            <w:r w:rsidRPr="0060721D">
              <w:rPr>
                <w:rFonts w:ascii="Times New Roman" w:hAnsi="Times New Roman"/>
              </w:rPr>
              <w:t xml:space="preserve"> </w:t>
            </w:r>
            <w:proofErr w:type="spellStart"/>
            <w:r w:rsidRPr="0060721D">
              <w:rPr>
                <w:rFonts w:ascii="Times New Roman" w:hAnsi="Times New Roman"/>
              </w:rPr>
              <w:t>carbonului</w:t>
            </w:r>
            <w:proofErr w:type="spellEnd"/>
            <w:r w:rsidRPr="0060721D">
              <w:rPr>
                <w:rFonts w:ascii="Times New Roman" w:hAnsi="Times New Roman"/>
              </w:rPr>
              <w:t xml:space="preserve">; </w:t>
            </w:r>
            <w:proofErr w:type="spellStart"/>
            <w:r w:rsidRPr="0060721D">
              <w:rPr>
                <w:rFonts w:ascii="Times New Roman" w:hAnsi="Times New Roman"/>
              </w:rPr>
              <w:t>Recuperarea</w:t>
            </w:r>
            <w:proofErr w:type="spellEnd"/>
            <w:r w:rsidRPr="0060721D">
              <w:rPr>
                <w:rFonts w:ascii="Times New Roman" w:hAnsi="Times New Roman"/>
              </w:rPr>
              <w:t xml:space="preserve"> </w:t>
            </w:r>
            <w:proofErr w:type="spellStart"/>
            <w:r w:rsidRPr="0060721D">
              <w:rPr>
                <w:rFonts w:ascii="Times New Roman" w:hAnsi="Times New Roman"/>
              </w:rPr>
              <w:t>căldurii</w:t>
            </w:r>
            <w:proofErr w:type="spellEnd"/>
            <w:r w:rsidRPr="0060721D">
              <w:rPr>
                <w:rFonts w:ascii="Times New Roman" w:hAnsi="Times New Roman"/>
              </w:rPr>
              <w:t xml:space="preserve"> </w:t>
            </w:r>
            <w:proofErr w:type="spellStart"/>
            <w:r w:rsidRPr="0060721D">
              <w:rPr>
                <w:rFonts w:ascii="Times New Roman" w:hAnsi="Times New Roman"/>
              </w:rPr>
              <w:t>reziduale</w:t>
            </w:r>
            <w:proofErr w:type="spellEnd"/>
            <w:r w:rsidRPr="0060721D">
              <w:rPr>
                <w:rFonts w:ascii="Times New Roman" w:hAnsi="Times New Roman"/>
              </w:rPr>
              <w:t xml:space="preserve">; </w:t>
            </w:r>
            <w:proofErr w:type="spellStart"/>
            <w:r w:rsidRPr="0060721D">
              <w:rPr>
                <w:rFonts w:ascii="Times New Roman" w:hAnsi="Times New Roman"/>
              </w:rPr>
              <w:t>Utilizarea</w:t>
            </w:r>
            <w:proofErr w:type="spellEnd"/>
            <w:r w:rsidRPr="0060721D">
              <w:rPr>
                <w:rFonts w:ascii="Times New Roman" w:hAnsi="Times New Roman"/>
              </w:rPr>
              <w:t xml:space="preserve"> </w:t>
            </w:r>
            <w:proofErr w:type="spellStart"/>
            <w:r w:rsidRPr="0060721D">
              <w:rPr>
                <w:rFonts w:ascii="Times New Roman" w:hAnsi="Times New Roman"/>
              </w:rPr>
              <w:t>energiei</w:t>
            </w:r>
            <w:proofErr w:type="spellEnd"/>
            <w:r w:rsidRPr="0060721D">
              <w:rPr>
                <w:rFonts w:ascii="Times New Roman" w:hAnsi="Times New Roman"/>
              </w:rPr>
              <w:t xml:space="preserve"> </w:t>
            </w:r>
            <w:proofErr w:type="spellStart"/>
            <w:r w:rsidRPr="0060721D">
              <w:rPr>
                <w:rFonts w:ascii="Times New Roman" w:hAnsi="Times New Roman"/>
              </w:rPr>
              <w:t>regenerabile</w:t>
            </w:r>
            <w:proofErr w:type="spellEnd"/>
            <w:r w:rsidRPr="0060721D">
              <w:rPr>
                <w:rFonts w:ascii="Times New Roman" w:hAnsi="Times New Roman"/>
              </w:rPr>
              <w:t xml:space="preserve">; </w:t>
            </w:r>
            <w:proofErr w:type="spellStart"/>
            <w:r w:rsidRPr="0060721D">
              <w:rPr>
                <w:rFonts w:ascii="Times New Roman" w:hAnsi="Times New Roman"/>
              </w:rPr>
              <w:t>Optimizarea</w:t>
            </w:r>
            <w:proofErr w:type="spellEnd"/>
            <w:r w:rsidRPr="0060721D">
              <w:rPr>
                <w:rFonts w:ascii="Times New Roman" w:hAnsi="Times New Roman"/>
              </w:rPr>
              <w:t xml:space="preserve"> </w:t>
            </w:r>
            <w:proofErr w:type="spellStart"/>
            <w:r w:rsidRPr="0060721D">
              <w:rPr>
                <w:rFonts w:ascii="Times New Roman" w:hAnsi="Times New Roman"/>
              </w:rPr>
              <w:t>rețelelor</w:t>
            </w:r>
            <w:proofErr w:type="spellEnd"/>
            <w:r w:rsidRPr="0060721D">
              <w:rPr>
                <w:rFonts w:ascii="Times New Roman" w:hAnsi="Times New Roman"/>
              </w:rPr>
              <w:t xml:space="preserve"> de transport; </w:t>
            </w:r>
            <w:proofErr w:type="spellStart"/>
            <w:r w:rsidRPr="0060721D">
              <w:rPr>
                <w:rFonts w:ascii="Times New Roman" w:hAnsi="Times New Roman"/>
              </w:rPr>
              <w:t>Optimizarea</w:t>
            </w:r>
            <w:proofErr w:type="spellEnd"/>
            <w:r w:rsidRPr="0060721D">
              <w:rPr>
                <w:rFonts w:ascii="Times New Roman" w:hAnsi="Times New Roman"/>
              </w:rPr>
              <w:t xml:space="preserve"> </w:t>
            </w:r>
            <w:proofErr w:type="spellStart"/>
            <w:r w:rsidRPr="0060721D">
              <w:rPr>
                <w:rFonts w:ascii="Times New Roman" w:hAnsi="Times New Roman"/>
              </w:rPr>
              <w:t>rutelor</w:t>
            </w:r>
            <w:proofErr w:type="spellEnd"/>
            <w:r w:rsidRPr="0060721D">
              <w:rPr>
                <w:rFonts w:ascii="Times New Roman" w:hAnsi="Times New Roman"/>
              </w:rPr>
              <w:t xml:space="preserve"> </w:t>
            </w:r>
            <w:proofErr w:type="spellStart"/>
            <w:r w:rsidRPr="0060721D">
              <w:rPr>
                <w:rFonts w:ascii="Times New Roman" w:hAnsi="Times New Roman"/>
              </w:rPr>
              <w:t>și</w:t>
            </w:r>
            <w:proofErr w:type="spellEnd"/>
            <w:r w:rsidRPr="0060721D">
              <w:rPr>
                <w:rFonts w:ascii="Times New Roman" w:hAnsi="Times New Roman"/>
              </w:rPr>
              <w:t xml:space="preserve"> </w:t>
            </w:r>
            <w:proofErr w:type="spellStart"/>
            <w:r w:rsidRPr="0060721D">
              <w:rPr>
                <w:rFonts w:ascii="Times New Roman" w:hAnsi="Times New Roman"/>
              </w:rPr>
              <w:t>încărcăturilor</w:t>
            </w:r>
            <w:proofErr w:type="spellEnd"/>
            <w:r w:rsidRPr="0060721D">
              <w:rPr>
                <w:rFonts w:ascii="Times New Roman" w:hAnsi="Times New Roman"/>
              </w:rPr>
              <w:t xml:space="preserve"> </w:t>
            </w:r>
            <w:proofErr w:type="spellStart"/>
            <w:r w:rsidRPr="0060721D">
              <w:rPr>
                <w:rFonts w:ascii="Times New Roman" w:hAnsi="Times New Roman"/>
              </w:rPr>
              <w:t>printr</w:t>
            </w:r>
            <w:proofErr w:type="spellEnd"/>
            <w:r w:rsidRPr="0060721D">
              <w:rPr>
                <w:rFonts w:ascii="Times New Roman" w:hAnsi="Times New Roman"/>
              </w:rPr>
              <w:t xml:space="preserve">-o </w:t>
            </w:r>
            <w:proofErr w:type="spellStart"/>
            <w:r w:rsidRPr="0060721D">
              <w:rPr>
                <w:rFonts w:ascii="Times New Roman" w:hAnsi="Times New Roman"/>
              </w:rPr>
              <w:t>mai</w:t>
            </w:r>
            <w:proofErr w:type="spellEnd"/>
            <w:r w:rsidRPr="0060721D">
              <w:rPr>
                <w:rFonts w:ascii="Times New Roman" w:hAnsi="Times New Roman"/>
              </w:rPr>
              <w:t xml:space="preserve"> </w:t>
            </w:r>
            <w:proofErr w:type="spellStart"/>
            <w:r w:rsidRPr="0060721D">
              <w:rPr>
                <w:rFonts w:ascii="Times New Roman" w:hAnsi="Times New Roman"/>
              </w:rPr>
              <w:t>bună</w:t>
            </w:r>
            <w:proofErr w:type="spellEnd"/>
            <w:r w:rsidRPr="0060721D">
              <w:rPr>
                <w:rFonts w:ascii="Times New Roman" w:hAnsi="Times New Roman"/>
              </w:rPr>
              <w:t xml:space="preserve"> </w:t>
            </w:r>
            <w:proofErr w:type="spellStart"/>
            <w:r w:rsidRPr="0060721D">
              <w:rPr>
                <w:rFonts w:ascii="Times New Roman" w:hAnsi="Times New Roman"/>
              </w:rPr>
              <w:t>logistică</w:t>
            </w:r>
            <w:proofErr w:type="spellEnd"/>
            <w:r w:rsidRPr="0060721D">
              <w:rPr>
                <w:rFonts w:ascii="Times New Roman" w:hAnsi="Times New Roman"/>
              </w:rPr>
              <w:t xml:space="preserve"> </w:t>
            </w:r>
            <w:proofErr w:type="spellStart"/>
            <w:r w:rsidRPr="0060721D">
              <w:rPr>
                <w:rFonts w:ascii="Times New Roman" w:hAnsi="Times New Roman"/>
              </w:rPr>
              <w:t>și</w:t>
            </w:r>
            <w:proofErr w:type="spellEnd"/>
            <w:r w:rsidRPr="0060721D">
              <w:rPr>
                <w:rFonts w:ascii="Times New Roman" w:hAnsi="Times New Roman"/>
              </w:rPr>
              <w:t xml:space="preserve"> </w:t>
            </w:r>
            <w:proofErr w:type="spellStart"/>
            <w:r w:rsidRPr="0060721D">
              <w:rPr>
                <w:rFonts w:ascii="Times New Roman" w:hAnsi="Times New Roman"/>
              </w:rPr>
              <w:t>distribuție</w:t>
            </w:r>
            <w:proofErr w:type="spellEnd"/>
            <w:r w:rsidRPr="0060721D">
              <w:rPr>
                <w:rFonts w:ascii="Times New Roman" w:hAnsi="Times New Roman"/>
              </w:rPr>
              <w:t xml:space="preserve">; </w:t>
            </w:r>
            <w:proofErr w:type="spellStart"/>
            <w:r w:rsidRPr="0060721D">
              <w:rPr>
                <w:rFonts w:ascii="Times New Roman" w:hAnsi="Times New Roman"/>
              </w:rPr>
              <w:t>Optimizarea</w:t>
            </w:r>
            <w:proofErr w:type="spellEnd"/>
            <w:r w:rsidRPr="0060721D">
              <w:rPr>
                <w:rFonts w:ascii="Times New Roman" w:hAnsi="Times New Roman"/>
              </w:rPr>
              <w:t xml:space="preserve"> </w:t>
            </w:r>
            <w:proofErr w:type="spellStart"/>
            <w:r w:rsidRPr="0060721D">
              <w:rPr>
                <w:rFonts w:ascii="Times New Roman" w:hAnsi="Times New Roman"/>
              </w:rPr>
              <w:t>parcului</w:t>
            </w:r>
            <w:proofErr w:type="spellEnd"/>
            <w:r w:rsidRPr="0060721D">
              <w:rPr>
                <w:rFonts w:ascii="Times New Roman" w:hAnsi="Times New Roman"/>
              </w:rPr>
              <w:t xml:space="preserve"> de </w:t>
            </w:r>
            <w:proofErr w:type="spellStart"/>
            <w:r w:rsidRPr="0060721D">
              <w:rPr>
                <w:rFonts w:ascii="Times New Roman" w:hAnsi="Times New Roman"/>
              </w:rPr>
              <w:t>autovehicule</w:t>
            </w:r>
            <w:proofErr w:type="spellEnd"/>
            <w:r w:rsidRPr="0060721D">
              <w:rPr>
                <w:rFonts w:ascii="Times New Roman" w:hAnsi="Times New Roman"/>
              </w:rPr>
              <w:t xml:space="preserve"> </w:t>
            </w:r>
            <w:proofErr w:type="spellStart"/>
            <w:r w:rsidRPr="0060721D">
              <w:rPr>
                <w:rFonts w:ascii="Times New Roman" w:hAnsi="Times New Roman"/>
              </w:rPr>
              <w:t>pentru</w:t>
            </w:r>
            <w:proofErr w:type="spellEnd"/>
            <w:r w:rsidRPr="0060721D">
              <w:rPr>
                <w:rFonts w:ascii="Times New Roman" w:hAnsi="Times New Roman"/>
              </w:rPr>
              <w:t xml:space="preserve"> a reduce </w:t>
            </w:r>
            <w:proofErr w:type="spellStart"/>
            <w:r w:rsidRPr="0060721D">
              <w:rPr>
                <w:rFonts w:ascii="Times New Roman" w:hAnsi="Times New Roman"/>
              </w:rPr>
              <w:t>consumul</w:t>
            </w:r>
            <w:proofErr w:type="spellEnd"/>
            <w:r w:rsidRPr="0060721D">
              <w:rPr>
                <w:rFonts w:ascii="Times New Roman" w:hAnsi="Times New Roman"/>
              </w:rPr>
              <w:t xml:space="preserve"> </w:t>
            </w:r>
            <w:proofErr w:type="spellStart"/>
            <w:r w:rsidRPr="0060721D">
              <w:rPr>
                <w:rFonts w:ascii="Times New Roman" w:hAnsi="Times New Roman"/>
              </w:rPr>
              <w:t>tradițional</w:t>
            </w:r>
            <w:proofErr w:type="spellEnd"/>
            <w:r w:rsidRPr="0060721D">
              <w:rPr>
                <w:rFonts w:ascii="Times New Roman" w:hAnsi="Times New Roman"/>
              </w:rPr>
              <w:t xml:space="preserve"> de </w:t>
            </w:r>
            <w:proofErr w:type="spellStart"/>
            <w:r w:rsidRPr="0060721D">
              <w:rPr>
                <w:rFonts w:ascii="Times New Roman" w:hAnsi="Times New Roman"/>
              </w:rPr>
              <w:t>combustibili</w:t>
            </w:r>
            <w:proofErr w:type="spellEnd"/>
            <w:r w:rsidRPr="0060721D">
              <w:rPr>
                <w:rFonts w:ascii="Times New Roman" w:hAnsi="Times New Roman"/>
              </w:rPr>
              <w:t>.</w:t>
            </w:r>
          </w:p>
        </w:tc>
        <w:tc>
          <w:tcPr>
            <w:tcW w:w="1882" w:type="dxa"/>
            <w:gridSpan w:val="3"/>
            <w:hideMark/>
          </w:tcPr>
          <w:p w14:paraId="5A7BAB4E" w14:textId="77777777" w:rsidR="0060721D" w:rsidRPr="0060721D" w:rsidRDefault="0060721D" w:rsidP="0060721D">
            <w:pPr>
              <w:jc w:val="center"/>
              <w:rPr>
                <w:rFonts w:ascii="Times New Roman" w:hAnsi="Times New Roman"/>
              </w:rPr>
            </w:pPr>
            <w:r w:rsidRPr="0060721D">
              <w:rPr>
                <w:rFonts w:ascii="Times New Roman" w:hAnsi="Times New Roman"/>
              </w:rPr>
              <w:lastRenderedPageBreak/>
              <w:t xml:space="preserve">1100 mii tone de </w:t>
            </w:r>
            <w:proofErr w:type="spellStart"/>
            <w:r w:rsidRPr="0060721D">
              <w:rPr>
                <w:rFonts w:ascii="Times New Roman" w:hAnsi="Times New Roman"/>
              </w:rPr>
              <w:t>ciment</w:t>
            </w:r>
            <w:proofErr w:type="spellEnd"/>
            <w:r w:rsidRPr="0060721D">
              <w:rPr>
                <w:rFonts w:ascii="Times New Roman" w:hAnsi="Times New Roman"/>
              </w:rPr>
              <w:t xml:space="preserve"> </w:t>
            </w:r>
            <w:proofErr w:type="spellStart"/>
            <w:r w:rsidRPr="0060721D">
              <w:rPr>
                <w:rFonts w:ascii="Times New Roman" w:hAnsi="Times New Roman"/>
              </w:rPr>
              <w:t>vor</w:t>
            </w:r>
            <w:proofErr w:type="spellEnd"/>
            <w:r w:rsidRPr="0060721D">
              <w:rPr>
                <w:rFonts w:ascii="Times New Roman" w:hAnsi="Times New Roman"/>
              </w:rPr>
              <w:t xml:space="preserve"> fi </w:t>
            </w:r>
            <w:proofErr w:type="spellStart"/>
            <w:r w:rsidRPr="0060721D">
              <w:rPr>
                <w:rFonts w:ascii="Times New Roman" w:hAnsi="Times New Roman"/>
              </w:rPr>
              <w:t>produse</w:t>
            </w:r>
            <w:proofErr w:type="spellEnd"/>
            <w:r w:rsidRPr="0060721D">
              <w:rPr>
                <w:rFonts w:ascii="Times New Roman" w:hAnsi="Times New Roman"/>
              </w:rPr>
              <w:t xml:space="preserve"> </w:t>
            </w:r>
            <w:proofErr w:type="spellStart"/>
            <w:r w:rsidRPr="0060721D">
              <w:rPr>
                <w:rFonts w:ascii="Times New Roman" w:hAnsi="Times New Roman"/>
              </w:rPr>
              <w:t>către</w:t>
            </w:r>
            <w:proofErr w:type="spellEnd"/>
            <w:r w:rsidRPr="0060721D">
              <w:rPr>
                <w:rFonts w:ascii="Times New Roman" w:hAnsi="Times New Roman"/>
              </w:rPr>
              <w:t xml:space="preserve"> </w:t>
            </w:r>
            <w:proofErr w:type="spellStart"/>
            <w:r w:rsidRPr="0060721D">
              <w:rPr>
                <w:rFonts w:ascii="Times New Roman" w:hAnsi="Times New Roman"/>
              </w:rPr>
              <w:t>anul</w:t>
            </w:r>
            <w:proofErr w:type="spellEnd"/>
            <w:r w:rsidRPr="0060721D">
              <w:rPr>
                <w:rFonts w:ascii="Times New Roman" w:hAnsi="Times New Roman"/>
              </w:rPr>
              <w:t xml:space="preserve"> 2030, egal </w:t>
            </w:r>
            <w:proofErr w:type="spellStart"/>
            <w:r w:rsidRPr="0060721D">
              <w:rPr>
                <w:rFonts w:ascii="Times New Roman" w:hAnsi="Times New Roman"/>
              </w:rPr>
              <w:t>volumului</w:t>
            </w:r>
            <w:proofErr w:type="spellEnd"/>
            <w:r w:rsidRPr="0060721D">
              <w:rPr>
                <w:rFonts w:ascii="Times New Roman" w:hAnsi="Times New Roman"/>
              </w:rPr>
              <w:t xml:space="preserve"> din </w:t>
            </w:r>
            <w:proofErr w:type="spellStart"/>
            <w:r w:rsidRPr="0060721D">
              <w:rPr>
                <w:rFonts w:ascii="Times New Roman" w:hAnsi="Times New Roman"/>
              </w:rPr>
              <w:t>anul</w:t>
            </w:r>
            <w:proofErr w:type="spellEnd"/>
            <w:r w:rsidRPr="0060721D">
              <w:rPr>
                <w:rFonts w:ascii="Times New Roman" w:hAnsi="Times New Roman"/>
              </w:rPr>
              <w:t xml:space="preserve"> 1990</w:t>
            </w:r>
          </w:p>
        </w:tc>
        <w:tc>
          <w:tcPr>
            <w:tcW w:w="1440" w:type="dxa"/>
            <w:gridSpan w:val="2"/>
            <w:hideMark/>
          </w:tcPr>
          <w:p w14:paraId="5567B1DE" w14:textId="77777777" w:rsidR="0060721D" w:rsidRPr="0060721D" w:rsidRDefault="0060721D" w:rsidP="0060721D">
            <w:pPr>
              <w:jc w:val="center"/>
              <w:rPr>
                <w:rFonts w:ascii="Times New Roman" w:hAnsi="Times New Roman"/>
              </w:rPr>
            </w:pPr>
            <w:r w:rsidRPr="0060721D">
              <w:rPr>
                <w:rFonts w:ascii="Times New Roman" w:hAnsi="Times New Roman"/>
              </w:rPr>
              <w:t> </w:t>
            </w:r>
          </w:p>
        </w:tc>
        <w:tc>
          <w:tcPr>
            <w:tcW w:w="3429" w:type="dxa"/>
            <w:gridSpan w:val="2"/>
            <w:hideMark/>
          </w:tcPr>
          <w:p w14:paraId="061F6606" w14:textId="77777777" w:rsidR="0060721D" w:rsidRPr="0060721D" w:rsidRDefault="0060721D" w:rsidP="0060721D">
            <w:pPr>
              <w:jc w:val="center"/>
              <w:rPr>
                <w:rFonts w:ascii="Times New Roman" w:hAnsi="Times New Roman"/>
              </w:rPr>
            </w:pPr>
            <w:r w:rsidRPr="0060721D">
              <w:rPr>
                <w:rFonts w:ascii="Times New Roman" w:hAnsi="Times New Roman"/>
              </w:rPr>
              <w:t xml:space="preserve">357500 tone CO2 </w:t>
            </w:r>
            <w:proofErr w:type="spellStart"/>
            <w:r w:rsidRPr="0060721D">
              <w:rPr>
                <w:rFonts w:ascii="Times New Roman" w:hAnsi="Times New Roman"/>
              </w:rPr>
              <w:t>reduceri</w:t>
            </w:r>
            <w:proofErr w:type="spellEnd"/>
            <w:r w:rsidRPr="0060721D">
              <w:rPr>
                <w:rFonts w:ascii="Times New Roman" w:hAnsi="Times New Roman"/>
              </w:rPr>
              <w:t xml:space="preserve"> </w:t>
            </w:r>
            <w:proofErr w:type="spellStart"/>
            <w:r w:rsidRPr="0060721D">
              <w:rPr>
                <w:rFonts w:ascii="Times New Roman" w:hAnsi="Times New Roman"/>
              </w:rPr>
              <w:t>catre</w:t>
            </w:r>
            <w:proofErr w:type="spellEnd"/>
            <w:r w:rsidRPr="0060721D">
              <w:rPr>
                <w:rFonts w:ascii="Times New Roman" w:hAnsi="Times New Roman"/>
              </w:rPr>
              <w:t xml:space="preserve"> 2030 fata de </w:t>
            </w:r>
            <w:proofErr w:type="spellStart"/>
            <w:r w:rsidRPr="0060721D">
              <w:rPr>
                <w:rFonts w:ascii="Times New Roman" w:hAnsi="Times New Roman"/>
              </w:rPr>
              <w:t>anul</w:t>
            </w:r>
            <w:proofErr w:type="spellEnd"/>
            <w:r w:rsidRPr="0060721D">
              <w:rPr>
                <w:rFonts w:ascii="Times New Roman" w:hAnsi="Times New Roman"/>
              </w:rPr>
              <w:t xml:space="preserve"> 1990</w:t>
            </w:r>
          </w:p>
        </w:tc>
        <w:tc>
          <w:tcPr>
            <w:tcW w:w="1502" w:type="dxa"/>
            <w:gridSpan w:val="2"/>
            <w:hideMark/>
          </w:tcPr>
          <w:p w14:paraId="7D999585" w14:textId="77777777" w:rsidR="0060721D" w:rsidRPr="0060721D" w:rsidRDefault="0060721D" w:rsidP="0060721D">
            <w:pPr>
              <w:jc w:val="center"/>
              <w:rPr>
                <w:rFonts w:ascii="Times New Roman" w:hAnsi="Times New Roman"/>
              </w:rPr>
            </w:pPr>
            <w:r w:rsidRPr="0060721D">
              <w:rPr>
                <w:rFonts w:ascii="Times New Roman" w:hAnsi="Times New Roman"/>
              </w:rPr>
              <w:t> </w:t>
            </w:r>
          </w:p>
        </w:tc>
      </w:tr>
      <w:tr w:rsidR="00F11CCD" w:rsidRPr="0060721D" w14:paraId="3221A6A9" w14:textId="77777777" w:rsidTr="00F11CCD">
        <w:trPr>
          <w:divId w:val="546725049"/>
          <w:trHeight w:val="2280"/>
        </w:trPr>
        <w:tc>
          <w:tcPr>
            <w:tcW w:w="500" w:type="dxa"/>
            <w:hideMark/>
          </w:tcPr>
          <w:p w14:paraId="04081E3E" w14:textId="77777777" w:rsidR="0060721D" w:rsidRPr="0060721D" w:rsidRDefault="0060721D" w:rsidP="0060721D">
            <w:pPr>
              <w:jc w:val="center"/>
              <w:rPr>
                <w:rFonts w:ascii="Times New Roman" w:eastAsia="Times New Roman" w:hAnsi="Times New Roman"/>
                <w:lang w:val="ro-RO" w:eastAsia="ru-RU"/>
              </w:rPr>
            </w:pPr>
            <w:r w:rsidRPr="0060721D">
              <w:rPr>
                <w:rFonts w:ascii="Times New Roman" w:eastAsia="Times New Roman" w:hAnsi="Times New Roman"/>
                <w:lang w:eastAsia="ru-RU"/>
              </w:rPr>
              <w:lastRenderedPageBreak/>
              <w:t>4,4</w:t>
            </w:r>
          </w:p>
        </w:tc>
        <w:tc>
          <w:tcPr>
            <w:tcW w:w="3437" w:type="dxa"/>
            <w:gridSpan w:val="2"/>
            <w:hideMark/>
          </w:tcPr>
          <w:p w14:paraId="467CF0D0" w14:textId="77777777" w:rsidR="0060721D" w:rsidRPr="0060721D" w:rsidRDefault="0060721D" w:rsidP="0060721D">
            <w:pPr>
              <w:rPr>
                <w:rFonts w:ascii="Times New Roman" w:hAnsi="Times New Roman"/>
              </w:rPr>
            </w:pPr>
            <w:r w:rsidRPr="0060721D">
              <w:rPr>
                <w:rFonts w:ascii="Times New Roman" w:eastAsia="Times New Roman" w:hAnsi="Times New Roman"/>
                <w:lang w:val="es-ES" w:eastAsia="ru-RU"/>
              </w:rPr>
              <w:t xml:space="preserve">Promovarea eficienței energetice și creșterea ponderii cioburilor de sticlă în șarjă </w:t>
            </w:r>
            <w:r w:rsidRPr="0060721D">
              <w:rPr>
                <w:rFonts w:ascii="Times New Roman" w:hAnsi="Times New Roman"/>
                <w:lang w:val="ro-RO"/>
              </w:rPr>
              <w:t>în</w:t>
            </w:r>
            <w:r w:rsidRPr="0060721D">
              <w:rPr>
                <w:rFonts w:ascii="Times New Roman" w:hAnsi="Times New Roman"/>
              </w:rPr>
              <w:t xml:space="preserve"> </w:t>
            </w:r>
            <w:proofErr w:type="spellStart"/>
            <w:r w:rsidRPr="0060721D">
              <w:rPr>
                <w:rFonts w:ascii="Times New Roman" w:hAnsi="Times New Roman"/>
              </w:rPr>
              <w:t>vederea</w:t>
            </w:r>
            <w:proofErr w:type="spellEnd"/>
            <w:r w:rsidRPr="0060721D">
              <w:rPr>
                <w:rFonts w:ascii="Times New Roman" w:hAnsi="Times New Roman"/>
              </w:rPr>
              <w:t xml:space="preserve"> </w:t>
            </w:r>
            <w:proofErr w:type="spellStart"/>
            <w:r w:rsidRPr="0060721D">
              <w:rPr>
                <w:rFonts w:ascii="Times New Roman" w:hAnsi="Times New Roman"/>
              </w:rPr>
              <w:t>reducerii</w:t>
            </w:r>
            <w:proofErr w:type="spellEnd"/>
            <w:r w:rsidRPr="0060721D">
              <w:rPr>
                <w:rFonts w:ascii="Times New Roman" w:hAnsi="Times New Roman"/>
              </w:rPr>
              <w:t xml:space="preserve"> </w:t>
            </w:r>
            <w:proofErr w:type="spellStart"/>
            <w:r w:rsidRPr="0060721D">
              <w:rPr>
                <w:rFonts w:ascii="Times New Roman" w:hAnsi="Times New Roman"/>
              </w:rPr>
              <w:t>costului</w:t>
            </w:r>
            <w:proofErr w:type="spellEnd"/>
            <w:r w:rsidRPr="0060721D">
              <w:rPr>
                <w:rFonts w:ascii="Times New Roman" w:hAnsi="Times New Roman"/>
              </w:rPr>
              <w:t xml:space="preserve"> </w:t>
            </w:r>
            <w:proofErr w:type="spellStart"/>
            <w:r w:rsidRPr="0060721D">
              <w:rPr>
                <w:rFonts w:ascii="Times New Roman" w:hAnsi="Times New Roman"/>
              </w:rPr>
              <w:t>producției</w:t>
            </w:r>
            <w:proofErr w:type="spellEnd"/>
            <w:r w:rsidRPr="0060721D">
              <w:rPr>
                <w:rFonts w:ascii="Times New Roman" w:hAnsi="Times New Roman"/>
              </w:rPr>
              <w:t xml:space="preserve"> </w:t>
            </w:r>
            <w:proofErr w:type="spellStart"/>
            <w:r w:rsidRPr="0060721D">
              <w:rPr>
                <w:rFonts w:ascii="Times New Roman" w:hAnsi="Times New Roman"/>
              </w:rPr>
              <w:t>și</w:t>
            </w:r>
            <w:proofErr w:type="spellEnd"/>
            <w:r w:rsidRPr="0060721D">
              <w:rPr>
                <w:rFonts w:ascii="Times New Roman" w:hAnsi="Times New Roman"/>
              </w:rPr>
              <w:t xml:space="preserve"> </w:t>
            </w:r>
            <w:proofErr w:type="spellStart"/>
            <w:r w:rsidRPr="0060721D">
              <w:rPr>
                <w:rFonts w:ascii="Times New Roman" w:hAnsi="Times New Roman"/>
              </w:rPr>
              <w:t>emisiilor</w:t>
            </w:r>
            <w:proofErr w:type="spellEnd"/>
            <w:r w:rsidRPr="0060721D">
              <w:rPr>
                <w:rFonts w:ascii="Times New Roman" w:hAnsi="Times New Roman"/>
              </w:rPr>
              <w:t xml:space="preserve"> de CO2 la Î.S. “</w:t>
            </w:r>
            <w:proofErr w:type="spellStart"/>
            <w:r w:rsidRPr="0060721D">
              <w:rPr>
                <w:rFonts w:ascii="Times New Roman" w:hAnsi="Times New Roman"/>
              </w:rPr>
              <w:t>Fabrica</w:t>
            </w:r>
            <w:proofErr w:type="spellEnd"/>
            <w:r w:rsidRPr="0060721D">
              <w:rPr>
                <w:rFonts w:ascii="Times New Roman" w:hAnsi="Times New Roman"/>
              </w:rPr>
              <w:t xml:space="preserve"> de </w:t>
            </w:r>
            <w:proofErr w:type="spellStart"/>
            <w:r w:rsidRPr="0060721D">
              <w:rPr>
                <w:rFonts w:ascii="Times New Roman" w:hAnsi="Times New Roman"/>
              </w:rPr>
              <w:t>Sticlă</w:t>
            </w:r>
            <w:proofErr w:type="spellEnd"/>
            <w:r w:rsidRPr="0060721D">
              <w:rPr>
                <w:rFonts w:ascii="Times New Roman" w:hAnsi="Times New Roman"/>
              </w:rPr>
              <w:t xml:space="preserve"> din </w:t>
            </w:r>
            <w:proofErr w:type="spellStart"/>
            <w:r w:rsidRPr="0060721D">
              <w:rPr>
                <w:rFonts w:ascii="Times New Roman" w:hAnsi="Times New Roman"/>
              </w:rPr>
              <w:t>Chișinău</w:t>
            </w:r>
            <w:proofErr w:type="spellEnd"/>
            <w:r w:rsidRPr="0060721D">
              <w:rPr>
                <w:rFonts w:ascii="Times New Roman" w:hAnsi="Times New Roman"/>
              </w:rPr>
              <w:t>"</w:t>
            </w:r>
          </w:p>
        </w:tc>
        <w:tc>
          <w:tcPr>
            <w:tcW w:w="2211" w:type="dxa"/>
            <w:gridSpan w:val="2"/>
            <w:hideMark/>
          </w:tcPr>
          <w:p w14:paraId="422F2F8F" w14:textId="77777777" w:rsidR="0060721D" w:rsidRPr="0060721D" w:rsidRDefault="0060721D" w:rsidP="0060721D">
            <w:pPr>
              <w:rPr>
                <w:rFonts w:ascii="Times New Roman" w:hAnsi="Times New Roman"/>
              </w:rPr>
            </w:pPr>
            <w:r w:rsidRPr="0060721D">
              <w:rPr>
                <w:rFonts w:ascii="Times New Roman" w:eastAsia="Times New Roman" w:hAnsi="Times New Roman"/>
                <w:lang w:val="es-ES" w:eastAsia="ru-RU"/>
              </w:rPr>
              <w:t xml:space="preserve">Programul de învestiții a Î.S. “Fabrica de Sticlă din Chișinău" prevede în mod special: implementarea sistemului de management energetic (EnMS) și Standardului Național SM ISO 50001:2012; efectuarea reparației parțiale a cuptorului de topit sticlă cu utilizarea materialelor refractare de calitate înaltă; efectuarea reparației capitale a utilajului tehnologic; </w:t>
            </w:r>
            <w:r w:rsidRPr="0060721D">
              <w:rPr>
                <w:rFonts w:ascii="Times New Roman" w:eastAsia="Times New Roman" w:hAnsi="Times New Roman"/>
                <w:lang w:val="es-ES" w:eastAsia="ru-RU"/>
              </w:rPr>
              <w:lastRenderedPageBreak/>
              <w:t>modernizarea liniei de prelucrare a nisipului în secția componenți; modernizarea liniei de transmisie a energiei electrice; reparația capitală a acoperișurilor; modernizarea clădirilor (rampei) pentru depozitarea produselor; achiziționarea utilajului pentru verificarea calității produselor din sticlă (3 buc</w:t>
            </w:r>
            <w:r w:rsidRPr="0060721D">
              <w:rPr>
                <w:rFonts w:ascii="Times New Roman" w:eastAsia="Times New Roman" w:hAnsi="Times New Roman"/>
                <w:lang w:eastAsia="ru-RU"/>
              </w:rPr>
              <w:t>.</w:t>
            </w:r>
            <w:r w:rsidRPr="0060721D">
              <w:rPr>
                <w:rFonts w:ascii="Times New Roman" w:hAnsi="Times New Roman"/>
              </w:rPr>
              <w:t>).</w:t>
            </w:r>
          </w:p>
        </w:tc>
        <w:tc>
          <w:tcPr>
            <w:tcW w:w="1620" w:type="dxa"/>
            <w:gridSpan w:val="2"/>
            <w:hideMark/>
          </w:tcPr>
          <w:p w14:paraId="27404C2E" w14:textId="77777777" w:rsidR="0060721D" w:rsidRPr="0060721D" w:rsidRDefault="0060721D" w:rsidP="0060721D">
            <w:pPr>
              <w:jc w:val="center"/>
              <w:rPr>
                <w:rFonts w:ascii="Times New Roman" w:hAnsi="Times New Roman"/>
              </w:rPr>
            </w:pPr>
            <w:r w:rsidRPr="0060721D">
              <w:rPr>
                <w:rFonts w:ascii="Times New Roman" w:eastAsia="Times New Roman" w:hAnsi="Times New Roman"/>
                <w:lang w:eastAsia="ru-RU"/>
              </w:rPr>
              <w:lastRenderedPageBreak/>
              <w:t xml:space="preserve">Sunt </w:t>
            </w:r>
            <w:proofErr w:type="spellStart"/>
            <w:r w:rsidRPr="0060721D">
              <w:rPr>
                <w:rFonts w:ascii="Times New Roman" w:eastAsia="Times New Roman" w:hAnsi="Times New Roman"/>
                <w:lang w:eastAsia="ru-RU"/>
              </w:rPr>
              <w:t>preconizate</w:t>
            </w:r>
            <w:proofErr w:type="spellEnd"/>
            <w:r w:rsidRPr="0060721D">
              <w:rPr>
                <w:rFonts w:ascii="Times New Roman" w:eastAsia="Times New Roman" w:hAnsi="Times New Roman"/>
                <w:lang w:eastAsia="ru-RU"/>
              </w:rPr>
              <w:t xml:space="preserve"> </w:t>
            </w:r>
            <w:proofErr w:type="spellStart"/>
            <w:r w:rsidRPr="0060721D">
              <w:rPr>
                <w:rFonts w:ascii="Times New Roman" w:hAnsi="Times New Roman"/>
              </w:rPr>
              <w:t>următoarele</w:t>
            </w:r>
            <w:proofErr w:type="spellEnd"/>
            <w:r w:rsidRPr="0060721D">
              <w:rPr>
                <w:rFonts w:ascii="Times New Roman" w:hAnsi="Times New Roman"/>
              </w:rPr>
              <w:t xml:space="preserve"> volume de </w:t>
            </w:r>
            <w:proofErr w:type="spellStart"/>
            <w:r w:rsidRPr="0060721D">
              <w:rPr>
                <w:rFonts w:ascii="Times New Roman" w:hAnsi="Times New Roman"/>
              </w:rPr>
              <w:t>producție</w:t>
            </w:r>
            <w:proofErr w:type="spellEnd"/>
            <w:r w:rsidRPr="0060721D">
              <w:rPr>
                <w:rFonts w:ascii="Times New Roman" w:hAnsi="Times New Roman"/>
              </w:rPr>
              <w:t xml:space="preserve">: 2025 – circa 70 mii tone </w:t>
            </w:r>
            <w:proofErr w:type="spellStart"/>
            <w:r w:rsidRPr="0060721D">
              <w:rPr>
                <w:rFonts w:ascii="Times New Roman" w:hAnsi="Times New Roman"/>
              </w:rPr>
              <w:t>sticlă</w:t>
            </w:r>
            <w:proofErr w:type="spellEnd"/>
            <w:r w:rsidRPr="0060721D">
              <w:rPr>
                <w:rFonts w:ascii="Times New Roman" w:hAnsi="Times New Roman"/>
              </w:rPr>
              <w:t xml:space="preserve">, 2030 – circa 85 mii tone </w:t>
            </w:r>
            <w:proofErr w:type="spellStart"/>
            <w:r w:rsidRPr="0060721D">
              <w:rPr>
                <w:rFonts w:ascii="Times New Roman" w:hAnsi="Times New Roman"/>
              </w:rPr>
              <w:t>sticlă</w:t>
            </w:r>
            <w:proofErr w:type="spellEnd"/>
            <w:r w:rsidRPr="0060721D">
              <w:rPr>
                <w:rFonts w:ascii="Times New Roman" w:hAnsi="Times New Roman"/>
              </w:rPr>
              <w:t xml:space="preserve">; </w:t>
            </w:r>
            <w:proofErr w:type="spellStart"/>
            <w:r w:rsidRPr="0060721D">
              <w:rPr>
                <w:rFonts w:ascii="Times New Roman" w:hAnsi="Times New Roman"/>
              </w:rPr>
              <w:t>majorarea</w:t>
            </w:r>
            <w:proofErr w:type="spellEnd"/>
            <w:r w:rsidRPr="0060721D">
              <w:rPr>
                <w:rFonts w:ascii="Times New Roman" w:hAnsi="Times New Roman"/>
              </w:rPr>
              <w:t xml:space="preserve"> </w:t>
            </w:r>
            <w:proofErr w:type="spellStart"/>
            <w:r w:rsidRPr="0060721D">
              <w:rPr>
                <w:rFonts w:ascii="Times New Roman" w:hAnsi="Times New Roman"/>
              </w:rPr>
              <w:t>ponderii</w:t>
            </w:r>
            <w:proofErr w:type="spellEnd"/>
            <w:r w:rsidRPr="0060721D">
              <w:rPr>
                <w:rFonts w:ascii="Times New Roman" w:hAnsi="Times New Roman"/>
              </w:rPr>
              <w:t xml:space="preserve"> </w:t>
            </w:r>
            <w:proofErr w:type="spellStart"/>
            <w:r w:rsidRPr="0060721D">
              <w:rPr>
                <w:rFonts w:ascii="Times New Roman" w:hAnsi="Times New Roman"/>
              </w:rPr>
              <w:t>cioburilor</w:t>
            </w:r>
            <w:proofErr w:type="spellEnd"/>
            <w:r w:rsidRPr="0060721D">
              <w:rPr>
                <w:rFonts w:ascii="Times New Roman" w:hAnsi="Times New Roman"/>
              </w:rPr>
              <w:t xml:space="preserve"> de </w:t>
            </w:r>
            <w:proofErr w:type="spellStart"/>
            <w:r w:rsidRPr="0060721D">
              <w:rPr>
                <w:rFonts w:ascii="Times New Roman" w:hAnsi="Times New Roman"/>
              </w:rPr>
              <w:t>sticlă</w:t>
            </w:r>
            <w:proofErr w:type="spellEnd"/>
            <w:r w:rsidRPr="0060721D">
              <w:rPr>
                <w:rFonts w:ascii="Times New Roman" w:hAnsi="Times New Roman"/>
              </w:rPr>
              <w:t xml:space="preserve"> </w:t>
            </w:r>
            <w:proofErr w:type="spellStart"/>
            <w:r w:rsidRPr="0060721D">
              <w:rPr>
                <w:rFonts w:ascii="Times New Roman" w:hAnsi="Times New Roman"/>
              </w:rPr>
              <w:t>în</w:t>
            </w:r>
            <w:proofErr w:type="spellEnd"/>
            <w:r w:rsidRPr="0060721D">
              <w:rPr>
                <w:rFonts w:ascii="Times New Roman" w:hAnsi="Times New Roman"/>
              </w:rPr>
              <w:t xml:space="preserve"> </w:t>
            </w:r>
            <w:proofErr w:type="spellStart"/>
            <w:r w:rsidRPr="0060721D">
              <w:rPr>
                <w:rFonts w:ascii="Times New Roman" w:hAnsi="Times New Roman"/>
              </w:rPr>
              <w:t>șarjă</w:t>
            </w:r>
            <w:proofErr w:type="spellEnd"/>
            <w:r w:rsidRPr="0060721D">
              <w:rPr>
                <w:rFonts w:ascii="Times New Roman" w:hAnsi="Times New Roman"/>
              </w:rPr>
              <w:t xml:space="preserve">: </w:t>
            </w:r>
            <w:proofErr w:type="spellStart"/>
            <w:r w:rsidRPr="0060721D">
              <w:rPr>
                <w:rFonts w:ascii="Times New Roman" w:hAnsi="Times New Roman"/>
              </w:rPr>
              <w:t>în</w:t>
            </w:r>
            <w:proofErr w:type="spellEnd"/>
            <w:r w:rsidRPr="0060721D">
              <w:rPr>
                <w:rFonts w:ascii="Times New Roman" w:hAnsi="Times New Roman"/>
              </w:rPr>
              <w:t xml:space="preserve"> 2025 – </w:t>
            </w:r>
            <w:proofErr w:type="spellStart"/>
            <w:r w:rsidRPr="0060721D">
              <w:rPr>
                <w:rFonts w:ascii="Times New Roman" w:hAnsi="Times New Roman"/>
              </w:rPr>
              <w:t>până</w:t>
            </w:r>
            <w:proofErr w:type="spellEnd"/>
            <w:r w:rsidRPr="0060721D">
              <w:rPr>
                <w:rFonts w:ascii="Times New Roman" w:hAnsi="Times New Roman"/>
              </w:rPr>
              <w:t xml:space="preserve"> la 40% </w:t>
            </w:r>
            <w:proofErr w:type="spellStart"/>
            <w:r w:rsidRPr="0060721D">
              <w:rPr>
                <w:rFonts w:ascii="Times New Roman" w:hAnsi="Times New Roman"/>
              </w:rPr>
              <w:t>sau</w:t>
            </w:r>
            <w:proofErr w:type="spellEnd"/>
            <w:r w:rsidRPr="0060721D">
              <w:rPr>
                <w:rFonts w:ascii="Times New Roman" w:hAnsi="Times New Roman"/>
              </w:rPr>
              <w:t xml:space="preserve"> 28 mii tone, </w:t>
            </w:r>
            <w:proofErr w:type="spellStart"/>
            <w:r w:rsidRPr="0060721D">
              <w:rPr>
                <w:rFonts w:ascii="Times New Roman" w:hAnsi="Times New Roman"/>
              </w:rPr>
              <w:t>în</w:t>
            </w:r>
            <w:proofErr w:type="spellEnd"/>
            <w:r w:rsidRPr="0060721D">
              <w:rPr>
                <w:rFonts w:ascii="Times New Roman" w:hAnsi="Times New Roman"/>
              </w:rPr>
              <w:t xml:space="preserve"> 2030 – </w:t>
            </w:r>
            <w:proofErr w:type="spellStart"/>
            <w:r w:rsidRPr="0060721D">
              <w:rPr>
                <w:rFonts w:ascii="Times New Roman" w:hAnsi="Times New Roman"/>
              </w:rPr>
              <w:t>până</w:t>
            </w:r>
            <w:proofErr w:type="spellEnd"/>
            <w:r w:rsidRPr="0060721D">
              <w:rPr>
                <w:rFonts w:ascii="Times New Roman" w:hAnsi="Times New Roman"/>
              </w:rPr>
              <w:t xml:space="preserve"> la 50% </w:t>
            </w:r>
            <w:proofErr w:type="spellStart"/>
            <w:r w:rsidRPr="0060721D">
              <w:rPr>
                <w:rFonts w:ascii="Times New Roman" w:hAnsi="Times New Roman"/>
              </w:rPr>
              <w:t>sau</w:t>
            </w:r>
            <w:proofErr w:type="spellEnd"/>
            <w:r w:rsidRPr="0060721D">
              <w:rPr>
                <w:rFonts w:ascii="Times New Roman" w:hAnsi="Times New Roman"/>
              </w:rPr>
              <w:t xml:space="preserve"> 42.5 mii tone.  </w:t>
            </w:r>
          </w:p>
        </w:tc>
        <w:tc>
          <w:tcPr>
            <w:tcW w:w="1440" w:type="dxa"/>
            <w:gridSpan w:val="2"/>
            <w:hideMark/>
          </w:tcPr>
          <w:p w14:paraId="68B74245" w14:textId="77777777" w:rsidR="0060721D" w:rsidRPr="0060721D" w:rsidRDefault="0060721D" w:rsidP="0060721D">
            <w:pPr>
              <w:jc w:val="center"/>
              <w:rPr>
                <w:rFonts w:ascii="Times New Roman" w:eastAsia="Times New Roman" w:hAnsi="Times New Roman"/>
                <w:lang w:eastAsia="ru-RU"/>
              </w:rPr>
            </w:pPr>
            <w:r w:rsidRPr="0060721D">
              <w:rPr>
                <w:rFonts w:ascii="Times New Roman" w:eastAsia="Times New Roman" w:hAnsi="Times New Roman"/>
                <w:lang w:eastAsia="ru-RU"/>
              </w:rPr>
              <w:t> </w:t>
            </w:r>
          </w:p>
        </w:tc>
        <w:tc>
          <w:tcPr>
            <w:tcW w:w="3429" w:type="dxa"/>
            <w:gridSpan w:val="2"/>
            <w:hideMark/>
          </w:tcPr>
          <w:p w14:paraId="59764ECB" w14:textId="77777777" w:rsidR="0060721D" w:rsidRPr="0060721D" w:rsidRDefault="0060721D" w:rsidP="0060721D">
            <w:pPr>
              <w:jc w:val="center"/>
              <w:rPr>
                <w:rFonts w:ascii="Times New Roman" w:hAnsi="Times New Roman"/>
              </w:rPr>
            </w:pPr>
            <w:r w:rsidRPr="0060721D">
              <w:rPr>
                <w:rFonts w:ascii="Times New Roman" w:eastAsia="Times New Roman" w:hAnsi="Times New Roman"/>
                <w:lang w:eastAsia="ru-RU"/>
              </w:rPr>
              <w:t>75 mii</w:t>
            </w:r>
            <w:r w:rsidRPr="0060721D">
              <w:rPr>
                <w:rFonts w:ascii="Times New Roman" w:eastAsia="Times New Roman" w:hAnsi="Times New Roman"/>
                <w:lang w:val="ro-RO" w:eastAsia="ru-RU"/>
              </w:rPr>
              <w:t xml:space="preserve"> </w:t>
            </w:r>
            <w:r w:rsidRPr="0060721D">
              <w:rPr>
                <w:rFonts w:ascii="Times New Roman" w:hAnsi="Times New Roman"/>
              </w:rPr>
              <w:t xml:space="preserve">tone CO2 </w:t>
            </w:r>
            <w:proofErr w:type="spellStart"/>
            <w:r w:rsidRPr="0060721D">
              <w:rPr>
                <w:rFonts w:ascii="Times New Roman" w:hAnsi="Times New Roman"/>
              </w:rPr>
              <w:t>către</w:t>
            </w:r>
            <w:proofErr w:type="spellEnd"/>
            <w:r w:rsidRPr="0060721D">
              <w:rPr>
                <w:rFonts w:ascii="Times New Roman" w:hAnsi="Times New Roman"/>
              </w:rPr>
              <w:t xml:space="preserve"> </w:t>
            </w:r>
            <w:proofErr w:type="spellStart"/>
            <w:r w:rsidRPr="0060721D">
              <w:rPr>
                <w:rFonts w:ascii="Times New Roman" w:hAnsi="Times New Roman"/>
              </w:rPr>
              <w:t>anul</w:t>
            </w:r>
            <w:proofErr w:type="spellEnd"/>
            <w:r w:rsidRPr="0060721D">
              <w:rPr>
                <w:rFonts w:ascii="Times New Roman" w:hAnsi="Times New Roman"/>
              </w:rPr>
              <w:t xml:space="preserve"> 2030, </w:t>
            </w:r>
            <w:proofErr w:type="spellStart"/>
            <w:r w:rsidRPr="0060721D">
              <w:rPr>
                <w:rFonts w:ascii="Times New Roman" w:hAnsi="Times New Roman"/>
              </w:rPr>
              <w:t>comparativ</w:t>
            </w:r>
            <w:proofErr w:type="spellEnd"/>
            <w:r w:rsidRPr="0060721D">
              <w:rPr>
                <w:rFonts w:ascii="Times New Roman" w:hAnsi="Times New Roman"/>
              </w:rPr>
              <w:t xml:space="preserve"> cu </w:t>
            </w:r>
            <w:proofErr w:type="spellStart"/>
            <w:r w:rsidRPr="0060721D">
              <w:rPr>
                <w:rFonts w:ascii="Times New Roman" w:hAnsi="Times New Roman"/>
              </w:rPr>
              <w:t>nivelul</w:t>
            </w:r>
            <w:proofErr w:type="spellEnd"/>
            <w:r w:rsidRPr="0060721D">
              <w:rPr>
                <w:rFonts w:ascii="Times New Roman" w:hAnsi="Times New Roman"/>
              </w:rPr>
              <w:t xml:space="preserve"> </w:t>
            </w:r>
            <w:proofErr w:type="spellStart"/>
            <w:r w:rsidRPr="0060721D">
              <w:rPr>
                <w:rFonts w:ascii="Times New Roman" w:hAnsi="Times New Roman"/>
              </w:rPr>
              <w:t>anului</w:t>
            </w:r>
            <w:proofErr w:type="spellEnd"/>
            <w:r w:rsidRPr="0060721D">
              <w:rPr>
                <w:rFonts w:ascii="Times New Roman" w:hAnsi="Times New Roman"/>
              </w:rPr>
              <w:t xml:space="preserve"> de </w:t>
            </w:r>
            <w:proofErr w:type="spellStart"/>
            <w:r w:rsidRPr="0060721D">
              <w:rPr>
                <w:rFonts w:ascii="Times New Roman" w:hAnsi="Times New Roman"/>
              </w:rPr>
              <w:t>referință</w:t>
            </w:r>
            <w:proofErr w:type="spellEnd"/>
            <w:r w:rsidRPr="0060721D">
              <w:rPr>
                <w:rFonts w:ascii="Times New Roman" w:hAnsi="Times New Roman"/>
              </w:rPr>
              <w:t xml:space="preserve"> 1990</w:t>
            </w:r>
          </w:p>
        </w:tc>
        <w:tc>
          <w:tcPr>
            <w:tcW w:w="1502" w:type="dxa"/>
            <w:gridSpan w:val="2"/>
            <w:hideMark/>
          </w:tcPr>
          <w:p w14:paraId="2AB9BA02" w14:textId="77777777" w:rsidR="0060721D" w:rsidRPr="0060721D" w:rsidRDefault="0060721D" w:rsidP="0060721D">
            <w:pPr>
              <w:jc w:val="center"/>
              <w:rPr>
                <w:rFonts w:ascii="Times New Roman" w:eastAsia="Times New Roman" w:hAnsi="Times New Roman"/>
                <w:lang w:eastAsia="ru-RU"/>
              </w:rPr>
            </w:pPr>
            <w:r w:rsidRPr="0060721D">
              <w:rPr>
                <w:rFonts w:ascii="Times New Roman" w:eastAsia="Times New Roman" w:hAnsi="Times New Roman"/>
                <w:lang w:eastAsia="ru-RU"/>
              </w:rPr>
              <w:t> </w:t>
            </w:r>
          </w:p>
        </w:tc>
      </w:tr>
      <w:tr w:rsidR="00F11CCD" w:rsidRPr="0060721D" w14:paraId="18781105" w14:textId="77777777" w:rsidTr="00F11CCD">
        <w:trPr>
          <w:divId w:val="546725049"/>
          <w:trHeight w:val="2760"/>
        </w:trPr>
        <w:tc>
          <w:tcPr>
            <w:tcW w:w="500" w:type="dxa"/>
            <w:hideMark/>
          </w:tcPr>
          <w:p w14:paraId="50036341" w14:textId="77777777" w:rsidR="0060721D" w:rsidRPr="0060721D" w:rsidRDefault="0060721D" w:rsidP="0060721D">
            <w:pPr>
              <w:jc w:val="center"/>
              <w:rPr>
                <w:rFonts w:ascii="Times New Roman" w:eastAsia="Times New Roman" w:hAnsi="Times New Roman"/>
                <w:lang w:val="ro-RO" w:eastAsia="ru-RU"/>
              </w:rPr>
            </w:pPr>
            <w:r w:rsidRPr="0060721D">
              <w:rPr>
                <w:rFonts w:ascii="Times New Roman" w:eastAsia="Times New Roman" w:hAnsi="Times New Roman"/>
                <w:lang w:eastAsia="ru-RU"/>
              </w:rPr>
              <w:t>4,5</w:t>
            </w:r>
          </w:p>
        </w:tc>
        <w:tc>
          <w:tcPr>
            <w:tcW w:w="3437" w:type="dxa"/>
            <w:gridSpan w:val="2"/>
            <w:hideMark/>
          </w:tcPr>
          <w:p w14:paraId="2D03A7DB" w14:textId="77777777" w:rsidR="0060721D" w:rsidRPr="0060721D" w:rsidRDefault="0060721D" w:rsidP="0060721D">
            <w:pPr>
              <w:rPr>
                <w:rFonts w:ascii="Times New Roman" w:eastAsia="Times New Roman" w:hAnsi="Times New Roman"/>
                <w:lang w:val="es-ES" w:eastAsia="ru-RU"/>
              </w:rPr>
            </w:pPr>
            <w:r w:rsidRPr="0060721D">
              <w:rPr>
                <w:rFonts w:ascii="Times New Roman" w:eastAsia="Times New Roman" w:hAnsi="Times New Roman"/>
                <w:lang w:val="es-ES" w:eastAsia="ru-RU"/>
              </w:rPr>
              <w:t>Ajustarea Cadrului normativ naţional la cel al UE (Regulamentul CE nr. 842/2006 privind anumite gaze fluorurate cu efect de sera, suplinit cu Regulamentul (UE) nr. 517/2014) spre suprimarea eşalonată a  unor gaze-F cu efect de sera</w:t>
            </w:r>
          </w:p>
        </w:tc>
        <w:tc>
          <w:tcPr>
            <w:tcW w:w="2211" w:type="dxa"/>
            <w:gridSpan w:val="2"/>
            <w:hideMark/>
          </w:tcPr>
          <w:p w14:paraId="004B3DFA" w14:textId="77777777" w:rsidR="0060721D" w:rsidRPr="0060721D" w:rsidRDefault="0060721D" w:rsidP="0060721D">
            <w:pPr>
              <w:rPr>
                <w:rFonts w:ascii="Times New Roman" w:eastAsia="Times New Roman" w:hAnsi="Times New Roman"/>
                <w:lang w:val="es-ES" w:eastAsia="ru-RU"/>
              </w:rPr>
            </w:pPr>
            <w:r w:rsidRPr="0060721D">
              <w:rPr>
                <w:rFonts w:ascii="Times New Roman" w:eastAsia="Times New Roman" w:hAnsi="Times New Roman"/>
                <w:lang w:val="es-ES" w:eastAsia="ru-RU"/>
              </w:rPr>
              <w:t xml:space="preserve">În vederea transpunerii Regulamentului UE nr. 517/2014, este prevăzut: Elaborarea şi aprobarea legii cu privire la gazele F; actualizarea HG483 din 18.10.2019 privind aprobarea Regulamentului privind instruirea și certificarea specialiștilor în domeniul tehnologiei de răcire care conține hidroclorofluorocarburi și gaze fluorurate cu efect de seră; amendarea Codului contravențional al RM nr. 218 din. 24.10.2008, în vederea reflectării sancțiunilor aplicabile încălcărilor prevederilor Regulamentului (UE) nr. 517/2014.    </w:t>
            </w:r>
          </w:p>
        </w:tc>
        <w:tc>
          <w:tcPr>
            <w:tcW w:w="1620" w:type="dxa"/>
            <w:gridSpan w:val="2"/>
            <w:hideMark/>
          </w:tcPr>
          <w:p w14:paraId="619542E3" w14:textId="77777777" w:rsidR="0060721D" w:rsidRPr="0060721D" w:rsidRDefault="0060721D" w:rsidP="0060721D">
            <w:pPr>
              <w:jc w:val="center"/>
              <w:rPr>
                <w:rFonts w:ascii="Times New Roman" w:eastAsia="Times New Roman" w:hAnsi="Times New Roman"/>
                <w:lang w:val="es-ES" w:eastAsia="ru-RU"/>
              </w:rPr>
            </w:pPr>
            <w:r w:rsidRPr="0060721D">
              <w:rPr>
                <w:rFonts w:ascii="Times New Roman" w:eastAsia="Times New Roman" w:hAnsi="Times New Roman"/>
                <w:lang w:val="es-ES" w:eastAsia="ru-RU"/>
              </w:rPr>
              <w:t>Nivel naţional</w:t>
            </w:r>
          </w:p>
        </w:tc>
        <w:tc>
          <w:tcPr>
            <w:tcW w:w="1440" w:type="dxa"/>
            <w:gridSpan w:val="2"/>
            <w:hideMark/>
          </w:tcPr>
          <w:p w14:paraId="3633D89B" w14:textId="77777777" w:rsidR="0060721D" w:rsidRPr="0060721D" w:rsidRDefault="0060721D" w:rsidP="0060721D">
            <w:pPr>
              <w:jc w:val="center"/>
              <w:rPr>
                <w:rFonts w:ascii="Times New Roman" w:eastAsia="Times New Roman" w:hAnsi="Times New Roman"/>
                <w:lang w:val="es-ES" w:eastAsia="ru-RU"/>
              </w:rPr>
            </w:pPr>
            <w:r w:rsidRPr="0060721D">
              <w:rPr>
                <w:rFonts w:ascii="Times New Roman" w:eastAsia="Times New Roman" w:hAnsi="Times New Roman"/>
                <w:lang w:val="es-ES" w:eastAsia="ru-RU"/>
              </w:rPr>
              <w:t> </w:t>
            </w:r>
          </w:p>
        </w:tc>
        <w:tc>
          <w:tcPr>
            <w:tcW w:w="3429" w:type="dxa"/>
            <w:gridSpan w:val="2"/>
            <w:hideMark/>
          </w:tcPr>
          <w:p w14:paraId="7E0987E0" w14:textId="77777777" w:rsidR="0060721D" w:rsidRPr="0060721D" w:rsidRDefault="0060721D" w:rsidP="0060721D">
            <w:pPr>
              <w:jc w:val="center"/>
              <w:rPr>
                <w:rFonts w:ascii="Times New Roman" w:eastAsia="Times New Roman" w:hAnsi="Times New Roman"/>
                <w:lang w:eastAsia="ru-RU"/>
              </w:rPr>
            </w:pPr>
            <w:r w:rsidRPr="0060721D">
              <w:rPr>
                <w:rFonts w:ascii="Times New Roman" w:eastAsia="Times New Roman" w:hAnsi="Times New Roman"/>
                <w:lang w:eastAsia="ru-RU"/>
              </w:rPr>
              <w:t>n/a</w:t>
            </w:r>
          </w:p>
        </w:tc>
        <w:tc>
          <w:tcPr>
            <w:tcW w:w="1502" w:type="dxa"/>
            <w:gridSpan w:val="2"/>
            <w:hideMark/>
          </w:tcPr>
          <w:p w14:paraId="4EAE86D9" w14:textId="77777777" w:rsidR="0060721D" w:rsidRPr="0060721D" w:rsidRDefault="0060721D" w:rsidP="0060721D">
            <w:pPr>
              <w:jc w:val="center"/>
              <w:rPr>
                <w:rFonts w:ascii="Times New Roman" w:eastAsia="Times New Roman" w:hAnsi="Times New Roman"/>
                <w:lang w:eastAsia="ru-RU"/>
              </w:rPr>
            </w:pPr>
            <w:r w:rsidRPr="0060721D">
              <w:rPr>
                <w:rFonts w:ascii="Times New Roman" w:eastAsia="Times New Roman" w:hAnsi="Times New Roman"/>
                <w:lang w:eastAsia="ru-RU"/>
              </w:rPr>
              <w:t> </w:t>
            </w:r>
          </w:p>
        </w:tc>
      </w:tr>
      <w:tr w:rsidR="0060721D" w:rsidRPr="0060721D" w14:paraId="5B7A06B8" w14:textId="77777777" w:rsidTr="00F11CCD">
        <w:trPr>
          <w:divId w:val="546725049"/>
          <w:trHeight w:val="895"/>
        </w:trPr>
        <w:tc>
          <w:tcPr>
            <w:tcW w:w="500" w:type="dxa"/>
            <w:hideMark/>
          </w:tcPr>
          <w:p w14:paraId="5131ACA8" w14:textId="77777777" w:rsidR="0060721D" w:rsidRPr="0060721D" w:rsidRDefault="0060721D" w:rsidP="0060721D">
            <w:pPr>
              <w:jc w:val="center"/>
              <w:rPr>
                <w:rFonts w:ascii="Times New Roman" w:hAnsi="Times New Roman"/>
              </w:rPr>
            </w:pPr>
            <w:r w:rsidRPr="0060721D">
              <w:rPr>
                <w:rFonts w:ascii="Times New Roman" w:eastAsia="Times New Roman" w:hAnsi="Times New Roman"/>
                <w:lang w:val="ro-RO" w:eastAsia="ru-RU"/>
              </w:rPr>
              <w:lastRenderedPageBreak/>
              <w:t>5</w:t>
            </w:r>
          </w:p>
        </w:tc>
        <w:tc>
          <w:tcPr>
            <w:tcW w:w="13639" w:type="dxa"/>
            <w:gridSpan w:val="12"/>
            <w:hideMark/>
          </w:tcPr>
          <w:p w14:paraId="79B97993" w14:textId="77777777" w:rsidR="0060721D" w:rsidRPr="0060721D" w:rsidRDefault="0060721D" w:rsidP="002D5884">
            <w:pPr>
              <w:ind w:right="-20"/>
              <w:jc w:val="center"/>
              <w:rPr>
                <w:rFonts w:ascii="Times New Roman" w:hAnsi="Times New Roman"/>
                <w:b/>
                <w:bCs/>
              </w:rPr>
            </w:pPr>
            <w:r w:rsidRPr="0060721D">
              <w:rPr>
                <w:rFonts w:ascii="Times New Roman" w:eastAsia="Times New Roman" w:hAnsi="Times New Roman"/>
                <w:lang w:val="ro-RO" w:eastAsia="ru-RU"/>
              </w:rPr>
              <w:t>Obiectivul</w:t>
            </w:r>
            <w:r w:rsidRPr="0060721D">
              <w:rPr>
                <w:rFonts w:ascii="Times New Roman" w:hAnsi="Times New Roman"/>
                <w:b/>
                <w:bCs/>
              </w:rPr>
              <w:t xml:space="preserve"> specific 5.</w:t>
            </w:r>
            <w:r w:rsidRPr="0060721D">
              <w:rPr>
                <w:rFonts w:ascii="Times New Roman" w:hAnsi="Times New Roman"/>
              </w:rPr>
              <w:t xml:space="preserve"> </w:t>
            </w:r>
            <w:proofErr w:type="spellStart"/>
            <w:r w:rsidRPr="0060721D">
              <w:rPr>
                <w:rFonts w:ascii="Times New Roman" w:hAnsi="Times New Roman"/>
              </w:rPr>
              <w:t>Reducerea</w:t>
            </w:r>
            <w:proofErr w:type="spellEnd"/>
            <w:r w:rsidRPr="0060721D">
              <w:rPr>
                <w:rFonts w:ascii="Times New Roman" w:hAnsi="Times New Roman"/>
              </w:rPr>
              <w:t xml:space="preserve"> </w:t>
            </w:r>
            <w:proofErr w:type="spellStart"/>
            <w:r w:rsidRPr="0060721D">
              <w:rPr>
                <w:rFonts w:ascii="Times New Roman" w:hAnsi="Times New Roman"/>
              </w:rPr>
              <w:t>necondiţionată</w:t>
            </w:r>
            <w:proofErr w:type="spellEnd"/>
            <w:r w:rsidRPr="0060721D">
              <w:rPr>
                <w:rFonts w:ascii="Times New Roman" w:hAnsi="Times New Roman"/>
              </w:rPr>
              <w:t xml:space="preserve">, </w:t>
            </w:r>
            <w:proofErr w:type="spellStart"/>
            <w:r w:rsidRPr="0060721D">
              <w:rPr>
                <w:rFonts w:ascii="Times New Roman" w:hAnsi="Times New Roman"/>
              </w:rPr>
              <w:t>pînă</w:t>
            </w:r>
            <w:proofErr w:type="spellEnd"/>
            <w:r w:rsidRPr="0060721D">
              <w:rPr>
                <w:rFonts w:ascii="Times New Roman" w:hAnsi="Times New Roman"/>
              </w:rPr>
              <w:t xml:space="preserve"> </w:t>
            </w:r>
            <w:proofErr w:type="spellStart"/>
            <w:r w:rsidRPr="0060721D">
              <w:rPr>
                <w:rFonts w:ascii="Times New Roman" w:hAnsi="Times New Roman"/>
              </w:rPr>
              <w:t>în</w:t>
            </w:r>
            <w:proofErr w:type="spellEnd"/>
            <w:r w:rsidRPr="0060721D">
              <w:rPr>
                <w:rFonts w:ascii="Times New Roman" w:hAnsi="Times New Roman"/>
              </w:rPr>
              <w:t xml:space="preserve">  </w:t>
            </w:r>
            <w:proofErr w:type="spellStart"/>
            <w:r w:rsidRPr="0060721D">
              <w:rPr>
                <w:rFonts w:ascii="Times New Roman" w:hAnsi="Times New Roman"/>
              </w:rPr>
              <w:t>anul</w:t>
            </w:r>
            <w:proofErr w:type="spellEnd"/>
            <w:r w:rsidRPr="0060721D">
              <w:rPr>
                <w:rFonts w:ascii="Times New Roman" w:hAnsi="Times New Roman"/>
              </w:rPr>
              <w:t xml:space="preserve"> 2030, a </w:t>
            </w:r>
            <w:proofErr w:type="spellStart"/>
            <w:r w:rsidRPr="0060721D">
              <w:rPr>
                <w:rFonts w:ascii="Times New Roman" w:hAnsi="Times New Roman"/>
              </w:rPr>
              <w:t>emisiilor</w:t>
            </w:r>
            <w:proofErr w:type="spellEnd"/>
            <w:r w:rsidRPr="0060721D">
              <w:rPr>
                <w:rFonts w:ascii="Times New Roman" w:hAnsi="Times New Roman"/>
              </w:rPr>
              <w:t xml:space="preserve"> de gaze cu </w:t>
            </w:r>
            <w:proofErr w:type="spellStart"/>
            <w:r w:rsidRPr="0060721D">
              <w:rPr>
                <w:rFonts w:ascii="Times New Roman" w:hAnsi="Times New Roman"/>
              </w:rPr>
              <w:t>efect</w:t>
            </w:r>
            <w:proofErr w:type="spellEnd"/>
            <w:r w:rsidRPr="0060721D">
              <w:rPr>
                <w:rFonts w:ascii="Times New Roman" w:hAnsi="Times New Roman"/>
              </w:rPr>
              <w:t xml:space="preserve"> de </w:t>
            </w:r>
            <w:proofErr w:type="spellStart"/>
            <w:r w:rsidRPr="0060721D">
              <w:rPr>
                <w:rFonts w:ascii="Times New Roman" w:hAnsi="Times New Roman"/>
              </w:rPr>
              <w:t>seră</w:t>
            </w:r>
            <w:proofErr w:type="spellEnd"/>
            <w:r w:rsidRPr="0060721D">
              <w:rPr>
                <w:rFonts w:ascii="Times New Roman" w:hAnsi="Times New Roman"/>
              </w:rPr>
              <w:t xml:space="preserve"> </w:t>
            </w:r>
            <w:proofErr w:type="spellStart"/>
            <w:r w:rsidRPr="0060721D">
              <w:rPr>
                <w:rFonts w:ascii="Times New Roman" w:hAnsi="Times New Roman"/>
              </w:rPr>
              <w:t>provenite</w:t>
            </w:r>
            <w:proofErr w:type="spellEnd"/>
            <w:r w:rsidRPr="0060721D">
              <w:rPr>
                <w:rFonts w:ascii="Times New Roman" w:hAnsi="Times New Roman"/>
              </w:rPr>
              <w:t xml:space="preserve"> de la</w:t>
            </w:r>
            <w:r w:rsidRPr="0060721D">
              <w:rPr>
                <w:rFonts w:ascii="Times New Roman" w:hAnsi="Times New Roman"/>
                <w:b/>
                <w:bCs/>
              </w:rPr>
              <w:t xml:space="preserve"> </w:t>
            </w:r>
            <w:proofErr w:type="spellStart"/>
            <w:r w:rsidRPr="0060721D">
              <w:rPr>
                <w:rFonts w:ascii="Times New Roman" w:hAnsi="Times New Roman"/>
                <w:b/>
                <w:bCs/>
              </w:rPr>
              <w:t>sectorul</w:t>
            </w:r>
            <w:proofErr w:type="spellEnd"/>
            <w:r w:rsidRPr="0060721D">
              <w:rPr>
                <w:rFonts w:ascii="Times New Roman" w:hAnsi="Times New Roman"/>
                <w:b/>
                <w:bCs/>
              </w:rPr>
              <w:t xml:space="preserve"> </w:t>
            </w:r>
            <w:proofErr w:type="spellStart"/>
            <w:r w:rsidRPr="0060721D">
              <w:rPr>
                <w:rFonts w:ascii="Times New Roman" w:hAnsi="Times New Roman"/>
                <w:b/>
                <w:bCs/>
              </w:rPr>
              <w:t>agricol</w:t>
            </w:r>
            <w:proofErr w:type="spellEnd"/>
            <w:r w:rsidRPr="0060721D">
              <w:rPr>
                <w:rFonts w:ascii="Times New Roman" w:hAnsi="Times New Roman"/>
              </w:rPr>
              <w:t xml:space="preserve"> cu 44% </w:t>
            </w:r>
            <w:proofErr w:type="spellStart"/>
            <w:r w:rsidRPr="0060721D">
              <w:rPr>
                <w:rFonts w:ascii="Times New Roman" w:hAnsi="Times New Roman"/>
              </w:rPr>
              <w:t>şi</w:t>
            </w:r>
            <w:proofErr w:type="spellEnd"/>
            <w:r w:rsidRPr="0060721D">
              <w:rPr>
                <w:rFonts w:ascii="Times New Roman" w:hAnsi="Times New Roman"/>
              </w:rPr>
              <w:t xml:space="preserve"> </w:t>
            </w:r>
            <w:proofErr w:type="spellStart"/>
            <w:r w:rsidRPr="0060721D">
              <w:rPr>
                <w:rFonts w:ascii="Times New Roman" w:hAnsi="Times New Roman"/>
              </w:rPr>
              <w:t>reducerea</w:t>
            </w:r>
            <w:proofErr w:type="spellEnd"/>
            <w:r w:rsidRPr="0060721D">
              <w:rPr>
                <w:rFonts w:ascii="Times New Roman" w:hAnsi="Times New Roman"/>
              </w:rPr>
              <w:t xml:space="preserve"> de gaze cu </w:t>
            </w:r>
            <w:proofErr w:type="spellStart"/>
            <w:r w:rsidRPr="0060721D">
              <w:rPr>
                <w:rFonts w:ascii="Times New Roman" w:hAnsi="Times New Roman"/>
              </w:rPr>
              <w:t>efect</w:t>
            </w:r>
            <w:proofErr w:type="spellEnd"/>
            <w:r w:rsidRPr="0060721D">
              <w:rPr>
                <w:rFonts w:ascii="Times New Roman" w:hAnsi="Times New Roman"/>
              </w:rPr>
              <w:t xml:space="preserve"> de </w:t>
            </w:r>
            <w:proofErr w:type="spellStart"/>
            <w:r w:rsidRPr="0060721D">
              <w:rPr>
                <w:rFonts w:ascii="Times New Roman" w:hAnsi="Times New Roman"/>
              </w:rPr>
              <w:t>seră</w:t>
            </w:r>
            <w:proofErr w:type="spellEnd"/>
            <w:r w:rsidRPr="0060721D">
              <w:rPr>
                <w:rFonts w:ascii="Times New Roman" w:hAnsi="Times New Roman"/>
              </w:rPr>
              <w:t xml:space="preserve"> </w:t>
            </w:r>
            <w:proofErr w:type="spellStart"/>
            <w:r w:rsidRPr="0060721D">
              <w:rPr>
                <w:rFonts w:ascii="Times New Roman" w:hAnsi="Times New Roman"/>
              </w:rPr>
              <w:t>condiţionată</w:t>
            </w:r>
            <w:proofErr w:type="spellEnd"/>
            <w:r w:rsidRPr="0060721D">
              <w:rPr>
                <w:rFonts w:ascii="Times New Roman" w:hAnsi="Times New Roman"/>
              </w:rPr>
              <w:t xml:space="preserve"> </w:t>
            </w:r>
            <w:proofErr w:type="spellStart"/>
            <w:r w:rsidRPr="0060721D">
              <w:rPr>
                <w:rFonts w:ascii="Times New Roman" w:hAnsi="Times New Roman"/>
              </w:rPr>
              <w:t>pînă</w:t>
            </w:r>
            <w:proofErr w:type="spellEnd"/>
            <w:r w:rsidRPr="0060721D">
              <w:rPr>
                <w:rFonts w:ascii="Times New Roman" w:hAnsi="Times New Roman"/>
              </w:rPr>
              <w:t xml:space="preserve"> la 47% </w:t>
            </w:r>
            <w:proofErr w:type="spellStart"/>
            <w:r w:rsidRPr="0060721D">
              <w:rPr>
                <w:rFonts w:ascii="Times New Roman" w:hAnsi="Times New Roman"/>
              </w:rPr>
              <w:t>comparativ</w:t>
            </w:r>
            <w:proofErr w:type="spellEnd"/>
            <w:r w:rsidRPr="0060721D">
              <w:rPr>
                <w:rFonts w:ascii="Times New Roman" w:hAnsi="Times New Roman"/>
              </w:rPr>
              <w:t xml:space="preserve"> cu </w:t>
            </w:r>
            <w:proofErr w:type="spellStart"/>
            <w:r w:rsidRPr="0060721D">
              <w:rPr>
                <w:rFonts w:ascii="Times New Roman" w:hAnsi="Times New Roman"/>
              </w:rPr>
              <w:t>anul</w:t>
            </w:r>
            <w:proofErr w:type="spellEnd"/>
            <w:r w:rsidRPr="0060721D">
              <w:rPr>
                <w:rFonts w:ascii="Times New Roman" w:hAnsi="Times New Roman"/>
              </w:rPr>
              <w:t xml:space="preserve"> 1990</w:t>
            </w:r>
          </w:p>
        </w:tc>
      </w:tr>
      <w:tr w:rsidR="00F11CCD" w:rsidRPr="0060721D" w14:paraId="004A18C1" w14:textId="77777777" w:rsidTr="00F11CCD">
        <w:trPr>
          <w:divId w:val="546725049"/>
          <w:trHeight w:val="2985"/>
        </w:trPr>
        <w:tc>
          <w:tcPr>
            <w:tcW w:w="500" w:type="dxa"/>
            <w:hideMark/>
          </w:tcPr>
          <w:p w14:paraId="7360A6AB" w14:textId="77777777" w:rsidR="0060721D" w:rsidRPr="0060721D" w:rsidRDefault="0060721D" w:rsidP="0060721D">
            <w:pPr>
              <w:jc w:val="center"/>
              <w:rPr>
                <w:rFonts w:ascii="Times New Roman" w:eastAsia="Times New Roman" w:hAnsi="Times New Roman"/>
                <w:lang w:eastAsia="ru-RU"/>
              </w:rPr>
            </w:pPr>
            <w:r w:rsidRPr="0060721D">
              <w:rPr>
                <w:rFonts w:ascii="Times New Roman" w:eastAsia="Times New Roman" w:hAnsi="Times New Roman"/>
                <w:lang w:eastAsia="ru-RU"/>
              </w:rPr>
              <w:t>5,1</w:t>
            </w:r>
          </w:p>
        </w:tc>
        <w:tc>
          <w:tcPr>
            <w:tcW w:w="3437" w:type="dxa"/>
            <w:gridSpan w:val="2"/>
            <w:hideMark/>
          </w:tcPr>
          <w:p w14:paraId="5DE6E88D" w14:textId="77777777" w:rsidR="0060721D" w:rsidRPr="0060721D" w:rsidRDefault="0060721D" w:rsidP="0060721D">
            <w:pPr>
              <w:rPr>
                <w:rFonts w:ascii="Times New Roman" w:eastAsia="Times New Roman" w:hAnsi="Times New Roman"/>
                <w:lang w:val="es-ES" w:eastAsia="ru-RU"/>
              </w:rPr>
            </w:pPr>
            <w:r w:rsidRPr="0060721D">
              <w:rPr>
                <w:rFonts w:ascii="Times New Roman" w:eastAsia="Times New Roman" w:hAnsi="Times New Roman"/>
                <w:lang w:val="es-ES" w:eastAsia="ru-RU"/>
              </w:rPr>
              <w:t xml:space="preserve">Elaborarea, aprobarea și implementarea Programului Național privind Dezvoltarea Agriculturii Conservative. </w:t>
            </w:r>
          </w:p>
        </w:tc>
        <w:tc>
          <w:tcPr>
            <w:tcW w:w="2211" w:type="dxa"/>
            <w:gridSpan w:val="2"/>
            <w:hideMark/>
          </w:tcPr>
          <w:p w14:paraId="7E7461EE" w14:textId="77777777" w:rsidR="0060721D" w:rsidRPr="0060721D" w:rsidRDefault="0060721D" w:rsidP="0060721D">
            <w:pPr>
              <w:rPr>
                <w:rFonts w:ascii="Times New Roman" w:eastAsia="Times New Roman" w:hAnsi="Times New Roman"/>
                <w:lang w:val="es-ES" w:eastAsia="ru-RU"/>
              </w:rPr>
            </w:pPr>
            <w:r w:rsidRPr="0060721D">
              <w:rPr>
                <w:rFonts w:ascii="Times New Roman" w:eastAsia="Times New Roman" w:hAnsi="Times New Roman"/>
                <w:lang w:val="es-ES" w:eastAsia="ru-RU"/>
              </w:rPr>
              <w:t xml:space="preserve">Elaborarea Programului Național privind Dezvoltarea Agriculturii Conservative va fi realizată de către MADRM cu suportul consultanților internaționali în cadrul Programului de îmbunătățire a capacităților pentru transformarea zonei rurale (IFAD VIII), care urmează a fi implementat în perioada 2021-2026 (Componenta 1: Transformare economică rezilientă; Sub-componenta 1.1: Consolidarea rezistenței la schnimbările climatice). Programul a fost ratificat prin Legea Nr. 194 din 19.11.2020 pentru ratificarea Acordului de finanțare dintre Republica Moldova și Fondul Internațional pentru Dezvoltarea Agricolă în vederea realizării Proiectului „Îmbunătățirea </w:t>
            </w:r>
            <w:r w:rsidRPr="0060721D">
              <w:rPr>
                <w:rFonts w:ascii="Times New Roman" w:eastAsia="Times New Roman" w:hAnsi="Times New Roman"/>
                <w:lang w:val="es-ES" w:eastAsia="ru-RU"/>
              </w:rPr>
              <w:lastRenderedPageBreak/>
              <w:t>capacităților pentru transformarea zonei rurale (IFAD VIII)”</w:t>
            </w:r>
          </w:p>
        </w:tc>
        <w:tc>
          <w:tcPr>
            <w:tcW w:w="1620" w:type="dxa"/>
            <w:gridSpan w:val="2"/>
            <w:hideMark/>
          </w:tcPr>
          <w:p w14:paraId="51DDD934" w14:textId="77777777" w:rsidR="0060721D" w:rsidRPr="0060721D" w:rsidRDefault="0060721D" w:rsidP="0060721D">
            <w:pPr>
              <w:jc w:val="center"/>
              <w:rPr>
                <w:rFonts w:ascii="Times New Roman" w:eastAsia="Times New Roman" w:hAnsi="Times New Roman"/>
                <w:lang w:val="es-ES" w:eastAsia="ru-RU"/>
              </w:rPr>
            </w:pPr>
            <w:r w:rsidRPr="0060721D">
              <w:rPr>
                <w:rFonts w:ascii="Times New Roman" w:eastAsia="Times New Roman" w:hAnsi="Times New Roman"/>
                <w:lang w:val="es-ES" w:eastAsia="ru-RU"/>
              </w:rPr>
              <w:lastRenderedPageBreak/>
              <w:t>Nivel național</w:t>
            </w:r>
          </w:p>
        </w:tc>
        <w:tc>
          <w:tcPr>
            <w:tcW w:w="1440" w:type="dxa"/>
            <w:gridSpan w:val="2"/>
            <w:hideMark/>
          </w:tcPr>
          <w:p w14:paraId="46E26F8A" w14:textId="77777777" w:rsidR="0060721D" w:rsidRPr="0060721D" w:rsidRDefault="0060721D" w:rsidP="0060721D">
            <w:pPr>
              <w:jc w:val="center"/>
              <w:rPr>
                <w:rFonts w:ascii="Times New Roman" w:eastAsia="Times New Roman" w:hAnsi="Times New Roman"/>
                <w:lang w:val="es-ES" w:eastAsia="ru-RU"/>
              </w:rPr>
            </w:pPr>
            <w:r w:rsidRPr="0060721D">
              <w:rPr>
                <w:rFonts w:ascii="Times New Roman" w:eastAsia="Times New Roman" w:hAnsi="Times New Roman"/>
                <w:lang w:val="es-ES" w:eastAsia="ru-RU"/>
              </w:rPr>
              <w:t>Nivel național</w:t>
            </w:r>
          </w:p>
        </w:tc>
        <w:tc>
          <w:tcPr>
            <w:tcW w:w="3429" w:type="dxa"/>
            <w:gridSpan w:val="2"/>
            <w:hideMark/>
          </w:tcPr>
          <w:p w14:paraId="77DDDE31" w14:textId="77777777" w:rsidR="0060721D" w:rsidRPr="0060721D" w:rsidRDefault="0060721D" w:rsidP="0060721D">
            <w:pPr>
              <w:jc w:val="center"/>
              <w:rPr>
                <w:rFonts w:ascii="Times New Roman" w:eastAsia="Times New Roman" w:hAnsi="Times New Roman"/>
                <w:lang w:eastAsia="ru-RU"/>
              </w:rPr>
            </w:pPr>
            <w:r w:rsidRPr="0060721D">
              <w:rPr>
                <w:rFonts w:ascii="Times New Roman" w:eastAsia="Times New Roman" w:hAnsi="Times New Roman"/>
                <w:lang w:eastAsia="ru-RU"/>
              </w:rPr>
              <w:t>n/a</w:t>
            </w:r>
          </w:p>
        </w:tc>
        <w:tc>
          <w:tcPr>
            <w:tcW w:w="1502" w:type="dxa"/>
            <w:gridSpan w:val="2"/>
            <w:hideMark/>
          </w:tcPr>
          <w:p w14:paraId="15A1EE92" w14:textId="77777777" w:rsidR="0060721D" w:rsidRPr="0060721D" w:rsidRDefault="0060721D" w:rsidP="0060721D">
            <w:pPr>
              <w:jc w:val="center"/>
              <w:rPr>
                <w:rFonts w:ascii="Times New Roman" w:eastAsia="Times New Roman" w:hAnsi="Times New Roman"/>
                <w:lang w:eastAsia="ru-RU"/>
              </w:rPr>
            </w:pPr>
            <w:r w:rsidRPr="0060721D">
              <w:rPr>
                <w:rFonts w:ascii="Times New Roman" w:eastAsia="Times New Roman" w:hAnsi="Times New Roman"/>
                <w:lang w:eastAsia="ru-RU"/>
              </w:rPr>
              <w:t>n/a</w:t>
            </w:r>
          </w:p>
        </w:tc>
      </w:tr>
      <w:tr w:rsidR="00F11CCD" w:rsidRPr="0060721D" w14:paraId="2B917C02" w14:textId="77777777" w:rsidTr="00F11CCD">
        <w:trPr>
          <w:divId w:val="546725049"/>
          <w:trHeight w:val="3030"/>
        </w:trPr>
        <w:tc>
          <w:tcPr>
            <w:tcW w:w="500" w:type="dxa"/>
            <w:vMerge w:val="restart"/>
            <w:hideMark/>
          </w:tcPr>
          <w:p w14:paraId="35A4630E" w14:textId="77777777" w:rsidR="0060721D" w:rsidRPr="0060721D" w:rsidRDefault="0060721D" w:rsidP="0060721D">
            <w:pPr>
              <w:jc w:val="center"/>
              <w:rPr>
                <w:rFonts w:ascii="Times New Roman" w:hAnsi="Times New Roman"/>
              </w:rPr>
            </w:pPr>
            <w:r w:rsidRPr="0060721D">
              <w:rPr>
                <w:rFonts w:ascii="Times New Roman" w:eastAsia="Times New Roman" w:hAnsi="Times New Roman"/>
                <w:lang w:val="ro-RO" w:eastAsia="ru-RU"/>
              </w:rPr>
              <w:t>5,2</w:t>
            </w:r>
          </w:p>
        </w:tc>
        <w:tc>
          <w:tcPr>
            <w:tcW w:w="3437" w:type="dxa"/>
            <w:gridSpan w:val="2"/>
            <w:vMerge w:val="restart"/>
            <w:hideMark/>
          </w:tcPr>
          <w:p w14:paraId="7E78D9BD" w14:textId="77777777" w:rsidR="0060721D" w:rsidRPr="0060721D" w:rsidRDefault="0060721D" w:rsidP="0060721D">
            <w:pPr>
              <w:jc w:val="center"/>
              <w:rPr>
                <w:rFonts w:ascii="Times New Roman" w:hAnsi="Times New Roman"/>
              </w:rPr>
            </w:pPr>
            <w:r w:rsidRPr="0060721D">
              <w:rPr>
                <w:rFonts w:ascii="Times New Roman" w:eastAsia="Times New Roman" w:hAnsi="Times New Roman"/>
                <w:lang w:val="ro-RO" w:eastAsia="ru-RU"/>
              </w:rPr>
              <w:t>Implementarea</w:t>
            </w:r>
            <w:r w:rsidRPr="0060721D">
              <w:rPr>
                <w:rFonts w:ascii="Times New Roman" w:hAnsi="Times New Roman"/>
              </w:rPr>
              <w:t xml:space="preserve"> </w:t>
            </w:r>
            <w:proofErr w:type="spellStart"/>
            <w:r w:rsidRPr="0060721D">
              <w:rPr>
                <w:rFonts w:ascii="Times New Roman" w:hAnsi="Times New Roman"/>
              </w:rPr>
              <w:t>practicilor</w:t>
            </w:r>
            <w:proofErr w:type="spellEnd"/>
            <w:r w:rsidRPr="0060721D">
              <w:rPr>
                <w:rFonts w:ascii="Times New Roman" w:hAnsi="Times New Roman"/>
              </w:rPr>
              <w:t xml:space="preserve"> de management </w:t>
            </w:r>
            <w:proofErr w:type="spellStart"/>
            <w:r w:rsidRPr="0060721D">
              <w:rPr>
                <w:rFonts w:ascii="Times New Roman" w:hAnsi="Times New Roman"/>
              </w:rPr>
              <w:t>durabil</w:t>
            </w:r>
            <w:proofErr w:type="spellEnd"/>
            <w:r w:rsidRPr="0060721D">
              <w:rPr>
                <w:rFonts w:ascii="Times New Roman" w:hAnsi="Times New Roman"/>
              </w:rPr>
              <w:t xml:space="preserve"> al </w:t>
            </w:r>
            <w:proofErr w:type="spellStart"/>
            <w:r w:rsidRPr="0060721D">
              <w:rPr>
                <w:rFonts w:ascii="Times New Roman" w:hAnsi="Times New Roman"/>
              </w:rPr>
              <w:t>terenurilor</w:t>
            </w:r>
            <w:proofErr w:type="spellEnd"/>
            <w:r w:rsidRPr="0060721D">
              <w:rPr>
                <w:rFonts w:ascii="Times New Roman" w:hAnsi="Times New Roman"/>
              </w:rPr>
              <w:t xml:space="preserve"> </w:t>
            </w:r>
            <w:proofErr w:type="spellStart"/>
            <w:r w:rsidRPr="0060721D">
              <w:rPr>
                <w:rFonts w:ascii="Times New Roman" w:hAnsi="Times New Roman"/>
              </w:rPr>
              <w:t>agricole</w:t>
            </w:r>
            <w:proofErr w:type="spellEnd"/>
            <w:r w:rsidRPr="0060721D">
              <w:rPr>
                <w:rFonts w:ascii="Times New Roman" w:hAnsi="Times New Roman"/>
              </w:rPr>
              <w:t xml:space="preserve"> </w:t>
            </w:r>
            <w:proofErr w:type="spellStart"/>
            <w:r w:rsidRPr="0060721D">
              <w:rPr>
                <w:rFonts w:ascii="Times New Roman" w:hAnsi="Times New Roman"/>
              </w:rPr>
              <w:t>în</w:t>
            </w:r>
            <w:proofErr w:type="spellEnd"/>
            <w:r w:rsidRPr="0060721D">
              <w:rPr>
                <w:rFonts w:ascii="Times New Roman" w:hAnsi="Times New Roman"/>
              </w:rPr>
              <w:t xml:space="preserve"> </w:t>
            </w:r>
            <w:proofErr w:type="spellStart"/>
            <w:r w:rsidRPr="0060721D">
              <w:rPr>
                <w:rFonts w:ascii="Times New Roman" w:hAnsi="Times New Roman"/>
              </w:rPr>
              <w:t>cadrul</w:t>
            </w:r>
            <w:proofErr w:type="spellEnd"/>
            <w:r w:rsidRPr="0060721D">
              <w:rPr>
                <w:rFonts w:ascii="Times New Roman" w:hAnsi="Times New Roman"/>
              </w:rPr>
              <w:t xml:space="preserve"> </w:t>
            </w:r>
            <w:proofErr w:type="spellStart"/>
            <w:r w:rsidRPr="0060721D">
              <w:rPr>
                <w:rFonts w:ascii="Times New Roman" w:hAnsi="Times New Roman"/>
              </w:rPr>
              <w:t>sistemului</w:t>
            </w:r>
            <w:proofErr w:type="spellEnd"/>
            <w:r w:rsidRPr="0060721D">
              <w:rPr>
                <w:rFonts w:ascii="Times New Roman" w:hAnsi="Times New Roman"/>
              </w:rPr>
              <w:t xml:space="preserve"> </w:t>
            </w:r>
            <w:proofErr w:type="spellStart"/>
            <w:r w:rsidRPr="0060721D">
              <w:rPr>
                <w:rFonts w:ascii="Times New Roman" w:hAnsi="Times New Roman"/>
              </w:rPr>
              <w:t>convențional</w:t>
            </w:r>
            <w:proofErr w:type="spellEnd"/>
            <w:r w:rsidRPr="0060721D">
              <w:rPr>
                <w:rFonts w:ascii="Times New Roman" w:hAnsi="Times New Roman"/>
              </w:rPr>
              <w:t xml:space="preserve"> de </w:t>
            </w:r>
            <w:proofErr w:type="spellStart"/>
            <w:r w:rsidRPr="0060721D">
              <w:rPr>
                <w:rFonts w:ascii="Times New Roman" w:hAnsi="Times New Roman"/>
              </w:rPr>
              <w:t>lucrare</w:t>
            </w:r>
            <w:proofErr w:type="spellEnd"/>
            <w:r w:rsidRPr="0060721D">
              <w:rPr>
                <w:rFonts w:ascii="Times New Roman" w:hAnsi="Times New Roman"/>
              </w:rPr>
              <w:t xml:space="preserve"> a </w:t>
            </w:r>
            <w:proofErr w:type="spellStart"/>
            <w:r w:rsidRPr="0060721D">
              <w:rPr>
                <w:rFonts w:ascii="Times New Roman" w:hAnsi="Times New Roman"/>
              </w:rPr>
              <w:t>solului</w:t>
            </w:r>
            <w:proofErr w:type="spellEnd"/>
            <w:r w:rsidRPr="0060721D">
              <w:rPr>
                <w:rFonts w:ascii="Times New Roman" w:hAnsi="Times New Roman"/>
              </w:rPr>
              <w:t xml:space="preserve">, </w:t>
            </w:r>
            <w:proofErr w:type="spellStart"/>
            <w:r w:rsidRPr="0060721D">
              <w:rPr>
                <w:rFonts w:ascii="Times New Roman" w:hAnsi="Times New Roman"/>
              </w:rPr>
              <w:t>în</w:t>
            </w:r>
            <w:proofErr w:type="spellEnd"/>
            <w:r w:rsidRPr="0060721D">
              <w:rPr>
                <w:rFonts w:ascii="Times New Roman" w:hAnsi="Times New Roman"/>
              </w:rPr>
              <w:t xml:space="preserve"> </w:t>
            </w:r>
            <w:proofErr w:type="spellStart"/>
            <w:r w:rsidRPr="0060721D">
              <w:rPr>
                <w:rFonts w:ascii="Times New Roman" w:hAnsi="Times New Roman"/>
              </w:rPr>
              <w:t>asolamentul</w:t>
            </w:r>
            <w:proofErr w:type="spellEnd"/>
            <w:r w:rsidRPr="0060721D">
              <w:rPr>
                <w:rFonts w:ascii="Times New Roman" w:hAnsi="Times New Roman"/>
              </w:rPr>
              <w:t xml:space="preserve"> cu </w:t>
            </w:r>
            <w:proofErr w:type="spellStart"/>
            <w:r w:rsidRPr="0060721D">
              <w:rPr>
                <w:rFonts w:ascii="Times New Roman" w:hAnsi="Times New Roman"/>
              </w:rPr>
              <w:t>cinci</w:t>
            </w:r>
            <w:proofErr w:type="spellEnd"/>
            <w:r w:rsidRPr="0060721D">
              <w:rPr>
                <w:rFonts w:ascii="Times New Roman" w:hAnsi="Times New Roman"/>
              </w:rPr>
              <w:t xml:space="preserve"> sole, </w:t>
            </w:r>
            <w:proofErr w:type="spellStart"/>
            <w:r w:rsidRPr="0060721D">
              <w:rPr>
                <w:rFonts w:ascii="Times New Roman" w:hAnsi="Times New Roman"/>
              </w:rPr>
              <w:t>unde</w:t>
            </w:r>
            <w:proofErr w:type="spellEnd"/>
            <w:r w:rsidRPr="0060721D">
              <w:rPr>
                <w:rFonts w:ascii="Times New Roman" w:hAnsi="Times New Roman"/>
              </w:rPr>
              <w:t xml:space="preserve"> o </w:t>
            </w:r>
            <w:proofErr w:type="spellStart"/>
            <w:r w:rsidRPr="0060721D">
              <w:rPr>
                <w:rFonts w:ascii="Times New Roman" w:hAnsi="Times New Roman"/>
              </w:rPr>
              <w:t>solă</w:t>
            </w:r>
            <w:proofErr w:type="spellEnd"/>
            <w:r w:rsidRPr="0060721D">
              <w:rPr>
                <w:rFonts w:ascii="Times New Roman" w:hAnsi="Times New Roman"/>
              </w:rPr>
              <w:t xml:space="preserve"> </w:t>
            </w:r>
            <w:proofErr w:type="spellStart"/>
            <w:r w:rsidRPr="0060721D">
              <w:rPr>
                <w:rFonts w:ascii="Times New Roman" w:hAnsi="Times New Roman"/>
              </w:rPr>
              <w:t>este</w:t>
            </w:r>
            <w:proofErr w:type="spellEnd"/>
            <w:r w:rsidRPr="0060721D">
              <w:rPr>
                <w:rFonts w:ascii="Times New Roman" w:hAnsi="Times New Roman"/>
              </w:rPr>
              <w:t xml:space="preserve"> </w:t>
            </w:r>
            <w:proofErr w:type="spellStart"/>
            <w:r w:rsidRPr="0060721D">
              <w:rPr>
                <w:rFonts w:ascii="Times New Roman" w:hAnsi="Times New Roman"/>
              </w:rPr>
              <w:t>utilizată</w:t>
            </w:r>
            <w:proofErr w:type="spellEnd"/>
            <w:r w:rsidRPr="0060721D">
              <w:rPr>
                <w:rFonts w:ascii="Times New Roman" w:hAnsi="Times New Roman"/>
              </w:rPr>
              <w:t xml:space="preserve"> sub </w:t>
            </w:r>
            <w:proofErr w:type="spellStart"/>
            <w:r w:rsidRPr="0060721D">
              <w:rPr>
                <w:rFonts w:ascii="Times New Roman" w:hAnsi="Times New Roman"/>
              </w:rPr>
              <w:t>măzărichea</w:t>
            </w:r>
            <w:proofErr w:type="spellEnd"/>
            <w:r w:rsidRPr="0060721D">
              <w:rPr>
                <w:rFonts w:ascii="Times New Roman" w:hAnsi="Times New Roman"/>
              </w:rPr>
              <w:t xml:space="preserve"> de </w:t>
            </w:r>
            <w:proofErr w:type="spellStart"/>
            <w:r w:rsidRPr="0060721D">
              <w:rPr>
                <w:rFonts w:ascii="Times New Roman" w:hAnsi="Times New Roman"/>
              </w:rPr>
              <w:t>toamnă</w:t>
            </w:r>
            <w:proofErr w:type="spellEnd"/>
            <w:r w:rsidRPr="0060721D">
              <w:rPr>
                <w:rFonts w:ascii="Times New Roman" w:hAnsi="Times New Roman"/>
              </w:rPr>
              <w:t xml:space="preserve"> </w:t>
            </w:r>
            <w:proofErr w:type="spellStart"/>
            <w:r w:rsidRPr="0060721D">
              <w:rPr>
                <w:rFonts w:ascii="Times New Roman" w:hAnsi="Times New Roman"/>
              </w:rPr>
              <w:t>și</w:t>
            </w:r>
            <w:proofErr w:type="spellEnd"/>
            <w:r w:rsidRPr="0060721D">
              <w:rPr>
                <w:rFonts w:ascii="Times New Roman" w:hAnsi="Times New Roman"/>
              </w:rPr>
              <w:t xml:space="preserve"> de </w:t>
            </w:r>
            <w:proofErr w:type="spellStart"/>
            <w:r w:rsidRPr="0060721D">
              <w:rPr>
                <w:rFonts w:ascii="Times New Roman" w:hAnsi="Times New Roman"/>
              </w:rPr>
              <w:t>primăvară</w:t>
            </w:r>
            <w:proofErr w:type="spellEnd"/>
            <w:r w:rsidRPr="0060721D">
              <w:rPr>
                <w:rFonts w:ascii="Times New Roman" w:hAnsi="Times New Roman"/>
              </w:rPr>
              <w:t xml:space="preserve">, cu </w:t>
            </w:r>
            <w:proofErr w:type="spellStart"/>
            <w:r w:rsidRPr="0060721D">
              <w:rPr>
                <w:rFonts w:ascii="Times New Roman" w:hAnsi="Times New Roman"/>
              </w:rPr>
              <w:t>incorporarea</w:t>
            </w:r>
            <w:proofErr w:type="spellEnd"/>
            <w:r w:rsidRPr="0060721D">
              <w:rPr>
                <w:rFonts w:ascii="Times New Roman" w:hAnsi="Times New Roman"/>
              </w:rPr>
              <w:t xml:space="preserve"> a </w:t>
            </w:r>
            <w:proofErr w:type="spellStart"/>
            <w:r w:rsidRPr="0060721D">
              <w:rPr>
                <w:rFonts w:ascii="Times New Roman" w:hAnsi="Times New Roman"/>
              </w:rPr>
              <w:t>două</w:t>
            </w:r>
            <w:proofErr w:type="spellEnd"/>
            <w:r w:rsidRPr="0060721D">
              <w:rPr>
                <w:rFonts w:ascii="Times New Roman" w:hAnsi="Times New Roman"/>
              </w:rPr>
              <w:t xml:space="preserve"> </w:t>
            </w:r>
            <w:proofErr w:type="spellStart"/>
            <w:r w:rsidRPr="0060721D">
              <w:rPr>
                <w:rFonts w:ascii="Times New Roman" w:hAnsi="Times New Roman"/>
              </w:rPr>
              <w:t>recolte</w:t>
            </w:r>
            <w:proofErr w:type="spellEnd"/>
            <w:r w:rsidRPr="0060721D">
              <w:rPr>
                <w:rFonts w:ascii="Times New Roman" w:hAnsi="Times New Roman"/>
              </w:rPr>
              <w:t xml:space="preserve"> </w:t>
            </w:r>
            <w:proofErr w:type="spellStart"/>
            <w:r w:rsidRPr="0060721D">
              <w:rPr>
                <w:rFonts w:ascii="Times New Roman" w:hAnsi="Times New Roman"/>
              </w:rPr>
              <w:t>în</w:t>
            </w:r>
            <w:proofErr w:type="spellEnd"/>
            <w:r w:rsidRPr="0060721D">
              <w:rPr>
                <w:rFonts w:ascii="Times New Roman" w:hAnsi="Times New Roman"/>
              </w:rPr>
              <w:t xml:space="preserve"> </w:t>
            </w:r>
            <w:proofErr w:type="spellStart"/>
            <w:r w:rsidRPr="0060721D">
              <w:rPr>
                <w:rFonts w:ascii="Times New Roman" w:hAnsi="Times New Roman"/>
              </w:rPr>
              <w:t>calitate</w:t>
            </w:r>
            <w:proofErr w:type="spellEnd"/>
            <w:r w:rsidRPr="0060721D">
              <w:rPr>
                <w:rFonts w:ascii="Times New Roman" w:hAnsi="Times New Roman"/>
              </w:rPr>
              <w:t xml:space="preserve"> de </w:t>
            </w:r>
            <w:proofErr w:type="spellStart"/>
            <w:r w:rsidRPr="0060721D">
              <w:rPr>
                <w:rFonts w:ascii="Times New Roman" w:hAnsi="Times New Roman"/>
              </w:rPr>
              <w:t>îngrășământ</w:t>
            </w:r>
            <w:proofErr w:type="spellEnd"/>
            <w:r w:rsidRPr="0060721D">
              <w:rPr>
                <w:rFonts w:ascii="Times New Roman" w:hAnsi="Times New Roman"/>
              </w:rPr>
              <w:t xml:space="preserve"> sideral </w:t>
            </w:r>
            <w:proofErr w:type="spellStart"/>
            <w:r w:rsidRPr="0060721D">
              <w:rPr>
                <w:rFonts w:ascii="Times New Roman" w:hAnsi="Times New Roman"/>
              </w:rPr>
              <w:t>în</w:t>
            </w:r>
            <w:proofErr w:type="spellEnd"/>
            <w:r w:rsidRPr="0060721D">
              <w:rPr>
                <w:rFonts w:ascii="Times New Roman" w:hAnsi="Times New Roman"/>
              </w:rPr>
              <w:t xml:space="preserve"> </w:t>
            </w:r>
            <w:proofErr w:type="spellStart"/>
            <w:r w:rsidRPr="0060721D">
              <w:rPr>
                <w:rFonts w:ascii="Times New Roman" w:hAnsi="Times New Roman"/>
              </w:rPr>
              <w:t>vederea</w:t>
            </w:r>
            <w:proofErr w:type="spellEnd"/>
            <w:r w:rsidRPr="0060721D">
              <w:rPr>
                <w:rFonts w:ascii="Times New Roman" w:hAnsi="Times New Roman"/>
              </w:rPr>
              <w:t xml:space="preserve"> </w:t>
            </w:r>
            <w:proofErr w:type="spellStart"/>
            <w:r w:rsidRPr="0060721D">
              <w:rPr>
                <w:rFonts w:ascii="Times New Roman" w:hAnsi="Times New Roman"/>
              </w:rPr>
              <w:t>acumulării</w:t>
            </w:r>
            <w:proofErr w:type="spellEnd"/>
            <w:r w:rsidRPr="0060721D">
              <w:rPr>
                <w:rFonts w:ascii="Times New Roman" w:hAnsi="Times New Roman"/>
              </w:rPr>
              <w:t xml:space="preserve"> </w:t>
            </w:r>
            <w:proofErr w:type="spellStart"/>
            <w:r w:rsidRPr="0060721D">
              <w:rPr>
                <w:rFonts w:ascii="Times New Roman" w:hAnsi="Times New Roman"/>
              </w:rPr>
              <w:t>în</w:t>
            </w:r>
            <w:proofErr w:type="spellEnd"/>
            <w:r w:rsidRPr="0060721D">
              <w:rPr>
                <w:rFonts w:ascii="Times New Roman" w:hAnsi="Times New Roman"/>
              </w:rPr>
              <w:t xml:space="preserve"> sol a </w:t>
            </w:r>
            <w:proofErr w:type="spellStart"/>
            <w:r w:rsidRPr="0060721D">
              <w:rPr>
                <w:rFonts w:ascii="Times New Roman" w:hAnsi="Times New Roman"/>
              </w:rPr>
              <w:t>azotului</w:t>
            </w:r>
            <w:proofErr w:type="spellEnd"/>
            <w:r w:rsidRPr="0060721D">
              <w:rPr>
                <w:rFonts w:ascii="Times New Roman" w:hAnsi="Times New Roman"/>
              </w:rPr>
              <w:t xml:space="preserve"> biologic </w:t>
            </w:r>
            <w:proofErr w:type="spellStart"/>
            <w:r w:rsidRPr="0060721D">
              <w:rPr>
                <w:rFonts w:ascii="Times New Roman" w:hAnsi="Times New Roman"/>
              </w:rPr>
              <w:t>și</w:t>
            </w:r>
            <w:proofErr w:type="spellEnd"/>
            <w:r w:rsidRPr="0060721D">
              <w:rPr>
                <w:rFonts w:ascii="Times New Roman" w:hAnsi="Times New Roman"/>
              </w:rPr>
              <w:t xml:space="preserve"> </w:t>
            </w:r>
            <w:proofErr w:type="spellStart"/>
            <w:r w:rsidRPr="0060721D">
              <w:rPr>
                <w:rFonts w:ascii="Times New Roman" w:hAnsi="Times New Roman"/>
              </w:rPr>
              <w:t>reducerii</w:t>
            </w:r>
            <w:proofErr w:type="spellEnd"/>
            <w:r w:rsidRPr="0060721D">
              <w:rPr>
                <w:rFonts w:ascii="Times New Roman" w:hAnsi="Times New Roman"/>
              </w:rPr>
              <w:t xml:space="preserve"> </w:t>
            </w:r>
            <w:proofErr w:type="spellStart"/>
            <w:r w:rsidRPr="0060721D">
              <w:rPr>
                <w:rFonts w:ascii="Times New Roman" w:hAnsi="Times New Roman"/>
              </w:rPr>
              <w:t>aplicări</w:t>
            </w:r>
            <w:proofErr w:type="spellEnd"/>
            <w:r w:rsidRPr="0060721D">
              <w:rPr>
                <w:rFonts w:ascii="Times New Roman" w:hAnsi="Times New Roman"/>
              </w:rPr>
              <w:t xml:space="preserve"> </w:t>
            </w:r>
            <w:proofErr w:type="spellStart"/>
            <w:r w:rsidRPr="0060721D">
              <w:rPr>
                <w:rFonts w:ascii="Times New Roman" w:hAnsi="Times New Roman"/>
              </w:rPr>
              <w:t>îngrășămintelor</w:t>
            </w:r>
            <w:proofErr w:type="spellEnd"/>
            <w:r w:rsidRPr="0060721D">
              <w:rPr>
                <w:rFonts w:ascii="Times New Roman" w:hAnsi="Times New Roman"/>
              </w:rPr>
              <w:t xml:space="preserve"> </w:t>
            </w:r>
            <w:proofErr w:type="spellStart"/>
            <w:r w:rsidRPr="0060721D">
              <w:rPr>
                <w:rFonts w:ascii="Times New Roman" w:hAnsi="Times New Roman"/>
              </w:rPr>
              <w:t>chimice</w:t>
            </w:r>
            <w:proofErr w:type="spellEnd"/>
            <w:r w:rsidRPr="0060721D">
              <w:rPr>
                <w:rFonts w:ascii="Times New Roman" w:hAnsi="Times New Roman"/>
              </w:rPr>
              <w:t xml:space="preserve"> </w:t>
            </w:r>
            <w:proofErr w:type="spellStart"/>
            <w:r w:rsidRPr="0060721D">
              <w:rPr>
                <w:rFonts w:ascii="Times New Roman" w:hAnsi="Times New Roman"/>
              </w:rPr>
              <w:t>azotoase</w:t>
            </w:r>
            <w:proofErr w:type="spellEnd"/>
            <w:r w:rsidRPr="0060721D">
              <w:rPr>
                <w:rFonts w:ascii="Times New Roman" w:hAnsi="Times New Roman"/>
              </w:rPr>
              <w:t xml:space="preserve">, </w:t>
            </w:r>
            <w:proofErr w:type="spellStart"/>
            <w:r w:rsidRPr="0060721D">
              <w:rPr>
                <w:rFonts w:ascii="Times New Roman" w:hAnsi="Times New Roman"/>
              </w:rPr>
              <w:t>cuplate</w:t>
            </w:r>
            <w:proofErr w:type="spellEnd"/>
            <w:r w:rsidRPr="0060721D">
              <w:rPr>
                <w:rFonts w:ascii="Times New Roman" w:hAnsi="Times New Roman"/>
              </w:rPr>
              <w:t xml:space="preserve"> cu </w:t>
            </w:r>
            <w:proofErr w:type="spellStart"/>
            <w:r w:rsidRPr="0060721D">
              <w:rPr>
                <w:rFonts w:ascii="Times New Roman" w:hAnsi="Times New Roman"/>
              </w:rPr>
              <w:t>incorporarea</w:t>
            </w:r>
            <w:proofErr w:type="spellEnd"/>
            <w:r w:rsidRPr="0060721D">
              <w:rPr>
                <w:rFonts w:ascii="Times New Roman" w:hAnsi="Times New Roman"/>
              </w:rPr>
              <w:t xml:space="preserve"> </w:t>
            </w:r>
            <w:proofErr w:type="spellStart"/>
            <w:r w:rsidRPr="0060721D">
              <w:rPr>
                <w:rFonts w:ascii="Times New Roman" w:hAnsi="Times New Roman"/>
              </w:rPr>
              <w:t>anuală</w:t>
            </w:r>
            <w:proofErr w:type="spellEnd"/>
            <w:r w:rsidRPr="0060721D">
              <w:rPr>
                <w:rFonts w:ascii="Times New Roman" w:hAnsi="Times New Roman"/>
              </w:rPr>
              <w:t xml:space="preserve"> </w:t>
            </w:r>
            <w:proofErr w:type="spellStart"/>
            <w:r w:rsidRPr="0060721D">
              <w:rPr>
                <w:rFonts w:ascii="Times New Roman" w:hAnsi="Times New Roman"/>
              </w:rPr>
              <w:t>în</w:t>
            </w:r>
            <w:proofErr w:type="spellEnd"/>
            <w:r w:rsidRPr="0060721D">
              <w:rPr>
                <w:rFonts w:ascii="Times New Roman" w:hAnsi="Times New Roman"/>
              </w:rPr>
              <w:t xml:space="preserve"> sol a </w:t>
            </w:r>
            <w:proofErr w:type="spellStart"/>
            <w:r w:rsidRPr="0060721D">
              <w:rPr>
                <w:rFonts w:ascii="Times New Roman" w:hAnsi="Times New Roman"/>
              </w:rPr>
              <w:lastRenderedPageBreak/>
              <w:t>resturilor</w:t>
            </w:r>
            <w:proofErr w:type="spellEnd"/>
            <w:r w:rsidRPr="0060721D">
              <w:rPr>
                <w:rFonts w:ascii="Times New Roman" w:hAnsi="Times New Roman"/>
              </w:rPr>
              <w:t xml:space="preserve"> </w:t>
            </w:r>
            <w:proofErr w:type="spellStart"/>
            <w:r w:rsidRPr="0060721D">
              <w:rPr>
                <w:rFonts w:ascii="Times New Roman" w:hAnsi="Times New Roman"/>
              </w:rPr>
              <w:t>vegetale</w:t>
            </w:r>
            <w:proofErr w:type="spellEnd"/>
            <w:r w:rsidRPr="0060721D">
              <w:rPr>
                <w:rFonts w:ascii="Times New Roman" w:hAnsi="Times New Roman"/>
              </w:rPr>
              <w:t xml:space="preserve"> </w:t>
            </w:r>
            <w:proofErr w:type="spellStart"/>
            <w:r w:rsidRPr="0060721D">
              <w:rPr>
                <w:rFonts w:ascii="Times New Roman" w:hAnsi="Times New Roman"/>
              </w:rPr>
              <w:t>și</w:t>
            </w:r>
            <w:proofErr w:type="spellEnd"/>
            <w:r w:rsidRPr="0060721D">
              <w:rPr>
                <w:rFonts w:ascii="Times New Roman" w:hAnsi="Times New Roman"/>
              </w:rPr>
              <w:t xml:space="preserve"> </w:t>
            </w:r>
            <w:proofErr w:type="spellStart"/>
            <w:r w:rsidRPr="0060721D">
              <w:rPr>
                <w:rFonts w:ascii="Times New Roman" w:hAnsi="Times New Roman"/>
              </w:rPr>
              <w:t>aplicarea</w:t>
            </w:r>
            <w:proofErr w:type="spellEnd"/>
            <w:r w:rsidRPr="0060721D">
              <w:rPr>
                <w:rFonts w:ascii="Times New Roman" w:hAnsi="Times New Roman"/>
              </w:rPr>
              <w:t xml:space="preserve"> </w:t>
            </w:r>
            <w:proofErr w:type="spellStart"/>
            <w:r w:rsidRPr="0060721D">
              <w:rPr>
                <w:rFonts w:ascii="Times New Roman" w:hAnsi="Times New Roman"/>
              </w:rPr>
              <w:t>îngrășămintelor</w:t>
            </w:r>
            <w:proofErr w:type="spellEnd"/>
            <w:r w:rsidRPr="0060721D">
              <w:rPr>
                <w:rFonts w:ascii="Times New Roman" w:hAnsi="Times New Roman"/>
              </w:rPr>
              <w:t xml:space="preserve"> </w:t>
            </w:r>
            <w:proofErr w:type="spellStart"/>
            <w:r w:rsidRPr="0060721D">
              <w:rPr>
                <w:rFonts w:ascii="Times New Roman" w:hAnsi="Times New Roman"/>
              </w:rPr>
              <w:t>organice</w:t>
            </w:r>
            <w:proofErr w:type="spellEnd"/>
            <w:r w:rsidRPr="0060721D">
              <w:rPr>
                <w:rFonts w:ascii="Times New Roman" w:hAnsi="Times New Roman"/>
              </w:rPr>
              <w:t xml:space="preserve"> </w:t>
            </w:r>
          </w:p>
        </w:tc>
        <w:tc>
          <w:tcPr>
            <w:tcW w:w="2211" w:type="dxa"/>
            <w:gridSpan w:val="2"/>
            <w:vMerge w:val="restart"/>
            <w:hideMark/>
          </w:tcPr>
          <w:p w14:paraId="7D462516" w14:textId="77777777" w:rsidR="0060721D" w:rsidRPr="0060721D" w:rsidRDefault="0060721D" w:rsidP="0060721D">
            <w:pPr>
              <w:jc w:val="center"/>
              <w:rPr>
                <w:rFonts w:ascii="Times New Roman" w:hAnsi="Times New Roman"/>
              </w:rPr>
            </w:pPr>
            <w:proofErr w:type="spellStart"/>
            <w:r w:rsidRPr="0060721D">
              <w:rPr>
                <w:rFonts w:ascii="Times New Roman" w:eastAsia="Times New Roman" w:hAnsi="Times New Roman"/>
                <w:lang w:eastAsia="ru-RU"/>
              </w:rPr>
              <w:lastRenderedPageBreak/>
              <w:t>Implementarea</w:t>
            </w:r>
            <w:proofErr w:type="spellEnd"/>
            <w:r w:rsidRPr="0060721D">
              <w:rPr>
                <w:rFonts w:ascii="Times New Roman" w:hAnsi="Times New Roman"/>
              </w:rPr>
              <w:t xml:space="preserve"> </w:t>
            </w:r>
            <w:proofErr w:type="spellStart"/>
            <w:r w:rsidRPr="0060721D">
              <w:rPr>
                <w:rFonts w:ascii="Times New Roman" w:hAnsi="Times New Roman"/>
              </w:rPr>
              <w:t>practicilor</w:t>
            </w:r>
            <w:proofErr w:type="spellEnd"/>
            <w:r w:rsidRPr="0060721D">
              <w:rPr>
                <w:rFonts w:ascii="Times New Roman" w:hAnsi="Times New Roman"/>
              </w:rPr>
              <w:t xml:space="preserve"> de management </w:t>
            </w:r>
            <w:proofErr w:type="spellStart"/>
            <w:r w:rsidRPr="0060721D">
              <w:rPr>
                <w:rFonts w:ascii="Times New Roman" w:hAnsi="Times New Roman"/>
              </w:rPr>
              <w:t>durabil</w:t>
            </w:r>
            <w:proofErr w:type="spellEnd"/>
            <w:r w:rsidRPr="0060721D">
              <w:rPr>
                <w:rFonts w:ascii="Times New Roman" w:hAnsi="Times New Roman"/>
              </w:rPr>
              <w:t xml:space="preserve"> al </w:t>
            </w:r>
            <w:proofErr w:type="spellStart"/>
            <w:r w:rsidRPr="0060721D">
              <w:rPr>
                <w:rFonts w:ascii="Times New Roman" w:hAnsi="Times New Roman"/>
              </w:rPr>
              <w:t>terenurilor</w:t>
            </w:r>
            <w:proofErr w:type="spellEnd"/>
            <w:r w:rsidRPr="0060721D">
              <w:rPr>
                <w:rFonts w:ascii="Times New Roman" w:hAnsi="Times New Roman"/>
              </w:rPr>
              <w:t xml:space="preserve"> </w:t>
            </w:r>
            <w:proofErr w:type="spellStart"/>
            <w:r w:rsidRPr="0060721D">
              <w:rPr>
                <w:rFonts w:ascii="Times New Roman" w:hAnsi="Times New Roman"/>
              </w:rPr>
              <w:t>agricole</w:t>
            </w:r>
            <w:proofErr w:type="spellEnd"/>
            <w:r w:rsidRPr="0060721D">
              <w:rPr>
                <w:rFonts w:ascii="Times New Roman" w:hAnsi="Times New Roman"/>
              </w:rPr>
              <w:t xml:space="preserve"> </w:t>
            </w:r>
            <w:proofErr w:type="spellStart"/>
            <w:r w:rsidRPr="0060721D">
              <w:rPr>
                <w:rFonts w:ascii="Times New Roman" w:hAnsi="Times New Roman"/>
              </w:rPr>
              <w:t>în</w:t>
            </w:r>
            <w:proofErr w:type="spellEnd"/>
            <w:r w:rsidRPr="0060721D">
              <w:rPr>
                <w:rFonts w:ascii="Times New Roman" w:hAnsi="Times New Roman"/>
              </w:rPr>
              <w:t xml:space="preserve"> </w:t>
            </w:r>
            <w:proofErr w:type="spellStart"/>
            <w:r w:rsidRPr="0060721D">
              <w:rPr>
                <w:rFonts w:ascii="Times New Roman" w:hAnsi="Times New Roman"/>
              </w:rPr>
              <w:t>cadrul</w:t>
            </w:r>
            <w:proofErr w:type="spellEnd"/>
            <w:r w:rsidRPr="0060721D">
              <w:rPr>
                <w:rFonts w:ascii="Times New Roman" w:hAnsi="Times New Roman"/>
              </w:rPr>
              <w:t xml:space="preserve"> </w:t>
            </w:r>
            <w:proofErr w:type="spellStart"/>
            <w:r w:rsidRPr="0060721D">
              <w:rPr>
                <w:rFonts w:ascii="Times New Roman" w:hAnsi="Times New Roman"/>
              </w:rPr>
              <w:t>sistemului</w:t>
            </w:r>
            <w:proofErr w:type="spellEnd"/>
            <w:r w:rsidRPr="0060721D">
              <w:rPr>
                <w:rFonts w:ascii="Times New Roman" w:hAnsi="Times New Roman"/>
              </w:rPr>
              <w:t xml:space="preserve"> </w:t>
            </w:r>
            <w:proofErr w:type="spellStart"/>
            <w:r w:rsidRPr="0060721D">
              <w:rPr>
                <w:rFonts w:ascii="Times New Roman" w:hAnsi="Times New Roman"/>
              </w:rPr>
              <w:t>convențional</w:t>
            </w:r>
            <w:proofErr w:type="spellEnd"/>
            <w:r w:rsidRPr="0060721D">
              <w:rPr>
                <w:rFonts w:ascii="Times New Roman" w:hAnsi="Times New Roman"/>
              </w:rPr>
              <w:t xml:space="preserve"> de </w:t>
            </w:r>
            <w:proofErr w:type="spellStart"/>
            <w:r w:rsidRPr="0060721D">
              <w:rPr>
                <w:rFonts w:ascii="Times New Roman" w:hAnsi="Times New Roman"/>
              </w:rPr>
              <w:t>lucrare</w:t>
            </w:r>
            <w:proofErr w:type="spellEnd"/>
            <w:r w:rsidRPr="0060721D">
              <w:rPr>
                <w:rFonts w:ascii="Times New Roman" w:hAnsi="Times New Roman"/>
              </w:rPr>
              <w:t xml:space="preserve"> a </w:t>
            </w:r>
            <w:proofErr w:type="spellStart"/>
            <w:r w:rsidRPr="0060721D">
              <w:rPr>
                <w:rFonts w:ascii="Times New Roman" w:hAnsi="Times New Roman"/>
              </w:rPr>
              <w:t>solului</w:t>
            </w:r>
            <w:proofErr w:type="spellEnd"/>
            <w:r w:rsidRPr="0060721D">
              <w:rPr>
                <w:rFonts w:ascii="Times New Roman" w:hAnsi="Times New Roman"/>
              </w:rPr>
              <w:t xml:space="preserve">, </w:t>
            </w:r>
            <w:proofErr w:type="spellStart"/>
            <w:r w:rsidRPr="0060721D">
              <w:rPr>
                <w:rFonts w:ascii="Times New Roman" w:hAnsi="Times New Roman"/>
              </w:rPr>
              <w:t>în</w:t>
            </w:r>
            <w:proofErr w:type="spellEnd"/>
            <w:r w:rsidRPr="0060721D">
              <w:rPr>
                <w:rFonts w:ascii="Times New Roman" w:hAnsi="Times New Roman"/>
              </w:rPr>
              <w:t xml:space="preserve"> </w:t>
            </w:r>
            <w:proofErr w:type="spellStart"/>
            <w:r w:rsidRPr="0060721D">
              <w:rPr>
                <w:rFonts w:ascii="Times New Roman" w:hAnsi="Times New Roman"/>
              </w:rPr>
              <w:t>asolamentul</w:t>
            </w:r>
            <w:proofErr w:type="spellEnd"/>
            <w:r w:rsidRPr="0060721D">
              <w:rPr>
                <w:rFonts w:ascii="Times New Roman" w:hAnsi="Times New Roman"/>
              </w:rPr>
              <w:t xml:space="preserve"> cu </w:t>
            </w:r>
            <w:proofErr w:type="spellStart"/>
            <w:r w:rsidRPr="0060721D">
              <w:rPr>
                <w:rFonts w:ascii="Times New Roman" w:hAnsi="Times New Roman"/>
              </w:rPr>
              <w:t>cinci</w:t>
            </w:r>
            <w:proofErr w:type="spellEnd"/>
            <w:r w:rsidRPr="0060721D">
              <w:rPr>
                <w:rFonts w:ascii="Times New Roman" w:hAnsi="Times New Roman"/>
              </w:rPr>
              <w:t xml:space="preserve"> sole, </w:t>
            </w:r>
            <w:proofErr w:type="spellStart"/>
            <w:r w:rsidRPr="0060721D">
              <w:rPr>
                <w:rFonts w:ascii="Times New Roman" w:hAnsi="Times New Roman"/>
              </w:rPr>
              <w:t>în</w:t>
            </w:r>
            <w:proofErr w:type="spellEnd"/>
            <w:r w:rsidRPr="0060721D">
              <w:rPr>
                <w:rFonts w:ascii="Times New Roman" w:hAnsi="Times New Roman"/>
              </w:rPr>
              <w:t xml:space="preserve"> </w:t>
            </w:r>
            <w:proofErr w:type="spellStart"/>
            <w:r w:rsidRPr="0060721D">
              <w:rPr>
                <w:rFonts w:ascii="Times New Roman" w:hAnsi="Times New Roman"/>
              </w:rPr>
              <w:t>condițiile</w:t>
            </w:r>
            <w:proofErr w:type="spellEnd"/>
            <w:r w:rsidRPr="0060721D">
              <w:rPr>
                <w:rFonts w:ascii="Times New Roman" w:hAnsi="Times New Roman"/>
              </w:rPr>
              <w:t xml:space="preserve"> </w:t>
            </w:r>
            <w:proofErr w:type="spellStart"/>
            <w:r w:rsidRPr="0060721D">
              <w:rPr>
                <w:rFonts w:ascii="Times New Roman" w:hAnsi="Times New Roman"/>
              </w:rPr>
              <w:t>aplicării</w:t>
            </w:r>
            <w:proofErr w:type="spellEnd"/>
            <w:r w:rsidRPr="0060721D">
              <w:rPr>
                <w:rFonts w:ascii="Times New Roman" w:hAnsi="Times New Roman"/>
              </w:rPr>
              <w:t xml:space="preserve"> </w:t>
            </w:r>
            <w:proofErr w:type="spellStart"/>
            <w:r w:rsidRPr="0060721D">
              <w:rPr>
                <w:rFonts w:ascii="Times New Roman" w:hAnsi="Times New Roman"/>
              </w:rPr>
              <w:t>îngrășămintelor</w:t>
            </w:r>
            <w:proofErr w:type="spellEnd"/>
            <w:r w:rsidRPr="0060721D">
              <w:rPr>
                <w:rFonts w:ascii="Times New Roman" w:hAnsi="Times New Roman"/>
              </w:rPr>
              <w:t xml:space="preserve"> </w:t>
            </w:r>
            <w:proofErr w:type="spellStart"/>
            <w:r w:rsidRPr="0060721D">
              <w:rPr>
                <w:rFonts w:ascii="Times New Roman" w:hAnsi="Times New Roman"/>
              </w:rPr>
              <w:t>organice</w:t>
            </w:r>
            <w:proofErr w:type="spellEnd"/>
            <w:r w:rsidRPr="0060721D">
              <w:rPr>
                <w:rFonts w:ascii="Times New Roman" w:hAnsi="Times New Roman"/>
              </w:rPr>
              <w:t xml:space="preserve">, </w:t>
            </w:r>
            <w:proofErr w:type="spellStart"/>
            <w:r w:rsidRPr="0060721D">
              <w:rPr>
                <w:rFonts w:ascii="Times New Roman" w:hAnsi="Times New Roman"/>
              </w:rPr>
              <w:t>incorporării</w:t>
            </w:r>
            <w:proofErr w:type="spellEnd"/>
            <w:r w:rsidRPr="0060721D">
              <w:rPr>
                <w:rFonts w:ascii="Times New Roman" w:hAnsi="Times New Roman"/>
              </w:rPr>
              <w:t xml:space="preserve"> </w:t>
            </w:r>
            <w:proofErr w:type="spellStart"/>
            <w:r w:rsidRPr="0060721D">
              <w:rPr>
                <w:rFonts w:ascii="Times New Roman" w:hAnsi="Times New Roman"/>
              </w:rPr>
              <w:t>anuale</w:t>
            </w:r>
            <w:proofErr w:type="spellEnd"/>
            <w:r w:rsidRPr="0060721D">
              <w:rPr>
                <w:rFonts w:ascii="Times New Roman" w:hAnsi="Times New Roman"/>
              </w:rPr>
              <w:t xml:space="preserve"> </w:t>
            </w:r>
            <w:proofErr w:type="spellStart"/>
            <w:r w:rsidRPr="0060721D">
              <w:rPr>
                <w:rFonts w:ascii="Times New Roman" w:hAnsi="Times New Roman"/>
              </w:rPr>
              <w:t>în</w:t>
            </w:r>
            <w:proofErr w:type="spellEnd"/>
            <w:r w:rsidRPr="0060721D">
              <w:rPr>
                <w:rFonts w:ascii="Times New Roman" w:hAnsi="Times New Roman"/>
              </w:rPr>
              <w:t xml:space="preserve"> sol a </w:t>
            </w:r>
            <w:proofErr w:type="spellStart"/>
            <w:r w:rsidRPr="0060721D">
              <w:rPr>
                <w:rFonts w:ascii="Times New Roman" w:hAnsi="Times New Roman"/>
              </w:rPr>
              <w:t>resturilor</w:t>
            </w:r>
            <w:proofErr w:type="spellEnd"/>
            <w:r w:rsidRPr="0060721D">
              <w:rPr>
                <w:rFonts w:ascii="Times New Roman" w:hAnsi="Times New Roman"/>
              </w:rPr>
              <w:t xml:space="preserve"> </w:t>
            </w:r>
            <w:proofErr w:type="spellStart"/>
            <w:r w:rsidRPr="0060721D">
              <w:rPr>
                <w:rFonts w:ascii="Times New Roman" w:hAnsi="Times New Roman"/>
              </w:rPr>
              <w:t>vegetale</w:t>
            </w:r>
            <w:proofErr w:type="spellEnd"/>
            <w:r w:rsidRPr="0060721D">
              <w:rPr>
                <w:rFonts w:ascii="Times New Roman" w:hAnsi="Times New Roman"/>
              </w:rPr>
              <w:t xml:space="preserve">, </w:t>
            </w:r>
            <w:proofErr w:type="spellStart"/>
            <w:r w:rsidRPr="0060721D">
              <w:rPr>
                <w:rFonts w:ascii="Times New Roman" w:hAnsi="Times New Roman"/>
              </w:rPr>
              <w:t>intercalării</w:t>
            </w:r>
            <w:proofErr w:type="spellEnd"/>
            <w:r w:rsidRPr="0060721D">
              <w:rPr>
                <w:rFonts w:ascii="Times New Roman" w:hAnsi="Times New Roman"/>
              </w:rPr>
              <w:t xml:space="preserve"> </w:t>
            </w:r>
            <w:proofErr w:type="spellStart"/>
            <w:r w:rsidRPr="0060721D">
              <w:rPr>
                <w:rFonts w:ascii="Times New Roman" w:hAnsi="Times New Roman"/>
              </w:rPr>
              <w:t>şi</w:t>
            </w:r>
            <w:proofErr w:type="spellEnd"/>
            <w:r w:rsidRPr="0060721D">
              <w:rPr>
                <w:rFonts w:ascii="Times New Roman" w:hAnsi="Times New Roman"/>
              </w:rPr>
              <w:t xml:space="preserve"> </w:t>
            </w:r>
            <w:proofErr w:type="spellStart"/>
            <w:r w:rsidRPr="0060721D">
              <w:rPr>
                <w:rFonts w:ascii="Times New Roman" w:hAnsi="Times New Roman"/>
              </w:rPr>
              <w:lastRenderedPageBreak/>
              <w:t>rotației</w:t>
            </w:r>
            <w:proofErr w:type="spellEnd"/>
            <w:r w:rsidRPr="0060721D">
              <w:rPr>
                <w:rFonts w:ascii="Times New Roman" w:hAnsi="Times New Roman"/>
              </w:rPr>
              <w:t xml:space="preserve"> </w:t>
            </w:r>
            <w:proofErr w:type="spellStart"/>
            <w:r w:rsidRPr="0060721D">
              <w:rPr>
                <w:rFonts w:ascii="Times New Roman" w:hAnsi="Times New Roman"/>
              </w:rPr>
              <w:t>culturilor</w:t>
            </w:r>
            <w:proofErr w:type="spellEnd"/>
            <w:r w:rsidRPr="0060721D">
              <w:rPr>
                <w:rFonts w:ascii="Times New Roman" w:hAnsi="Times New Roman"/>
              </w:rPr>
              <w:t xml:space="preserve"> </w:t>
            </w:r>
            <w:proofErr w:type="spellStart"/>
            <w:r w:rsidRPr="0060721D">
              <w:rPr>
                <w:rFonts w:ascii="Times New Roman" w:hAnsi="Times New Roman"/>
              </w:rPr>
              <w:t>anuale</w:t>
            </w:r>
            <w:proofErr w:type="spellEnd"/>
            <w:r w:rsidRPr="0060721D">
              <w:rPr>
                <w:rFonts w:ascii="Times New Roman" w:hAnsi="Times New Roman"/>
              </w:rPr>
              <w:t xml:space="preserve"> </w:t>
            </w:r>
            <w:proofErr w:type="spellStart"/>
            <w:r w:rsidRPr="0060721D">
              <w:rPr>
                <w:rFonts w:ascii="Times New Roman" w:hAnsi="Times New Roman"/>
              </w:rPr>
              <w:t>leguminoase</w:t>
            </w:r>
            <w:proofErr w:type="spellEnd"/>
            <w:r w:rsidRPr="0060721D">
              <w:rPr>
                <w:rFonts w:ascii="Times New Roman" w:hAnsi="Times New Roman"/>
              </w:rPr>
              <w:t xml:space="preserve"> </w:t>
            </w:r>
            <w:proofErr w:type="spellStart"/>
            <w:r w:rsidRPr="0060721D">
              <w:rPr>
                <w:rFonts w:ascii="Times New Roman" w:hAnsi="Times New Roman"/>
              </w:rPr>
              <w:t>bogate</w:t>
            </w:r>
            <w:proofErr w:type="spellEnd"/>
            <w:r w:rsidRPr="0060721D">
              <w:rPr>
                <w:rFonts w:ascii="Times New Roman" w:hAnsi="Times New Roman"/>
              </w:rPr>
              <w:t xml:space="preserve"> </w:t>
            </w:r>
            <w:proofErr w:type="spellStart"/>
            <w:r w:rsidRPr="0060721D">
              <w:rPr>
                <w:rFonts w:ascii="Times New Roman" w:hAnsi="Times New Roman"/>
              </w:rPr>
              <w:t>în</w:t>
            </w:r>
            <w:proofErr w:type="spellEnd"/>
            <w:r w:rsidRPr="0060721D">
              <w:rPr>
                <w:rFonts w:ascii="Times New Roman" w:hAnsi="Times New Roman"/>
              </w:rPr>
              <w:t xml:space="preserve"> </w:t>
            </w:r>
            <w:proofErr w:type="spellStart"/>
            <w:r w:rsidRPr="0060721D">
              <w:rPr>
                <w:rFonts w:ascii="Times New Roman" w:hAnsi="Times New Roman"/>
              </w:rPr>
              <w:t>proteine</w:t>
            </w:r>
            <w:proofErr w:type="spellEnd"/>
            <w:r w:rsidRPr="0060721D">
              <w:rPr>
                <w:rFonts w:ascii="Times New Roman" w:hAnsi="Times New Roman"/>
              </w:rPr>
              <w:t xml:space="preserve"> (</w:t>
            </w:r>
            <w:proofErr w:type="spellStart"/>
            <w:r w:rsidRPr="0060721D">
              <w:rPr>
                <w:rFonts w:ascii="Times New Roman" w:hAnsi="Times New Roman"/>
              </w:rPr>
              <w:t>mazăre</w:t>
            </w:r>
            <w:proofErr w:type="spellEnd"/>
            <w:r w:rsidRPr="0060721D">
              <w:rPr>
                <w:rFonts w:ascii="Times New Roman" w:hAnsi="Times New Roman"/>
              </w:rPr>
              <w:t xml:space="preserve">, </w:t>
            </w:r>
            <w:proofErr w:type="spellStart"/>
            <w:r w:rsidRPr="0060721D">
              <w:rPr>
                <w:rFonts w:ascii="Times New Roman" w:hAnsi="Times New Roman"/>
              </w:rPr>
              <w:t>fasole</w:t>
            </w:r>
            <w:proofErr w:type="spellEnd"/>
            <w:r w:rsidRPr="0060721D">
              <w:rPr>
                <w:rFonts w:ascii="Times New Roman" w:hAnsi="Times New Roman"/>
              </w:rPr>
              <w:t xml:space="preserve">, soia, </w:t>
            </w:r>
            <w:proofErr w:type="spellStart"/>
            <w:r w:rsidRPr="0060721D">
              <w:rPr>
                <w:rFonts w:ascii="Times New Roman" w:hAnsi="Times New Roman"/>
              </w:rPr>
              <w:t>linte</w:t>
            </w:r>
            <w:proofErr w:type="spellEnd"/>
            <w:r w:rsidRPr="0060721D">
              <w:rPr>
                <w:rFonts w:ascii="Times New Roman" w:hAnsi="Times New Roman"/>
              </w:rPr>
              <w:t xml:space="preserve">, </w:t>
            </w:r>
            <w:proofErr w:type="spellStart"/>
            <w:r w:rsidRPr="0060721D">
              <w:rPr>
                <w:rFonts w:ascii="Times New Roman" w:hAnsi="Times New Roman"/>
              </w:rPr>
              <w:t>năut</w:t>
            </w:r>
            <w:proofErr w:type="spellEnd"/>
            <w:r w:rsidRPr="0060721D">
              <w:rPr>
                <w:rFonts w:ascii="Times New Roman" w:hAnsi="Times New Roman"/>
              </w:rPr>
              <w:t xml:space="preserve">) </w:t>
            </w:r>
            <w:proofErr w:type="spellStart"/>
            <w:r w:rsidRPr="0060721D">
              <w:rPr>
                <w:rFonts w:ascii="Times New Roman" w:hAnsi="Times New Roman"/>
              </w:rPr>
              <w:t>sau</w:t>
            </w:r>
            <w:proofErr w:type="spellEnd"/>
            <w:r w:rsidRPr="0060721D">
              <w:rPr>
                <w:rFonts w:ascii="Times New Roman" w:hAnsi="Times New Roman"/>
              </w:rPr>
              <w:t xml:space="preserve"> </w:t>
            </w:r>
            <w:proofErr w:type="spellStart"/>
            <w:r w:rsidRPr="0060721D">
              <w:rPr>
                <w:rFonts w:ascii="Times New Roman" w:hAnsi="Times New Roman"/>
              </w:rPr>
              <w:t>furajere</w:t>
            </w:r>
            <w:proofErr w:type="spellEnd"/>
            <w:r w:rsidRPr="0060721D">
              <w:rPr>
                <w:rFonts w:ascii="Times New Roman" w:hAnsi="Times New Roman"/>
              </w:rPr>
              <w:t xml:space="preserve"> (lupin, </w:t>
            </w:r>
            <w:proofErr w:type="spellStart"/>
            <w:r w:rsidRPr="0060721D">
              <w:rPr>
                <w:rFonts w:ascii="Times New Roman" w:hAnsi="Times New Roman"/>
              </w:rPr>
              <w:t>lucernă</w:t>
            </w:r>
            <w:proofErr w:type="spellEnd"/>
            <w:r w:rsidRPr="0060721D">
              <w:rPr>
                <w:rFonts w:ascii="Times New Roman" w:hAnsi="Times New Roman"/>
              </w:rPr>
              <w:t xml:space="preserve">, </w:t>
            </w:r>
            <w:proofErr w:type="spellStart"/>
            <w:r w:rsidRPr="0060721D">
              <w:rPr>
                <w:rFonts w:ascii="Times New Roman" w:hAnsi="Times New Roman"/>
              </w:rPr>
              <w:t>sparcetă</w:t>
            </w:r>
            <w:proofErr w:type="spellEnd"/>
            <w:r w:rsidRPr="0060721D">
              <w:rPr>
                <w:rFonts w:ascii="Times New Roman" w:hAnsi="Times New Roman"/>
              </w:rPr>
              <w:t xml:space="preserve">, </w:t>
            </w:r>
            <w:proofErr w:type="spellStart"/>
            <w:r w:rsidRPr="0060721D">
              <w:rPr>
                <w:rFonts w:ascii="Times New Roman" w:hAnsi="Times New Roman"/>
              </w:rPr>
              <w:t>măzăriche</w:t>
            </w:r>
            <w:proofErr w:type="spellEnd"/>
            <w:r w:rsidRPr="0060721D">
              <w:rPr>
                <w:rFonts w:ascii="Times New Roman" w:hAnsi="Times New Roman"/>
              </w:rPr>
              <w:t xml:space="preserve">), </w:t>
            </w:r>
            <w:proofErr w:type="spellStart"/>
            <w:r w:rsidRPr="0060721D">
              <w:rPr>
                <w:rFonts w:ascii="Times New Roman" w:hAnsi="Times New Roman"/>
              </w:rPr>
              <w:t>va</w:t>
            </w:r>
            <w:proofErr w:type="spellEnd"/>
            <w:r w:rsidRPr="0060721D">
              <w:rPr>
                <w:rFonts w:ascii="Times New Roman" w:hAnsi="Times New Roman"/>
              </w:rPr>
              <w:t xml:space="preserve"> </w:t>
            </w:r>
            <w:proofErr w:type="spellStart"/>
            <w:r w:rsidRPr="0060721D">
              <w:rPr>
                <w:rFonts w:ascii="Times New Roman" w:hAnsi="Times New Roman"/>
              </w:rPr>
              <w:t>contribui</w:t>
            </w:r>
            <w:proofErr w:type="spellEnd"/>
            <w:r w:rsidRPr="0060721D">
              <w:rPr>
                <w:rFonts w:ascii="Times New Roman" w:hAnsi="Times New Roman"/>
              </w:rPr>
              <w:t xml:space="preserve"> la </w:t>
            </w:r>
            <w:proofErr w:type="spellStart"/>
            <w:r w:rsidRPr="0060721D">
              <w:rPr>
                <w:rFonts w:ascii="Times New Roman" w:hAnsi="Times New Roman"/>
              </w:rPr>
              <w:t>fixarea</w:t>
            </w:r>
            <w:proofErr w:type="spellEnd"/>
            <w:r w:rsidRPr="0060721D">
              <w:rPr>
                <w:rFonts w:ascii="Times New Roman" w:hAnsi="Times New Roman"/>
              </w:rPr>
              <w:t xml:space="preserve"> </w:t>
            </w:r>
            <w:proofErr w:type="spellStart"/>
            <w:r w:rsidRPr="0060721D">
              <w:rPr>
                <w:rFonts w:ascii="Times New Roman" w:hAnsi="Times New Roman"/>
              </w:rPr>
              <w:t>azotului</w:t>
            </w:r>
            <w:proofErr w:type="spellEnd"/>
            <w:r w:rsidRPr="0060721D">
              <w:rPr>
                <w:rFonts w:ascii="Times New Roman" w:hAnsi="Times New Roman"/>
              </w:rPr>
              <w:t xml:space="preserve"> </w:t>
            </w:r>
            <w:proofErr w:type="spellStart"/>
            <w:r w:rsidRPr="0060721D">
              <w:rPr>
                <w:rFonts w:ascii="Times New Roman" w:hAnsi="Times New Roman"/>
              </w:rPr>
              <w:t>atmosferic</w:t>
            </w:r>
            <w:proofErr w:type="spellEnd"/>
            <w:r w:rsidRPr="0060721D">
              <w:rPr>
                <w:rFonts w:ascii="Times New Roman" w:hAnsi="Times New Roman"/>
              </w:rPr>
              <w:t xml:space="preserve"> </w:t>
            </w:r>
            <w:proofErr w:type="spellStart"/>
            <w:r w:rsidRPr="0060721D">
              <w:rPr>
                <w:rFonts w:ascii="Times New Roman" w:hAnsi="Times New Roman"/>
              </w:rPr>
              <w:t>prin</w:t>
            </w:r>
            <w:proofErr w:type="spellEnd"/>
            <w:r w:rsidRPr="0060721D">
              <w:rPr>
                <w:rFonts w:ascii="Times New Roman" w:hAnsi="Times New Roman"/>
              </w:rPr>
              <w:t xml:space="preserve"> </w:t>
            </w:r>
            <w:proofErr w:type="spellStart"/>
            <w:r w:rsidRPr="0060721D">
              <w:rPr>
                <w:rFonts w:ascii="Times New Roman" w:hAnsi="Times New Roman"/>
              </w:rPr>
              <w:t>simbioza</w:t>
            </w:r>
            <w:proofErr w:type="spellEnd"/>
            <w:r w:rsidRPr="0060721D">
              <w:rPr>
                <w:rFonts w:ascii="Times New Roman" w:hAnsi="Times New Roman"/>
              </w:rPr>
              <w:t xml:space="preserve"> cu </w:t>
            </w:r>
            <w:proofErr w:type="spellStart"/>
            <w:r w:rsidRPr="0060721D">
              <w:rPr>
                <w:rFonts w:ascii="Times New Roman" w:hAnsi="Times New Roman"/>
              </w:rPr>
              <w:t>bacteriile</w:t>
            </w:r>
            <w:proofErr w:type="spellEnd"/>
            <w:r w:rsidRPr="0060721D">
              <w:rPr>
                <w:rFonts w:ascii="Times New Roman" w:hAnsi="Times New Roman"/>
              </w:rPr>
              <w:t xml:space="preserve"> din </w:t>
            </w:r>
            <w:proofErr w:type="spellStart"/>
            <w:r w:rsidRPr="0060721D">
              <w:rPr>
                <w:rFonts w:ascii="Times New Roman" w:hAnsi="Times New Roman"/>
              </w:rPr>
              <w:t>nodulii</w:t>
            </w:r>
            <w:proofErr w:type="spellEnd"/>
            <w:r w:rsidRPr="0060721D">
              <w:rPr>
                <w:rFonts w:ascii="Times New Roman" w:hAnsi="Times New Roman"/>
              </w:rPr>
              <w:t xml:space="preserve"> </w:t>
            </w:r>
            <w:proofErr w:type="spellStart"/>
            <w:r w:rsidRPr="0060721D">
              <w:rPr>
                <w:rFonts w:ascii="Times New Roman" w:hAnsi="Times New Roman"/>
              </w:rPr>
              <w:t>sistemului</w:t>
            </w:r>
            <w:proofErr w:type="spellEnd"/>
            <w:r w:rsidRPr="0060721D">
              <w:rPr>
                <w:rFonts w:ascii="Times New Roman" w:hAnsi="Times New Roman"/>
              </w:rPr>
              <w:t xml:space="preserve"> radicular </w:t>
            </w:r>
            <w:proofErr w:type="spellStart"/>
            <w:r w:rsidRPr="0060721D">
              <w:rPr>
                <w:rFonts w:ascii="Times New Roman" w:hAnsi="Times New Roman"/>
              </w:rPr>
              <w:t>și</w:t>
            </w:r>
            <w:proofErr w:type="spellEnd"/>
            <w:r w:rsidRPr="0060721D">
              <w:rPr>
                <w:rFonts w:ascii="Times New Roman" w:hAnsi="Times New Roman"/>
              </w:rPr>
              <w:t xml:space="preserve"> la </w:t>
            </w:r>
            <w:proofErr w:type="spellStart"/>
            <w:r w:rsidRPr="0060721D">
              <w:rPr>
                <w:rFonts w:ascii="Times New Roman" w:hAnsi="Times New Roman"/>
              </w:rPr>
              <w:t>creșterea</w:t>
            </w:r>
            <w:proofErr w:type="spellEnd"/>
            <w:r w:rsidRPr="0060721D">
              <w:rPr>
                <w:rFonts w:ascii="Times New Roman" w:hAnsi="Times New Roman"/>
              </w:rPr>
              <w:t xml:space="preserve"> </w:t>
            </w:r>
            <w:proofErr w:type="spellStart"/>
            <w:r w:rsidRPr="0060721D">
              <w:rPr>
                <w:rFonts w:ascii="Times New Roman" w:hAnsi="Times New Roman"/>
              </w:rPr>
              <w:t>considerabilă</w:t>
            </w:r>
            <w:proofErr w:type="spellEnd"/>
            <w:r w:rsidRPr="0060721D">
              <w:rPr>
                <w:rFonts w:ascii="Times New Roman" w:hAnsi="Times New Roman"/>
              </w:rPr>
              <w:t xml:space="preserve"> a </w:t>
            </w:r>
            <w:proofErr w:type="spellStart"/>
            <w:r w:rsidRPr="0060721D">
              <w:rPr>
                <w:rFonts w:ascii="Times New Roman" w:hAnsi="Times New Roman"/>
              </w:rPr>
              <w:t>conținutului</w:t>
            </w:r>
            <w:proofErr w:type="spellEnd"/>
            <w:r w:rsidRPr="0060721D">
              <w:rPr>
                <w:rFonts w:ascii="Times New Roman" w:hAnsi="Times New Roman"/>
              </w:rPr>
              <w:t xml:space="preserve"> de </w:t>
            </w:r>
            <w:proofErr w:type="spellStart"/>
            <w:r w:rsidRPr="0060721D">
              <w:rPr>
                <w:rFonts w:ascii="Times New Roman" w:hAnsi="Times New Roman"/>
              </w:rPr>
              <w:t>materie</w:t>
            </w:r>
            <w:proofErr w:type="spellEnd"/>
            <w:r w:rsidRPr="0060721D">
              <w:rPr>
                <w:rFonts w:ascii="Times New Roman" w:hAnsi="Times New Roman"/>
              </w:rPr>
              <w:t xml:space="preserve"> </w:t>
            </w:r>
            <w:proofErr w:type="spellStart"/>
            <w:r w:rsidRPr="0060721D">
              <w:rPr>
                <w:rFonts w:ascii="Times New Roman" w:hAnsi="Times New Roman"/>
              </w:rPr>
              <w:t>organică</w:t>
            </w:r>
            <w:proofErr w:type="spellEnd"/>
            <w:r w:rsidRPr="0060721D">
              <w:rPr>
                <w:rFonts w:ascii="Times New Roman" w:hAnsi="Times New Roman"/>
              </w:rPr>
              <w:t xml:space="preserve"> din sol (</w:t>
            </w:r>
            <w:proofErr w:type="spellStart"/>
            <w:r w:rsidRPr="0060721D">
              <w:rPr>
                <w:rFonts w:ascii="Times New Roman" w:hAnsi="Times New Roman"/>
              </w:rPr>
              <w:t>în</w:t>
            </w:r>
            <w:proofErr w:type="spellEnd"/>
            <w:r w:rsidRPr="0060721D">
              <w:rPr>
                <w:rFonts w:ascii="Times New Roman" w:hAnsi="Times New Roman"/>
              </w:rPr>
              <w:t xml:space="preserve"> mod special, </w:t>
            </w:r>
            <w:proofErr w:type="spellStart"/>
            <w:r w:rsidRPr="0060721D">
              <w:rPr>
                <w:rFonts w:ascii="Times New Roman" w:hAnsi="Times New Roman"/>
              </w:rPr>
              <w:t>în</w:t>
            </w:r>
            <w:proofErr w:type="spellEnd"/>
            <w:r w:rsidRPr="0060721D">
              <w:rPr>
                <w:rFonts w:ascii="Times New Roman" w:hAnsi="Times New Roman"/>
              </w:rPr>
              <w:t xml:space="preserve"> </w:t>
            </w:r>
            <w:proofErr w:type="spellStart"/>
            <w:r w:rsidRPr="0060721D">
              <w:rPr>
                <w:rFonts w:ascii="Times New Roman" w:hAnsi="Times New Roman"/>
              </w:rPr>
              <w:t>cazul</w:t>
            </w:r>
            <w:proofErr w:type="spellEnd"/>
            <w:r w:rsidRPr="0060721D">
              <w:rPr>
                <w:rFonts w:ascii="Times New Roman" w:hAnsi="Times New Roman"/>
              </w:rPr>
              <w:t xml:space="preserve"> </w:t>
            </w:r>
            <w:proofErr w:type="spellStart"/>
            <w:r w:rsidRPr="0060721D">
              <w:rPr>
                <w:rFonts w:ascii="Times New Roman" w:hAnsi="Times New Roman"/>
              </w:rPr>
              <w:t>utilizării</w:t>
            </w:r>
            <w:proofErr w:type="spellEnd"/>
            <w:r w:rsidRPr="0060721D">
              <w:rPr>
                <w:rFonts w:ascii="Times New Roman" w:hAnsi="Times New Roman"/>
              </w:rPr>
              <w:t xml:space="preserve"> </w:t>
            </w:r>
            <w:proofErr w:type="spellStart"/>
            <w:r w:rsidRPr="0060721D">
              <w:rPr>
                <w:rFonts w:ascii="Times New Roman" w:hAnsi="Times New Roman"/>
              </w:rPr>
              <w:t>culturilor</w:t>
            </w:r>
            <w:proofErr w:type="spellEnd"/>
            <w:r w:rsidRPr="0060721D">
              <w:rPr>
                <w:rFonts w:ascii="Times New Roman" w:hAnsi="Times New Roman"/>
              </w:rPr>
              <w:t xml:space="preserve"> </w:t>
            </w:r>
            <w:proofErr w:type="spellStart"/>
            <w:r w:rsidRPr="0060721D">
              <w:rPr>
                <w:rFonts w:ascii="Times New Roman" w:hAnsi="Times New Roman"/>
              </w:rPr>
              <w:t>siderale</w:t>
            </w:r>
            <w:proofErr w:type="spellEnd"/>
            <w:r w:rsidRPr="0060721D">
              <w:rPr>
                <w:rFonts w:ascii="Times New Roman" w:hAnsi="Times New Roman"/>
              </w:rPr>
              <w:t xml:space="preserve"> </w:t>
            </w:r>
            <w:proofErr w:type="spellStart"/>
            <w:r w:rsidRPr="0060721D">
              <w:rPr>
                <w:rFonts w:ascii="Times New Roman" w:hAnsi="Times New Roman"/>
              </w:rPr>
              <w:t>în</w:t>
            </w:r>
            <w:proofErr w:type="spellEnd"/>
            <w:r w:rsidRPr="0060721D">
              <w:rPr>
                <w:rFonts w:ascii="Times New Roman" w:hAnsi="Times New Roman"/>
              </w:rPr>
              <w:t xml:space="preserve"> </w:t>
            </w:r>
            <w:proofErr w:type="spellStart"/>
            <w:r w:rsidRPr="0060721D">
              <w:rPr>
                <w:rFonts w:ascii="Times New Roman" w:hAnsi="Times New Roman"/>
              </w:rPr>
              <w:t>calitate</w:t>
            </w:r>
            <w:proofErr w:type="spellEnd"/>
            <w:r w:rsidRPr="0060721D">
              <w:rPr>
                <w:rFonts w:ascii="Times New Roman" w:hAnsi="Times New Roman"/>
              </w:rPr>
              <w:t xml:space="preserve"> de </w:t>
            </w:r>
            <w:proofErr w:type="spellStart"/>
            <w:r w:rsidRPr="0060721D">
              <w:rPr>
                <w:rFonts w:ascii="Times New Roman" w:hAnsi="Times New Roman"/>
              </w:rPr>
              <w:t>îngrășământ</w:t>
            </w:r>
            <w:proofErr w:type="spellEnd"/>
            <w:r w:rsidRPr="0060721D">
              <w:rPr>
                <w:rFonts w:ascii="Times New Roman" w:hAnsi="Times New Roman"/>
              </w:rPr>
              <w:t xml:space="preserve"> </w:t>
            </w:r>
            <w:proofErr w:type="spellStart"/>
            <w:r w:rsidRPr="0060721D">
              <w:rPr>
                <w:rFonts w:ascii="Times New Roman" w:hAnsi="Times New Roman"/>
              </w:rPr>
              <w:t>verde</w:t>
            </w:r>
            <w:proofErr w:type="spellEnd"/>
            <w:r w:rsidRPr="0060721D">
              <w:rPr>
                <w:rFonts w:ascii="Times New Roman" w:hAnsi="Times New Roman"/>
              </w:rPr>
              <w:t xml:space="preserve">), pe termen lung se </w:t>
            </w:r>
            <w:proofErr w:type="spellStart"/>
            <w:r w:rsidRPr="0060721D">
              <w:rPr>
                <w:rFonts w:ascii="Times New Roman" w:hAnsi="Times New Roman"/>
              </w:rPr>
              <w:t>va</w:t>
            </w:r>
            <w:proofErr w:type="spellEnd"/>
            <w:r w:rsidRPr="0060721D">
              <w:rPr>
                <w:rFonts w:ascii="Times New Roman" w:hAnsi="Times New Roman"/>
              </w:rPr>
              <w:t xml:space="preserve"> </w:t>
            </w:r>
            <w:proofErr w:type="spellStart"/>
            <w:r w:rsidRPr="0060721D">
              <w:rPr>
                <w:rFonts w:ascii="Times New Roman" w:hAnsi="Times New Roman"/>
              </w:rPr>
              <w:t>contribui</w:t>
            </w:r>
            <w:proofErr w:type="spellEnd"/>
            <w:r w:rsidRPr="0060721D">
              <w:rPr>
                <w:rFonts w:ascii="Times New Roman" w:hAnsi="Times New Roman"/>
              </w:rPr>
              <w:t xml:space="preserve"> de </w:t>
            </w:r>
            <w:proofErr w:type="spellStart"/>
            <w:r w:rsidRPr="0060721D">
              <w:rPr>
                <w:rFonts w:ascii="Times New Roman" w:hAnsi="Times New Roman"/>
              </w:rPr>
              <w:t>asemenea</w:t>
            </w:r>
            <w:proofErr w:type="spellEnd"/>
            <w:r w:rsidRPr="0060721D">
              <w:rPr>
                <w:rFonts w:ascii="Times New Roman" w:hAnsi="Times New Roman"/>
              </w:rPr>
              <w:t xml:space="preserve"> la </w:t>
            </w:r>
            <w:proofErr w:type="spellStart"/>
            <w:r w:rsidRPr="0060721D">
              <w:rPr>
                <w:rFonts w:ascii="Times New Roman" w:hAnsi="Times New Roman"/>
              </w:rPr>
              <w:t>încetinirea</w:t>
            </w:r>
            <w:proofErr w:type="spellEnd"/>
            <w:r w:rsidRPr="0060721D">
              <w:rPr>
                <w:rFonts w:ascii="Times New Roman" w:hAnsi="Times New Roman"/>
              </w:rPr>
              <w:t xml:space="preserve"> </w:t>
            </w:r>
            <w:proofErr w:type="spellStart"/>
            <w:r w:rsidRPr="0060721D">
              <w:rPr>
                <w:rFonts w:ascii="Times New Roman" w:hAnsi="Times New Roman"/>
              </w:rPr>
              <w:t>procesului</w:t>
            </w:r>
            <w:proofErr w:type="spellEnd"/>
            <w:r w:rsidRPr="0060721D">
              <w:rPr>
                <w:rFonts w:ascii="Times New Roman" w:hAnsi="Times New Roman"/>
              </w:rPr>
              <w:t xml:space="preserve"> de </w:t>
            </w:r>
            <w:proofErr w:type="spellStart"/>
            <w:r w:rsidRPr="0060721D">
              <w:rPr>
                <w:rFonts w:ascii="Times New Roman" w:hAnsi="Times New Roman"/>
              </w:rPr>
              <w:t>mineralizare</w:t>
            </w:r>
            <w:proofErr w:type="spellEnd"/>
            <w:r w:rsidRPr="0060721D">
              <w:rPr>
                <w:rFonts w:ascii="Times New Roman" w:hAnsi="Times New Roman"/>
              </w:rPr>
              <w:t xml:space="preserve"> a </w:t>
            </w:r>
            <w:proofErr w:type="spellStart"/>
            <w:r w:rsidRPr="0060721D">
              <w:rPr>
                <w:rFonts w:ascii="Times New Roman" w:hAnsi="Times New Roman"/>
              </w:rPr>
              <w:t>materiei</w:t>
            </w:r>
            <w:proofErr w:type="spellEnd"/>
            <w:r w:rsidRPr="0060721D">
              <w:rPr>
                <w:rFonts w:ascii="Times New Roman" w:hAnsi="Times New Roman"/>
              </w:rPr>
              <w:t xml:space="preserve"> </w:t>
            </w:r>
            <w:proofErr w:type="spellStart"/>
            <w:r w:rsidRPr="0060721D">
              <w:rPr>
                <w:rFonts w:ascii="Times New Roman" w:hAnsi="Times New Roman"/>
              </w:rPr>
              <w:t>organice</w:t>
            </w:r>
            <w:proofErr w:type="spellEnd"/>
            <w:r w:rsidRPr="0060721D">
              <w:rPr>
                <w:rFonts w:ascii="Times New Roman" w:hAnsi="Times New Roman"/>
              </w:rPr>
              <w:t xml:space="preserve"> </w:t>
            </w:r>
            <w:proofErr w:type="spellStart"/>
            <w:r w:rsidRPr="0060721D">
              <w:rPr>
                <w:rFonts w:ascii="Times New Roman" w:hAnsi="Times New Roman"/>
              </w:rPr>
              <w:t>şi</w:t>
            </w:r>
            <w:proofErr w:type="spellEnd"/>
            <w:r w:rsidRPr="0060721D">
              <w:rPr>
                <w:rFonts w:ascii="Times New Roman" w:hAnsi="Times New Roman"/>
              </w:rPr>
              <w:t xml:space="preserve"> </w:t>
            </w:r>
            <w:proofErr w:type="spellStart"/>
            <w:r w:rsidRPr="0060721D">
              <w:rPr>
                <w:rFonts w:ascii="Times New Roman" w:hAnsi="Times New Roman"/>
              </w:rPr>
              <w:t>stimularea</w:t>
            </w:r>
            <w:proofErr w:type="spellEnd"/>
            <w:r w:rsidRPr="0060721D">
              <w:rPr>
                <w:rFonts w:ascii="Times New Roman" w:hAnsi="Times New Roman"/>
              </w:rPr>
              <w:t xml:space="preserve"> </w:t>
            </w:r>
            <w:proofErr w:type="spellStart"/>
            <w:r w:rsidRPr="0060721D">
              <w:rPr>
                <w:rFonts w:ascii="Times New Roman" w:hAnsi="Times New Roman"/>
              </w:rPr>
              <w:t>acumulării</w:t>
            </w:r>
            <w:proofErr w:type="spellEnd"/>
            <w:r w:rsidRPr="0060721D">
              <w:rPr>
                <w:rFonts w:ascii="Times New Roman" w:hAnsi="Times New Roman"/>
              </w:rPr>
              <w:t xml:space="preserve"> </w:t>
            </w:r>
            <w:proofErr w:type="spellStart"/>
            <w:r w:rsidRPr="0060721D">
              <w:rPr>
                <w:rFonts w:ascii="Times New Roman" w:hAnsi="Times New Roman"/>
              </w:rPr>
              <w:t>carbonului</w:t>
            </w:r>
            <w:proofErr w:type="spellEnd"/>
            <w:r w:rsidRPr="0060721D">
              <w:rPr>
                <w:rFonts w:ascii="Times New Roman" w:hAnsi="Times New Roman"/>
              </w:rPr>
              <w:t xml:space="preserve"> organic </w:t>
            </w:r>
            <w:proofErr w:type="spellStart"/>
            <w:r w:rsidRPr="0060721D">
              <w:rPr>
                <w:rFonts w:ascii="Times New Roman" w:hAnsi="Times New Roman"/>
              </w:rPr>
              <w:t>în</w:t>
            </w:r>
            <w:proofErr w:type="spellEnd"/>
            <w:r w:rsidRPr="0060721D">
              <w:rPr>
                <w:rFonts w:ascii="Times New Roman" w:hAnsi="Times New Roman"/>
              </w:rPr>
              <w:t xml:space="preserve"> sol, </w:t>
            </w:r>
            <w:proofErr w:type="spellStart"/>
            <w:r w:rsidRPr="0060721D">
              <w:rPr>
                <w:rFonts w:ascii="Times New Roman" w:hAnsi="Times New Roman"/>
              </w:rPr>
              <w:t>respectiv</w:t>
            </w:r>
            <w:proofErr w:type="spellEnd"/>
            <w:r w:rsidRPr="0060721D">
              <w:rPr>
                <w:rFonts w:ascii="Times New Roman" w:hAnsi="Times New Roman"/>
              </w:rPr>
              <w:t xml:space="preserve"> la </w:t>
            </w:r>
            <w:proofErr w:type="spellStart"/>
            <w:r w:rsidRPr="0060721D">
              <w:rPr>
                <w:rFonts w:ascii="Times New Roman" w:hAnsi="Times New Roman"/>
              </w:rPr>
              <w:t>restabilirea</w:t>
            </w:r>
            <w:proofErr w:type="spellEnd"/>
            <w:r w:rsidRPr="0060721D">
              <w:rPr>
                <w:rFonts w:ascii="Times New Roman" w:hAnsi="Times New Roman"/>
              </w:rPr>
              <w:t>/</w:t>
            </w:r>
            <w:proofErr w:type="spellStart"/>
            <w:r w:rsidRPr="0060721D">
              <w:rPr>
                <w:rFonts w:ascii="Times New Roman" w:hAnsi="Times New Roman"/>
              </w:rPr>
              <w:t>sporirea</w:t>
            </w:r>
            <w:proofErr w:type="spellEnd"/>
            <w:r w:rsidRPr="0060721D">
              <w:rPr>
                <w:rFonts w:ascii="Times New Roman" w:hAnsi="Times New Roman"/>
              </w:rPr>
              <w:t xml:space="preserve"> </w:t>
            </w:r>
            <w:proofErr w:type="spellStart"/>
            <w:r w:rsidRPr="0060721D">
              <w:rPr>
                <w:rFonts w:ascii="Times New Roman" w:hAnsi="Times New Roman"/>
              </w:rPr>
              <w:t>fertilității</w:t>
            </w:r>
            <w:proofErr w:type="spellEnd"/>
            <w:r w:rsidRPr="0060721D">
              <w:rPr>
                <w:rFonts w:ascii="Times New Roman" w:hAnsi="Times New Roman"/>
              </w:rPr>
              <w:t xml:space="preserve"> </w:t>
            </w:r>
            <w:proofErr w:type="spellStart"/>
            <w:r w:rsidRPr="0060721D">
              <w:rPr>
                <w:rFonts w:ascii="Times New Roman" w:hAnsi="Times New Roman"/>
              </w:rPr>
              <w:t>solului</w:t>
            </w:r>
            <w:proofErr w:type="spellEnd"/>
            <w:r w:rsidRPr="0060721D">
              <w:rPr>
                <w:rFonts w:ascii="Times New Roman" w:hAnsi="Times New Roman"/>
              </w:rPr>
              <w:t xml:space="preserve"> </w:t>
            </w:r>
            <w:proofErr w:type="spellStart"/>
            <w:r w:rsidRPr="0060721D">
              <w:rPr>
                <w:rFonts w:ascii="Times New Roman" w:hAnsi="Times New Roman"/>
              </w:rPr>
              <w:t>și</w:t>
            </w:r>
            <w:proofErr w:type="spellEnd"/>
            <w:r w:rsidRPr="0060721D">
              <w:rPr>
                <w:rFonts w:ascii="Times New Roman" w:hAnsi="Times New Roman"/>
              </w:rPr>
              <w:t xml:space="preserve"> la </w:t>
            </w:r>
            <w:proofErr w:type="spellStart"/>
            <w:r w:rsidRPr="0060721D">
              <w:rPr>
                <w:rFonts w:ascii="Times New Roman" w:hAnsi="Times New Roman"/>
              </w:rPr>
              <w:t>restabilirea</w:t>
            </w:r>
            <w:proofErr w:type="spellEnd"/>
            <w:r w:rsidRPr="0060721D">
              <w:rPr>
                <w:rFonts w:ascii="Times New Roman" w:hAnsi="Times New Roman"/>
              </w:rPr>
              <w:t xml:space="preserve"> </w:t>
            </w:r>
            <w:proofErr w:type="spellStart"/>
            <w:r w:rsidRPr="0060721D">
              <w:rPr>
                <w:rFonts w:ascii="Times New Roman" w:hAnsi="Times New Roman"/>
              </w:rPr>
              <w:t>bilanțului</w:t>
            </w:r>
            <w:proofErr w:type="spellEnd"/>
            <w:r w:rsidRPr="0060721D">
              <w:rPr>
                <w:rFonts w:ascii="Times New Roman" w:hAnsi="Times New Roman"/>
              </w:rPr>
              <w:t xml:space="preserve"> </w:t>
            </w:r>
            <w:proofErr w:type="spellStart"/>
            <w:r w:rsidRPr="0060721D">
              <w:rPr>
                <w:rFonts w:ascii="Times New Roman" w:hAnsi="Times New Roman"/>
              </w:rPr>
              <w:t>pozitiv</w:t>
            </w:r>
            <w:proofErr w:type="spellEnd"/>
            <w:r w:rsidRPr="0060721D">
              <w:rPr>
                <w:rFonts w:ascii="Times New Roman" w:hAnsi="Times New Roman"/>
              </w:rPr>
              <w:t xml:space="preserve"> al </w:t>
            </w:r>
            <w:proofErr w:type="spellStart"/>
            <w:r w:rsidRPr="0060721D">
              <w:rPr>
                <w:rFonts w:ascii="Times New Roman" w:hAnsi="Times New Roman"/>
              </w:rPr>
              <w:t>humusului</w:t>
            </w:r>
            <w:proofErr w:type="spellEnd"/>
            <w:r w:rsidRPr="0060721D">
              <w:rPr>
                <w:rFonts w:ascii="Times New Roman" w:hAnsi="Times New Roman"/>
              </w:rPr>
              <w:t xml:space="preserve"> </w:t>
            </w:r>
            <w:proofErr w:type="spellStart"/>
            <w:r w:rsidRPr="0060721D">
              <w:rPr>
                <w:rFonts w:ascii="Times New Roman" w:hAnsi="Times New Roman"/>
              </w:rPr>
              <w:t>în</w:t>
            </w:r>
            <w:proofErr w:type="spellEnd"/>
            <w:r w:rsidRPr="0060721D">
              <w:rPr>
                <w:rFonts w:ascii="Times New Roman" w:hAnsi="Times New Roman"/>
              </w:rPr>
              <w:t xml:space="preserve"> sol, la </w:t>
            </w:r>
            <w:proofErr w:type="spellStart"/>
            <w:r w:rsidRPr="0060721D">
              <w:rPr>
                <w:rFonts w:ascii="Times New Roman" w:hAnsi="Times New Roman"/>
              </w:rPr>
              <w:t>utilizarea</w:t>
            </w:r>
            <w:proofErr w:type="spellEnd"/>
            <w:r w:rsidRPr="0060721D">
              <w:rPr>
                <w:rFonts w:ascii="Times New Roman" w:hAnsi="Times New Roman"/>
              </w:rPr>
              <w:t xml:space="preserve"> </w:t>
            </w:r>
            <w:proofErr w:type="spellStart"/>
            <w:r w:rsidRPr="0060721D">
              <w:rPr>
                <w:rFonts w:ascii="Times New Roman" w:hAnsi="Times New Roman"/>
              </w:rPr>
              <w:t>mai</w:t>
            </w:r>
            <w:proofErr w:type="spellEnd"/>
            <w:r w:rsidRPr="0060721D">
              <w:rPr>
                <w:rFonts w:ascii="Times New Roman" w:hAnsi="Times New Roman"/>
              </w:rPr>
              <w:t xml:space="preserve"> </w:t>
            </w:r>
            <w:proofErr w:type="spellStart"/>
            <w:r w:rsidRPr="0060721D">
              <w:rPr>
                <w:rFonts w:ascii="Times New Roman" w:hAnsi="Times New Roman"/>
              </w:rPr>
              <w:t>eficientă</w:t>
            </w:r>
            <w:proofErr w:type="spellEnd"/>
            <w:r w:rsidRPr="0060721D">
              <w:rPr>
                <w:rFonts w:ascii="Times New Roman" w:hAnsi="Times New Roman"/>
              </w:rPr>
              <w:t xml:space="preserve"> a </w:t>
            </w:r>
            <w:proofErr w:type="spellStart"/>
            <w:r w:rsidRPr="0060721D">
              <w:rPr>
                <w:rFonts w:ascii="Times New Roman" w:hAnsi="Times New Roman"/>
              </w:rPr>
              <w:t>substanțelor</w:t>
            </w:r>
            <w:proofErr w:type="spellEnd"/>
            <w:r w:rsidRPr="0060721D">
              <w:rPr>
                <w:rFonts w:ascii="Times New Roman" w:hAnsi="Times New Roman"/>
              </w:rPr>
              <w:t xml:space="preserve"> nutritive din sol, la </w:t>
            </w:r>
            <w:proofErr w:type="spellStart"/>
            <w:r w:rsidRPr="0060721D">
              <w:rPr>
                <w:rFonts w:ascii="Times New Roman" w:hAnsi="Times New Roman"/>
              </w:rPr>
              <w:t>creșterea</w:t>
            </w:r>
            <w:proofErr w:type="spellEnd"/>
            <w:r w:rsidRPr="0060721D">
              <w:rPr>
                <w:rFonts w:ascii="Times New Roman" w:hAnsi="Times New Roman"/>
              </w:rPr>
              <w:t xml:space="preserve"> </w:t>
            </w:r>
            <w:proofErr w:type="spellStart"/>
            <w:r w:rsidRPr="0060721D">
              <w:rPr>
                <w:rFonts w:ascii="Times New Roman" w:hAnsi="Times New Roman"/>
              </w:rPr>
              <w:t>permeabilității</w:t>
            </w:r>
            <w:proofErr w:type="spellEnd"/>
            <w:r w:rsidRPr="0060721D">
              <w:rPr>
                <w:rFonts w:ascii="Times New Roman" w:hAnsi="Times New Roman"/>
              </w:rPr>
              <w:t xml:space="preserve"> </w:t>
            </w:r>
            <w:proofErr w:type="spellStart"/>
            <w:r w:rsidRPr="0060721D">
              <w:rPr>
                <w:rFonts w:ascii="Times New Roman" w:hAnsi="Times New Roman"/>
              </w:rPr>
              <w:t>solului</w:t>
            </w:r>
            <w:proofErr w:type="spellEnd"/>
            <w:r w:rsidRPr="0060721D">
              <w:rPr>
                <w:rFonts w:ascii="Times New Roman" w:hAnsi="Times New Roman"/>
              </w:rPr>
              <w:t xml:space="preserve"> </w:t>
            </w:r>
            <w:proofErr w:type="spellStart"/>
            <w:r w:rsidRPr="0060721D">
              <w:rPr>
                <w:rFonts w:ascii="Times New Roman" w:hAnsi="Times New Roman"/>
              </w:rPr>
              <w:t>pentru</w:t>
            </w:r>
            <w:proofErr w:type="spellEnd"/>
            <w:r w:rsidRPr="0060721D">
              <w:rPr>
                <w:rFonts w:ascii="Times New Roman" w:hAnsi="Times New Roman"/>
              </w:rPr>
              <w:t xml:space="preserve"> </w:t>
            </w:r>
            <w:proofErr w:type="spellStart"/>
            <w:r w:rsidRPr="0060721D">
              <w:rPr>
                <w:rFonts w:ascii="Times New Roman" w:hAnsi="Times New Roman"/>
              </w:rPr>
              <w:t>apă</w:t>
            </w:r>
            <w:proofErr w:type="spellEnd"/>
            <w:r w:rsidRPr="0060721D">
              <w:rPr>
                <w:rFonts w:ascii="Times New Roman" w:hAnsi="Times New Roman"/>
              </w:rPr>
              <w:t xml:space="preserve"> </w:t>
            </w:r>
            <w:proofErr w:type="spellStart"/>
            <w:r w:rsidRPr="0060721D">
              <w:rPr>
                <w:rFonts w:ascii="Times New Roman" w:hAnsi="Times New Roman"/>
              </w:rPr>
              <w:t>şi</w:t>
            </w:r>
            <w:proofErr w:type="spellEnd"/>
            <w:r w:rsidRPr="0060721D">
              <w:rPr>
                <w:rFonts w:ascii="Times New Roman" w:hAnsi="Times New Roman"/>
              </w:rPr>
              <w:t xml:space="preserve"> la </w:t>
            </w:r>
            <w:proofErr w:type="spellStart"/>
            <w:r w:rsidRPr="0060721D">
              <w:rPr>
                <w:rFonts w:ascii="Times New Roman" w:hAnsi="Times New Roman"/>
              </w:rPr>
              <w:t>îmbunătățirea</w:t>
            </w:r>
            <w:proofErr w:type="spellEnd"/>
            <w:r w:rsidRPr="0060721D">
              <w:rPr>
                <w:rFonts w:ascii="Times New Roman" w:hAnsi="Times New Roman"/>
              </w:rPr>
              <w:t xml:space="preserve"> </w:t>
            </w:r>
            <w:proofErr w:type="spellStart"/>
            <w:r w:rsidRPr="0060721D">
              <w:rPr>
                <w:rFonts w:ascii="Times New Roman" w:hAnsi="Times New Roman"/>
              </w:rPr>
              <w:t>drenajului</w:t>
            </w:r>
            <w:proofErr w:type="spellEnd"/>
            <w:r w:rsidRPr="0060721D">
              <w:rPr>
                <w:rFonts w:ascii="Times New Roman" w:hAnsi="Times New Roman"/>
              </w:rPr>
              <w:t xml:space="preserve"> </w:t>
            </w:r>
            <w:proofErr w:type="spellStart"/>
            <w:r w:rsidRPr="0060721D">
              <w:rPr>
                <w:rFonts w:ascii="Times New Roman" w:hAnsi="Times New Roman"/>
              </w:rPr>
              <w:t>solului</w:t>
            </w:r>
            <w:proofErr w:type="spellEnd"/>
            <w:r w:rsidRPr="0060721D">
              <w:rPr>
                <w:rFonts w:ascii="Times New Roman" w:hAnsi="Times New Roman"/>
              </w:rPr>
              <w:t xml:space="preserve">, la </w:t>
            </w:r>
            <w:proofErr w:type="spellStart"/>
            <w:r w:rsidRPr="0060721D">
              <w:rPr>
                <w:rFonts w:ascii="Times New Roman" w:hAnsi="Times New Roman"/>
              </w:rPr>
              <w:t>reducerea</w:t>
            </w:r>
            <w:proofErr w:type="spellEnd"/>
            <w:r w:rsidRPr="0060721D">
              <w:rPr>
                <w:rFonts w:ascii="Times New Roman" w:hAnsi="Times New Roman"/>
              </w:rPr>
              <w:t xml:space="preserve"> </w:t>
            </w:r>
            <w:proofErr w:type="spellStart"/>
            <w:r w:rsidRPr="0060721D">
              <w:rPr>
                <w:rFonts w:ascii="Times New Roman" w:hAnsi="Times New Roman"/>
              </w:rPr>
              <w:t>eroziunii</w:t>
            </w:r>
            <w:proofErr w:type="spellEnd"/>
            <w:r w:rsidRPr="0060721D">
              <w:rPr>
                <w:rFonts w:ascii="Times New Roman" w:hAnsi="Times New Roman"/>
              </w:rPr>
              <w:t xml:space="preserve"> </w:t>
            </w:r>
            <w:proofErr w:type="spellStart"/>
            <w:r w:rsidRPr="0060721D">
              <w:rPr>
                <w:rFonts w:ascii="Times New Roman" w:hAnsi="Times New Roman"/>
              </w:rPr>
              <w:t>solului</w:t>
            </w:r>
            <w:proofErr w:type="spellEnd"/>
            <w:r w:rsidRPr="0060721D">
              <w:rPr>
                <w:rFonts w:ascii="Times New Roman" w:hAnsi="Times New Roman"/>
              </w:rPr>
              <w:t xml:space="preserve">, la </w:t>
            </w:r>
            <w:proofErr w:type="spellStart"/>
            <w:r w:rsidRPr="0060721D">
              <w:rPr>
                <w:rFonts w:ascii="Times New Roman" w:hAnsi="Times New Roman"/>
              </w:rPr>
              <w:t>refacerea</w:t>
            </w:r>
            <w:proofErr w:type="spellEnd"/>
            <w:r w:rsidRPr="0060721D">
              <w:rPr>
                <w:rFonts w:ascii="Times New Roman" w:hAnsi="Times New Roman"/>
              </w:rPr>
              <w:t xml:space="preserve"> </w:t>
            </w:r>
            <w:proofErr w:type="spellStart"/>
            <w:r w:rsidRPr="0060721D">
              <w:rPr>
                <w:rFonts w:ascii="Times New Roman" w:hAnsi="Times New Roman"/>
              </w:rPr>
              <w:t>structurii</w:t>
            </w:r>
            <w:proofErr w:type="spellEnd"/>
            <w:r w:rsidRPr="0060721D">
              <w:rPr>
                <w:rFonts w:ascii="Times New Roman" w:hAnsi="Times New Roman"/>
              </w:rPr>
              <w:t xml:space="preserve"> </w:t>
            </w:r>
            <w:proofErr w:type="spellStart"/>
            <w:r w:rsidRPr="0060721D">
              <w:rPr>
                <w:rFonts w:ascii="Times New Roman" w:hAnsi="Times New Roman"/>
              </w:rPr>
              <w:lastRenderedPageBreak/>
              <w:t>solului</w:t>
            </w:r>
            <w:proofErr w:type="spellEnd"/>
            <w:r w:rsidRPr="0060721D">
              <w:rPr>
                <w:rFonts w:ascii="Times New Roman" w:hAnsi="Times New Roman"/>
              </w:rPr>
              <w:t xml:space="preserve"> </w:t>
            </w:r>
            <w:proofErr w:type="spellStart"/>
            <w:r w:rsidRPr="0060721D">
              <w:rPr>
                <w:rFonts w:ascii="Times New Roman" w:hAnsi="Times New Roman"/>
              </w:rPr>
              <w:t>și</w:t>
            </w:r>
            <w:proofErr w:type="spellEnd"/>
            <w:r w:rsidRPr="0060721D">
              <w:rPr>
                <w:rFonts w:ascii="Times New Roman" w:hAnsi="Times New Roman"/>
              </w:rPr>
              <w:t xml:space="preserve"> la </w:t>
            </w:r>
            <w:proofErr w:type="spellStart"/>
            <w:r w:rsidRPr="0060721D">
              <w:rPr>
                <w:rFonts w:ascii="Times New Roman" w:hAnsi="Times New Roman"/>
              </w:rPr>
              <w:t>diminuarea</w:t>
            </w:r>
            <w:proofErr w:type="spellEnd"/>
            <w:r w:rsidRPr="0060721D">
              <w:rPr>
                <w:rFonts w:ascii="Times New Roman" w:hAnsi="Times New Roman"/>
              </w:rPr>
              <w:t xml:space="preserve"> </w:t>
            </w:r>
            <w:proofErr w:type="spellStart"/>
            <w:r w:rsidRPr="0060721D">
              <w:rPr>
                <w:rFonts w:ascii="Times New Roman" w:hAnsi="Times New Roman"/>
              </w:rPr>
              <w:t>compactării</w:t>
            </w:r>
            <w:proofErr w:type="spellEnd"/>
            <w:r w:rsidRPr="0060721D">
              <w:rPr>
                <w:rFonts w:ascii="Times New Roman" w:hAnsi="Times New Roman"/>
              </w:rPr>
              <w:t xml:space="preserve"> de </w:t>
            </w:r>
            <w:proofErr w:type="spellStart"/>
            <w:r w:rsidRPr="0060721D">
              <w:rPr>
                <w:rFonts w:ascii="Times New Roman" w:hAnsi="Times New Roman"/>
              </w:rPr>
              <w:t>suprafață</w:t>
            </w:r>
            <w:proofErr w:type="spellEnd"/>
            <w:r w:rsidRPr="0060721D">
              <w:rPr>
                <w:rFonts w:ascii="Times New Roman" w:hAnsi="Times New Roman"/>
              </w:rPr>
              <w:t xml:space="preserve"> </w:t>
            </w:r>
            <w:proofErr w:type="spellStart"/>
            <w:r w:rsidRPr="0060721D">
              <w:rPr>
                <w:rFonts w:ascii="Times New Roman" w:hAnsi="Times New Roman"/>
              </w:rPr>
              <w:t>și</w:t>
            </w:r>
            <w:proofErr w:type="spellEnd"/>
            <w:r w:rsidRPr="0060721D">
              <w:rPr>
                <w:rFonts w:ascii="Times New Roman" w:hAnsi="Times New Roman"/>
              </w:rPr>
              <w:t xml:space="preserve"> </w:t>
            </w:r>
            <w:proofErr w:type="spellStart"/>
            <w:r w:rsidRPr="0060721D">
              <w:rPr>
                <w:rFonts w:ascii="Times New Roman" w:hAnsi="Times New Roman"/>
              </w:rPr>
              <w:t>adâncime</w:t>
            </w:r>
            <w:proofErr w:type="spellEnd"/>
            <w:r w:rsidRPr="0060721D">
              <w:rPr>
                <w:rFonts w:ascii="Times New Roman" w:hAnsi="Times New Roman"/>
              </w:rPr>
              <w:t xml:space="preserve">; la </w:t>
            </w:r>
            <w:proofErr w:type="spellStart"/>
            <w:r w:rsidRPr="0060721D">
              <w:rPr>
                <w:rFonts w:ascii="Times New Roman" w:hAnsi="Times New Roman"/>
              </w:rPr>
              <w:t>fel</w:t>
            </w:r>
            <w:proofErr w:type="spellEnd"/>
            <w:r w:rsidRPr="0060721D">
              <w:rPr>
                <w:rFonts w:ascii="Times New Roman" w:hAnsi="Times New Roman"/>
              </w:rPr>
              <w:t xml:space="preserve">, </w:t>
            </w:r>
            <w:proofErr w:type="spellStart"/>
            <w:r w:rsidRPr="0060721D">
              <w:rPr>
                <w:rFonts w:ascii="Times New Roman" w:hAnsi="Times New Roman"/>
              </w:rPr>
              <w:t>incorporarea</w:t>
            </w:r>
            <w:proofErr w:type="spellEnd"/>
            <w:r w:rsidRPr="0060721D">
              <w:rPr>
                <w:rFonts w:ascii="Times New Roman" w:hAnsi="Times New Roman"/>
              </w:rPr>
              <w:t xml:space="preserve"> </w:t>
            </w:r>
            <w:proofErr w:type="spellStart"/>
            <w:r w:rsidRPr="0060721D">
              <w:rPr>
                <w:rFonts w:ascii="Times New Roman" w:hAnsi="Times New Roman"/>
              </w:rPr>
              <w:t>anuală</w:t>
            </w:r>
            <w:proofErr w:type="spellEnd"/>
            <w:r w:rsidRPr="0060721D">
              <w:rPr>
                <w:rFonts w:ascii="Times New Roman" w:hAnsi="Times New Roman"/>
              </w:rPr>
              <w:t xml:space="preserve"> a </w:t>
            </w:r>
            <w:proofErr w:type="spellStart"/>
            <w:r w:rsidRPr="0060721D">
              <w:rPr>
                <w:rFonts w:ascii="Times New Roman" w:hAnsi="Times New Roman"/>
              </w:rPr>
              <w:t>resturilor</w:t>
            </w:r>
            <w:proofErr w:type="spellEnd"/>
            <w:r w:rsidRPr="0060721D">
              <w:rPr>
                <w:rFonts w:ascii="Times New Roman" w:hAnsi="Times New Roman"/>
              </w:rPr>
              <w:t xml:space="preserve"> </w:t>
            </w:r>
            <w:proofErr w:type="spellStart"/>
            <w:r w:rsidRPr="0060721D">
              <w:rPr>
                <w:rFonts w:ascii="Times New Roman" w:hAnsi="Times New Roman"/>
              </w:rPr>
              <w:t>vegetale</w:t>
            </w:r>
            <w:proofErr w:type="spellEnd"/>
            <w:r w:rsidRPr="0060721D">
              <w:rPr>
                <w:rFonts w:ascii="Times New Roman" w:hAnsi="Times New Roman"/>
              </w:rPr>
              <w:t xml:space="preserve"> </w:t>
            </w:r>
            <w:proofErr w:type="spellStart"/>
            <w:r w:rsidRPr="0060721D">
              <w:rPr>
                <w:rFonts w:ascii="Times New Roman" w:hAnsi="Times New Roman"/>
              </w:rPr>
              <w:t>va</w:t>
            </w:r>
            <w:proofErr w:type="spellEnd"/>
            <w:r w:rsidRPr="0060721D">
              <w:rPr>
                <w:rFonts w:ascii="Times New Roman" w:hAnsi="Times New Roman"/>
              </w:rPr>
              <w:t xml:space="preserve"> </w:t>
            </w:r>
            <w:proofErr w:type="spellStart"/>
            <w:r w:rsidRPr="0060721D">
              <w:rPr>
                <w:rFonts w:ascii="Times New Roman" w:hAnsi="Times New Roman"/>
              </w:rPr>
              <w:t>contribuie</w:t>
            </w:r>
            <w:proofErr w:type="spellEnd"/>
            <w:r w:rsidRPr="0060721D">
              <w:rPr>
                <w:rFonts w:ascii="Times New Roman" w:hAnsi="Times New Roman"/>
              </w:rPr>
              <w:t xml:space="preserve"> </w:t>
            </w:r>
            <w:proofErr w:type="spellStart"/>
            <w:r w:rsidRPr="0060721D">
              <w:rPr>
                <w:rFonts w:ascii="Times New Roman" w:hAnsi="Times New Roman"/>
              </w:rPr>
              <w:t>și</w:t>
            </w:r>
            <w:proofErr w:type="spellEnd"/>
            <w:r w:rsidRPr="0060721D">
              <w:rPr>
                <w:rFonts w:ascii="Times New Roman" w:hAnsi="Times New Roman"/>
              </w:rPr>
              <w:t xml:space="preserve"> la </w:t>
            </w:r>
            <w:proofErr w:type="spellStart"/>
            <w:r w:rsidRPr="0060721D">
              <w:rPr>
                <w:rFonts w:ascii="Times New Roman" w:hAnsi="Times New Roman"/>
              </w:rPr>
              <w:t>restabilirea</w:t>
            </w:r>
            <w:proofErr w:type="spellEnd"/>
            <w:r w:rsidRPr="0060721D">
              <w:rPr>
                <w:rFonts w:ascii="Times New Roman" w:hAnsi="Times New Roman"/>
              </w:rPr>
              <w:t>/</w:t>
            </w:r>
            <w:proofErr w:type="spellStart"/>
            <w:r w:rsidRPr="0060721D">
              <w:rPr>
                <w:rFonts w:ascii="Times New Roman" w:hAnsi="Times New Roman"/>
              </w:rPr>
              <w:t>creșterea</w:t>
            </w:r>
            <w:proofErr w:type="spellEnd"/>
            <w:r w:rsidRPr="0060721D">
              <w:rPr>
                <w:rFonts w:ascii="Times New Roman" w:hAnsi="Times New Roman"/>
              </w:rPr>
              <w:t xml:space="preserve"> </w:t>
            </w:r>
            <w:proofErr w:type="spellStart"/>
            <w:r w:rsidRPr="0060721D">
              <w:rPr>
                <w:rFonts w:ascii="Times New Roman" w:hAnsi="Times New Roman"/>
              </w:rPr>
              <w:t>faunei</w:t>
            </w:r>
            <w:proofErr w:type="spellEnd"/>
            <w:r w:rsidRPr="0060721D">
              <w:rPr>
                <w:rFonts w:ascii="Times New Roman" w:hAnsi="Times New Roman"/>
              </w:rPr>
              <w:t xml:space="preserve"> </w:t>
            </w:r>
            <w:proofErr w:type="spellStart"/>
            <w:r w:rsidRPr="0060721D">
              <w:rPr>
                <w:rFonts w:ascii="Times New Roman" w:hAnsi="Times New Roman"/>
              </w:rPr>
              <w:t>și</w:t>
            </w:r>
            <w:proofErr w:type="spellEnd"/>
            <w:r w:rsidRPr="0060721D">
              <w:rPr>
                <w:rFonts w:ascii="Times New Roman" w:hAnsi="Times New Roman"/>
              </w:rPr>
              <w:t xml:space="preserve"> </w:t>
            </w:r>
            <w:proofErr w:type="spellStart"/>
            <w:r w:rsidRPr="0060721D">
              <w:rPr>
                <w:rFonts w:ascii="Times New Roman" w:hAnsi="Times New Roman"/>
              </w:rPr>
              <w:t>florei</w:t>
            </w:r>
            <w:proofErr w:type="spellEnd"/>
            <w:r w:rsidRPr="0060721D">
              <w:rPr>
                <w:rFonts w:ascii="Times New Roman" w:hAnsi="Times New Roman"/>
              </w:rPr>
              <w:t xml:space="preserve"> din sol.  </w:t>
            </w:r>
            <w:proofErr w:type="spellStart"/>
            <w:r w:rsidRPr="0060721D">
              <w:rPr>
                <w:rFonts w:ascii="Times New Roman" w:hAnsi="Times New Roman"/>
              </w:rPr>
              <w:t>Aplicarea</w:t>
            </w:r>
            <w:proofErr w:type="spellEnd"/>
            <w:r w:rsidRPr="0060721D">
              <w:rPr>
                <w:rFonts w:ascii="Times New Roman" w:hAnsi="Times New Roman"/>
              </w:rPr>
              <w:t xml:space="preserve"> </w:t>
            </w:r>
            <w:proofErr w:type="spellStart"/>
            <w:r w:rsidRPr="0060721D">
              <w:rPr>
                <w:rFonts w:ascii="Times New Roman" w:hAnsi="Times New Roman"/>
              </w:rPr>
              <w:t>măsurilor</w:t>
            </w:r>
            <w:proofErr w:type="spellEnd"/>
            <w:r w:rsidRPr="0060721D">
              <w:rPr>
                <w:rFonts w:ascii="Times New Roman" w:hAnsi="Times New Roman"/>
              </w:rPr>
              <w:t xml:space="preserve"> </w:t>
            </w:r>
            <w:proofErr w:type="spellStart"/>
            <w:r w:rsidRPr="0060721D">
              <w:rPr>
                <w:rFonts w:ascii="Times New Roman" w:hAnsi="Times New Roman"/>
              </w:rPr>
              <w:t>menționate</w:t>
            </w:r>
            <w:proofErr w:type="spellEnd"/>
            <w:r w:rsidRPr="0060721D">
              <w:rPr>
                <w:rFonts w:ascii="Times New Roman" w:hAnsi="Times New Roman"/>
              </w:rPr>
              <w:t xml:space="preserve"> </w:t>
            </w:r>
            <w:proofErr w:type="spellStart"/>
            <w:r w:rsidRPr="0060721D">
              <w:rPr>
                <w:rFonts w:ascii="Times New Roman" w:hAnsi="Times New Roman"/>
              </w:rPr>
              <w:t>mai</w:t>
            </w:r>
            <w:proofErr w:type="spellEnd"/>
            <w:r w:rsidRPr="0060721D">
              <w:rPr>
                <w:rFonts w:ascii="Times New Roman" w:hAnsi="Times New Roman"/>
              </w:rPr>
              <w:t xml:space="preserve"> sus </w:t>
            </w:r>
            <w:proofErr w:type="spellStart"/>
            <w:r w:rsidRPr="0060721D">
              <w:rPr>
                <w:rFonts w:ascii="Times New Roman" w:hAnsi="Times New Roman"/>
              </w:rPr>
              <w:t>va</w:t>
            </w:r>
            <w:proofErr w:type="spellEnd"/>
            <w:r w:rsidRPr="0060721D">
              <w:rPr>
                <w:rFonts w:ascii="Times New Roman" w:hAnsi="Times New Roman"/>
              </w:rPr>
              <w:t xml:space="preserve"> </w:t>
            </w:r>
            <w:proofErr w:type="spellStart"/>
            <w:r w:rsidRPr="0060721D">
              <w:rPr>
                <w:rFonts w:ascii="Times New Roman" w:hAnsi="Times New Roman"/>
              </w:rPr>
              <w:t>contribui</w:t>
            </w:r>
            <w:proofErr w:type="spellEnd"/>
            <w:r w:rsidRPr="0060721D">
              <w:rPr>
                <w:rFonts w:ascii="Times New Roman" w:hAnsi="Times New Roman"/>
              </w:rPr>
              <w:t xml:space="preserve"> la </w:t>
            </w:r>
            <w:proofErr w:type="spellStart"/>
            <w:r w:rsidRPr="0060721D">
              <w:rPr>
                <w:rFonts w:ascii="Times New Roman" w:hAnsi="Times New Roman"/>
              </w:rPr>
              <w:t>reducerea</w:t>
            </w:r>
            <w:proofErr w:type="spellEnd"/>
            <w:r w:rsidRPr="0060721D">
              <w:rPr>
                <w:rFonts w:ascii="Times New Roman" w:hAnsi="Times New Roman"/>
              </w:rPr>
              <w:t xml:space="preserve"> </w:t>
            </w:r>
            <w:proofErr w:type="spellStart"/>
            <w:r w:rsidRPr="0060721D">
              <w:rPr>
                <w:rFonts w:ascii="Times New Roman" w:hAnsi="Times New Roman"/>
              </w:rPr>
              <w:t>consumului</w:t>
            </w:r>
            <w:proofErr w:type="spellEnd"/>
            <w:r w:rsidRPr="0060721D">
              <w:rPr>
                <w:rFonts w:ascii="Times New Roman" w:hAnsi="Times New Roman"/>
              </w:rPr>
              <w:t xml:space="preserve"> de </w:t>
            </w:r>
            <w:proofErr w:type="spellStart"/>
            <w:r w:rsidRPr="0060721D">
              <w:rPr>
                <w:rFonts w:ascii="Times New Roman" w:hAnsi="Times New Roman"/>
              </w:rPr>
              <w:t>îngrășăminte</w:t>
            </w:r>
            <w:proofErr w:type="spellEnd"/>
            <w:r w:rsidRPr="0060721D">
              <w:rPr>
                <w:rFonts w:ascii="Times New Roman" w:hAnsi="Times New Roman"/>
              </w:rPr>
              <w:t xml:space="preserve"> </w:t>
            </w:r>
            <w:proofErr w:type="spellStart"/>
            <w:r w:rsidRPr="0060721D">
              <w:rPr>
                <w:rFonts w:ascii="Times New Roman" w:hAnsi="Times New Roman"/>
              </w:rPr>
              <w:t>chimice</w:t>
            </w:r>
            <w:proofErr w:type="spellEnd"/>
            <w:r w:rsidRPr="0060721D">
              <w:rPr>
                <w:rFonts w:ascii="Times New Roman" w:hAnsi="Times New Roman"/>
              </w:rPr>
              <w:t xml:space="preserve"> </w:t>
            </w:r>
            <w:proofErr w:type="spellStart"/>
            <w:r w:rsidRPr="0060721D">
              <w:rPr>
                <w:rFonts w:ascii="Times New Roman" w:hAnsi="Times New Roman"/>
              </w:rPr>
              <w:t>azotoase</w:t>
            </w:r>
            <w:proofErr w:type="spellEnd"/>
            <w:r w:rsidRPr="0060721D">
              <w:rPr>
                <w:rFonts w:ascii="Times New Roman" w:hAnsi="Times New Roman"/>
              </w:rPr>
              <w:t xml:space="preserve"> cu </w:t>
            </w:r>
            <w:proofErr w:type="spellStart"/>
            <w:r w:rsidRPr="0060721D">
              <w:rPr>
                <w:rFonts w:ascii="Times New Roman" w:hAnsi="Times New Roman"/>
              </w:rPr>
              <w:t>cel</w:t>
            </w:r>
            <w:proofErr w:type="spellEnd"/>
            <w:r w:rsidRPr="0060721D">
              <w:rPr>
                <w:rFonts w:ascii="Times New Roman" w:hAnsi="Times New Roman"/>
              </w:rPr>
              <w:t xml:space="preserve"> </w:t>
            </w:r>
            <w:proofErr w:type="spellStart"/>
            <w:r w:rsidRPr="0060721D">
              <w:rPr>
                <w:rFonts w:ascii="Times New Roman" w:hAnsi="Times New Roman"/>
              </w:rPr>
              <w:t>puțin</w:t>
            </w:r>
            <w:proofErr w:type="spellEnd"/>
            <w:r w:rsidRPr="0060721D">
              <w:rPr>
                <w:rFonts w:ascii="Times New Roman" w:hAnsi="Times New Roman"/>
              </w:rPr>
              <w:t xml:space="preserve"> 25-35 kg N/ha/an ca </w:t>
            </w:r>
            <w:proofErr w:type="spellStart"/>
            <w:r w:rsidRPr="0060721D">
              <w:rPr>
                <w:rFonts w:ascii="Times New Roman" w:hAnsi="Times New Roman"/>
              </w:rPr>
              <w:t>urmare</w:t>
            </w:r>
            <w:proofErr w:type="spellEnd"/>
            <w:r w:rsidRPr="0060721D">
              <w:rPr>
                <w:rFonts w:ascii="Times New Roman" w:hAnsi="Times New Roman"/>
              </w:rPr>
              <w:t xml:space="preserve"> a </w:t>
            </w:r>
            <w:proofErr w:type="spellStart"/>
            <w:r w:rsidRPr="0060721D">
              <w:rPr>
                <w:rFonts w:ascii="Times New Roman" w:hAnsi="Times New Roman"/>
              </w:rPr>
              <w:t>fixării</w:t>
            </w:r>
            <w:proofErr w:type="spellEnd"/>
            <w:r w:rsidRPr="0060721D">
              <w:rPr>
                <w:rFonts w:ascii="Times New Roman" w:hAnsi="Times New Roman"/>
              </w:rPr>
              <w:t xml:space="preserve"> </w:t>
            </w:r>
            <w:proofErr w:type="spellStart"/>
            <w:r w:rsidRPr="0060721D">
              <w:rPr>
                <w:rFonts w:ascii="Times New Roman" w:hAnsi="Times New Roman"/>
              </w:rPr>
              <w:t>biologice</w:t>
            </w:r>
            <w:proofErr w:type="spellEnd"/>
            <w:r w:rsidRPr="0060721D">
              <w:rPr>
                <w:rFonts w:ascii="Times New Roman" w:hAnsi="Times New Roman"/>
              </w:rPr>
              <w:t xml:space="preserve"> a </w:t>
            </w:r>
            <w:proofErr w:type="spellStart"/>
            <w:r w:rsidRPr="0060721D">
              <w:rPr>
                <w:rFonts w:ascii="Times New Roman" w:hAnsi="Times New Roman"/>
              </w:rPr>
              <w:t>azotului</w:t>
            </w:r>
            <w:proofErr w:type="spellEnd"/>
            <w:r w:rsidRPr="0060721D">
              <w:rPr>
                <w:rFonts w:ascii="Times New Roman" w:hAnsi="Times New Roman"/>
              </w:rPr>
              <w:t xml:space="preserve">, </w:t>
            </w:r>
            <w:proofErr w:type="spellStart"/>
            <w:r w:rsidRPr="0060721D">
              <w:rPr>
                <w:rFonts w:ascii="Times New Roman" w:hAnsi="Times New Roman"/>
              </w:rPr>
              <w:t>respectiv</w:t>
            </w:r>
            <w:proofErr w:type="spellEnd"/>
            <w:r w:rsidRPr="0060721D">
              <w:rPr>
                <w:rFonts w:ascii="Times New Roman" w:hAnsi="Times New Roman"/>
              </w:rPr>
              <w:t xml:space="preserve"> la </w:t>
            </w:r>
            <w:proofErr w:type="spellStart"/>
            <w:r w:rsidRPr="0060721D">
              <w:rPr>
                <w:rFonts w:ascii="Times New Roman" w:hAnsi="Times New Roman"/>
              </w:rPr>
              <w:t>reducerea</w:t>
            </w:r>
            <w:proofErr w:type="spellEnd"/>
            <w:r w:rsidRPr="0060721D">
              <w:rPr>
                <w:rFonts w:ascii="Times New Roman" w:hAnsi="Times New Roman"/>
              </w:rPr>
              <w:t xml:space="preserve"> </w:t>
            </w:r>
            <w:proofErr w:type="spellStart"/>
            <w:r w:rsidRPr="0060721D">
              <w:rPr>
                <w:rFonts w:ascii="Times New Roman" w:hAnsi="Times New Roman"/>
              </w:rPr>
              <w:t>anuală</w:t>
            </w:r>
            <w:proofErr w:type="spellEnd"/>
            <w:r w:rsidRPr="0060721D">
              <w:rPr>
                <w:rFonts w:ascii="Times New Roman" w:hAnsi="Times New Roman"/>
              </w:rPr>
              <w:t xml:space="preserve"> a </w:t>
            </w:r>
            <w:proofErr w:type="spellStart"/>
            <w:r w:rsidRPr="0060721D">
              <w:rPr>
                <w:rFonts w:ascii="Times New Roman" w:hAnsi="Times New Roman"/>
              </w:rPr>
              <w:t>emisiilor</w:t>
            </w:r>
            <w:proofErr w:type="spellEnd"/>
            <w:r w:rsidRPr="0060721D">
              <w:rPr>
                <w:rFonts w:ascii="Times New Roman" w:hAnsi="Times New Roman"/>
              </w:rPr>
              <w:t xml:space="preserve"> de GES (CO2 </w:t>
            </w:r>
            <w:proofErr w:type="spellStart"/>
            <w:r w:rsidRPr="0060721D">
              <w:rPr>
                <w:rFonts w:ascii="Times New Roman" w:hAnsi="Times New Roman"/>
              </w:rPr>
              <w:t>și</w:t>
            </w:r>
            <w:proofErr w:type="spellEnd"/>
            <w:r w:rsidRPr="0060721D">
              <w:rPr>
                <w:rFonts w:ascii="Times New Roman" w:hAnsi="Times New Roman"/>
              </w:rPr>
              <w:t xml:space="preserve"> N2O) cu circa 3 tone CO2 </w:t>
            </w:r>
            <w:proofErr w:type="spellStart"/>
            <w:r w:rsidRPr="0060721D">
              <w:rPr>
                <w:rFonts w:ascii="Times New Roman" w:hAnsi="Times New Roman"/>
              </w:rPr>
              <w:t>echivalent</w:t>
            </w:r>
            <w:proofErr w:type="spellEnd"/>
            <w:r w:rsidRPr="0060721D">
              <w:rPr>
                <w:rFonts w:ascii="Times New Roman" w:hAnsi="Times New Roman"/>
              </w:rPr>
              <w:t xml:space="preserve">/ha/an. </w:t>
            </w:r>
            <w:proofErr w:type="spellStart"/>
            <w:r w:rsidRPr="0060721D">
              <w:rPr>
                <w:rFonts w:ascii="Times New Roman" w:hAnsi="Times New Roman"/>
              </w:rPr>
              <w:t>Acţiunea</w:t>
            </w:r>
            <w:proofErr w:type="spellEnd"/>
            <w:r w:rsidRPr="0060721D">
              <w:rPr>
                <w:rFonts w:ascii="Times New Roman" w:hAnsi="Times New Roman"/>
              </w:rPr>
              <w:t xml:space="preserve"> </w:t>
            </w:r>
            <w:proofErr w:type="spellStart"/>
            <w:r w:rsidRPr="0060721D">
              <w:rPr>
                <w:rFonts w:ascii="Times New Roman" w:hAnsi="Times New Roman"/>
              </w:rPr>
              <w:t>este</w:t>
            </w:r>
            <w:proofErr w:type="spellEnd"/>
            <w:r w:rsidRPr="0060721D">
              <w:rPr>
                <w:rFonts w:ascii="Times New Roman" w:hAnsi="Times New Roman"/>
              </w:rPr>
              <w:t xml:space="preserve"> </w:t>
            </w:r>
            <w:proofErr w:type="spellStart"/>
            <w:r w:rsidRPr="0060721D">
              <w:rPr>
                <w:rFonts w:ascii="Times New Roman" w:hAnsi="Times New Roman"/>
              </w:rPr>
              <w:t>recomandată</w:t>
            </w:r>
            <w:proofErr w:type="spellEnd"/>
            <w:r w:rsidRPr="0060721D">
              <w:rPr>
                <w:rFonts w:ascii="Times New Roman" w:hAnsi="Times New Roman"/>
              </w:rPr>
              <w:t xml:space="preserve"> </w:t>
            </w:r>
            <w:proofErr w:type="spellStart"/>
            <w:r w:rsidRPr="0060721D">
              <w:rPr>
                <w:rFonts w:ascii="Times New Roman" w:hAnsi="Times New Roman"/>
              </w:rPr>
              <w:t>pentru</w:t>
            </w:r>
            <w:proofErr w:type="spellEnd"/>
            <w:r w:rsidRPr="0060721D">
              <w:rPr>
                <w:rFonts w:ascii="Times New Roman" w:hAnsi="Times New Roman"/>
              </w:rPr>
              <w:t xml:space="preserve"> </w:t>
            </w:r>
            <w:proofErr w:type="spellStart"/>
            <w:r w:rsidRPr="0060721D">
              <w:rPr>
                <w:rFonts w:ascii="Times New Roman" w:hAnsi="Times New Roman"/>
              </w:rPr>
              <w:t>raionul</w:t>
            </w:r>
            <w:proofErr w:type="spellEnd"/>
            <w:r w:rsidRPr="0060721D">
              <w:rPr>
                <w:rFonts w:ascii="Times New Roman" w:hAnsi="Times New Roman"/>
              </w:rPr>
              <w:t xml:space="preserve"> </w:t>
            </w:r>
            <w:proofErr w:type="spellStart"/>
            <w:r w:rsidRPr="0060721D">
              <w:rPr>
                <w:rFonts w:ascii="Times New Roman" w:hAnsi="Times New Roman"/>
              </w:rPr>
              <w:t>cernoziomurilor</w:t>
            </w:r>
            <w:proofErr w:type="spellEnd"/>
            <w:r w:rsidRPr="0060721D">
              <w:rPr>
                <w:rFonts w:ascii="Times New Roman" w:hAnsi="Times New Roman"/>
              </w:rPr>
              <w:t xml:space="preserve"> </w:t>
            </w:r>
            <w:proofErr w:type="spellStart"/>
            <w:r w:rsidRPr="0060721D">
              <w:rPr>
                <w:rFonts w:ascii="Times New Roman" w:hAnsi="Times New Roman"/>
              </w:rPr>
              <w:t>tipice</w:t>
            </w:r>
            <w:proofErr w:type="spellEnd"/>
            <w:r w:rsidRPr="0060721D">
              <w:rPr>
                <w:rFonts w:ascii="Times New Roman" w:hAnsi="Times New Roman"/>
              </w:rPr>
              <w:t xml:space="preserve"> slab </w:t>
            </w:r>
            <w:proofErr w:type="spellStart"/>
            <w:r w:rsidRPr="0060721D">
              <w:rPr>
                <w:rFonts w:ascii="Times New Roman" w:hAnsi="Times New Roman"/>
              </w:rPr>
              <w:t>humifiere</w:t>
            </w:r>
            <w:proofErr w:type="spellEnd"/>
            <w:r w:rsidRPr="0060721D">
              <w:rPr>
                <w:rFonts w:ascii="Times New Roman" w:hAnsi="Times New Roman"/>
              </w:rPr>
              <w:t xml:space="preserve"> </w:t>
            </w:r>
            <w:proofErr w:type="spellStart"/>
            <w:r w:rsidRPr="0060721D">
              <w:rPr>
                <w:rFonts w:ascii="Times New Roman" w:hAnsi="Times New Roman"/>
              </w:rPr>
              <w:t>și</w:t>
            </w:r>
            <w:proofErr w:type="spellEnd"/>
            <w:r w:rsidRPr="0060721D">
              <w:rPr>
                <w:rFonts w:ascii="Times New Roman" w:hAnsi="Times New Roman"/>
              </w:rPr>
              <w:t xml:space="preserve"> </w:t>
            </w:r>
            <w:proofErr w:type="spellStart"/>
            <w:r w:rsidRPr="0060721D">
              <w:rPr>
                <w:rFonts w:ascii="Times New Roman" w:hAnsi="Times New Roman"/>
              </w:rPr>
              <w:t>carbonatice</w:t>
            </w:r>
            <w:proofErr w:type="spellEnd"/>
            <w:r w:rsidRPr="0060721D">
              <w:rPr>
                <w:rFonts w:ascii="Times New Roman" w:hAnsi="Times New Roman"/>
              </w:rPr>
              <w:t xml:space="preserve">, </w:t>
            </w:r>
            <w:proofErr w:type="spellStart"/>
            <w:r w:rsidRPr="0060721D">
              <w:rPr>
                <w:rFonts w:ascii="Times New Roman" w:hAnsi="Times New Roman"/>
              </w:rPr>
              <w:t>raionului</w:t>
            </w:r>
            <w:proofErr w:type="spellEnd"/>
            <w:r w:rsidRPr="0060721D">
              <w:rPr>
                <w:rFonts w:ascii="Times New Roman" w:hAnsi="Times New Roman"/>
              </w:rPr>
              <w:t xml:space="preserve"> </w:t>
            </w:r>
            <w:proofErr w:type="spellStart"/>
            <w:r w:rsidRPr="0060721D">
              <w:rPr>
                <w:rFonts w:ascii="Times New Roman" w:hAnsi="Times New Roman"/>
              </w:rPr>
              <w:t>pedogeografic</w:t>
            </w:r>
            <w:proofErr w:type="spellEnd"/>
            <w:r w:rsidRPr="0060721D">
              <w:rPr>
                <w:rFonts w:ascii="Times New Roman" w:hAnsi="Times New Roman"/>
              </w:rPr>
              <w:t xml:space="preserve"> al </w:t>
            </w:r>
            <w:proofErr w:type="spellStart"/>
            <w:r w:rsidRPr="0060721D">
              <w:rPr>
                <w:rFonts w:ascii="Times New Roman" w:hAnsi="Times New Roman"/>
              </w:rPr>
              <w:t>cernoziomurilor</w:t>
            </w:r>
            <w:proofErr w:type="spellEnd"/>
            <w:r w:rsidRPr="0060721D">
              <w:rPr>
                <w:rFonts w:ascii="Times New Roman" w:hAnsi="Times New Roman"/>
              </w:rPr>
              <w:t xml:space="preserve"> </w:t>
            </w:r>
            <w:proofErr w:type="spellStart"/>
            <w:r w:rsidRPr="0060721D">
              <w:rPr>
                <w:rFonts w:ascii="Times New Roman" w:hAnsi="Times New Roman"/>
              </w:rPr>
              <w:t>tipice</w:t>
            </w:r>
            <w:proofErr w:type="spellEnd"/>
            <w:r w:rsidRPr="0060721D">
              <w:rPr>
                <w:rFonts w:ascii="Times New Roman" w:hAnsi="Times New Roman"/>
              </w:rPr>
              <w:t xml:space="preserve"> slab </w:t>
            </w:r>
            <w:proofErr w:type="spellStart"/>
            <w:r w:rsidRPr="0060721D">
              <w:rPr>
                <w:rFonts w:ascii="Times New Roman" w:hAnsi="Times New Roman"/>
              </w:rPr>
              <w:t>și</w:t>
            </w:r>
            <w:proofErr w:type="spellEnd"/>
            <w:r w:rsidRPr="0060721D">
              <w:rPr>
                <w:rFonts w:ascii="Times New Roman" w:hAnsi="Times New Roman"/>
              </w:rPr>
              <w:t xml:space="preserve"> </w:t>
            </w:r>
            <w:proofErr w:type="spellStart"/>
            <w:r w:rsidRPr="0060721D">
              <w:rPr>
                <w:rFonts w:ascii="Times New Roman" w:hAnsi="Times New Roman"/>
              </w:rPr>
              <w:t>moderat</w:t>
            </w:r>
            <w:proofErr w:type="spellEnd"/>
            <w:r w:rsidRPr="0060721D">
              <w:rPr>
                <w:rFonts w:ascii="Times New Roman" w:hAnsi="Times New Roman"/>
              </w:rPr>
              <w:t xml:space="preserve"> </w:t>
            </w:r>
            <w:proofErr w:type="spellStart"/>
            <w:r w:rsidRPr="0060721D">
              <w:rPr>
                <w:rFonts w:ascii="Times New Roman" w:hAnsi="Times New Roman"/>
              </w:rPr>
              <w:t>humifiere</w:t>
            </w:r>
            <w:proofErr w:type="spellEnd"/>
            <w:r w:rsidRPr="0060721D">
              <w:rPr>
                <w:rFonts w:ascii="Times New Roman" w:hAnsi="Times New Roman"/>
              </w:rPr>
              <w:t xml:space="preserve"> </w:t>
            </w:r>
            <w:proofErr w:type="spellStart"/>
            <w:r w:rsidRPr="0060721D">
              <w:rPr>
                <w:rFonts w:ascii="Times New Roman" w:hAnsi="Times New Roman"/>
              </w:rPr>
              <w:t>și</w:t>
            </w:r>
            <w:proofErr w:type="spellEnd"/>
            <w:r w:rsidRPr="0060721D">
              <w:rPr>
                <w:rFonts w:ascii="Times New Roman" w:hAnsi="Times New Roman"/>
              </w:rPr>
              <w:t xml:space="preserve"> levigate ale </w:t>
            </w:r>
            <w:proofErr w:type="spellStart"/>
            <w:r w:rsidRPr="0060721D">
              <w:rPr>
                <w:rFonts w:ascii="Times New Roman" w:hAnsi="Times New Roman"/>
              </w:rPr>
              <w:t>silvostepei</w:t>
            </w:r>
            <w:proofErr w:type="spellEnd"/>
            <w:r w:rsidRPr="0060721D">
              <w:rPr>
                <w:rFonts w:ascii="Times New Roman" w:hAnsi="Times New Roman"/>
              </w:rPr>
              <w:t xml:space="preserve"> </w:t>
            </w:r>
            <w:proofErr w:type="spellStart"/>
            <w:r w:rsidRPr="0060721D">
              <w:rPr>
                <w:rFonts w:ascii="Times New Roman" w:hAnsi="Times New Roman"/>
              </w:rPr>
              <w:t>xerofite</w:t>
            </w:r>
            <w:proofErr w:type="spellEnd"/>
            <w:r w:rsidRPr="0060721D">
              <w:rPr>
                <w:rFonts w:ascii="Times New Roman" w:hAnsi="Times New Roman"/>
              </w:rPr>
              <w:t xml:space="preserve"> a </w:t>
            </w:r>
            <w:proofErr w:type="spellStart"/>
            <w:r w:rsidRPr="0060721D">
              <w:rPr>
                <w:rFonts w:ascii="Times New Roman" w:hAnsi="Times New Roman"/>
              </w:rPr>
              <w:t>Câmpiei</w:t>
            </w:r>
            <w:proofErr w:type="spellEnd"/>
            <w:r w:rsidRPr="0060721D">
              <w:rPr>
                <w:rFonts w:ascii="Times New Roman" w:hAnsi="Times New Roman"/>
              </w:rPr>
              <w:t xml:space="preserve"> </w:t>
            </w:r>
            <w:proofErr w:type="spellStart"/>
            <w:r w:rsidRPr="0060721D">
              <w:rPr>
                <w:rFonts w:ascii="Times New Roman" w:hAnsi="Times New Roman"/>
              </w:rPr>
              <w:t>Moldovei</w:t>
            </w:r>
            <w:proofErr w:type="spellEnd"/>
            <w:r w:rsidRPr="0060721D">
              <w:rPr>
                <w:rFonts w:ascii="Times New Roman" w:hAnsi="Times New Roman"/>
              </w:rPr>
              <w:t xml:space="preserve"> de Sud, </w:t>
            </w:r>
            <w:proofErr w:type="spellStart"/>
            <w:r w:rsidRPr="0060721D">
              <w:rPr>
                <w:rFonts w:ascii="Times New Roman" w:hAnsi="Times New Roman"/>
              </w:rPr>
              <w:t>subraionul</w:t>
            </w:r>
            <w:proofErr w:type="spellEnd"/>
            <w:r w:rsidRPr="0060721D">
              <w:rPr>
                <w:rFonts w:ascii="Times New Roman" w:hAnsi="Times New Roman"/>
              </w:rPr>
              <w:t xml:space="preserve"> </w:t>
            </w:r>
            <w:proofErr w:type="spellStart"/>
            <w:r w:rsidRPr="0060721D">
              <w:rPr>
                <w:rFonts w:ascii="Times New Roman" w:hAnsi="Times New Roman"/>
              </w:rPr>
              <w:t>pedogeografic</w:t>
            </w:r>
            <w:proofErr w:type="spellEnd"/>
            <w:r w:rsidRPr="0060721D">
              <w:rPr>
                <w:rFonts w:ascii="Times New Roman" w:hAnsi="Times New Roman"/>
              </w:rPr>
              <w:t xml:space="preserve"> al </w:t>
            </w:r>
            <w:proofErr w:type="spellStart"/>
            <w:r w:rsidRPr="0060721D">
              <w:rPr>
                <w:rFonts w:ascii="Times New Roman" w:hAnsi="Times New Roman"/>
              </w:rPr>
              <w:t>cernoziomurilor</w:t>
            </w:r>
            <w:proofErr w:type="spellEnd"/>
            <w:r w:rsidRPr="0060721D">
              <w:rPr>
                <w:rFonts w:ascii="Times New Roman" w:hAnsi="Times New Roman"/>
              </w:rPr>
              <w:t xml:space="preserve"> </w:t>
            </w:r>
            <w:proofErr w:type="spellStart"/>
            <w:r w:rsidRPr="0060721D">
              <w:rPr>
                <w:rFonts w:ascii="Times New Roman" w:hAnsi="Times New Roman"/>
              </w:rPr>
              <w:t>tipice</w:t>
            </w:r>
            <w:proofErr w:type="spellEnd"/>
            <w:r w:rsidRPr="0060721D">
              <w:rPr>
                <w:rFonts w:ascii="Times New Roman" w:hAnsi="Times New Roman"/>
              </w:rPr>
              <w:t xml:space="preserve">, </w:t>
            </w:r>
            <w:proofErr w:type="spellStart"/>
            <w:r w:rsidRPr="0060721D">
              <w:rPr>
                <w:rFonts w:ascii="Times New Roman" w:hAnsi="Times New Roman"/>
              </w:rPr>
              <w:t>solenețurilor</w:t>
            </w:r>
            <w:proofErr w:type="spellEnd"/>
            <w:r w:rsidRPr="0060721D">
              <w:rPr>
                <w:rFonts w:ascii="Times New Roman" w:hAnsi="Times New Roman"/>
              </w:rPr>
              <w:t xml:space="preserve"> </w:t>
            </w:r>
            <w:proofErr w:type="spellStart"/>
            <w:r w:rsidRPr="0060721D">
              <w:rPr>
                <w:rFonts w:ascii="Times New Roman" w:hAnsi="Times New Roman"/>
              </w:rPr>
              <w:t>automorfe</w:t>
            </w:r>
            <w:proofErr w:type="spellEnd"/>
            <w:r w:rsidRPr="0060721D">
              <w:rPr>
                <w:rFonts w:ascii="Times New Roman" w:hAnsi="Times New Roman"/>
              </w:rPr>
              <w:t xml:space="preserve"> </w:t>
            </w:r>
            <w:proofErr w:type="spellStart"/>
            <w:r w:rsidRPr="0060721D">
              <w:rPr>
                <w:rFonts w:ascii="Times New Roman" w:hAnsi="Times New Roman"/>
              </w:rPr>
              <w:t>și</w:t>
            </w:r>
            <w:proofErr w:type="spellEnd"/>
            <w:r w:rsidRPr="0060721D">
              <w:rPr>
                <w:rFonts w:ascii="Times New Roman" w:hAnsi="Times New Roman"/>
              </w:rPr>
              <w:t xml:space="preserve"> </w:t>
            </w:r>
            <w:proofErr w:type="spellStart"/>
            <w:r w:rsidRPr="0060721D">
              <w:rPr>
                <w:rFonts w:ascii="Times New Roman" w:hAnsi="Times New Roman"/>
              </w:rPr>
              <w:t>cernoziomurilor</w:t>
            </w:r>
            <w:proofErr w:type="spellEnd"/>
            <w:r w:rsidRPr="0060721D">
              <w:rPr>
                <w:rFonts w:ascii="Times New Roman" w:hAnsi="Times New Roman"/>
              </w:rPr>
              <w:t xml:space="preserve"> </w:t>
            </w:r>
            <w:proofErr w:type="spellStart"/>
            <w:r w:rsidRPr="0060721D">
              <w:rPr>
                <w:rFonts w:ascii="Times New Roman" w:hAnsi="Times New Roman"/>
              </w:rPr>
              <w:t>solonețizate</w:t>
            </w:r>
            <w:proofErr w:type="spellEnd"/>
            <w:r w:rsidRPr="0060721D">
              <w:rPr>
                <w:rFonts w:ascii="Times New Roman" w:hAnsi="Times New Roman"/>
              </w:rPr>
              <w:t xml:space="preserve"> ale </w:t>
            </w:r>
            <w:proofErr w:type="spellStart"/>
            <w:r w:rsidRPr="0060721D">
              <w:rPr>
                <w:rFonts w:ascii="Times New Roman" w:hAnsi="Times New Roman"/>
              </w:rPr>
              <w:lastRenderedPageBreak/>
              <w:t>Podișului</w:t>
            </w:r>
            <w:proofErr w:type="spellEnd"/>
            <w:r w:rsidRPr="0060721D">
              <w:rPr>
                <w:rFonts w:ascii="Times New Roman" w:hAnsi="Times New Roman"/>
              </w:rPr>
              <w:t xml:space="preserve"> </w:t>
            </w:r>
            <w:proofErr w:type="spellStart"/>
            <w:r w:rsidRPr="0060721D">
              <w:rPr>
                <w:rFonts w:ascii="Times New Roman" w:hAnsi="Times New Roman"/>
              </w:rPr>
              <w:t>Ciuluc-Soloneț</w:t>
            </w:r>
            <w:proofErr w:type="spellEnd"/>
            <w:r w:rsidRPr="0060721D">
              <w:rPr>
                <w:rFonts w:ascii="Times New Roman" w:hAnsi="Times New Roman"/>
              </w:rPr>
              <w:t>.</w:t>
            </w:r>
          </w:p>
        </w:tc>
        <w:tc>
          <w:tcPr>
            <w:tcW w:w="1620" w:type="dxa"/>
            <w:gridSpan w:val="2"/>
            <w:hideMark/>
          </w:tcPr>
          <w:p w14:paraId="0709BFE5" w14:textId="77777777" w:rsidR="0060721D" w:rsidRPr="0060721D" w:rsidRDefault="0060721D" w:rsidP="0060721D">
            <w:pPr>
              <w:jc w:val="center"/>
              <w:rPr>
                <w:rFonts w:ascii="Times New Roman" w:eastAsia="Times New Roman" w:hAnsi="Times New Roman"/>
                <w:lang w:eastAsia="ru-RU"/>
              </w:rPr>
            </w:pPr>
            <w:r w:rsidRPr="0060721D">
              <w:rPr>
                <w:rFonts w:ascii="Times New Roman" w:eastAsia="Times New Roman" w:hAnsi="Times New Roman"/>
                <w:lang w:val="es-ES" w:eastAsia="ru-RU"/>
              </w:rPr>
              <w:lastRenderedPageBreak/>
              <w:t>150 mii ha/an în perioada 2021-2025</w:t>
            </w:r>
          </w:p>
        </w:tc>
        <w:tc>
          <w:tcPr>
            <w:tcW w:w="1440" w:type="dxa"/>
            <w:gridSpan w:val="2"/>
            <w:hideMark/>
          </w:tcPr>
          <w:p w14:paraId="1C137442" w14:textId="77777777" w:rsidR="0060721D" w:rsidRPr="0060721D" w:rsidRDefault="0060721D" w:rsidP="0060721D">
            <w:pPr>
              <w:jc w:val="center"/>
              <w:rPr>
                <w:rFonts w:ascii="Times New Roman" w:eastAsia="Times New Roman" w:hAnsi="Times New Roman"/>
                <w:lang w:val="ro-RO" w:eastAsia="ru-RU"/>
              </w:rPr>
            </w:pPr>
            <w:r w:rsidRPr="0060721D">
              <w:rPr>
                <w:rFonts w:ascii="Times New Roman" w:eastAsia="Times New Roman" w:hAnsi="Times New Roman"/>
                <w:lang w:val="es-ES" w:eastAsia="ru-RU"/>
              </w:rPr>
              <w:t>50 mii ha/an în perioada 2021-2025</w:t>
            </w:r>
          </w:p>
        </w:tc>
        <w:tc>
          <w:tcPr>
            <w:tcW w:w="3429" w:type="dxa"/>
            <w:gridSpan w:val="2"/>
            <w:hideMark/>
          </w:tcPr>
          <w:p w14:paraId="315FC711" w14:textId="77777777" w:rsidR="0060721D" w:rsidRPr="0060721D" w:rsidRDefault="0060721D" w:rsidP="0060721D">
            <w:pPr>
              <w:jc w:val="center"/>
              <w:rPr>
                <w:rFonts w:ascii="Times New Roman" w:eastAsia="Times New Roman" w:hAnsi="Times New Roman"/>
                <w:lang w:val="ro-RO" w:eastAsia="ru-RU"/>
              </w:rPr>
            </w:pPr>
            <w:r w:rsidRPr="0060721D">
              <w:rPr>
                <w:rFonts w:ascii="Times New Roman" w:eastAsia="Times New Roman" w:hAnsi="Times New Roman"/>
                <w:lang w:eastAsia="ru-RU"/>
              </w:rPr>
              <w:t>450 mii tone CO2</w:t>
            </w:r>
            <w:r w:rsidRPr="0060721D">
              <w:rPr>
                <w:rFonts w:ascii="Times New Roman" w:eastAsia="Times New Roman" w:hAnsi="Times New Roman"/>
                <w:vertAlign w:val="subscript"/>
                <w:lang w:eastAsia="ru-RU"/>
              </w:rPr>
              <w:t xml:space="preserve"> </w:t>
            </w:r>
            <w:proofErr w:type="spellStart"/>
            <w:r w:rsidRPr="0060721D">
              <w:rPr>
                <w:rFonts w:ascii="Times New Roman" w:eastAsia="Times New Roman" w:hAnsi="Times New Roman"/>
                <w:lang w:eastAsia="ru-RU"/>
              </w:rPr>
              <w:t>echivalent</w:t>
            </w:r>
            <w:proofErr w:type="spellEnd"/>
            <w:r w:rsidRPr="0060721D">
              <w:rPr>
                <w:rFonts w:ascii="Times New Roman" w:eastAsia="Times New Roman" w:hAnsi="Times New Roman"/>
                <w:lang w:eastAsia="ru-RU"/>
              </w:rPr>
              <w:t xml:space="preserve">/an </w:t>
            </w:r>
            <w:proofErr w:type="spellStart"/>
            <w:r w:rsidRPr="0060721D">
              <w:rPr>
                <w:rFonts w:ascii="Times New Roman" w:eastAsia="Times New Roman" w:hAnsi="Times New Roman"/>
                <w:lang w:eastAsia="ru-RU"/>
              </w:rPr>
              <w:t>în</w:t>
            </w:r>
            <w:proofErr w:type="spellEnd"/>
            <w:r w:rsidRPr="0060721D">
              <w:rPr>
                <w:rFonts w:ascii="Times New Roman" w:eastAsia="Times New Roman" w:hAnsi="Times New Roman"/>
                <w:lang w:eastAsia="ru-RU"/>
              </w:rPr>
              <w:t xml:space="preserve"> </w:t>
            </w:r>
            <w:proofErr w:type="spellStart"/>
            <w:r w:rsidRPr="0060721D">
              <w:rPr>
                <w:rFonts w:ascii="Times New Roman" w:eastAsia="Times New Roman" w:hAnsi="Times New Roman"/>
                <w:lang w:eastAsia="ru-RU"/>
              </w:rPr>
              <w:t>perioada</w:t>
            </w:r>
            <w:proofErr w:type="spellEnd"/>
            <w:r w:rsidRPr="0060721D">
              <w:rPr>
                <w:rFonts w:ascii="Times New Roman" w:eastAsia="Times New Roman" w:hAnsi="Times New Roman"/>
                <w:lang w:eastAsia="ru-RU"/>
              </w:rPr>
              <w:t xml:space="preserve"> 2021-2025</w:t>
            </w:r>
          </w:p>
        </w:tc>
        <w:tc>
          <w:tcPr>
            <w:tcW w:w="1502" w:type="dxa"/>
            <w:gridSpan w:val="2"/>
            <w:hideMark/>
          </w:tcPr>
          <w:p w14:paraId="4264AEC4" w14:textId="77777777" w:rsidR="0060721D" w:rsidRPr="0060721D" w:rsidRDefault="0060721D" w:rsidP="0060721D">
            <w:pPr>
              <w:jc w:val="center"/>
              <w:rPr>
                <w:rFonts w:ascii="Times New Roman" w:eastAsia="Times New Roman" w:hAnsi="Times New Roman"/>
                <w:lang w:val="ro-RO" w:eastAsia="ru-RU"/>
              </w:rPr>
            </w:pPr>
            <w:r w:rsidRPr="0060721D">
              <w:rPr>
                <w:rFonts w:ascii="Times New Roman" w:eastAsia="Times New Roman" w:hAnsi="Times New Roman"/>
                <w:lang w:eastAsia="ru-RU"/>
              </w:rPr>
              <w:t xml:space="preserve">150 mii tone CO2 </w:t>
            </w:r>
            <w:proofErr w:type="spellStart"/>
            <w:r w:rsidRPr="0060721D">
              <w:rPr>
                <w:rFonts w:ascii="Times New Roman" w:eastAsia="Times New Roman" w:hAnsi="Times New Roman"/>
                <w:lang w:eastAsia="ru-RU"/>
              </w:rPr>
              <w:t>echivalent</w:t>
            </w:r>
            <w:proofErr w:type="spellEnd"/>
            <w:r w:rsidRPr="0060721D">
              <w:rPr>
                <w:rFonts w:ascii="Times New Roman" w:eastAsia="Times New Roman" w:hAnsi="Times New Roman"/>
                <w:lang w:eastAsia="ru-RU"/>
              </w:rPr>
              <w:t xml:space="preserve">/an </w:t>
            </w:r>
            <w:proofErr w:type="spellStart"/>
            <w:r w:rsidRPr="0060721D">
              <w:rPr>
                <w:rFonts w:ascii="Times New Roman" w:eastAsia="Times New Roman" w:hAnsi="Times New Roman"/>
                <w:lang w:eastAsia="ru-RU"/>
              </w:rPr>
              <w:t>în</w:t>
            </w:r>
            <w:proofErr w:type="spellEnd"/>
            <w:r w:rsidRPr="0060721D">
              <w:rPr>
                <w:rFonts w:ascii="Times New Roman" w:eastAsia="Times New Roman" w:hAnsi="Times New Roman"/>
                <w:lang w:eastAsia="ru-RU"/>
              </w:rPr>
              <w:t xml:space="preserve"> </w:t>
            </w:r>
            <w:proofErr w:type="spellStart"/>
            <w:r w:rsidRPr="0060721D">
              <w:rPr>
                <w:rFonts w:ascii="Times New Roman" w:eastAsia="Times New Roman" w:hAnsi="Times New Roman"/>
                <w:lang w:eastAsia="ru-RU"/>
              </w:rPr>
              <w:t>perioada</w:t>
            </w:r>
            <w:proofErr w:type="spellEnd"/>
            <w:r w:rsidRPr="0060721D">
              <w:rPr>
                <w:rFonts w:ascii="Times New Roman" w:eastAsia="Times New Roman" w:hAnsi="Times New Roman"/>
                <w:lang w:eastAsia="ru-RU"/>
              </w:rPr>
              <w:t xml:space="preserve"> 2021-2025</w:t>
            </w:r>
          </w:p>
        </w:tc>
      </w:tr>
      <w:tr w:rsidR="00F11CCD" w:rsidRPr="0060721D" w14:paraId="776E04BC" w14:textId="77777777" w:rsidTr="00F11CCD">
        <w:trPr>
          <w:divId w:val="546725049"/>
          <w:trHeight w:val="3195"/>
        </w:trPr>
        <w:tc>
          <w:tcPr>
            <w:tcW w:w="500" w:type="dxa"/>
            <w:vMerge/>
            <w:hideMark/>
          </w:tcPr>
          <w:p w14:paraId="074F144C" w14:textId="77777777" w:rsidR="0060721D" w:rsidRPr="0060721D" w:rsidRDefault="0060721D" w:rsidP="0060721D">
            <w:pPr>
              <w:jc w:val="center"/>
              <w:rPr>
                <w:rFonts w:ascii="Times New Roman" w:eastAsia="Times New Roman" w:hAnsi="Times New Roman"/>
                <w:lang w:eastAsia="ru-RU"/>
              </w:rPr>
            </w:pPr>
          </w:p>
        </w:tc>
        <w:tc>
          <w:tcPr>
            <w:tcW w:w="3437" w:type="dxa"/>
            <w:gridSpan w:val="2"/>
            <w:vMerge/>
            <w:hideMark/>
          </w:tcPr>
          <w:p w14:paraId="7FCA6A97" w14:textId="77777777" w:rsidR="0060721D" w:rsidRPr="0060721D" w:rsidRDefault="0060721D" w:rsidP="0060721D">
            <w:pPr>
              <w:rPr>
                <w:rFonts w:ascii="Times New Roman" w:eastAsia="Times New Roman" w:hAnsi="Times New Roman"/>
                <w:lang w:val="es-ES" w:eastAsia="ru-RU"/>
              </w:rPr>
            </w:pPr>
          </w:p>
        </w:tc>
        <w:tc>
          <w:tcPr>
            <w:tcW w:w="2211" w:type="dxa"/>
            <w:gridSpan w:val="2"/>
            <w:vMerge/>
            <w:hideMark/>
          </w:tcPr>
          <w:p w14:paraId="136831E6" w14:textId="77777777" w:rsidR="0060721D" w:rsidRPr="0060721D" w:rsidRDefault="0060721D" w:rsidP="0060721D">
            <w:pPr>
              <w:rPr>
                <w:rFonts w:ascii="Times New Roman" w:eastAsia="Times New Roman" w:hAnsi="Times New Roman"/>
                <w:lang w:val="es-ES" w:eastAsia="ru-RU"/>
              </w:rPr>
            </w:pPr>
          </w:p>
        </w:tc>
        <w:tc>
          <w:tcPr>
            <w:tcW w:w="1620" w:type="dxa"/>
            <w:gridSpan w:val="2"/>
            <w:hideMark/>
          </w:tcPr>
          <w:p w14:paraId="1F4EEE97" w14:textId="77777777" w:rsidR="0060721D" w:rsidRPr="0060721D" w:rsidRDefault="0060721D" w:rsidP="0060721D">
            <w:pPr>
              <w:jc w:val="center"/>
              <w:rPr>
                <w:rFonts w:ascii="Times New Roman" w:eastAsia="Times New Roman" w:hAnsi="Times New Roman"/>
                <w:lang w:val="ro-RO" w:eastAsia="ru-RU"/>
              </w:rPr>
            </w:pPr>
            <w:r w:rsidRPr="0060721D">
              <w:rPr>
                <w:rFonts w:ascii="Times New Roman" w:eastAsia="Times New Roman" w:hAnsi="Times New Roman"/>
                <w:lang w:val="es-ES" w:eastAsia="ru-RU"/>
              </w:rPr>
              <w:t>300 mii ha/an în perioada 2026-2030</w:t>
            </w:r>
          </w:p>
        </w:tc>
        <w:tc>
          <w:tcPr>
            <w:tcW w:w="1440" w:type="dxa"/>
            <w:gridSpan w:val="2"/>
            <w:hideMark/>
          </w:tcPr>
          <w:p w14:paraId="3223ECE0" w14:textId="77777777" w:rsidR="0060721D" w:rsidRPr="0060721D" w:rsidRDefault="0060721D" w:rsidP="0060721D">
            <w:pPr>
              <w:jc w:val="center"/>
              <w:rPr>
                <w:rFonts w:ascii="Times New Roman" w:eastAsia="Times New Roman" w:hAnsi="Times New Roman"/>
                <w:lang w:val="ro-RO" w:eastAsia="ru-RU"/>
              </w:rPr>
            </w:pPr>
            <w:r w:rsidRPr="0060721D">
              <w:rPr>
                <w:rFonts w:ascii="Times New Roman" w:eastAsia="Times New Roman" w:hAnsi="Times New Roman"/>
                <w:lang w:val="es-ES" w:eastAsia="ru-RU"/>
              </w:rPr>
              <w:t>100 mii ha/an în perioada 2026-2030</w:t>
            </w:r>
          </w:p>
        </w:tc>
        <w:tc>
          <w:tcPr>
            <w:tcW w:w="3429" w:type="dxa"/>
            <w:gridSpan w:val="2"/>
            <w:hideMark/>
          </w:tcPr>
          <w:p w14:paraId="274314EF" w14:textId="77777777" w:rsidR="0060721D" w:rsidRPr="0060721D" w:rsidRDefault="0060721D" w:rsidP="0060721D">
            <w:pPr>
              <w:jc w:val="center"/>
              <w:rPr>
                <w:rFonts w:ascii="Times New Roman" w:eastAsia="Times New Roman" w:hAnsi="Times New Roman"/>
                <w:lang w:val="ro-RO" w:eastAsia="ru-RU"/>
              </w:rPr>
            </w:pPr>
            <w:r w:rsidRPr="0060721D">
              <w:rPr>
                <w:rFonts w:ascii="Times New Roman" w:eastAsia="Times New Roman" w:hAnsi="Times New Roman"/>
                <w:lang w:eastAsia="ru-RU"/>
              </w:rPr>
              <w:t xml:space="preserve">900 mii tone CO2 </w:t>
            </w:r>
            <w:proofErr w:type="spellStart"/>
            <w:r w:rsidRPr="0060721D">
              <w:rPr>
                <w:rFonts w:ascii="Times New Roman" w:eastAsia="Times New Roman" w:hAnsi="Times New Roman"/>
                <w:lang w:eastAsia="ru-RU"/>
              </w:rPr>
              <w:t>echivalent</w:t>
            </w:r>
            <w:proofErr w:type="spellEnd"/>
            <w:r w:rsidRPr="0060721D">
              <w:rPr>
                <w:rFonts w:ascii="Times New Roman" w:eastAsia="Times New Roman" w:hAnsi="Times New Roman"/>
                <w:lang w:eastAsia="ru-RU"/>
              </w:rPr>
              <w:t xml:space="preserve">/an </w:t>
            </w:r>
            <w:proofErr w:type="spellStart"/>
            <w:r w:rsidRPr="0060721D">
              <w:rPr>
                <w:rFonts w:ascii="Times New Roman" w:eastAsia="Times New Roman" w:hAnsi="Times New Roman"/>
                <w:lang w:eastAsia="ru-RU"/>
              </w:rPr>
              <w:t>în</w:t>
            </w:r>
            <w:proofErr w:type="spellEnd"/>
            <w:r w:rsidRPr="0060721D">
              <w:rPr>
                <w:rFonts w:ascii="Times New Roman" w:eastAsia="Times New Roman" w:hAnsi="Times New Roman"/>
                <w:lang w:eastAsia="ru-RU"/>
              </w:rPr>
              <w:t xml:space="preserve"> </w:t>
            </w:r>
            <w:proofErr w:type="spellStart"/>
            <w:r w:rsidRPr="0060721D">
              <w:rPr>
                <w:rFonts w:ascii="Times New Roman" w:eastAsia="Times New Roman" w:hAnsi="Times New Roman"/>
                <w:lang w:eastAsia="ru-RU"/>
              </w:rPr>
              <w:t>perioada</w:t>
            </w:r>
            <w:proofErr w:type="spellEnd"/>
            <w:r w:rsidRPr="0060721D">
              <w:rPr>
                <w:rFonts w:ascii="Times New Roman" w:eastAsia="Times New Roman" w:hAnsi="Times New Roman"/>
                <w:lang w:eastAsia="ru-RU"/>
              </w:rPr>
              <w:t xml:space="preserve"> 2026-2030</w:t>
            </w:r>
          </w:p>
        </w:tc>
        <w:tc>
          <w:tcPr>
            <w:tcW w:w="1502" w:type="dxa"/>
            <w:gridSpan w:val="2"/>
            <w:hideMark/>
          </w:tcPr>
          <w:p w14:paraId="5386DA35" w14:textId="77777777" w:rsidR="0060721D" w:rsidRPr="0060721D" w:rsidRDefault="0060721D" w:rsidP="0060721D">
            <w:pPr>
              <w:jc w:val="center"/>
              <w:rPr>
                <w:rFonts w:ascii="Times New Roman" w:eastAsia="Times New Roman" w:hAnsi="Times New Roman"/>
                <w:lang w:val="ro-RO" w:eastAsia="ru-RU"/>
              </w:rPr>
            </w:pPr>
            <w:r w:rsidRPr="0060721D">
              <w:rPr>
                <w:rFonts w:ascii="Times New Roman" w:eastAsia="Times New Roman" w:hAnsi="Times New Roman"/>
                <w:lang w:eastAsia="ru-RU"/>
              </w:rPr>
              <w:t>300 mii tone CO2</w:t>
            </w:r>
            <w:r w:rsidRPr="0060721D">
              <w:rPr>
                <w:rFonts w:ascii="Times New Roman" w:eastAsia="Times New Roman" w:hAnsi="Times New Roman"/>
                <w:vertAlign w:val="subscript"/>
                <w:lang w:eastAsia="ru-RU"/>
              </w:rPr>
              <w:t xml:space="preserve"> </w:t>
            </w:r>
            <w:proofErr w:type="spellStart"/>
            <w:r w:rsidRPr="0060721D">
              <w:rPr>
                <w:rFonts w:ascii="Times New Roman" w:eastAsia="Times New Roman" w:hAnsi="Times New Roman"/>
                <w:lang w:eastAsia="ru-RU"/>
              </w:rPr>
              <w:t>echivalent</w:t>
            </w:r>
            <w:proofErr w:type="spellEnd"/>
            <w:r w:rsidRPr="0060721D">
              <w:rPr>
                <w:rFonts w:ascii="Times New Roman" w:eastAsia="Times New Roman" w:hAnsi="Times New Roman"/>
                <w:lang w:eastAsia="ru-RU"/>
              </w:rPr>
              <w:t xml:space="preserve">/an </w:t>
            </w:r>
            <w:proofErr w:type="spellStart"/>
            <w:r w:rsidRPr="0060721D">
              <w:rPr>
                <w:rFonts w:ascii="Times New Roman" w:eastAsia="Times New Roman" w:hAnsi="Times New Roman"/>
                <w:lang w:eastAsia="ru-RU"/>
              </w:rPr>
              <w:t>în</w:t>
            </w:r>
            <w:proofErr w:type="spellEnd"/>
            <w:r w:rsidRPr="0060721D">
              <w:rPr>
                <w:rFonts w:ascii="Times New Roman" w:eastAsia="Times New Roman" w:hAnsi="Times New Roman"/>
                <w:lang w:eastAsia="ru-RU"/>
              </w:rPr>
              <w:t xml:space="preserve"> </w:t>
            </w:r>
            <w:proofErr w:type="spellStart"/>
            <w:r w:rsidRPr="0060721D">
              <w:rPr>
                <w:rFonts w:ascii="Times New Roman" w:eastAsia="Times New Roman" w:hAnsi="Times New Roman"/>
                <w:lang w:eastAsia="ru-RU"/>
              </w:rPr>
              <w:t>perioada</w:t>
            </w:r>
            <w:proofErr w:type="spellEnd"/>
            <w:r w:rsidRPr="0060721D">
              <w:rPr>
                <w:rFonts w:ascii="Times New Roman" w:eastAsia="Times New Roman" w:hAnsi="Times New Roman"/>
                <w:lang w:eastAsia="ru-RU"/>
              </w:rPr>
              <w:t xml:space="preserve"> 2026-2030</w:t>
            </w:r>
          </w:p>
        </w:tc>
      </w:tr>
      <w:tr w:rsidR="00F11CCD" w:rsidRPr="0060721D" w14:paraId="721EBFE5" w14:textId="77777777" w:rsidTr="00F11CCD">
        <w:trPr>
          <w:divId w:val="546725049"/>
          <w:trHeight w:val="3705"/>
        </w:trPr>
        <w:tc>
          <w:tcPr>
            <w:tcW w:w="500" w:type="dxa"/>
            <w:vMerge w:val="restart"/>
            <w:hideMark/>
          </w:tcPr>
          <w:p w14:paraId="52B88633" w14:textId="77777777" w:rsidR="0060721D" w:rsidRPr="0060721D" w:rsidRDefault="0060721D" w:rsidP="0060721D">
            <w:pPr>
              <w:jc w:val="center"/>
              <w:rPr>
                <w:rFonts w:ascii="Times New Roman" w:hAnsi="Times New Roman"/>
              </w:rPr>
            </w:pPr>
            <w:r w:rsidRPr="0060721D">
              <w:rPr>
                <w:rFonts w:ascii="Times New Roman" w:eastAsia="Times New Roman" w:hAnsi="Times New Roman"/>
                <w:lang w:val="ro-RO" w:eastAsia="ru-RU"/>
              </w:rPr>
              <w:lastRenderedPageBreak/>
              <w:t>5,3</w:t>
            </w:r>
          </w:p>
        </w:tc>
        <w:tc>
          <w:tcPr>
            <w:tcW w:w="3437" w:type="dxa"/>
            <w:gridSpan w:val="2"/>
            <w:vMerge w:val="restart"/>
            <w:hideMark/>
          </w:tcPr>
          <w:p w14:paraId="0C012D92" w14:textId="77777777" w:rsidR="0060721D" w:rsidRPr="0060721D" w:rsidRDefault="0060721D" w:rsidP="0060721D">
            <w:pPr>
              <w:jc w:val="center"/>
              <w:rPr>
                <w:rFonts w:ascii="Times New Roman" w:hAnsi="Times New Roman"/>
              </w:rPr>
            </w:pPr>
            <w:r w:rsidRPr="0060721D">
              <w:rPr>
                <w:rFonts w:ascii="Times New Roman" w:eastAsia="Times New Roman" w:hAnsi="Times New Roman"/>
                <w:lang w:val="ro-RO" w:eastAsia="ru-RU"/>
              </w:rPr>
              <w:t>Implementarea</w:t>
            </w:r>
            <w:r w:rsidRPr="0060721D">
              <w:rPr>
                <w:rFonts w:ascii="Times New Roman" w:hAnsi="Times New Roman"/>
              </w:rPr>
              <w:t xml:space="preserve"> </w:t>
            </w:r>
            <w:proofErr w:type="spellStart"/>
            <w:r w:rsidRPr="0060721D">
              <w:rPr>
                <w:rFonts w:ascii="Times New Roman" w:hAnsi="Times New Roman"/>
              </w:rPr>
              <w:t>practicilor</w:t>
            </w:r>
            <w:proofErr w:type="spellEnd"/>
            <w:r w:rsidRPr="0060721D">
              <w:rPr>
                <w:rFonts w:ascii="Times New Roman" w:hAnsi="Times New Roman"/>
              </w:rPr>
              <w:t xml:space="preserve"> de management </w:t>
            </w:r>
            <w:proofErr w:type="spellStart"/>
            <w:r w:rsidRPr="0060721D">
              <w:rPr>
                <w:rFonts w:ascii="Times New Roman" w:hAnsi="Times New Roman"/>
              </w:rPr>
              <w:t>durabil</w:t>
            </w:r>
            <w:proofErr w:type="spellEnd"/>
            <w:r w:rsidRPr="0060721D">
              <w:rPr>
                <w:rFonts w:ascii="Times New Roman" w:hAnsi="Times New Roman"/>
              </w:rPr>
              <w:t xml:space="preserve"> al </w:t>
            </w:r>
            <w:proofErr w:type="spellStart"/>
            <w:r w:rsidRPr="0060721D">
              <w:rPr>
                <w:rFonts w:ascii="Times New Roman" w:hAnsi="Times New Roman"/>
              </w:rPr>
              <w:t>terenurilor</w:t>
            </w:r>
            <w:proofErr w:type="spellEnd"/>
            <w:r w:rsidRPr="0060721D">
              <w:rPr>
                <w:rFonts w:ascii="Times New Roman" w:hAnsi="Times New Roman"/>
              </w:rPr>
              <w:t xml:space="preserve"> </w:t>
            </w:r>
            <w:proofErr w:type="spellStart"/>
            <w:r w:rsidRPr="0060721D">
              <w:rPr>
                <w:rFonts w:ascii="Times New Roman" w:hAnsi="Times New Roman"/>
              </w:rPr>
              <w:t>agricole</w:t>
            </w:r>
            <w:proofErr w:type="spellEnd"/>
            <w:r w:rsidRPr="0060721D">
              <w:rPr>
                <w:rFonts w:ascii="Times New Roman" w:hAnsi="Times New Roman"/>
              </w:rPr>
              <w:t xml:space="preserve"> </w:t>
            </w:r>
            <w:proofErr w:type="spellStart"/>
            <w:r w:rsidRPr="0060721D">
              <w:rPr>
                <w:rFonts w:ascii="Times New Roman" w:hAnsi="Times New Roman"/>
              </w:rPr>
              <w:t>în</w:t>
            </w:r>
            <w:proofErr w:type="spellEnd"/>
            <w:r w:rsidRPr="0060721D">
              <w:rPr>
                <w:rFonts w:ascii="Times New Roman" w:hAnsi="Times New Roman"/>
              </w:rPr>
              <w:t xml:space="preserve"> </w:t>
            </w:r>
            <w:proofErr w:type="spellStart"/>
            <w:r w:rsidRPr="0060721D">
              <w:rPr>
                <w:rFonts w:ascii="Times New Roman" w:hAnsi="Times New Roman"/>
              </w:rPr>
              <w:t>cadrul</w:t>
            </w:r>
            <w:proofErr w:type="spellEnd"/>
            <w:r w:rsidRPr="0060721D">
              <w:rPr>
                <w:rFonts w:ascii="Times New Roman" w:hAnsi="Times New Roman"/>
              </w:rPr>
              <w:t xml:space="preserve"> </w:t>
            </w:r>
            <w:proofErr w:type="spellStart"/>
            <w:r w:rsidRPr="0060721D">
              <w:rPr>
                <w:rFonts w:ascii="Times New Roman" w:hAnsi="Times New Roman"/>
              </w:rPr>
              <w:t>sistemului</w:t>
            </w:r>
            <w:proofErr w:type="spellEnd"/>
            <w:r w:rsidRPr="0060721D">
              <w:rPr>
                <w:rFonts w:ascii="Times New Roman" w:hAnsi="Times New Roman"/>
              </w:rPr>
              <w:t xml:space="preserve"> de </w:t>
            </w:r>
            <w:proofErr w:type="spellStart"/>
            <w:r w:rsidRPr="0060721D">
              <w:rPr>
                <w:rFonts w:ascii="Times New Roman" w:hAnsi="Times New Roman"/>
              </w:rPr>
              <w:t>lucrare</w:t>
            </w:r>
            <w:proofErr w:type="spellEnd"/>
            <w:r w:rsidRPr="0060721D">
              <w:rPr>
                <w:rFonts w:ascii="Times New Roman" w:hAnsi="Times New Roman"/>
              </w:rPr>
              <w:t xml:space="preserve"> </w:t>
            </w:r>
            <w:proofErr w:type="spellStart"/>
            <w:r w:rsidRPr="0060721D">
              <w:rPr>
                <w:rFonts w:ascii="Times New Roman" w:hAnsi="Times New Roman"/>
              </w:rPr>
              <w:t>redusă</w:t>
            </w:r>
            <w:proofErr w:type="spellEnd"/>
            <w:r w:rsidRPr="0060721D">
              <w:rPr>
                <w:rFonts w:ascii="Times New Roman" w:hAnsi="Times New Roman"/>
              </w:rPr>
              <w:t xml:space="preserve"> a </w:t>
            </w:r>
            <w:proofErr w:type="spellStart"/>
            <w:r w:rsidRPr="0060721D">
              <w:rPr>
                <w:rFonts w:ascii="Times New Roman" w:hAnsi="Times New Roman"/>
              </w:rPr>
              <w:t>solului</w:t>
            </w:r>
            <w:proofErr w:type="spellEnd"/>
            <w:r w:rsidRPr="0060721D">
              <w:rPr>
                <w:rFonts w:ascii="Times New Roman" w:hAnsi="Times New Roman"/>
              </w:rPr>
              <w:t xml:space="preserve"> (mini-till), </w:t>
            </w:r>
            <w:proofErr w:type="spellStart"/>
            <w:r w:rsidRPr="0060721D">
              <w:rPr>
                <w:rFonts w:ascii="Times New Roman" w:hAnsi="Times New Roman"/>
              </w:rPr>
              <w:t>în</w:t>
            </w:r>
            <w:proofErr w:type="spellEnd"/>
            <w:r w:rsidRPr="0060721D">
              <w:rPr>
                <w:rFonts w:ascii="Times New Roman" w:hAnsi="Times New Roman"/>
              </w:rPr>
              <w:t xml:space="preserve"> </w:t>
            </w:r>
            <w:proofErr w:type="spellStart"/>
            <w:r w:rsidRPr="0060721D">
              <w:rPr>
                <w:rFonts w:ascii="Times New Roman" w:hAnsi="Times New Roman"/>
              </w:rPr>
              <w:t>asolamentul</w:t>
            </w:r>
            <w:proofErr w:type="spellEnd"/>
            <w:r w:rsidRPr="0060721D">
              <w:rPr>
                <w:rFonts w:ascii="Times New Roman" w:hAnsi="Times New Roman"/>
              </w:rPr>
              <w:t xml:space="preserve"> cu </w:t>
            </w:r>
            <w:proofErr w:type="spellStart"/>
            <w:r w:rsidRPr="0060721D">
              <w:rPr>
                <w:rFonts w:ascii="Times New Roman" w:hAnsi="Times New Roman"/>
              </w:rPr>
              <w:t>cinci</w:t>
            </w:r>
            <w:proofErr w:type="spellEnd"/>
            <w:r w:rsidRPr="0060721D">
              <w:rPr>
                <w:rFonts w:ascii="Times New Roman" w:hAnsi="Times New Roman"/>
              </w:rPr>
              <w:t xml:space="preserve"> sole, </w:t>
            </w:r>
            <w:proofErr w:type="spellStart"/>
            <w:r w:rsidRPr="0060721D">
              <w:rPr>
                <w:rFonts w:ascii="Times New Roman" w:hAnsi="Times New Roman"/>
              </w:rPr>
              <w:t>cuplat</w:t>
            </w:r>
            <w:proofErr w:type="spellEnd"/>
            <w:r w:rsidRPr="0060721D">
              <w:rPr>
                <w:rFonts w:ascii="Times New Roman" w:hAnsi="Times New Roman"/>
              </w:rPr>
              <w:t xml:space="preserve"> cu </w:t>
            </w:r>
            <w:proofErr w:type="spellStart"/>
            <w:r w:rsidRPr="0060721D">
              <w:rPr>
                <w:rFonts w:ascii="Times New Roman" w:hAnsi="Times New Roman"/>
              </w:rPr>
              <w:t>incorporarea</w:t>
            </w:r>
            <w:proofErr w:type="spellEnd"/>
            <w:r w:rsidRPr="0060721D">
              <w:rPr>
                <w:rFonts w:ascii="Times New Roman" w:hAnsi="Times New Roman"/>
              </w:rPr>
              <w:t xml:space="preserve"> </w:t>
            </w:r>
            <w:proofErr w:type="spellStart"/>
            <w:r w:rsidRPr="0060721D">
              <w:rPr>
                <w:rFonts w:ascii="Times New Roman" w:hAnsi="Times New Roman"/>
              </w:rPr>
              <w:t>anuală</w:t>
            </w:r>
            <w:proofErr w:type="spellEnd"/>
            <w:r w:rsidRPr="0060721D">
              <w:rPr>
                <w:rFonts w:ascii="Times New Roman" w:hAnsi="Times New Roman"/>
              </w:rPr>
              <w:t xml:space="preserve"> </w:t>
            </w:r>
            <w:proofErr w:type="spellStart"/>
            <w:r w:rsidRPr="0060721D">
              <w:rPr>
                <w:rFonts w:ascii="Times New Roman" w:hAnsi="Times New Roman"/>
              </w:rPr>
              <w:t>în</w:t>
            </w:r>
            <w:proofErr w:type="spellEnd"/>
            <w:r w:rsidRPr="0060721D">
              <w:rPr>
                <w:rFonts w:ascii="Times New Roman" w:hAnsi="Times New Roman"/>
              </w:rPr>
              <w:t xml:space="preserve"> sol a </w:t>
            </w:r>
            <w:proofErr w:type="spellStart"/>
            <w:r w:rsidRPr="0060721D">
              <w:rPr>
                <w:rFonts w:ascii="Times New Roman" w:hAnsi="Times New Roman"/>
              </w:rPr>
              <w:t>resturilor</w:t>
            </w:r>
            <w:proofErr w:type="spellEnd"/>
            <w:r w:rsidRPr="0060721D">
              <w:rPr>
                <w:rFonts w:ascii="Times New Roman" w:hAnsi="Times New Roman"/>
              </w:rPr>
              <w:t xml:space="preserve"> </w:t>
            </w:r>
            <w:proofErr w:type="spellStart"/>
            <w:r w:rsidRPr="0060721D">
              <w:rPr>
                <w:rFonts w:ascii="Times New Roman" w:hAnsi="Times New Roman"/>
              </w:rPr>
              <w:t>vegetale</w:t>
            </w:r>
            <w:proofErr w:type="spellEnd"/>
            <w:r w:rsidRPr="0060721D">
              <w:rPr>
                <w:rFonts w:ascii="Times New Roman" w:hAnsi="Times New Roman"/>
              </w:rPr>
              <w:t xml:space="preserve"> </w:t>
            </w:r>
            <w:proofErr w:type="spellStart"/>
            <w:r w:rsidRPr="0060721D">
              <w:rPr>
                <w:rFonts w:ascii="Times New Roman" w:hAnsi="Times New Roman"/>
              </w:rPr>
              <w:t>și</w:t>
            </w:r>
            <w:proofErr w:type="spellEnd"/>
            <w:r w:rsidRPr="0060721D">
              <w:rPr>
                <w:rFonts w:ascii="Times New Roman" w:hAnsi="Times New Roman"/>
              </w:rPr>
              <w:t xml:space="preserve"> o </w:t>
            </w:r>
            <w:proofErr w:type="spellStart"/>
            <w:r w:rsidRPr="0060721D">
              <w:rPr>
                <w:rFonts w:ascii="Times New Roman" w:hAnsi="Times New Roman"/>
              </w:rPr>
              <w:t>dată</w:t>
            </w:r>
            <w:proofErr w:type="spellEnd"/>
            <w:r w:rsidRPr="0060721D">
              <w:rPr>
                <w:rFonts w:ascii="Times New Roman" w:hAnsi="Times New Roman"/>
              </w:rPr>
              <w:t xml:space="preserve"> la </w:t>
            </w:r>
            <w:proofErr w:type="spellStart"/>
            <w:r w:rsidRPr="0060721D">
              <w:rPr>
                <w:rFonts w:ascii="Times New Roman" w:hAnsi="Times New Roman"/>
              </w:rPr>
              <w:t>cinci</w:t>
            </w:r>
            <w:proofErr w:type="spellEnd"/>
            <w:r w:rsidRPr="0060721D">
              <w:rPr>
                <w:rFonts w:ascii="Times New Roman" w:hAnsi="Times New Roman"/>
              </w:rPr>
              <w:t xml:space="preserve"> ani a </w:t>
            </w:r>
            <w:proofErr w:type="spellStart"/>
            <w:r w:rsidRPr="0060721D">
              <w:rPr>
                <w:rFonts w:ascii="Times New Roman" w:hAnsi="Times New Roman"/>
              </w:rPr>
              <w:t>două</w:t>
            </w:r>
            <w:proofErr w:type="spellEnd"/>
            <w:r w:rsidRPr="0060721D">
              <w:rPr>
                <w:rFonts w:ascii="Times New Roman" w:hAnsi="Times New Roman"/>
              </w:rPr>
              <w:t xml:space="preserve"> </w:t>
            </w:r>
            <w:proofErr w:type="spellStart"/>
            <w:r w:rsidRPr="0060721D">
              <w:rPr>
                <w:rFonts w:ascii="Times New Roman" w:hAnsi="Times New Roman"/>
              </w:rPr>
              <w:t>recolte</w:t>
            </w:r>
            <w:proofErr w:type="spellEnd"/>
            <w:r w:rsidRPr="0060721D">
              <w:rPr>
                <w:rFonts w:ascii="Times New Roman" w:hAnsi="Times New Roman"/>
              </w:rPr>
              <w:t xml:space="preserve"> de </w:t>
            </w:r>
            <w:proofErr w:type="spellStart"/>
            <w:r w:rsidRPr="0060721D">
              <w:rPr>
                <w:rFonts w:ascii="Times New Roman" w:hAnsi="Times New Roman"/>
              </w:rPr>
              <w:t>măzăriche</w:t>
            </w:r>
            <w:proofErr w:type="spellEnd"/>
            <w:r w:rsidRPr="0060721D">
              <w:rPr>
                <w:rFonts w:ascii="Times New Roman" w:hAnsi="Times New Roman"/>
              </w:rPr>
              <w:t xml:space="preserve"> de </w:t>
            </w:r>
            <w:proofErr w:type="spellStart"/>
            <w:r w:rsidRPr="0060721D">
              <w:rPr>
                <w:rFonts w:ascii="Times New Roman" w:hAnsi="Times New Roman"/>
              </w:rPr>
              <w:t>toamnă</w:t>
            </w:r>
            <w:proofErr w:type="spellEnd"/>
            <w:r w:rsidRPr="0060721D">
              <w:rPr>
                <w:rFonts w:ascii="Times New Roman" w:hAnsi="Times New Roman"/>
              </w:rPr>
              <w:t xml:space="preserve"> </w:t>
            </w:r>
            <w:proofErr w:type="spellStart"/>
            <w:r w:rsidRPr="0060721D">
              <w:rPr>
                <w:rFonts w:ascii="Times New Roman" w:hAnsi="Times New Roman"/>
              </w:rPr>
              <w:t>și</w:t>
            </w:r>
            <w:proofErr w:type="spellEnd"/>
            <w:r w:rsidRPr="0060721D">
              <w:rPr>
                <w:rFonts w:ascii="Times New Roman" w:hAnsi="Times New Roman"/>
              </w:rPr>
              <w:t xml:space="preserve"> de </w:t>
            </w:r>
            <w:proofErr w:type="spellStart"/>
            <w:r w:rsidRPr="0060721D">
              <w:rPr>
                <w:rFonts w:ascii="Times New Roman" w:hAnsi="Times New Roman"/>
              </w:rPr>
              <w:t>primăvară</w:t>
            </w:r>
            <w:proofErr w:type="spellEnd"/>
            <w:r w:rsidRPr="0060721D">
              <w:rPr>
                <w:rFonts w:ascii="Times New Roman" w:hAnsi="Times New Roman"/>
              </w:rPr>
              <w:t xml:space="preserve">, </w:t>
            </w:r>
            <w:proofErr w:type="spellStart"/>
            <w:r w:rsidRPr="0060721D">
              <w:rPr>
                <w:rFonts w:ascii="Times New Roman" w:hAnsi="Times New Roman"/>
              </w:rPr>
              <w:t>în</w:t>
            </w:r>
            <w:proofErr w:type="spellEnd"/>
            <w:r w:rsidRPr="0060721D">
              <w:rPr>
                <w:rFonts w:ascii="Times New Roman" w:hAnsi="Times New Roman"/>
              </w:rPr>
              <w:t xml:space="preserve"> </w:t>
            </w:r>
            <w:proofErr w:type="spellStart"/>
            <w:r w:rsidRPr="0060721D">
              <w:rPr>
                <w:rFonts w:ascii="Times New Roman" w:hAnsi="Times New Roman"/>
              </w:rPr>
              <w:t>calitate</w:t>
            </w:r>
            <w:proofErr w:type="spellEnd"/>
            <w:r w:rsidRPr="0060721D">
              <w:rPr>
                <w:rFonts w:ascii="Times New Roman" w:hAnsi="Times New Roman"/>
              </w:rPr>
              <w:t xml:space="preserve"> de </w:t>
            </w:r>
            <w:proofErr w:type="spellStart"/>
            <w:r w:rsidRPr="0060721D">
              <w:rPr>
                <w:rFonts w:ascii="Times New Roman" w:hAnsi="Times New Roman"/>
              </w:rPr>
              <w:t>îngrășământ</w:t>
            </w:r>
            <w:proofErr w:type="spellEnd"/>
            <w:r w:rsidRPr="0060721D">
              <w:rPr>
                <w:rFonts w:ascii="Times New Roman" w:hAnsi="Times New Roman"/>
              </w:rPr>
              <w:t xml:space="preserve"> sideral</w:t>
            </w:r>
          </w:p>
        </w:tc>
        <w:tc>
          <w:tcPr>
            <w:tcW w:w="2211" w:type="dxa"/>
            <w:gridSpan w:val="2"/>
            <w:vMerge w:val="restart"/>
            <w:hideMark/>
          </w:tcPr>
          <w:p w14:paraId="243DE1C1" w14:textId="77777777" w:rsidR="0060721D" w:rsidRPr="0060721D" w:rsidRDefault="0060721D" w:rsidP="0060721D">
            <w:pPr>
              <w:jc w:val="center"/>
              <w:rPr>
                <w:rFonts w:ascii="Times New Roman" w:hAnsi="Times New Roman"/>
              </w:rPr>
            </w:pPr>
            <w:proofErr w:type="spellStart"/>
            <w:r w:rsidRPr="0060721D">
              <w:rPr>
                <w:rFonts w:ascii="Times New Roman" w:eastAsia="Times New Roman" w:hAnsi="Times New Roman"/>
                <w:lang w:eastAsia="ru-RU"/>
              </w:rPr>
              <w:t>Implementarea</w:t>
            </w:r>
            <w:proofErr w:type="spellEnd"/>
            <w:r w:rsidRPr="0060721D">
              <w:rPr>
                <w:rFonts w:ascii="Times New Roman" w:hAnsi="Times New Roman"/>
              </w:rPr>
              <w:t xml:space="preserve"> </w:t>
            </w:r>
            <w:proofErr w:type="spellStart"/>
            <w:r w:rsidRPr="0060721D">
              <w:rPr>
                <w:rFonts w:ascii="Times New Roman" w:hAnsi="Times New Roman"/>
              </w:rPr>
              <w:t>practicilor</w:t>
            </w:r>
            <w:proofErr w:type="spellEnd"/>
            <w:r w:rsidRPr="0060721D">
              <w:rPr>
                <w:rFonts w:ascii="Times New Roman" w:hAnsi="Times New Roman"/>
              </w:rPr>
              <w:t xml:space="preserve"> de management </w:t>
            </w:r>
            <w:proofErr w:type="spellStart"/>
            <w:r w:rsidRPr="0060721D">
              <w:rPr>
                <w:rFonts w:ascii="Times New Roman" w:hAnsi="Times New Roman"/>
              </w:rPr>
              <w:t>durabil</w:t>
            </w:r>
            <w:proofErr w:type="spellEnd"/>
            <w:r w:rsidRPr="0060721D">
              <w:rPr>
                <w:rFonts w:ascii="Times New Roman" w:hAnsi="Times New Roman"/>
              </w:rPr>
              <w:t xml:space="preserve"> al </w:t>
            </w:r>
            <w:proofErr w:type="spellStart"/>
            <w:r w:rsidRPr="0060721D">
              <w:rPr>
                <w:rFonts w:ascii="Times New Roman" w:hAnsi="Times New Roman"/>
              </w:rPr>
              <w:t>terenurilor</w:t>
            </w:r>
            <w:proofErr w:type="spellEnd"/>
            <w:r w:rsidRPr="0060721D">
              <w:rPr>
                <w:rFonts w:ascii="Times New Roman" w:hAnsi="Times New Roman"/>
              </w:rPr>
              <w:t xml:space="preserve"> </w:t>
            </w:r>
            <w:proofErr w:type="spellStart"/>
            <w:r w:rsidRPr="0060721D">
              <w:rPr>
                <w:rFonts w:ascii="Times New Roman" w:hAnsi="Times New Roman"/>
              </w:rPr>
              <w:t>agricole</w:t>
            </w:r>
            <w:proofErr w:type="spellEnd"/>
            <w:r w:rsidRPr="0060721D">
              <w:rPr>
                <w:rFonts w:ascii="Times New Roman" w:hAnsi="Times New Roman"/>
              </w:rPr>
              <w:t xml:space="preserve"> </w:t>
            </w:r>
            <w:proofErr w:type="spellStart"/>
            <w:r w:rsidRPr="0060721D">
              <w:rPr>
                <w:rFonts w:ascii="Times New Roman" w:hAnsi="Times New Roman"/>
              </w:rPr>
              <w:t>în</w:t>
            </w:r>
            <w:proofErr w:type="spellEnd"/>
            <w:r w:rsidRPr="0060721D">
              <w:rPr>
                <w:rFonts w:ascii="Times New Roman" w:hAnsi="Times New Roman"/>
              </w:rPr>
              <w:t xml:space="preserve"> </w:t>
            </w:r>
            <w:proofErr w:type="spellStart"/>
            <w:r w:rsidRPr="0060721D">
              <w:rPr>
                <w:rFonts w:ascii="Times New Roman" w:hAnsi="Times New Roman"/>
              </w:rPr>
              <w:t>cadrul</w:t>
            </w:r>
            <w:proofErr w:type="spellEnd"/>
            <w:r w:rsidRPr="0060721D">
              <w:rPr>
                <w:rFonts w:ascii="Times New Roman" w:hAnsi="Times New Roman"/>
              </w:rPr>
              <w:t xml:space="preserve"> </w:t>
            </w:r>
            <w:proofErr w:type="spellStart"/>
            <w:r w:rsidRPr="0060721D">
              <w:rPr>
                <w:rFonts w:ascii="Times New Roman" w:hAnsi="Times New Roman"/>
              </w:rPr>
              <w:t>sistemului</w:t>
            </w:r>
            <w:proofErr w:type="spellEnd"/>
            <w:r w:rsidRPr="0060721D">
              <w:rPr>
                <w:rFonts w:ascii="Times New Roman" w:hAnsi="Times New Roman"/>
              </w:rPr>
              <w:t xml:space="preserve"> </w:t>
            </w:r>
            <w:proofErr w:type="spellStart"/>
            <w:r w:rsidRPr="0060721D">
              <w:rPr>
                <w:rFonts w:ascii="Times New Roman" w:hAnsi="Times New Roman"/>
              </w:rPr>
              <w:t>conservativ</w:t>
            </w:r>
            <w:proofErr w:type="spellEnd"/>
            <w:r w:rsidRPr="0060721D">
              <w:rPr>
                <w:rFonts w:ascii="Times New Roman" w:hAnsi="Times New Roman"/>
              </w:rPr>
              <w:t xml:space="preserve"> de </w:t>
            </w:r>
            <w:proofErr w:type="spellStart"/>
            <w:r w:rsidRPr="0060721D">
              <w:rPr>
                <w:rFonts w:ascii="Times New Roman" w:hAnsi="Times New Roman"/>
              </w:rPr>
              <w:t>lucrare</w:t>
            </w:r>
            <w:proofErr w:type="spellEnd"/>
            <w:r w:rsidRPr="0060721D">
              <w:rPr>
                <w:rFonts w:ascii="Times New Roman" w:hAnsi="Times New Roman"/>
              </w:rPr>
              <w:t xml:space="preserve"> </w:t>
            </w:r>
            <w:proofErr w:type="spellStart"/>
            <w:r w:rsidRPr="0060721D">
              <w:rPr>
                <w:rFonts w:ascii="Times New Roman" w:hAnsi="Times New Roman"/>
              </w:rPr>
              <w:t>redusă</w:t>
            </w:r>
            <w:proofErr w:type="spellEnd"/>
            <w:r w:rsidRPr="0060721D">
              <w:rPr>
                <w:rFonts w:ascii="Times New Roman" w:hAnsi="Times New Roman"/>
              </w:rPr>
              <w:t xml:space="preserve"> a </w:t>
            </w:r>
            <w:proofErr w:type="spellStart"/>
            <w:r w:rsidRPr="0060721D">
              <w:rPr>
                <w:rFonts w:ascii="Times New Roman" w:hAnsi="Times New Roman"/>
              </w:rPr>
              <w:t>solului</w:t>
            </w:r>
            <w:proofErr w:type="spellEnd"/>
            <w:r w:rsidRPr="0060721D">
              <w:rPr>
                <w:rFonts w:ascii="Times New Roman" w:hAnsi="Times New Roman"/>
              </w:rPr>
              <w:t xml:space="preserve"> (mini-till) </w:t>
            </w:r>
            <w:proofErr w:type="spellStart"/>
            <w:r w:rsidRPr="0060721D">
              <w:rPr>
                <w:rFonts w:ascii="Times New Roman" w:hAnsi="Times New Roman"/>
              </w:rPr>
              <w:t>admite</w:t>
            </w:r>
            <w:proofErr w:type="spellEnd"/>
            <w:r w:rsidRPr="0060721D">
              <w:rPr>
                <w:rFonts w:ascii="Times New Roman" w:hAnsi="Times New Roman"/>
              </w:rPr>
              <w:t xml:space="preserve"> </w:t>
            </w:r>
            <w:proofErr w:type="spellStart"/>
            <w:r w:rsidRPr="0060721D">
              <w:rPr>
                <w:rFonts w:ascii="Times New Roman" w:hAnsi="Times New Roman"/>
              </w:rPr>
              <w:t>prelucrarea</w:t>
            </w:r>
            <w:proofErr w:type="spellEnd"/>
            <w:r w:rsidRPr="0060721D">
              <w:rPr>
                <w:rFonts w:ascii="Times New Roman" w:hAnsi="Times New Roman"/>
              </w:rPr>
              <w:t xml:space="preserve"> </w:t>
            </w:r>
            <w:proofErr w:type="spellStart"/>
            <w:r w:rsidRPr="0060721D">
              <w:rPr>
                <w:rFonts w:ascii="Times New Roman" w:hAnsi="Times New Roman"/>
              </w:rPr>
              <w:t>sau</w:t>
            </w:r>
            <w:proofErr w:type="spellEnd"/>
            <w:r w:rsidRPr="0060721D">
              <w:rPr>
                <w:rFonts w:ascii="Times New Roman" w:hAnsi="Times New Roman"/>
              </w:rPr>
              <w:t xml:space="preserve"> </w:t>
            </w:r>
            <w:proofErr w:type="spellStart"/>
            <w:r w:rsidRPr="0060721D">
              <w:rPr>
                <w:rFonts w:ascii="Times New Roman" w:hAnsi="Times New Roman"/>
              </w:rPr>
              <w:t>afânarea</w:t>
            </w:r>
            <w:proofErr w:type="spellEnd"/>
            <w:r w:rsidRPr="0060721D">
              <w:rPr>
                <w:rFonts w:ascii="Times New Roman" w:hAnsi="Times New Roman"/>
              </w:rPr>
              <w:t xml:space="preserve"> </w:t>
            </w:r>
            <w:proofErr w:type="spellStart"/>
            <w:r w:rsidRPr="0060721D">
              <w:rPr>
                <w:rFonts w:ascii="Times New Roman" w:hAnsi="Times New Roman"/>
              </w:rPr>
              <w:t>întregii</w:t>
            </w:r>
            <w:proofErr w:type="spellEnd"/>
            <w:r w:rsidRPr="0060721D">
              <w:rPr>
                <w:rFonts w:ascii="Times New Roman" w:hAnsi="Times New Roman"/>
              </w:rPr>
              <w:t xml:space="preserve"> </w:t>
            </w:r>
            <w:proofErr w:type="spellStart"/>
            <w:r w:rsidRPr="0060721D">
              <w:rPr>
                <w:rFonts w:ascii="Times New Roman" w:hAnsi="Times New Roman"/>
              </w:rPr>
              <w:t>suprafețe</w:t>
            </w:r>
            <w:proofErr w:type="spellEnd"/>
            <w:r w:rsidRPr="0060721D">
              <w:rPr>
                <w:rFonts w:ascii="Times New Roman" w:hAnsi="Times New Roman"/>
              </w:rPr>
              <w:t xml:space="preserve"> a </w:t>
            </w:r>
            <w:proofErr w:type="spellStart"/>
            <w:r w:rsidRPr="0060721D">
              <w:rPr>
                <w:rFonts w:ascii="Times New Roman" w:hAnsi="Times New Roman"/>
              </w:rPr>
              <w:t>solului</w:t>
            </w:r>
            <w:proofErr w:type="spellEnd"/>
            <w:r w:rsidRPr="0060721D">
              <w:rPr>
                <w:rFonts w:ascii="Times New Roman" w:hAnsi="Times New Roman"/>
              </w:rPr>
              <w:t xml:space="preserve">, </w:t>
            </w:r>
            <w:proofErr w:type="spellStart"/>
            <w:r w:rsidRPr="0060721D">
              <w:rPr>
                <w:rFonts w:ascii="Times New Roman" w:hAnsi="Times New Roman"/>
              </w:rPr>
              <w:t>dar</w:t>
            </w:r>
            <w:proofErr w:type="spellEnd"/>
            <w:r w:rsidRPr="0060721D">
              <w:rPr>
                <w:rFonts w:ascii="Times New Roman" w:hAnsi="Times New Roman"/>
              </w:rPr>
              <w:t xml:space="preserve"> </w:t>
            </w:r>
            <w:proofErr w:type="spellStart"/>
            <w:r w:rsidRPr="0060721D">
              <w:rPr>
                <w:rFonts w:ascii="Times New Roman" w:hAnsi="Times New Roman"/>
              </w:rPr>
              <w:t>scăzând</w:t>
            </w:r>
            <w:proofErr w:type="spellEnd"/>
            <w:r w:rsidRPr="0060721D">
              <w:rPr>
                <w:rFonts w:ascii="Times New Roman" w:hAnsi="Times New Roman"/>
              </w:rPr>
              <w:t xml:space="preserve"> </w:t>
            </w:r>
            <w:proofErr w:type="spellStart"/>
            <w:r w:rsidRPr="0060721D">
              <w:rPr>
                <w:rFonts w:ascii="Times New Roman" w:hAnsi="Times New Roman"/>
              </w:rPr>
              <w:t>intensitatea</w:t>
            </w:r>
            <w:proofErr w:type="spellEnd"/>
            <w:r w:rsidRPr="0060721D">
              <w:rPr>
                <w:rFonts w:ascii="Times New Roman" w:hAnsi="Times New Roman"/>
              </w:rPr>
              <w:t xml:space="preserve"> </w:t>
            </w:r>
            <w:proofErr w:type="spellStart"/>
            <w:r w:rsidRPr="0060721D">
              <w:rPr>
                <w:rFonts w:ascii="Times New Roman" w:hAnsi="Times New Roman"/>
              </w:rPr>
              <w:t>şi</w:t>
            </w:r>
            <w:proofErr w:type="spellEnd"/>
            <w:r w:rsidRPr="0060721D">
              <w:rPr>
                <w:rFonts w:ascii="Times New Roman" w:hAnsi="Times New Roman"/>
              </w:rPr>
              <w:t xml:space="preserve"> </w:t>
            </w:r>
            <w:proofErr w:type="spellStart"/>
            <w:r w:rsidRPr="0060721D">
              <w:rPr>
                <w:rFonts w:ascii="Times New Roman" w:hAnsi="Times New Roman"/>
              </w:rPr>
              <w:t>frecvența</w:t>
            </w:r>
            <w:proofErr w:type="spellEnd"/>
            <w:r w:rsidRPr="0060721D">
              <w:rPr>
                <w:rFonts w:ascii="Times New Roman" w:hAnsi="Times New Roman"/>
              </w:rPr>
              <w:t xml:space="preserve"> de </w:t>
            </w:r>
            <w:proofErr w:type="spellStart"/>
            <w:r w:rsidRPr="0060721D">
              <w:rPr>
                <w:rFonts w:ascii="Times New Roman" w:hAnsi="Times New Roman"/>
              </w:rPr>
              <w:t>lucrare</w:t>
            </w:r>
            <w:proofErr w:type="spellEnd"/>
            <w:r w:rsidRPr="0060721D">
              <w:rPr>
                <w:rFonts w:ascii="Times New Roman" w:hAnsi="Times New Roman"/>
              </w:rPr>
              <w:t xml:space="preserve">, </w:t>
            </w:r>
            <w:proofErr w:type="spellStart"/>
            <w:r w:rsidRPr="0060721D">
              <w:rPr>
                <w:rFonts w:ascii="Times New Roman" w:hAnsi="Times New Roman"/>
              </w:rPr>
              <w:t>în</w:t>
            </w:r>
            <w:proofErr w:type="spellEnd"/>
            <w:r w:rsidRPr="0060721D">
              <w:rPr>
                <w:rFonts w:ascii="Times New Roman" w:hAnsi="Times New Roman"/>
              </w:rPr>
              <w:t xml:space="preserve"> principal </w:t>
            </w:r>
            <w:proofErr w:type="spellStart"/>
            <w:r w:rsidRPr="0060721D">
              <w:rPr>
                <w:rFonts w:ascii="Times New Roman" w:hAnsi="Times New Roman"/>
              </w:rPr>
              <w:t>prin</w:t>
            </w:r>
            <w:proofErr w:type="spellEnd"/>
            <w:r w:rsidRPr="0060721D">
              <w:rPr>
                <w:rFonts w:ascii="Times New Roman" w:hAnsi="Times New Roman"/>
              </w:rPr>
              <w:t xml:space="preserve"> </w:t>
            </w:r>
            <w:proofErr w:type="spellStart"/>
            <w:r w:rsidRPr="0060721D">
              <w:rPr>
                <w:rFonts w:ascii="Times New Roman" w:hAnsi="Times New Roman"/>
              </w:rPr>
              <w:t>eliminarea</w:t>
            </w:r>
            <w:proofErr w:type="spellEnd"/>
            <w:r w:rsidRPr="0060721D">
              <w:rPr>
                <w:rFonts w:ascii="Times New Roman" w:hAnsi="Times New Roman"/>
              </w:rPr>
              <w:t xml:space="preserve"> </w:t>
            </w:r>
            <w:proofErr w:type="spellStart"/>
            <w:r w:rsidRPr="0060721D">
              <w:rPr>
                <w:rFonts w:ascii="Times New Roman" w:hAnsi="Times New Roman"/>
              </w:rPr>
              <w:t>unor</w:t>
            </w:r>
            <w:proofErr w:type="spellEnd"/>
            <w:r w:rsidRPr="0060721D">
              <w:rPr>
                <w:rFonts w:ascii="Times New Roman" w:hAnsi="Times New Roman"/>
              </w:rPr>
              <w:t xml:space="preserve"> </w:t>
            </w:r>
            <w:proofErr w:type="spellStart"/>
            <w:r w:rsidRPr="0060721D">
              <w:rPr>
                <w:rFonts w:ascii="Times New Roman" w:hAnsi="Times New Roman"/>
              </w:rPr>
              <w:t>lucrări</w:t>
            </w:r>
            <w:proofErr w:type="spellEnd"/>
            <w:r w:rsidRPr="0060721D">
              <w:rPr>
                <w:rFonts w:ascii="Times New Roman" w:hAnsi="Times New Roman"/>
              </w:rPr>
              <w:t xml:space="preserve"> </w:t>
            </w:r>
            <w:proofErr w:type="spellStart"/>
            <w:r w:rsidRPr="0060721D">
              <w:rPr>
                <w:rFonts w:ascii="Times New Roman" w:hAnsi="Times New Roman"/>
              </w:rPr>
              <w:t>mecanice</w:t>
            </w:r>
            <w:proofErr w:type="spellEnd"/>
            <w:r w:rsidRPr="0060721D">
              <w:rPr>
                <w:rFonts w:ascii="Times New Roman" w:hAnsi="Times New Roman"/>
              </w:rPr>
              <w:t xml:space="preserve"> </w:t>
            </w:r>
            <w:proofErr w:type="spellStart"/>
            <w:r w:rsidRPr="0060721D">
              <w:rPr>
                <w:rFonts w:ascii="Times New Roman" w:hAnsi="Times New Roman"/>
              </w:rPr>
              <w:t>practicate</w:t>
            </w:r>
            <w:proofErr w:type="spellEnd"/>
            <w:r w:rsidRPr="0060721D">
              <w:rPr>
                <w:rFonts w:ascii="Times New Roman" w:hAnsi="Times New Roman"/>
              </w:rPr>
              <w:t xml:space="preserve"> </w:t>
            </w:r>
            <w:proofErr w:type="spellStart"/>
            <w:r w:rsidRPr="0060721D">
              <w:rPr>
                <w:rFonts w:ascii="Times New Roman" w:hAnsi="Times New Roman"/>
              </w:rPr>
              <w:t>în</w:t>
            </w:r>
            <w:proofErr w:type="spellEnd"/>
            <w:r w:rsidRPr="0060721D">
              <w:rPr>
                <w:rFonts w:ascii="Times New Roman" w:hAnsi="Times New Roman"/>
              </w:rPr>
              <w:t xml:space="preserve"> </w:t>
            </w:r>
            <w:proofErr w:type="spellStart"/>
            <w:r w:rsidRPr="0060721D">
              <w:rPr>
                <w:rFonts w:ascii="Times New Roman" w:hAnsi="Times New Roman"/>
              </w:rPr>
              <w:t>sistemul</w:t>
            </w:r>
            <w:proofErr w:type="spellEnd"/>
            <w:r w:rsidRPr="0060721D">
              <w:rPr>
                <w:rFonts w:ascii="Times New Roman" w:hAnsi="Times New Roman"/>
              </w:rPr>
              <w:t xml:space="preserve"> </w:t>
            </w:r>
            <w:proofErr w:type="spellStart"/>
            <w:r w:rsidRPr="0060721D">
              <w:rPr>
                <w:rFonts w:ascii="Times New Roman" w:hAnsi="Times New Roman"/>
              </w:rPr>
              <w:t>convențional</w:t>
            </w:r>
            <w:proofErr w:type="spellEnd"/>
            <w:r w:rsidRPr="0060721D">
              <w:rPr>
                <w:rFonts w:ascii="Times New Roman" w:hAnsi="Times New Roman"/>
              </w:rPr>
              <w:t xml:space="preserve">.  </w:t>
            </w:r>
            <w:proofErr w:type="spellStart"/>
            <w:r w:rsidRPr="0060721D">
              <w:rPr>
                <w:rFonts w:ascii="Times New Roman" w:hAnsi="Times New Roman"/>
              </w:rPr>
              <w:t>În</w:t>
            </w:r>
            <w:proofErr w:type="spellEnd"/>
            <w:r w:rsidRPr="0060721D">
              <w:rPr>
                <w:rFonts w:ascii="Times New Roman" w:hAnsi="Times New Roman"/>
              </w:rPr>
              <w:t xml:space="preserve"> </w:t>
            </w:r>
            <w:proofErr w:type="spellStart"/>
            <w:r w:rsidRPr="0060721D">
              <w:rPr>
                <w:rFonts w:ascii="Times New Roman" w:hAnsi="Times New Roman"/>
              </w:rPr>
              <w:t>comparație</w:t>
            </w:r>
            <w:proofErr w:type="spellEnd"/>
            <w:r w:rsidRPr="0060721D">
              <w:rPr>
                <w:rFonts w:ascii="Times New Roman" w:hAnsi="Times New Roman"/>
              </w:rPr>
              <w:t xml:space="preserve"> cu </w:t>
            </w:r>
            <w:proofErr w:type="spellStart"/>
            <w:r w:rsidRPr="0060721D">
              <w:rPr>
                <w:rFonts w:ascii="Times New Roman" w:hAnsi="Times New Roman"/>
              </w:rPr>
              <w:t>tehnologiile</w:t>
            </w:r>
            <w:proofErr w:type="spellEnd"/>
            <w:r w:rsidRPr="0060721D">
              <w:rPr>
                <w:rFonts w:ascii="Times New Roman" w:hAnsi="Times New Roman"/>
              </w:rPr>
              <w:t xml:space="preserve"> </w:t>
            </w:r>
            <w:proofErr w:type="spellStart"/>
            <w:r w:rsidRPr="0060721D">
              <w:rPr>
                <w:rFonts w:ascii="Times New Roman" w:hAnsi="Times New Roman"/>
              </w:rPr>
              <w:t>convenționale</w:t>
            </w:r>
            <w:proofErr w:type="spellEnd"/>
            <w:r w:rsidRPr="0060721D">
              <w:rPr>
                <w:rFonts w:ascii="Times New Roman" w:hAnsi="Times New Roman"/>
              </w:rPr>
              <w:t xml:space="preserve">, </w:t>
            </w:r>
            <w:proofErr w:type="spellStart"/>
            <w:r w:rsidRPr="0060721D">
              <w:rPr>
                <w:rFonts w:ascii="Times New Roman" w:hAnsi="Times New Roman"/>
              </w:rPr>
              <w:t>practicele</w:t>
            </w:r>
            <w:proofErr w:type="spellEnd"/>
            <w:r w:rsidRPr="0060721D">
              <w:rPr>
                <w:rFonts w:ascii="Times New Roman" w:hAnsi="Times New Roman"/>
              </w:rPr>
              <w:t xml:space="preserve"> </w:t>
            </w:r>
            <w:proofErr w:type="spellStart"/>
            <w:r w:rsidRPr="0060721D">
              <w:rPr>
                <w:rFonts w:ascii="Times New Roman" w:hAnsi="Times New Roman"/>
              </w:rPr>
              <w:t>specificate</w:t>
            </w:r>
            <w:proofErr w:type="spellEnd"/>
            <w:r w:rsidRPr="0060721D">
              <w:rPr>
                <w:rFonts w:ascii="Times New Roman" w:hAnsi="Times New Roman"/>
              </w:rPr>
              <w:t xml:space="preserve"> </w:t>
            </w:r>
            <w:proofErr w:type="spellStart"/>
            <w:r w:rsidRPr="0060721D">
              <w:rPr>
                <w:rFonts w:ascii="Times New Roman" w:hAnsi="Times New Roman"/>
              </w:rPr>
              <w:t>favorizează</w:t>
            </w:r>
            <w:proofErr w:type="spellEnd"/>
            <w:r w:rsidRPr="0060721D">
              <w:rPr>
                <w:rFonts w:ascii="Times New Roman" w:hAnsi="Times New Roman"/>
              </w:rPr>
              <w:t xml:space="preserve"> </w:t>
            </w:r>
            <w:proofErr w:type="spellStart"/>
            <w:r w:rsidRPr="0060721D">
              <w:rPr>
                <w:rFonts w:ascii="Times New Roman" w:hAnsi="Times New Roman"/>
              </w:rPr>
              <w:t>şi</w:t>
            </w:r>
            <w:proofErr w:type="spellEnd"/>
            <w:r w:rsidRPr="0060721D">
              <w:rPr>
                <w:rFonts w:ascii="Times New Roman" w:hAnsi="Times New Roman"/>
              </w:rPr>
              <w:t xml:space="preserve"> </w:t>
            </w:r>
            <w:proofErr w:type="spellStart"/>
            <w:r w:rsidRPr="0060721D">
              <w:rPr>
                <w:rFonts w:ascii="Times New Roman" w:hAnsi="Times New Roman"/>
              </w:rPr>
              <w:t>susțin</w:t>
            </w:r>
            <w:proofErr w:type="spellEnd"/>
            <w:r w:rsidRPr="0060721D">
              <w:rPr>
                <w:rFonts w:ascii="Times New Roman" w:hAnsi="Times New Roman"/>
              </w:rPr>
              <w:t xml:space="preserve"> </w:t>
            </w:r>
            <w:proofErr w:type="spellStart"/>
            <w:r w:rsidRPr="0060721D">
              <w:rPr>
                <w:rFonts w:ascii="Times New Roman" w:hAnsi="Times New Roman"/>
              </w:rPr>
              <w:t>procesele</w:t>
            </w:r>
            <w:proofErr w:type="spellEnd"/>
            <w:r w:rsidRPr="0060721D">
              <w:rPr>
                <w:rFonts w:ascii="Times New Roman" w:hAnsi="Times New Roman"/>
              </w:rPr>
              <w:t xml:space="preserve"> </w:t>
            </w:r>
            <w:proofErr w:type="spellStart"/>
            <w:r w:rsidRPr="0060721D">
              <w:rPr>
                <w:rFonts w:ascii="Times New Roman" w:hAnsi="Times New Roman"/>
              </w:rPr>
              <w:t>elementare</w:t>
            </w:r>
            <w:proofErr w:type="spellEnd"/>
            <w:r w:rsidRPr="0060721D">
              <w:rPr>
                <w:rFonts w:ascii="Times New Roman" w:hAnsi="Times New Roman"/>
              </w:rPr>
              <w:t xml:space="preserve"> </w:t>
            </w:r>
            <w:proofErr w:type="spellStart"/>
            <w:r w:rsidRPr="0060721D">
              <w:rPr>
                <w:rFonts w:ascii="Times New Roman" w:hAnsi="Times New Roman"/>
              </w:rPr>
              <w:t>naturale</w:t>
            </w:r>
            <w:proofErr w:type="spellEnd"/>
            <w:r w:rsidRPr="0060721D">
              <w:rPr>
                <w:rFonts w:ascii="Times New Roman" w:hAnsi="Times New Roman"/>
              </w:rPr>
              <w:t xml:space="preserve"> de </w:t>
            </w:r>
            <w:proofErr w:type="spellStart"/>
            <w:r w:rsidRPr="0060721D">
              <w:rPr>
                <w:rFonts w:ascii="Times New Roman" w:hAnsi="Times New Roman"/>
              </w:rPr>
              <w:t>evoluție</w:t>
            </w:r>
            <w:proofErr w:type="spellEnd"/>
            <w:r w:rsidRPr="0060721D">
              <w:rPr>
                <w:rFonts w:ascii="Times New Roman" w:hAnsi="Times New Roman"/>
              </w:rPr>
              <w:t xml:space="preserve"> a </w:t>
            </w:r>
            <w:proofErr w:type="spellStart"/>
            <w:r w:rsidRPr="0060721D">
              <w:rPr>
                <w:rFonts w:ascii="Times New Roman" w:hAnsi="Times New Roman"/>
              </w:rPr>
              <w:t>cernoziomurilor</w:t>
            </w:r>
            <w:proofErr w:type="spellEnd"/>
            <w:r w:rsidRPr="0060721D">
              <w:rPr>
                <w:rFonts w:ascii="Times New Roman" w:hAnsi="Times New Roman"/>
              </w:rPr>
              <w:t xml:space="preserve"> </w:t>
            </w:r>
            <w:proofErr w:type="spellStart"/>
            <w:r w:rsidRPr="0060721D">
              <w:rPr>
                <w:rFonts w:ascii="Times New Roman" w:hAnsi="Times New Roman"/>
              </w:rPr>
              <w:t>în</w:t>
            </w:r>
            <w:proofErr w:type="spellEnd"/>
            <w:r w:rsidRPr="0060721D">
              <w:rPr>
                <w:rFonts w:ascii="Times New Roman" w:hAnsi="Times New Roman"/>
              </w:rPr>
              <w:t xml:space="preserve"> </w:t>
            </w:r>
            <w:proofErr w:type="spellStart"/>
            <w:r w:rsidRPr="0060721D">
              <w:rPr>
                <w:rFonts w:ascii="Times New Roman" w:hAnsi="Times New Roman"/>
              </w:rPr>
              <w:lastRenderedPageBreak/>
              <w:t>regim</w:t>
            </w:r>
            <w:proofErr w:type="spellEnd"/>
            <w:r w:rsidRPr="0060721D">
              <w:rPr>
                <w:rFonts w:ascii="Times New Roman" w:hAnsi="Times New Roman"/>
              </w:rPr>
              <w:t xml:space="preserve"> </w:t>
            </w:r>
            <w:proofErr w:type="spellStart"/>
            <w:r w:rsidRPr="0060721D">
              <w:rPr>
                <w:rFonts w:ascii="Times New Roman" w:hAnsi="Times New Roman"/>
              </w:rPr>
              <w:t>agricol</w:t>
            </w:r>
            <w:proofErr w:type="spellEnd"/>
            <w:r w:rsidRPr="0060721D">
              <w:rPr>
                <w:rFonts w:ascii="Times New Roman" w:hAnsi="Times New Roman"/>
              </w:rPr>
              <w:t xml:space="preserve"> </w:t>
            </w:r>
            <w:proofErr w:type="spellStart"/>
            <w:r w:rsidRPr="0060721D">
              <w:rPr>
                <w:rFonts w:ascii="Times New Roman" w:hAnsi="Times New Roman"/>
              </w:rPr>
              <w:t>și</w:t>
            </w:r>
            <w:proofErr w:type="spellEnd"/>
            <w:r w:rsidRPr="0060721D">
              <w:rPr>
                <w:rFonts w:ascii="Times New Roman" w:hAnsi="Times New Roman"/>
              </w:rPr>
              <w:t xml:space="preserve"> </w:t>
            </w:r>
            <w:proofErr w:type="spellStart"/>
            <w:r w:rsidRPr="0060721D">
              <w:rPr>
                <w:rFonts w:ascii="Times New Roman" w:hAnsi="Times New Roman"/>
              </w:rPr>
              <w:t>reducerea</w:t>
            </w:r>
            <w:proofErr w:type="spellEnd"/>
            <w:r w:rsidRPr="0060721D">
              <w:rPr>
                <w:rFonts w:ascii="Times New Roman" w:hAnsi="Times New Roman"/>
              </w:rPr>
              <w:t xml:space="preserve"> </w:t>
            </w:r>
            <w:proofErr w:type="spellStart"/>
            <w:r w:rsidRPr="0060721D">
              <w:rPr>
                <w:rFonts w:ascii="Times New Roman" w:hAnsi="Times New Roman"/>
              </w:rPr>
              <w:t>stării</w:t>
            </w:r>
            <w:proofErr w:type="spellEnd"/>
            <w:r w:rsidRPr="0060721D">
              <w:rPr>
                <w:rFonts w:ascii="Times New Roman" w:hAnsi="Times New Roman"/>
              </w:rPr>
              <w:t xml:space="preserve"> de </w:t>
            </w:r>
            <w:proofErr w:type="spellStart"/>
            <w:r w:rsidRPr="0060721D">
              <w:rPr>
                <w:rFonts w:ascii="Times New Roman" w:hAnsi="Times New Roman"/>
              </w:rPr>
              <w:t>compactitate</w:t>
            </w:r>
            <w:proofErr w:type="spellEnd"/>
            <w:r w:rsidRPr="0060721D">
              <w:rPr>
                <w:rFonts w:ascii="Times New Roman" w:hAnsi="Times New Roman"/>
              </w:rPr>
              <w:t xml:space="preserve"> </w:t>
            </w:r>
            <w:proofErr w:type="spellStart"/>
            <w:r w:rsidRPr="0060721D">
              <w:rPr>
                <w:rFonts w:ascii="Times New Roman" w:hAnsi="Times New Roman"/>
              </w:rPr>
              <w:t>în</w:t>
            </w:r>
            <w:proofErr w:type="spellEnd"/>
            <w:r w:rsidRPr="0060721D">
              <w:rPr>
                <w:rFonts w:ascii="Times New Roman" w:hAnsi="Times New Roman"/>
              </w:rPr>
              <w:t xml:space="preserve"> </w:t>
            </w:r>
            <w:proofErr w:type="spellStart"/>
            <w:r w:rsidRPr="0060721D">
              <w:rPr>
                <w:rFonts w:ascii="Times New Roman" w:hAnsi="Times New Roman"/>
              </w:rPr>
              <w:t>stratul</w:t>
            </w:r>
            <w:proofErr w:type="spellEnd"/>
            <w:r w:rsidRPr="0060721D">
              <w:rPr>
                <w:rFonts w:ascii="Times New Roman" w:hAnsi="Times New Roman"/>
              </w:rPr>
              <w:t xml:space="preserve"> </w:t>
            </w:r>
            <w:proofErr w:type="spellStart"/>
            <w:r w:rsidRPr="0060721D">
              <w:rPr>
                <w:rFonts w:ascii="Times New Roman" w:hAnsi="Times New Roman"/>
              </w:rPr>
              <w:t>imediat</w:t>
            </w:r>
            <w:proofErr w:type="spellEnd"/>
            <w:r w:rsidRPr="0060721D">
              <w:rPr>
                <w:rFonts w:ascii="Times New Roman" w:hAnsi="Times New Roman"/>
              </w:rPr>
              <w:t xml:space="preserve"> </w:t>
            </w:r>
            <w:proofErr w:type="spellStart"/>
            <w:r w:rsidRPr="0060721D">
              <w:rPr>
                <w:rFonts w:ascii="Times New Roman" w:hAnsi="Times New Roman"/>
              </w:rPr>
              <w:t>următor</w:t>
            </w:r>
            <w:proofErr w:type="spellEnd"/>
            <w:r w:rsidRPr="0060721D">
              <w:rPr>
                <w:rFonts w:ascii="Times New Roman" w:hAnsi="Times New Roman"/>
              </w:rPr>
              <w:t xml:space="preserve"> </w:t>
            </w:r>
            <w:proofErr w:type="spellStart"/>
            <w:r w:rsidRPr="0060721D">
              <w:rPr>
                <w:rFonts w:ascii="Times New Roman" w:hAnsi="Times New Roman"/>
              </w:rPr>
              <w:t>celui</w:t>
            </w:r>
            <w:proofErr w:type="spellEnd"/>
            <w:r w:rsidRPr="0060721D">
              <w:rPr>
                <w:rFonts w:ascii="Times New Roman" w:hAnsi="Times New Roman"/>
              </w:rPr>
              <w:t xml:space="preserve"> superficial </w:t>
            </w:r>
            <w:proofErr w:type="spellStart"/>
            <w:r w:rsidRPr="0060721D">
              <w:rPr>
                <w:rFonts w:ascii="Times New Roman" w:hAnsi="Times New Roman"/>
              </w:rPr>
              <w:t>şi</w:t>
            </w:r>
            <w:proofErr w:type="spellEnd"/>
            <w:r w:rsidRPr="0060721D">
              <w:rPr>
                <w:rFonts w:ascii="Times New Roman" w:hAnsi="Times New Roman"/>
              </w:rPr>
              <w:t xml:space="preserve"> </w:t>
            </w:r>
            <w:proofErr w:type="spellStart"/>
            <w:r w:rsidRPr="0060721D">
              <w:rPr>
                <w:rFonts w:ascii="Times New Roman" w:hAnsi="Times New Roman"/>
              </w:rPr>
              <w:t>demararea</w:t>
            </w:r>
            <w:proofErr w:type="spellEnd"/>
            <w:r w:rsidRPr="0060721D">
              <w:rPr>
                <w:rFonts w:ascii="Times New Roman" w:hAnsi="Times New Roman"/>
              </w:rPr>
              <w:t xml:space="preserve"> </w:t>
            </w:r>
            <w:proofErr w:type="spellStart"/>
            <w:r w:rsidRPr="0060721D">
              <w:rPr>
                <w:rFonts w:ascii="Times New Roman" w:hAnsi="Times New Roman"/>
              </w:rPr>
              <w:t>proceselor</w:t>
            </w:r>
            <w:proofErr w:type="spellEnd"/>
            <w:r w:rsidRPr="0060721D">
              <w:rPr>
                <w:rFonts w:ascii="Times New Roman" w:hAnsi="Times New Roman"/>
              </w:rPr>
              <w:t xml:space="preserve"> de </w:t>
            </w:r>
            <w:proofErr w:type="spellStart"/>
            <w:r w:rsidRPr="0060721D">
              <w:rPr>
                <w:rFonts w:ascii="Times New Roman" w:hAnsi="Times New Roman"/>
              </w:rPr>
              <w:t>afânare</w:t>
            </w:r>
            <w:proofErr w:type="spellEnd"/>
            <w:r w:rsidRPr="0060721D">
              <w:rPr>
                <w:rFonts w:ascii="Times New Roman" w:hAnsi="Times New Roman"/>
              </w:rPr>
              <w:t>/</w:t>
            </w:r>
            <w:proofErr w:type="spellStart"/>
            <w:r w:rsidRPr="0060721D">
              <w:rPr>
                <w:rFonts w:ascii="Times New Roman" w:hAnsi="Times New Roman"/>
              </w:rPr>
              <w:t>dispariție</w:t>
            </w:r>
            <w:proofErr w:type="spellEnd"/>
            <w:r w:rsidRPr="0060721D">
              <w:rPr>
                <w:rFonts w:ascii="Times New Roman" w:hAnsi="Times New Roman"/>
              </w:rPr>
              <w:t xml:space="preserve"> a „</w:t>
            </w:r>
            <w:proofErr w:type="spellStart"/>
            <w:r w:rsidRPr="0060721D">
              <w:rPr>
                <w:rFonts w:ascii="Times New Roman" w:hAnsi="Times New Roman"/>
              </w:rPr>
              <w:t>tălpii</w:t>
            </w:r>
            <w:proofErr w:type="spellEnd"/>
            <w:r w:rsidRPr="0060721D">
              <w:rPr>
                <w:rFonts w:ascii="Times New Roman" w:hAnsi="Times New Roman"/>
              </w:rPr>
              <w:t xml:space="preserve"> </w:t>
            </w:r>
            <w:proofErr w:type="spellStart"/>
            <w:r w:rsidRPr="0060721D">
              <w:rPr>
                <w:rFonts w:ascii="Times New Roman" w:hAnsi="Times New Roman"/>
              </w:rPr>
              <w:t>plugului</w:t>
            </w:r>
            <w:proofErr w:type="spellEnd"/>
            <w:r w:rsidRPr="0060721D">
              <w:rPr>
                <w:rFonts w:ascii="Times New Roman" w:hAnsi="Times New Roman"/>
              </w:rPr>
              <w:t xml:space="preserve">” </w:t>
            </w:r>
            <w:proofErr w:type="spellStart"/>
            <w:r w:rsidRPr="0060721D">
              <w:rPr>
                <w:rFonts w:ascii="Times New Roman" w:hAnsi="Times New Roman"/>
              </w:rPr>
              <w:t>şi</w:t>
            </w:r>
            <w:proofErr w:type="spellEnd"/>
            <w:r w:rsidRPr="0060721D">
              <w:rPr>
                <w:rFonts w:ascii="Times New Roman" w:hAnsi="Times New Roman"/>
              </w:rPr>
              <w:t xml:space="preserve"> a </w:t>
            </w:r>
            <w:proofErr w:type="spellStart"/>
            <w:r w:rsidRPr="0060721D">
              <w:rPr>
                <w:rFonts w:ascii="Times New Roman" w:hAnsi="Times New Roman"/>
              </w:rPr>
              <w:t>efectelor</w:t>
            </w:r>
            <w:proofErr w:type="spellEnd"/>
            <w:r w:rsidRPr="0060721D">
              <w:rPr>
                <w:rFonts w:ascii="Times New Roman" w:hAnsi="Times New Roman"/>
              </w:rPr>
              <w:t xml:space="preserve"> negative </w:t>
            </w:r>
            <w:proofErr w:type="spellStart"/>
            <w:r w:rsidRPr="0060721D">
              <w:rPr>
                <w:rFonts w:ascii="Times New Roman" w:hAnsi="Times New Roman"/>
              </w:rPr>
              <w:t>aferente</w:t>
            </w:r>
            <w:proofErr w:type="spellEnd"/>
            <w:r w:rsidRPr="0060721D">
              <w:rPr>
                <w:rFonts w:ascii="Times New Roman" w:hAnsi="Times New Roman"/>
              </w:rPr>
              <w:t xml:space="preserve"> </w:t>
            </w:r>
            <w:proofErr w:type="spellStart"/>
            <w:r w:rsidRPr="0060721D">
              <w:rPr>
                <w:rFonts w:ascii="Times New Roman" w:hAnsi="Times New Roman"/>
              </w:rPr>
              <w:t>acesteia</w:t>
            </w:r>
            <w:proofErr w:type="spellEnd"/>
            <w:r w:rsidRPr="0060721D">
              <w:rPr>
                <w:rFonts w:ascii="Times New Roman" w:hAnsi="Times New Roman"/>
              </w:rPr>
              <w:t xml:space="preserve">. </w:t>
            </w:r>
            <w:proofErr w:type="spellStart"/>
            <w:r w:rsidRPr="0060721D">
              <w:rPr>
                <w:rFonts w:ascii="Times New Roman" w:hAnsi="Times New Roman"/>
              </w:rPr>
              <w:t>Totodată</w:t>
            </w:r>
            <w:proofErr w:type="spellEnd"/>
            <w:r w:rsidRPr="0060721D">
              <w:rPr>
                <w:rFonts w:ascii="Times New Roman" w:hAnsi="Times New Roman"/>
              </w:rPr>
              <w:t xml:space="preserve">, </w:t>
            </w:r>
            <w:proofErr w:type="spellStart"/>
            <w:r w:rsidRPr="0060721D">
              <w:rPr>
                <w:rFonts w:ascii="Times New Roman" w:hAnsi="Times New Roman"/>
              </w:rPr>
              <w:t>în</w:t>
            </w:r>
            <w:proofErr w:type="spellEnd"/>
            <w:r w:rsidRPr="0060721D">
              <w:rPr>
                <w:rFonts w:ascii="Times New Roman" w:hAnsi="Times New Roman"/>
              </w:rPr>
              <w:t xml:space="preserve"> </w:t>
            </w:r>
            <w:proofErr w:type="spellStart"/>
            <w:r w:rsidRPr="0060721D">
              <w:rPr>
                <w:rFonts w:ascii="Times New Roman" w:hAnsi="Times New Roman"/>
              </w:rPr>
              <w:t>cadrul</w:t>
            </w:r>
            <w:proofErr w:type="spellEnd"/>
            <w:r w:rsidRPr="0060721D">
              <w:rPr>
                <w:rFonts w:ascii="Times New Roman" w:hAnsi="Times New Roman"/>
              </w:rPr>
              <w:t xml:space="preserve"> lor se </w:t>
            </w:r>
            <w:proofErr w:type="spellStart"/>
            <w:r w:rsidRPr="0060721D">
              <w:rPr>
                <w:rFonts w:ascii="Times New Roman" w:hAnsi="Times New Roman"/>
              </w:rPr>
              <w:t>atestă</w:t>
            </w:r>
            <w:proofErr w:type="spellEnd"/>
            <w:r w:rsidRPr="0060721D">
              <w:rPr>
                <w:rFonts w:ascii="Times New Roman" w:hAnsi="Times New Roman"/>
              </w:rPr>
              <w:t xml:space="preserve"> o </w:t>
            </w:r>
            <w:proofErr w:type="spellStart"/>
            <w:r w:rsidRPr="0060721D">
              <w:rPr>
                <w:rFonts w:ascii="Times New Roman" w:hAnsi="Times New Roman"/>
              </w:rPr>
              <w:t>ameliorare</w:t>
            </w:r>
            <w:proofErr w:type="spellEnd"/>
            <w:r w:rsidRPr="0060721D">
              <w:rPr>
                <w:rFonts w:ascii="Times New Roman" w:hAnsi="Times New Roman"/>
              </w:rPr>
              <w:t xml:space="preserve"> </w:t>
            </w:r>
            <w:proofErr w:type="spellStart"/>
            <w:r w:rsidRPr="0060721D">
              <w:rPr>
                <w:rFonts w:ascii="Times New Roman" w:hAnsi="Times New Roman"/>
              </w:rPr>
              <w:t>sesizabilă</w:t>
            </w:r>
            <w:proofErr w:type="spellEnd"/>
            <w:r w:rsidRPr="0060721D">
              <w:rPr>
                <w:rFonts w:ascii="Times New Roman" w:hAnsi="Times New Roman"/>
              </w:rPr>
              <w:t xml:space="preserve"> a </w:t>
            </w:r>
            <w:proofErr w:type="spellStart"/>
            <w:r w:rsidRPr="0060721D">
              <w:rPr>
                <w:rFonts w:ascii="Times New Roman" w:hAnsi="Times New Roman"/>
              </w:rPr>
              <w:t>rezervelor</w:t>
            </w:r>
            <w:proofErr w:type="spellEnd"/>
            <w:r w:rsidRPr="0060721D">
              <w:rPr>
                <w:rFonts w:ascii="Times New Roman" w:hAnsi="Times New Roman"/>
              </w:rPr>
              <w:t xml:space="preserve"> de </w:t>
            </w:r>
            <w:proofErr w:type="spellStart"/>
            <w:r w:rsidRPr="0060721D">
              <w:rPr>
                <w:rFonts w:ascii="Times New Roman" w:hAnsi="Times New Roman"/>
              </w:rPr>
              <w:t>apă</w:t>
            </w:r>
            <w:proofErr w:type="spellEnd"/>
            <w:r w:rsidRPr="0060721D">
              <w:rPr>
                <w:rFonts w:ascii="Times New Roman" w:hAnsi="Times New Roman"/>
              </w:rPr>
              <w:t xml:space="preserve"> </w:t>
            </w:r>
            <w:proofErr w:type="spellStart"/>
            <w:r w:rsidRPr="0060721D">
              <w:rPr>
                <w:rFonts w:ascii="Times New Roman" w:hAnsi="Times New Roman"/>
              </w:rPr>
              <w:t>productivă</w:t>
            </w:r>
            <w:proofErr w:type="spellEnd"/>
            <w:r w:rsidRPr="0060721D">
              <w:rPr>
                <w:rFonts w:ascii="Times New Roman" w:hAnsi="Times New Roman"/>
              </w:rPr>
              <w:t xml:space="preserve">, </w:t>
            </w:r>
            <w:proofErr w:type="spellStart"/>
            <w:r w:rsidRPr="0060721D">
              <w:rPr>
                <w:rFonts w:ascii="Times New Roman" w:hAnsi="Times New Roman"/>
              </w:rPr>
              <w:t>regimuri</w:t>
            </w:r>
            <w:proofErr w:type="spellEnd"/>
            <w:r w:rsidRPr="0060721D">
              <w:rPr>
                <w:rFonts w:ascii="Times New Roman" w:hAnsi="Times New Roman"/>
              </w:rPr>
              <w:t xml:space="preserve"> </w:t>
            </w:r>
            <w:proofErr w:type="spellStart"/>
            <w:r w:rsidRPr="0060721D">
              <w:rPr>
                <w:rFonts w:ascii="Times New Roman" w:hAnsi="Times New Roman"/>
              </w:rPr>
              <w:t>hidrotermic</w:t>
            </w:r>
            <w:proofErr w:type="spellEnd"/>
            <w:r w:rsidRPr="0060721D">
              <w:rPr>
                <w:rFonts w:ascii="Times New Roman" w:hAnsi="Times New Roman"/>
              </w:rPr>
              <w:t xml:space="preserve"> </w:t>
            </w:r>
            <w:proofErr w:type="spellStart"/>
            <w:r w:rsidRPr="0060721D">
              <w:rPr>
                <w:rFonts w:ascii="Times New Roman" w:hAnsi="Times New Roman"/>
              </w:rPr>
              <w:t>şi</w:t>
            </w:r>
            <w:proofErr w:type="spellEnd"/>
            <w:r w:rsidRPr="0060721D">
              <w:rPr>
                <w:rFonts w:ascii="Times New Roman" w:hAnsi="Times New Roman"/>
              </w:rPr>
              <w:t xml:space="preserve"> </w:t>
            </w:r>
            <w:proofErr w:type="spellStart"/>
            <w:r w:rsidRPr="0060721D">
              <w:rPr>
                <w:rFonts w:ascii="Times New Roman" w:hAnsi="Times New Roman"/>
              </w:rPr>
              <w:t>aerohidric</w:t>
            </w:r>
            <w:proofErr w:type="spellEnd"/>
            <w:r w:rsidRPr="0060721D">
              <w:rPr>
                <w:rFonts w:ascii="Times New Roman" w:hAnsi="Times New Roman"/>
              </w:rPr>
              <w:t xml:space="preserve"> </w:t>
            </w:r>
            <w:proofErr w:type="spellStart"/>
            <w:r w:rsidRPr="0060721D">
              <w:rPr>
                <w:rFonts w:ascii="Times New Roman" w:hAnsi="Times New Roman"/>
              </w:rPr>
              <w:t>mai</w:t>
            </w:r>
            <w:proofErr w:type="spellEnd"/>
            <w:r w:rsidRPr="0060721D">
              <w:rPr>
                <w:rFonts w:ascii="Times New Roman" w:hAnsi="Times New Roman"/>
              </w:rPr>
              <w:t xml:space="preserve"> </w:t>
            </w:r>
            <w:proofErr w:type="spellStart"/>
            <w:r w:rsidRPr="0060721D">
              <w:rPr>
                <w:rFonts w:ascii="Times New Roman" w:hAnsi="Times New Roman"/>
              </w:rPr>
              <w:t>favorabile</w:t>
            </w:r>
            <w:proofErr w:type="spellEnd"/>
            <w:r w:rsidRPr="0060721D">
              <w:rPr>
                <w:rFonts w:ascii="Times New Roman" w:hAnsi="Times New Roman"/>
              </w:rPr>
              <w:t xml:space="preserve">, </w:t>
            </w:r>
            <w:proofErr w:type="spellStart"/>
            <w:r w:rsidRPr="0060721D">
              <w:rPr>
                <w:rFonts w:ascii="Times New Roman" w:hAnsi="Times New Roman"/>
              </w:rPr>
              <w:t>cantități</w:t>
            </w:r>
            <w:proofErr w:type="spellEnd"/>
            <w:r w:rsidRPr="0060721D">
              <w:rPr>
                <w:rFonts w:ascii="Times New Roman" w:hAnsi="Times New Roman"/>
              </w:rPr>
              <w:t xml:space="preserve"> </w:t>
            </w:r>
            <w:proofErr w:type="spellStart"/>
            <w:r w:rsidRPr="0060721D">
              <w:rPr>
                <w:rFonts w:ascii="Times New Roman" w:hAnsi="Times New Roman"/>
              </w:rPr>
              <w:t>mai</w:t>
            </w:r>
            <w:proofErr w:type="spellEnd"/>
            <w:r w:rsidRPr="0060721D">
              <w:rPr>
                <w:rFonts w:ascii="Times New Roman" w:hAnsi="Times New Roman"/>
              </w:rPr>
              <w:t xml:space="preserve"> </w:t>
            </w:r>
            <w:proofErr w:type="spellStart"/>
            <w:r w:rsidRPr="0060721D">
              <w:rPr>
                <w:rFonts w:ascii="Times New Roman" w:hAnsi="Times New Roman"/>
              </w:rPr>
              <w:t>sporite</w:t>
            </w:r>
            <w:proofErr w:type="spellEnd"/>
            <w:r w:rsidRPr="0060721D">
              <w:rPr>
                <w:rFonts w:ascii="Times New Roman" w:hAnsi="Times New Roman"/>
              </w:rPr>
              <w:t xml:space="preserve"> de </w:t>
            </w:r>
            <w:proofErr w:type="spellStart"/>
            <w:r w:rsidRPr="0060721D">
              <w:rPr>
                <w:rFonts w:ascii="Times New Roman" w:hAnsi="Times New Roman"/>
              </w:rPr>
              <w:t>substanțe</w:t>
            </w:r>
            <w:proofErr w:type="spellEnd"/>
            <w:r w:rsidRPr="0060721D">
              <w:rPr>
                <w:rFonts w:ascii="Times New Roman" w:hAnsi="Times New Roman"/>
              </w:rPr>
              <w:t xml:space="preserve"> </w:t>
            </w:r>
            <w:proofErr w:type="spellStart"/>
            <w:r w:rsidRPr="0060721D">
              <w:rPr>
                <w:rFonts w:ascii="Times New Roman" w:hAnsi="Times New Roman"/>
              </w:rPr>
              <w:t>humice</w:t>
            </w:r>
            <w:proofErr w:type="spellEnd"/>
            <w:r w:rsidRPr="0060721D">
              <w:rPr>
                <w:rFonts w:ascii="Times New Roman" w:hAnsi="Times New Roman"/>
              </w:rPr>
              <w:t xml:space="preserve"> labile, care </w:t>
            </w:r>
            <w:proofErr w:type="spellStart"/>
            <w:r w:rsidRPr="0060721D">
              <w:rPr>
                <w:rFonts w:ascii="Times New Roman" w:hAnsi="Times New Roman"/>
              </w:rPr>
              <w:t>favorizează</w:t>
            </w:r>
            <w:proofErr w:type="spellEnd"/>
            <w:r w:rsidRPr="0060721D">
              <w:rPr>
                <w:rFonts w:ascii="Times New Roman" w:hAnsi="Times New Roman"/>
              </w:rPr>
              <w:t xml:space="preserve"> </w:t>
            </w:r>
            <w:proofErr w:type="spellStart"/>
            <w:r w:rsidRPr="0060721D">
              <w:rPr>
                <w:rFonts w:ascii="Times New Roman" w:hAnsi="Times New Roman"/>
              </w:rPr>
              <w:t>desfășurarea</w:t>
            </w:r>
            <w:proofErr w:type="spellEnd"/>
            <w:r w:rsidRPr="0060721D">
              <w:rPr>
                <w:rFonts w:ascii="Times New Roman" w:hAnsi="Times New Roman"/>
              </w:rPr>
              <w:t xml:space="preserve"> </w:t>
            </w:r>
            <w:proofErr w:type="spellStart"/>
            <w:r w:rsidRPr="0060721D">
              <w:rPr>
                <w:rFonts w:ascii="Times New Roman" w:hAnsi="Times New Roman"/>
              </w:rPr>
              <w:t>proceselor</w:t>
            </w:r>
            <w:proofErr w:type="spellEnd"/>
            <w:r w:rsidRPr="0060721D">
              <w:rPr>
                <w:rFonts w:ascii="Times New Roman" w:hAnsi="Times New Roman"/>
              </w:rPr>
              <w:t xml:space="preserve"> </w:t>
            </w:r>
            <w:proofErr w:type="spellStart"/>
            <w:r w:rsidRPr="0060721D">
              <w:rPr>
                <w:rFonts w:ascii="Times New Roman" w:hAnsi="Times New Roman"/>
              </w:rPr>
              <w:t>elementare</w:t>
            </w:r>
            <w:proofErr w:type="spellEnd"/>
            <w:r w:rsidRPr="0060721D">
              <w:rPr>
                <w:rFonts w:ascii="Times New Roman" w:hAnsi="Times New Roman"/>
              </w:rPr>
              <w:t xml:space="preserve"> </w:t>
            </w:r>
            <w:proofErr w:type="spellStart"/>
            <w:r w:rsidRPr="0060721D">
              <w:rPr>
                <w:rFonts w:ascii="Times New Roman" w:hAnsi="Times New Roman"/>
              </w:rPr>
              <w:t>tipogenetice</w:t>
            </w:r>
            <w:proofErr w:type="spellEnd"/>
            <w:r w:rsidRPr="0060721D">
              <w:rPr>
                <w:rFonts w:ascii="Times New Roman" w:hAnsi="Times New Roman"/>
              </w:rPr>
              <w:t xml:space="preserve"> </w:t>
            </w:r>
            <w:proofErr w:type="spellStart"/>
            <w:r w:rsidRPr="0060721D">
              <w:rPr>
                <w:rFonts w:ascii="Times New Roman" w:hAnsi="Times New Roman"/>
              </w:rPr>
              <w:t>cernoziomice</w:t>
            </w:r>
            <w:proofErr w:type="spellEnd"/>
            <w:r w:rsidRPr="0060721D">
              <w:rPr>
                <w:rFonts w:ascii="Times New Roman" w:hAnsi="Times New Roman"/>
              </w:rPr>
              <w:t xml:space="preserve">. De </w:t>
            </w:r>
            <w:proofErr w:type="spellStart"/>
            <w:r w:rsidRPr="0060721D">
              <w:rPr>
                <w:rFonts w:ascii="Times New Roman" w:hAnsi="Times New Roman"/>
              </w:rPr>
              <w:t>asemenea</w:t>
            </w:r>
            <w:proofErr w:type="spellEnd"/>
            <w:r w:rsidRPr="0060721D">
              <w:rPr>
                <w:rFonts w:ascii="Times New Roman" w:hAnsi="Times New Roman"/>
              </w:rPr>
              <w:t xml:space="preserve">, se </w:t>
            </w:r>
            <w:proofErr w:type="spellStart"/>
            <w:r w:rsidRPr="0060721D">
              <w:rPr>
                <w:rFonts w:ascii="Times New Roman" w:hAnsi="Times New Roman"/>
              </w:rPr>
              <w:t>favorizează</w:t>
            </w:r>
            <w:proofErr w:type="spellEnd"/>
            <w:r w:rsidRPr="0060721D">
              <w:rPr>
                <w:rFonts w:ascii="Times New Roman" w:hAnsi="Times New Roman"/>
              </w:rPr>
              <w:t xml:space="preserve"> </w:t>
            </w:r>
            <w:proofErr w:type="spellStart"/>
            <w:r w:rsidRPr="0060721D">
              <w:rPr>
                <w:rFonts w:ascii="Times New Roman" w:hAnsi="Times New Roman"/>
              </w:rPr>
              <w:t>pătrunderii</w:t>
            </w:r>
            <w:proofErr w:type="spellEnd"/>
            <w:r w:rsidRPr="0060721D">
              <w:rPr>
                <w:rFonts w:ascii="Times New Roman" w:hAnsi="Times New Roman"/>
              </w:rPr>
              <w:t xml:space="preserve"> </w:t>
            </w:r>
            <w:proofErr w:type="spellStart"/>
            <w:r w:rsidRPr="0060721D">
              <w:rPr>
                <w:rFonts w:ascii="Times New Roman" w:hAnsi="Times New Roman"/>
              </w:rPr>
              <w:t>aerului</w:t>
            </w:r>
            <w:proofErr w:type="spellEnd"/>
            <w:r w:rsidRPr="0060721D">
              <w:rPr>
                <w:rFonts w:ascii="Times New Roman" w:hAnsi="Times New Roman"/>
              </w:rPr>
              <w:t xml:space="preserve"> </w:t>
            </w:r>
            <w:proofErr w:type="spellStart"/>
            <w:r w:rsidRPr="0060721D">
              <w:rPr>
                <w:rFonts w:ascii="Times New Roman" w:hAnsi="Times New Roman"/>
              </w:rPr>
              <w:t>în</w:t>
            </w:r>
            <w:proofErr w:type="spellEnd"/>
            <w:r w:rsidRPr="0060721D">
              <w:rPr>
                <w:rFonts w:ascii="Times New Roman" w:hAnsi="Times New Roman"/>
              </w:rPr>
              <w:t xml:space="preserve"> sol </w:t>
            </w:r>
            <w:proofErr w:type="spellStart"/>
            <w:r w:rsidRPr="0060721D">
              <w:rPr>
                <w:rFonts w:ascii="Times New Roman" w:hAnsi="Times New Roman"/>
              </w:rPr>
              <w:t>şi</w:t>
            </w:r>
            <w:proofErr w:type="spellEnd"/>
            <w:r w:rsidRPr="0060721D">
              <w:rPr>
                <w:rFonts w:ascii="Times New Roman" w:hAnsi="Times New Roman"/>
              </w:rPr>
              <w:t xml:space="preserve"> </w:t>
            </w:r>
            <w:proofErr w:type="spellStart"/>
            <w:r w:rsidRPr="0060721D">
              <w:rPr>
                <w:rFonts w:ascii="Times New Roman" w:hAnsi="Times New Roman"/>
              </w:rPr>
              <w:t>ameliorarea</w:t>
            </w:r>
            <w:proofErr w:type="spellEnd"/>
            <w:r w:rsidRPr="0060721D">
              <w:rPr>
                <w:rFonts w:ascii="Times New Roman" w:hAnsi="Times New Roman"/>
              </w:rPr>
              <w:t xml:space="preserve"> </w:t>
            </w:r>
            <w:proofErr w:type="spellStart"/>
            <w:r w:rsidRPr="0060721D">
              <w:rPr>
                <w:rFonts w:ascii="Times New Roman" w:hAnsi="Times New Roman"/>
              </w:rPr>
              <w:t>regimului</w:t>
            </w:r>
            <w:proofErr w:type="spellEnd"/>
            <w:r w:rsidRPr="0060721D">
              <w:rPr>
                <w:rFonts w:ascii="Times New Roman" w:hAnsi="Times New Roman"/>
              </w:rPr>
              <w:t xml:space="preserve"> </w:t>
            </w:r>
            <w:proofErr w:type="spellStart"/>
            <w:r w:rsidRPr="0060721D">
              <w:rPr>
                <w:rFonts w:ascii="Times New Roman" w:hAnsi="Times New Roman"/>
              </w:rPr>
              <w:t>oxigenului</w:t>
            </w:r>
            <w:proofErr w:type="spellEnd"/>
            <w:r w:rsidRPr="0060721D">
              <w:rPr>
                <w:rFonts w:ascii="Times New Roman" w:hAnsi="Times New Roman"/>
              </w:rPr>
              <w:t xml:space="preserve"> </w:t>
            </w:r>
            <w:proofErr w:type="spellStart"/>
            <w:r w:rsidRPr="0060721D">
              <w:rPr>
                <w:rFonts w:ascii="Times New Roman" w:hAnsi="Times New Roman"/>
              </w:rPr>
              <w:t>în</w:t>
            </w:r>
            <w:proofErr w:type="spellEnd"/>
            <w:r w:rsidRPr="0060721D">
              <w:rPr>
                <w:rFonts w:ascii="Times New Roman" w:hAnsi="Times New Roman"/>
              </w:rPr>
              <w:t xml:space="preserve"> sol. </w:t>
            </w:r>
            <w:proofErr w:type="spellStart"/>
            <w:r w:rsidRPr="0060721D">
              <w:rPr>
                <w:rFonts w:ascii="Times New Roman" w:hAnsi="Times New Roman"/>
              </w:rPr>
              <w:t>Toate</w:t>
            </w:r>
            <w:proofErr w:type="spellEnd"/>
            <w:r w:rsidRPr="0060721D">
              <w:rPr>
                <w:rFonts w:ascii="Times New Roman" w:hAnsi="Times New Roman"/>
              </w:rPr>
              <w:t xml:space="preserve"> </w:t>
            </w:r>
            <w:proofErr w:type="spellStart"/>
            <w:r w:rsidRPr="0060721D">
              <w:rPr>
                <w:rFonts w:ascii="Times New Roman" w:hAnsi="Times New Roman"/>
              </w:rPr>
              <w:t>cele</w:t>
            </w:r>
            <w:proofErr w:type="spellEnd"/>
            <w:r w:rsidRPr="0060721D">
              <w:rPr>
                <w:rFonts w:ascii="Times New Roman" w:hAnsi="Times New Roman"/>
              </w:rPr>
              <w:t xml:space="preserve"> </w:t>
            </w:r>
            <w:proofErr w:type="spellStart"/>
            <w:r w:rsidRPr="0060721D">
              <w:rPr>
                <w:rFonts w:ascii="Times New Roman" w:hAnsi="Times New Roman"/>
              </w:rPr>
              <w:t>menționate</w:t>
            </w:r>
            <w:proofErr w:type="spellEnd"/>
            <w:r w:rsidRPr="0060721D">
              <w:rPr>
                <w:rFonts w:ascii="Times New Roman" w:hAnsi="Times New Roman"/>
              </w:rPr>
              <w:t xml:space="preserve"> </w:t>
            </w:r>
            <w:proofErr w:type="spellStart"/>
            <w:r w:rsidRPr="0060721D">
              <w:rPr>
                <w:rFonts w:ascii="Times New Roman" w:hAnsi="Times New Roman"/>
              </w:rPr>
              <w:t>mai</w:t>
            </w:r>
            <w:proofErr w:type="spellEnd"/>
            <w:r w:rsidRPr="0060721D">
              <w:rPr>
                <w:rFonts w:ascii="Times New Roman" w:hAnsi="Times New Roman"/>
              </w:rPr>
              <w:t xml:space="preserve"> sus </w:t>
            </w:r>
            <w:proofErr w:type="spellStart"/>
            <w:r w:rsidRPr="0060721D">
              <w:rPr>
                <w:rFonts w:ascii="Times New Roman" w:hAnsi="Times New Roman"/>
              </w:rPr>
              <w:t>asigură</w:t>
            </w:r>
            <w:proofErr w:type="spellEnd"/>
            <w:r w:rsidRPr="0060721D">
              <w:rPr>
                <w:rFonts w:ascii="Times New Roman" w:hAnsi="Times New Roman"/>
              </w:rPr>
              <w:t xml:space="preserve"> </w:t>
            </w:r>
            <w:proofErr w:type="spellStart"/>
            <w:r w:rsidRPr="0060721D">
              <w:rPr>
                <w:rFonts w:ascii="Times New Roman" w:hAnsi="Times New Roman"/>
              </w:rPr>
              <w:t>reproducerea</w:t>
            </w:r>
            <w:proofErr w:type="spellEnd"/>
            <w:r w:rsidRPr="0060721D">
              <w:rPr>
                <w:rFonts w:ascii="Times New Roman" w:hAnsi="Times New Roman"/>
              </w:rPr>
              <w:t xml:space="preserve"> </w:t>
            </w:r>
            <w:proofErr w:type="spellStart"/>
            <w:r w:rsidRPr="0060721D">
              <w:rPr>
                <w:rFonts w:ascii="Times New Roman" w:hAnsi="Times New Roman"/>
              </w:rPr>
              <w:t>fertilității</w:t>
            </w:r>
            <w:proofErr w:type="spellEnd"/>
            <w:r w:rsidRPr="0060721D">
              <w:rPr>
                <w:rFonts w:ascii="Times New Roman" w:hAnsi="Times New Roman"/>
              </w:rPr>
              <w:t xml:space="preserve"> </w:t>
            </w:r>
            <w:proofErr w:type="spellStart"/>
            <w:r w:rsidRPr="0060721D">
              <w:rPr>
                <w:rFonts w:ascii="Times New Roman" w:hAnsi="Times New Roman"/>
              </w:rPr>
              <w:t>naturale</w:t>
            </w:r>
            <w:proofErr w:type="spellEnd"/>
            <w:r w:rsidRPr="0060721D">
              <w:rPr>
                <w:rFonts w:ascii="Times New Roman" w:hAnsi="Times New Roman"/>
              </w:rPr>
              <w:t xml:space="preserve"> </w:t>
            </w:r>
            <w:proofErr w:type="spellStart"/>
            <w:r w:rsidRPr="0060721D">
              <w:rPr>
                <w:rFonts w:ascii="Times New Roman" w:hAnsi="Times New Roman"/>
              </w:rPr>
              <w:t>şi</w:t>
            </w:r>
            <w:proofErr w:type="spellEnd"/>
            <w:r w:rsidRPr="0060721D">
              <w:rPr>
                <w:rFonts w:ascii="Times New Roman" w:hAnsi="Times New Roman"/>
              </w:rPr>
              <w:t xml:space="preserve"> </w:t>
            </w:r>
            <w:proofErr w:type="spellStart"/>
            <w:r w:rsidRPr="0060721D">
              <w:rPr>
                <w:rFonts w:ascii="Times New Roman" w:hAnsi="Times New Roman"/>
              </w:rPr>
              <w:t>renaturarea</w:t>
            </w:r>
            <w:proofErr w:type="spellEnd"/>
            <w:r w:rsidRPr="0060721D">
              <w:rPr>
                <w:rFonts w:ascii="Times New Roman" w:hAnsi="Times New Roman"/>
              </w:rPr>
              <w:t xml:space="preserve"> </w:t>
            </w:r>
            <w:proofErr w:type="spellStart"/>
            <w:r w:rsidRPr="0060721D">
              <w:rPr>
                <w:rFonts w:ascii="Times New Roman" w:hAnsi="Times New Roman"/>
              </w:rPr>
              <w:t>trendului</w:t>
            </w:r>
            <w:proofErr w:type="spellEnd"/>
            <w:r w:rsidRPr="0060721D">
              <w:rPr>
                <w:rFonts w:ascii="Times New Roman" w:hAnsi="Times New Roman"/>
              </w:rPr>
              <w:t xml:space="preserve"> </w:t>
            </w:r>
            <w:proofErr w:type="spellStart"/>
            <w:r w:rsidRPr="0060721D">
              <w:rPr>
                <w:rFonts w:ascii="Times New Roman" w:hAnsi="Times New Roman"/>
              </w:rPr>
              <w:t>antroponatural</w:t>
            </w:r>
            <w:proofErr w:type="spellEnd"/>
            <w:r w:rsidRPr="0060721D">
              <w:rPr>
                <w:rFonts w:ascii="Times New Roman" w:hAnsi="Times New Roman"/>
              </w:rPr>
              <w:t xml:space="preserve"> de </w:t>
            </w:r>
            <w:proofErr w:type="spellStart"/>
            <w:r w:rsidRPr="0060721D">
              <w:rPr>
                <w:rFonts w:ascii="Times New Roman" w:hAnsi="Times New Roman"/>
              </w:rPr>
              <w:t>evoluție</w:t>
            </w:r>
            <w:proofErr w:type="spellEnd"/>
            <w:r w:rsidRPr="0060721D">
              <w:rPr>
                <w:rFonts w:ascii="Times New Roman" w:hAnsi="Times New Roman"/>
              </w:rPr>
              <w:t xml:space="preserve"> a </w:t>
            </w:r>
            <w:proofErr w:type="spellStart"/>
            <w:r w:rsidRPr="0060721D">
              <w:rPr>
                <w:rFonts w:ascii="Times New Roman" w:hAnsi="Times New Roman"/>
              </w:rPr>
              <w:t>cernoziomurilor</w:t>
            </w:r>
            <w:proofErr w:type="spellEnd"/>
            <w:r w:rsidRPr="0060721D">
              <w:rPr>
                <w:rFonts w:ascii="Times New Roman" w:hAnsi="Times New Roman"/>
              </w:rPr>
              <w:t xml:space="preserve">. </w:t>
            </w:r>
            <w:proofErr w:type="spellStart"/>
            <w:r w:rsidRPr="0060721D">
              <w:rPr>
                <w:rFonts w:ascii="Times New Roman" w:hAnsi="Times New Roman"/>
              </w:rPr>
              <w:t>Aplicarea</w:t>
            </w:r>
            <w:proofErr w:type="spellEnd"/>
            <w:r w:rsidRPr="0060721D">
              <w:rPr>
                <w:rFonts w:ascii="Times New Roman" w:hAnsi="Times New Roman"/>
              </w:rPr>
              <w:t xml:space="preserve"> </w:t>
            </w:r>
            <w:proofErr w:type="spellStart"/>
            <w:r w:rsidRPr="0060721D">
              <w:rPr>
                <w:rFonts w:ascii="Times New Roman" w:hAnsi="Times New Roman"/>
              </w:rPr>
              <w:t>acestui</w:t>
            </w:r>
            <w:proofErr w:type="spellEnd"/>
            <w:r w:rsidRPr="0060721D">
              <w:rPr>
                <w:rFonts w:ascii="Times New Roman" w:hAnsi="Times New Roman"/>
              </w:rPr>
              <w:t xml:space="preserve"> </w:t>
            </w:r>
            <w:proofErr w:type="spellStart"/>
            <w:r w:rsidRPr="0060721D">
              <w:rPr>
                <w:rFonts w:ascii="Times New Roman" w:hAnsi="Times New Roman"/>
              </w:rPr>
              <w:t>sistem</w:t>
            </w:r>
            <w:proofErr w:type="spellEnd"/>
            <w:r w:rsidRPr="0060721D">
              <w:rPr>
                <w:rFonts w:ascii="Times New Roman" w:hAnsi="Times New Roman"/>
              </w:rPr>
              <w:t xml:space="preserve"> </w:t>
            </w:r>
            <w:proofErr w:type="spellStart"/>
            <w:r w:rsidRPr="0060721D">
              <w:rPr>
                <w:rFonts w:ascii="Times New Roman" w:hAnsi="Times New Roman"/>
              </w:rPr>
              <w:t>contribuie</w:t>
            </w:r>
            <w:proofErr w:type="spellEnd"/>
            <w:r w:rsidRPr="0060721D">
              <w:rPr>
                <w:rFonts w:ascii="Times New Roman" w:hAnsi="Times New Roman"/>
              </w:rPr>
              <w:t xml:space="preserve"> la </w:t>
            </w:r>
            <w:proofErr w:type="spellStart"/>
            <w:r w:rsidRPr="0060721D">
              <w:rPr>
                <w:rFonts w:ascii="Times New Roman" w:hAnsi="Times New Roman"/>
              </w:rPr>
              <w:t>restabilirea</w:t>
            </w:r>
            <w:proofErr w:type="spellEnd"/>
            <w:r w:rsidRPr="0060721D">
              <w:rPr>
                <w:rFonts w:ascii="Times New Roman" w:hAnsi="Times New Roman"/>
              </w:rPr>
              <w:t xml:space="preserve"> </w:t>
            </w:r>
            <w:proofErr w:type="spellStart"/>
            <w:r w:rsidRPr="0060721D">
              <w:rPr>
                <w:rFonts w:ascii="Times New Roman" w:hAnsi="Times New Roman"/>
              </w:rPr>
              <w:t>resurselor</w:t>
            </w:r>
            <w:proofErr w:type="spellEnd"/>
            <w:r w:rsidRPr="0060721D">
              <w:rPr>
                <w:rFonts w:ascii="Times New Roman" w:hAnsi="Times New Roman"/>
              </w:rPr>
              <w:t xml:space="preserve"> </w:t>
            </w:r>
            <w:proofErr w:type="spellStart"/>
            <w:r w:rsidRPr="0060721D">
              <w:rPr>
                <w:rFonts w:ascii="Times New Roman" w:hAnsi="Times New Roman"/>
              </w:rPr>
              <w:t>bioenergetice</w:t>
            </w:r>
            <w:proofErr w:type="spellEnd"/>
            <w:r w:rsidRPr="0060721D">
              <w:rPr>
                <w:rFonts w:ascii="Times New Roman" w:hAnsi="Times New Roman"/>
              </w:rPr>
              <w:t xml:space="preserve"> </w:t>
            </w:r>
            <w:r w:rsidRPr="0060721D">
              <w:rPr>
                <w:rFonts w:ascii="Times New Roman" w:hAnsi="Times New Roman"/>
              </w:rPr>
              <w:lastRenderedPageBreak/>
              <w:t xml:space="preserve">ale </w:t>
            </w:r>
            <w:proofErr w:type="spellStart"/>
            <w:r w:rsidRPr="0060721D">
              <w:rPr>
                <w:rFonts w:ascii="Times New Roman" w:hAnsi="Times New Roman"/>
              </w:rPr>
              <w:t>cernoziomurilor</w:t>
            </w:r>
            <w:proofErr w:type="spellEnd"/>
            <w:r w:rsidRPr="0060721D">
              <w:rPr>
                <w:rFonts w:ascii="Times New Roman" w:hAnsi="Times New Roman"/>
              </w:rPr>
              <w:t xml:space="preserve"> </w:t>
            </w:r>
            <w:proofErr w:type="spellStart"/>
            <w:r w:rsidRPr="0060721D">
              <w:rPr>
                <w:rFonts w:ascii="Times New Roman" w:hAnsi="Times New Roman"/>
              </w:rPr>
              <w:t>prin</w:t>
            </w:r>
            <w:proofErr w:type="spellEnd"/>
            <w:r w:rsidRPr="0060721D">
              <w:rPr>
                <w:rFonts w:ascii="Times New Roman" w:hAnsi="Times New Roman"/>
              </w:rPr>
              <w:t xml:space="preserve"> </w:t>
            </w:r>
            <w:proofErr w:type="spellStart"/>
            <w:r w:rsidRPr="0060721D">
              <w:rPr>
                <w:rFonts w:ascii="Times New Roman" w:hAnsi="Times New Roman"/>
              </w:rPr>
              <w:t>încorporarea</w:t>
            </w:r>
            <w:proofErr w:type="spellEnd"/>
            <w:r w:rsidRPr="0060721D">
              <w:rPr>
                <w:rFonts w:ascii="Times New Roman" w:hAnsi="Times New Roman"/>
              </w:rPr>
              <w:t xml:space="preserve"> </w:t>
            </w:r>
            <w:proofErr w:type="spellStart"/>
            <w:r w:rsidRPr="0060721D">
              <w:rPr>
                <w:rFonts w:ascii="Times New Roman" w:hAnsi="Times New Roman"/>
              </w:rPr>
              <w:t>sistematică</w:t>
            </w:r>
            <w:proofErr w:type="spellEnd"/>
            <w:r w:rsidRPr="0060721D">
              <w:rPr>
                <w:rFonts w:ascii="Times New Roman" w:hAnsi="Times New Roman"/>
              </w:rPr>
              <w:t xml:space="preserve"> a </w:t>
            </w:r>
            <w:proofErr w:type="spellStart"/>
            <w:r w:rsidRPr="0060721D">
              <w:rPr>
                <w:rFonts w:ascii="Times New Roman" w:hAnsi="Times New Roman"/>
              </w:rPr>
              <w:t>resturilor</w:t>
            </w:r>
            <w:proofErr w:type="spellEnd"/>
            <w:r w:rsidRPr="0060721D">
              <w:rPr>
                <w:rFonts w:ascii="Times New Roman" w:hAnsi="Times New Roman"/>
              </w:rPr>
              <w:t xml:space="preserve"> </w:t>
            </w:r>
            <w:proofErr w:type="spellStart"/>
            <w:r w:rsidRPr="0060721D">
              <w:rPr>
                <w:rFonts w:ascii="Times New Roman" w:hAnsi="Times New Roman"/>
              </w:rPr>
              <w:t>vegetale</w:t>
            </w:r>
            <w:proofErr w:type="spellEnd"/>
            <w:r w:rsidRPr="0060721D">
              <w:rPr>
                <w:rFonts w:ascii="Times New Roman" w:hAnsi="Times New Roman"/>
              </w:rPr>
              <w:t xml:space="preserve"> </w:t>
            </w:r>
            <w:proofErr w:type="spellStart"/>
            <w:r w:rsidRPr="0060721D">
              <w:rPr>
                <w:rFonts w:ascii="Times New Roman" w:hAnsi="Times New Roman"/>
              </w:rPr>
              <w:t>în</w:t>
            </w:r>
            <w:proofErr w:type="spellEnd"/>
            <w:r w:rsidRPr="0060721D">
              <w:rPr>
                <w:rFonts w:ascii="Times New Roman" w:hAnsi="Times New Roman"/>
              </w:rPr>
              <w:t xml:space="preserve"> sol (</w:t>
            </w:r>
            <w:proofErr w:type="spellStart"/>
            <w:r w:rsidRPr="0060721D">
              <w:rPr>
                <w:rFonts w:ascii="Times New Roman" w:hAnsi="Times New Roman"/>
              </w:rPr>
              <w:t>stratul</w:t>
            </w:r>
            <w:proofErr w:type="spellEnd"/>
            <w:r w:rsidRPr="0060721D">
              <w:rPr>
                <w:rFonts w:ascii="Times New Roman" w:hAnsi="Times New Roman"/>
              </w:rPr>
              <w:t xml:space="preserve"> 8-18-20 cm) </w:t>
            </w:r>
            <w:proofErr w:type="spellStart"/>
            <w:r w:rsidRPr="0060721D">
              <w:rPr>
                <w:rFonts w:ascii="Times New Roman" w:hAnsi="Times New Roman"/>
              </w:rPr>
              <w:t>şi</w:t>
            </w:r>
            <w:proofErr w:type="spellEnd"/>
            <w:r w:rsidRPr="0060721D">
              <w:rPr>
                <w:rFonts w:ascii="Times New Roman" w:hAnsi="Times New Roman"/>
              </w:rPr>
              <w:t xml:space="preserve"> </w:t>
            </w:r>
            <w:proofErr w:type="spellStart"/>
            <w:r w:rsidRPr="0060721D">
              <w:rPr>
                <w:rFonts w:ascii="Times New Roman" w:hAnsi="Times New Roman"/>
              </w:rPr>
              <w:t>păstrarea</w:t>
            </w:r>
            <w:proofErr w:type="spellEnd"/>
            <w:r w:rsidRPr="0060721D">
              <w:rPr>
                <w:rFonts w:ascii="Times New Roman" w:hAnsi="Times New Roman"/>
              </w:rPr>
              <w:t xml:space="preserve"> </w:t>
            </w:r>
            <w:proofErr w:type="spellStart"/>
            <w:r w:rsidRPr="0060721D">
              <w:rPr>
                <w:rFonts w:ascii="Times New Roman" w:hAnsi="Times New Roman"/>
              </w:rPr>
              <w:t>unei</w:t>
            </w:r>
            <w:proofErr w:type="spellEnd"/>
            <w:r w:rsidRPr="0060721D">
              <w:rPr>
                <w:rFonts w:ascii="Times New Roman" w:hAnsi="Times New Roman"/>
              </w:rPr>
              <w:t xml:space="preserve"> </w:t>
            </w:r>
            <w:proofErr w:type="spellStart"/>
            <w:r w:rsidRPr="0060721D">
              <w:rPr>
                <w:rFonts w:ascii="Times New Roman" w:hAnsi="Times New Roman"/>
              </w:rPr>
              <w:t>cantități</w:t>
            </w:r>
            <w:proofErr w:type="spellEnd"/>
            <w:r w:rsidRPr="0060721D">
              <w:rPr>
                <w:rFonts w:ascii="Times New Roman" w:hAnsi="Times New Roman"/>
              </w:rPr>
              <w:t xml:space="preserve"> de minimum 30-35% din </w:t>
            </w:r>
            <w:proofErr w:type="spellStart"/>
            <w:r w:rsidRPr="0060721D">
              <w:rPr>
                <w:rFonts w:ascii="Times New Roman" w:hAnsi="Times New Roman"/>
              </w:rPr>
              <w:t>resturile</w:t>
            </w:r>
            <w:proofErr w:type="spellEnd"/>
            <w:r w:rsidRPr="0060721D">
              <w:rPr>
                <w:rFonts w:ascii="Times New Roman" w:hAnsi="Times New Roman"/>
              </w:rPr>
              <w:t xml:space="preserve"> </w:t>
            </w:r>
            <w:proofErr w:type="spellStart"/>
            <w:r w:rsidRPr="0060721D">
              <w:rPr>
                <w:rFonts w:ascii="Times New Roman" w:hAnsi="Times New Roman"/>
              </w:rPr>
              <w:t>vegetale</w:t>
            </w:r>
            <w:proofErr w:type="spellEnd"/>
            <w:r w:rsidRPr="0060721D">
              <w:rPr>
                <w:rFonts w:ascii="Times New Roman" w:hAnsi="Times New Roman"/>
              </w:rPr>
              <w:t xml:space="preserve"> ale </w:t>
            </w:r>
            <w:proofErr w:type="spellStart"/>
            <w:r w:rsidRPr="0060721D">
              <w:rPr>
                <w:rFonts w:ascii="Times New Roman" w:hAnsi="Times New Roman"/>
              </w:rPr>
              <w:t>culturii</w:t>
            </w:r>
            <w:proofErr w:type="spellEnd"/>
            <w:r w:rsidRPr="0060721D">
              <w:rPr>
                <w:rFonts w:ascii="Times New Roman" w:hAnsi="Times New Roman"/>
              </w:rPr>
              <w:t xml:space="preserve"> </w:t>
            </w:r>
            <w:proofErr w:type="spellStart"/>
            <w:r w:rsidRPr="0060721D">
              <w:rPr>
                <w:rFonts w:ascii="Times New Roman" w:hAnsi="Times New Roman"/>
              </w:rPr>
              <w:t>premergătoare</w:t>
            </w:r>
            <w:proofErr w:type="spellEnd"/>
            <w:r w:rsidRPr="0060721D">
              <w:rPr>
                <w:rFonts w:ascii="Times New Roman" w:hAnsi="Times New Roman"/>
              </w:rPr>
              <w:t xml:space="preserve"> la </w:t>
            </w:r>
            <w:proofErr w:type="spellStart"/>
            <w:r w:rsidRPr="0060721D">
              <w:rPr>
                <w:rFonts w:ascii="Times New Roman" w:hAnsi="Times New Roman"/>
              </w:rPr>
              <w:t>suprafața</w:t>
            </w:r>
            <w:proofErr w:type="spellEnd"/>
            <w:r w:rsidRPr="0060721D">
              <w:rPr>
                <w:rFonts w:ascii="Times New Roman" w:hAnsi="Times New Roman"/>
              </w:rPr>
              <w:t xml:space="preserve"> </w:t>
            </w:r>
            <w:proofErr w:type="spellStart"/>
            <w:r w:rsidRPr="0060721D">
              <w:rPr>
                <w:rFonts w:ascii="Times New Roman" w:hAnsi="Times New Roman"/>
              </w:rPr>
              <w:t>solului</w:t>
            </w:r>
            <w:proofErr w:type="spellEnd"/>
            <w:r w:rsidRPr="0060721D">
              <w:rPr>
                <w:rFonts w:ascii="Times New Roman" w:hAnsi="Times New Roman"/>
              </w:rPr>
              <w:t xml:space="preserve">. </w:t>
            </w:r>
            <w:proofErr w:type="spellStart"/>
            <w:r w:rsidRPr="0060721D">
              <w:rPr>
                <w:rFonts w:ascii="Times New Roman" w:hAnsi="Times New Roman"/>
              </w:rPr>
              <w:t>Efectele</w:t>
            </w:r>
            <w:proofErr w:type="spellEnd"/>
            <w:r w:rsidRPr="0060721D">
              <w:rPr>
                <w:rFonts w:ascii="Times New Roman" w:hAnsi="Times New Roman"/>
              </w:rPr>
              <w:t xml:space="preserve"> </w:t>
            </w:r>
            <w:proofErr w:type="spellStart"/>
            <w:r w:rsidRPr="0060721D">
              <w:rPr>
                <w:rFonts w:ascii="Times New Roman" w:hAnsi="Times New Roman"/>
              </w:rPr>
              <w:t>pedogenetice</w:t>
            </w:r>
            <w:proofErr w:type="spellEnd"/>
            <w:r w:rsidRPr="0060721D">
              <w:rPr>
                <w:rFonts w:ascii="Times New Roman" w:hAnsi="Times New Roman"/>
              </w:rPr>
              <w:t xml:space="preserve"> </w:t>
            </w:r>
            <w:proofErr w:type="spellStart"/>
            <w:r w:rsidRPr="0060721D">
              <w:rPr>
                <w:rFonts w:ascii="Times New Roman" w:hAnsi="Times New Roman"/>
              </w:rPr>
              <w:t>specificate</w:t>
            </w:r>
            <w:proofErr w:type="spellEnd"/>
            <w:r w:rsidRPr="0060721D">
              <w:rPr>
                <w:rFonts w:ascii="Times New Roman" w:hAnsi="Times New Roman"/>
              </w:rPr>
              <w:t xml:space="preserve"> </w:t>
            </w:r>
            <w:proofErr w:type="spellStart"/>
            <w:r w:rsidRPr="0060721D">
              <w:rPr>
                <w:rFonts w:ascii="Times New Roman" w:hAnsi="Times New Roman"/>
              </w:rPr>
              <w:t>contribuie</w:t>
            </w:r>
            <w:proofErr w:type="spellEnd"/>
            <w:r w:rsidRPr="0060721D">
              <w:rPr>
                <w:rFonts w:ascii="Times New Roman" w:hAnsi="Times New Roman"/>
              </w:rPr>
              <w:t xml:space="preserve"> la </w:t>
            </w:r>
            <w:proofErr w:type="spellStart"/>
            <w:r w:rsidRPr="0060721D">
              <w:rPr>
                <w:rFonts w:ascii="Times New Roman" w:hAnsi="Times New Roman"/>
              </w:rPr>
              <w:t>conservarea</w:t>
            </w:r>
            <w:proofErr w:type="spellEnd"/>
            <w:r w:rsidRPr="0060721D">
              <w:rPr>
                <w:rFonts w:ascii="Times New Roman" w:hAnsi="Times New Roman"/>
              </w:rPr>
              <w:t xml:space="preserve"> </w:t>
            </w:r>
            <w:proofErr w:type="spellStart"/>
            <w:r w:rsidRPr="0060721D">
              <w:rPr>
                <w:rFonts w:ascii="Times New Roman" w:hAnsi="Times New Roman"/>
              </w:rPr>
              <w:t>şi</w:t>
            </w:r>
            <w:proofErr w:type="spellEnd"/>
            <w:r w:rsidRPr="0060721D">
              <w:rPr>
                <w:rFonts w:ascii="Times New Roman" w:hAnsi="Times New Roman"/>
              </w:rPr>
              <w:t xml:space="preserve"> </w:t>
            </w:r>
            <w:proofErr w:type="spellStart"/>
            <w:r w:rsidRPr="0060721D">
              <w:rPr>
                <w:rFonts w:ascii="Times New Roman" w:hAnsi="Times New Roman"/>
              </w:rPr>
              <w:t>reproducerea</w:t>
            </w:r>
            <w:proofErr w:type="spellEnd"/>
            <w:r w:rsidRPr="0060721D">
              <w:rPr>
                <w:rFonts w:ascii="Times New Roman" w:hAnsi="Times New Roman"/>
              </w:rPr>
              <w:t xml:space="preserve"> </w:t>
            </w:r>
            <w:proofErr w:type="spellStart"/>
            <w:r w:rsidRPr="0060721D">
              <w:rPr>
                <w:rFonts w:ascii="Times New Roman" w:hAnsi="Times New Roman"/>
              </w:rPr>
              <w:t>tipului</w:t>
            </w:r>
            <w:proofErr w:type="spellEnd"/>
            <w:r w:rsidRPr="0060721D">
              <w:rPr>
                <w:rFonts w:ascii="Times New Roman" w:hAnsi="Times New Roman"/>
              </w:rPr>
              <w:t xml:space="preserve"> </w:t>
            </w:r>
            <w:proofErr w:type="spellStart"/>
            <w:r w:rsidRPr="0060721D">
              <w:rPr>
                <w:rFonts w:ascii="Times New Roman" w:hAnsi="Times New Roman"/>
              </w:rPr>
              <w:t>cernoziomic</w:t>
            </w:r>
            <w:proofErr w:type="spellEnd"/>
            <w:r w:rsidRPr="0060721D">
              <w:rPr>
                <w:rFonts w:ascii="Times New Roman" w:hAnsi="Times New Roman"/>
              </w:rPr>
              <w:t xml:space="preserve"> de </w:t>
            </w:r>
            <w:proofErr w:type="spellStart"/>
            <w:r w:rsidRPr="0060721D">
              <w:rPr>
                <w:rFonts w:ascii="Times New Roman" w:hAnsi="Times New Roman"/>
              </w:rPr>
              <w:t>solificare</w:t>
            </w:r>
            <w:proofErr w:type="spellEnd"/>
            <w:r w:rsidRPr="0060721D">
              <w:rPr>
                <w:rFonts w:ascii="Times New Roman" w:hAnsi="Times New Roman"/>
              </w:rPr>
              <w:t xml:space="preserve">.  </w:t>
            </w:r>
            <w:proofErr w:type="spellStart"/>
            <w:r w:rsidRPr="0060721D">
              <w:rPr>
                <w:rFonts w:ascii="Times New Roman" w:hAnsi="Times New Roman"/>
              </w:rPr>
              <w:t>Prin</w:t>
            </w:r>
            <w:proofErr w:type="spellEnd"/>
            <w:r w:rsidRPr="0060721D">
              <w:rPr>
                <w:rFonts w:ascii="Times New Roman" w:hAnsi="Times New Roman"/>
              </w:rPr>
              <w:t xml:space="preserve"> </w:t>
            </w:r>
            <w:proofErr w:type="spellStart"/>
            <w:r w:rsidRPr="0060721D">
              <w:rPr>
                <w:rFonts w:ascii="Times New Roman" w:hAnsi="Times New Roman"/>
              </w:rPr>
              <w:t>aplicarea</w:t>
            </w:r>
            <w:proofErr w:type="spellEnd"/>
            <w:r w:rsidRPr="0060721D">
              <w:rPr>
                <w:rFonts w:ascii="Times New Roman" w:hAnsi="Times New Roman"/>
              </w:rPr>
              <w:t xml:space="preserve"> </w:t>
            </w:r>
            <w:proofErr w:type="spellStart"/>
            <w:r w:rsidRPr="0060721D">
              <w:rPr>
                <w:rFonts w:ascii="Times New Roman" w:hAnsi="Times New Roman"/>
              </w:rPr>
              <w:t>măsurilor</w:t>
            </w:r>
            <w:proofErr w:type="spellEnd"/>
            <w:r w:rsidRPr="0060721D">
              <w:rPr>
                <w:rFonts w:ascii="Times New Roman" w:hAnsi="Times New Roman"/>
              </w:rPr>
              <w:t xml:space="preserve"> enumerate </w:t>
            </w:r>
            <w:proofErr w:type="spellStart"/>
            <w:r w:rsidRPr="0060721D">
              <w:rPr>
                <w:rFonts w:ascii="Times New Roman" w:hAnsi="Times New Roman"/>
              </w:rPr>
              <w:t>mai</w:t>
            </w:r>
            <w:proofErr w:type="spellEnd"/>
            <w:r w:rsidRPr="0060721D">
              <w:rPr>
                <w:rFonts w:ascii="Times New Roman" w:hAnsi="Times New Roman"/>
              </w:rPr>
              <w:t xml:space="preserve"> sus, </w:t>
            </w:r>
            <w:proofErr w:type="spellStart"/>
            <w:r w:rsidRPr="0060721D">
              <w:rPr>
                <w:rFonts w:ascii="Times New Roman" w:hAnsi="Times New Roman"/>
              </w:rPr>
              <w:t>emisiile</w:t>
            </w:r>
            <w:proofErr w:type="spellEnd"/>
            <w:r w:rsidRPr="0060721D">
              <w:rPr>
                <w:rFonts w:ascii="Times New Roman" w:hAnsi="Times New Roman"/>
              </w:rPr>
              <w:t xml:space="preserve"> de GES se </w:t>
            </w:r>
            <w:proofErr w:type="spellStart"/>
            <w:r w:rsidRPr="0060721D">
              <w:rPr>
                <w:rFonts w:ascii="Times New Roman" w:hAnsi="Times New Roman"/>
              </w:rPr>
              <w:t>vor</w:t>
            </w:r>
            <w:proofErr w:type="spellEnd"/>
            <w:r w:rsidRPr="0060721D">
              <w:rPr>
                <w:rFonts w:ascii="Times New Roman" w:hAnsi="Times New Roman"/>
              </w:rPr>
              <w:t xml:space="preserve"> reduce </w:t>
            </w:r>
            <w:proofErr w:type="spellStart"/>
            <w:r w:rsidRPr="0060721D">
              <w:rPr>
                <w:rFonts w:ascii="Times New Roman" w:hAnsi="Times New Roman"/>
              </w:rPr>
              <w:t>anual</w:t>
            </w:r>
            <w:proofErr w:type="spellEnd"/>
            <w:r w:rsidRPr="0060721D">
              <w:rPr>
                <w:rFonts w:ascii="Times New Roman" w:hAnsi="Times New Roman"/>
              </w:rPr>
              <w:t xml:space="preserve"> cu circa 3.8 tone CO2 </w:t>
            </w:r>
            <w:proofErr w:type="spellStart"/>
            <w:r w:rsidRPr="0060721D">
              <w:rPr>
                <w:rFonts w:ascii="Times New Roman" w:hAnsi="Times New Roman"/>
              </w:rPr>
              <w:t>echivalent</w:t>
            </w:r>
            <w:proofErr w:type="spellEnd"/>
            <w:r w:rsidRPr="0060721D">
              <w:rPr>
                <w:rFonts w:ascii="Times New Roman" w:hAnsi="Times New Roman"/>
              </w:rPr>
              <w:t xml:space="preserve">/ha/an.  </w:t>
            </w:r>
            <w:proofErr w:type="spellStart"/>
            <w:r w:rsidRPr="0060721D">
              <w:rPr>
                <w:rFonts w:ascii="Times New Roman" w:hAnsi="Times New Roman"/>
              </w:rPr>
              <w:t>Acţiunea</w:t>
            </w:r>
            <w:proofErr w:type="spellEnd"/>
            <w:r w:rsidRPr="0060721D">
              <w:rPr>
                <w:rFonts w:ascii="Times New Roman" w:hAnsi="Times New Roman"/>
              </w:rPr>
              <w:t xml:space="preserve"> </w:t>
            </w:r>
            <w:proofErr w:type="spellStart"/>
            <w:r w:rsidRPr="0060721D">
              <w:rPr>
                <w:rFonts w:ascii="Times New Roman" w:hAnsi="Times New Roman"/>
              </w:rPr>
              <w:t>este</w:t>
            </w:r>
            <w:proofErr w:type="spellEnd"/>
            <w:r w:rsidRPr="0060721D">
              <w:rPr>
                <w:rFonts w:ascii="Times New Roman" w:hAnsi="Times New Roman"/>
              </w:rPr>
              <w:t xml:space="preserve"> </w:t>
            </w:r>
            <w:proofErr w:type="spellStart"/>
            <w:r w:rsidRPr="0060721D">
              <w:rPr>
                <w:rFonts w:ascii="Times New Roman" w:hAnsi="Times New Roman"/>
              </w:rPr>
              <w:t>recomandată</w:t>
            </w:r>
            <w:proofErr w:type="spellEnd"/>
            <w:r w:rsidRPr="0060721D">
              <w:rPr>
                <w:rFonts w:ascii="Times New Roman" w:hAnsi="Times New Roman"/>
              </w:rPr>
              <w:t xml:space="preserve"> </w:t>
            </w:r>
            <w:proofErr w:type="spellStart"/>
            <w:r w:rsidRPr="0060721D">
              <w:rPr>
                <w:rFonts w:ascii="Times New Roman" w:hAnsi="Times New Roman"/>
              </w:rPr>
              <w:t>pentru</w:t>
            </w:r>
            <w:proofErr w:type="spellEnd"/>
            <w:r w:rsidRPr="0060721D">
              <w:rPr>
                <w:rFonts w:ascii="Times New Roman" w:hAnsi="Times New Roman"/>
              </w:rPr>
              <w:t xml:space="preserve"> </w:t>
            </w:r>
            <w:proofErr w:type="spellStart"/>
            <w:r w:rsidRPr="0060721D">
              <w:rPr>
                <w:rFonts w:ascii="Times New Roman" w:hAnsi="Times New Roman"/>
              </w:rPr>
              <w:t>raionul</w:t>
            </w:r>
            <w:proofErr w:type="spellEnd"/>
            <w:r w:rsidRPr="0060721D">
              <w:rPr>
                <w:rFonts w:ascii="Times New Roman" w:hAnsi="Times New Roman"/>
              </w:rPr>
              <w:t xml:space="preserve"> </w:t>
            </w:r>
            <w:proofErr w:type="spellStart"/>
            <w:r w:rsidRPr="0060721D">
              <w:rPr>
                <w:rFonts w:ascii="Times New Roman" w:hAnsi="Times New Roman"/>
              </w:rPr>
              <w:t>pedogeografic</w:t>
            </w:r>
            <w:proofErr w:type="spellEnd"/>
            <w:r w:rsidRPr="0060721D">
              <w:rPr>
                <w:rFonts w:ascii="Times New Roman" w:hAnsi="Times New Roman"/>
              </w:rPr>
              <w:t xml:space="preserve"> 1 al </w:t>
            </w:r>
            <w:proofErr w:type="spellStart"/>
            <w:r w:rsidRPr="0060721D">
              <w:rPr>
                <w:rFonts w:ascii="Times New Roman" w:hAnsi="Times New Roman"/>
              </w:rPr>
              <w:t>solurilor</w:t>
            </w:r>
            <w:proofErr w:type="spellEnd"/>
            <w:r w:rsidRPr="0060721D">
              <w:rPr>
                <w:rFonts w:ascii="Times New Roman" w:hAnsi="Times New Roman"/>
              </w:rPr>
              <w:t xml:space="preserve"> </w:t>
            </w:r>
            <w:proofErr w:type="spellStart"/>
            <w:r w:rsidRPr="0060721D">
              <w:rPr>
                <w:rFonts w:ascii="Times New Roman" w:hAnsi="Times New Roman"/>
              </w:rPr>
              <w:t>cenușii</w:t>
            </w:r>
            <w:proofErr w:type="spellEnd"/>
            <w:r w:rsidRPr="0060721D">
              <w:rPr>
                <w:rFonts w:ascii="Times New Roman" w:hAnsi="Times New Roman"/>
              </w:rPr>
              <w:t xml:space="preserve">, </w:t>
            </w:r>
            <w:proofErr w:type="spellStart"/>
            <w:r w:rsidRPr="0060721D">
              <w:rPr>
                <w:rFonts w:ascii="Times New Roman" w:hAnsi="Times New Roman"/>
              </w:rPr>
              <w:t>cernoziomurilor</w:t>
            </w:r>
            <w:proofErr w:type="spellEnd"/>
            <w:r w:rsidRPr="0060721D">
              <w:rPr>
                <w:rFonts w:ascii="Times New Roman" w:hAnsi="Times New Roman"/>
              </w:rPr>
              <w:t xml:space="preserve"> </w:t>
            </w:r>
            <w:proofErr w:type="spellStart"/>
            <w:r w:rsidRPr="0060721D">
              <w:rPr>
                <w:rFonts w:ascii="Times New Roman" w:hAnsi="Times New Roman"/>
              </w:rPr>
              <w:t>argilo-iluviale</w:t>
            </w:r>
            <w:proofErr w:type="spellEnd"/>
            <w:r w:rsidRPr="0060721D">
              <w:rPr>
                <w:rFonts w:ascii="Times New Roman" w:hAnsi="Times New Roman"/>
              </w:rPr>
              <w:t xml:space="preserve"> </w:t>
            </w:r>
            <w:proofErr w:type="spellStart"/>
            <w:r w:rsidRPr="0060721D">
              <w:rPr>
                <w:rFonts w:ascii="Times New Roman" w:hAnsi="Times New Roman"/>
              </w:rPr>
              <w:t>și</w:t>
            </w:r>
            <w:proofErr w:type="spellEnd"/>
            <w:r w:rsidRPr="0060721D">
              <w:rPr>
                <w:rFonts w:ascii="Times New Roman" w:hAnsi="Times New Roman"/>
              </w:rPr>
              <w:t xml:space="preserve"> levigate, </w:t>
            </w:r>
            <w:proofErr w:type="spellStart"/>
            <w:r w:rsidRPr="0060721D">
              <w:rPr>
                <w:rFonts w:ascii="Times New Roman" w:hAnsi="Times New Roman"/>
              </w:rPr>
              <w:t>raionului</w:t>
            </w:r>
            <w:proofErr w:type="spellEnd"/>
            <w:r w:rsidRPr="0060721D">
              <w:rPr>
                <w:rFonts w:ascii="Times New Roman" w:hAnsi="Times New Roman"/>
              </w:rPr>
              <w:t xml:space="preserve"> </w:t>
            </w:r>
            <w:proofErr w:type="spellStart"/>
            <w:r w:rsidRPr="0060721D">
              <w:rPr>
                <w:rFonts w:ascii="Times New Roman" w:hAnsi="Times New Roman"/>
              </w:rPr>
              <w:t>pedogeografic</w:t>
            </w:r>
            <w:proofErr w:type="spellEnd"/>
            <w:r w:rsidRPr="0060721D">
              <w:rPr>
                <w:rFonts w:ascii="Times New Roman" w:hAnsi="Times New Roman"/>
              </w:rPr>
              <w:t xml:space="preserve"> al </w:t>
            </w:r>
            <w:proofErr w:type="spellStart"/>
            <w:r w:rsidRPr="0060721D">
              <w:rPr>
                <w:rFonts w:ascii="Times New Roman" w:hAnsi="Times New Roman"/>
              </w:rPr>
              <w:t>cernoziomurilor</w:t>
            </w:r>
            <w:proofErr w:type="spellEnd"/>
            <w:r w:rsidRPr="0060721D">
              <w:rPr>
                <w:rFonts w:ascii="Times New Roman" w:hAnsi="Times New Roman"/>
              </w:rPr>
              <w:t xml:space="preserve"> </w:t>
            </w:r>
            <w:proofErr w:type="spellStart"/>
            <w:r w:rsidRPr="0060721D">
              <w:rPr>
                <w:rFonts w:ascii="Times New Roman" w:hAnsi="Times New Roman"/>
              </w:rPr>
              <w:t>tipice</w:t>
            </w:r>
            <w:proofErr w:type="spellEnd"/>
            <w:r w:rsidRPr="0060721D">
              <w:rPr>
                <w:rFonts w:ascii="Times New Roman" w:hAnsi="Times New Roman"/>
              </w:rPr>
              <w:t xml:space="preserve"> slab </w:t>
            </w:r>
            <w:proofErr w:type="spellStart"/>
            <w:r w:rsidRPr="0060721D">
              <w:rPr>
                <w:rFonts w:ascii="Times New Roman" w:hAnsi="Times New Roman"/>
              </w:rPr>
              <w:t>și</w:t>
            </w:r>
            <w:proofErr w:type="spellEnd"/>
            <w:r w:rsidRPr="0060721D">
              <w:rPr>
                <w:rFonts w:ascii="Times New Roman" w:hAnsi="Times New Roman"/>
              </w:rPr>
              <w:t xml:space="preserve"> </w:t>
            </w:r>
            <w:proofErr w:type="spellStart"/>
            <w:r w:rsidRPr="0060721D">
              <w:rPr>
                <w:rFonts w:ascii="Times New Roman" w:hAnsi="Times New Roman"/>
              </w:rPr>
              <w:t>moderat</w:t>
            </w:r>
            <w:proofErr w:type="spellEnd"/>
            <w:r w:rsidRPr="0060721D">
              <w:rPr>
                <w:rFonts w:ascii="Times New Roman" w:hAnsi="Times New Roman"/>
              </w:rPr>
              <w:t xml:space="preserve"> </w:t>
            </w:r>
            <w:proofErr w:type="spellStart"/>
            <w:r w:rsidRPr="0060721D">
              <w:rPr>
                <w:rFonts w:ascii="Times New Roman" w:hAnsi="Times New Roman"/>
              </w:rPr>
              <w:t>humifiere</w:t>
            </w:r>
            <w:proofErr w:type="spellEnd"/>
            <w:r w:rsidRPr="0060721D">
              <w:rPr>
                <w:rFonts w:ascii="Times New Roman" w:hAnsi="Times New Roman"/>
              </w:rPr>
              <w:t xml:space="preserve"> </w:t>
            </w:r>
            <w:proofErr w:type="spellStart"/>
            <w:r w:rsidRPr="0060721D">
              <w:rPr>
                <w:rFonts w:ascii="Times New Roman" w:hAnsi="Times New Roman"/>
              </w:rPr>
              <w:t>și</w:t>
            </w:r>
            <w:proofErr w:type="spellEnd"/>
            <w:r w:rsidRPr="0060721D">
              <w:rPr>
                <w:rFonts w:ascii="Times New Roman" w:hAnsi="Times New Roman"/>
              </w:rPr>
              <w:t xml:space="preserve"> levigate ale </w:t>
            </w:r>
            <w:proofErr w:type="spellStart"/>
            <w:r w:rsidRPr="0060721D">
              <w:rPr>
                <w:rFonts w:ascii="Times New Roman" w:hAnsi="Times New Roman"/>
              </w:rPr>
              <w:t>silvostepei</w:t>
            </w:r>
            <w:proofErr w:type="spellEnd"/>
            <w:r w:rsidRPr="0060721D">
              <w:rPr>
                <w:rFonts w:ascii="Times New Roman" w:hAnsi="Times New Roman"/>
              </w:rPr>
              <w:t xml:space="preserve"> </w:t>
            </w:r>
            <w:proofErr w:type="spellStart"/>
            <w:r w:rsidRPr="0060721D">
              <w:rPr>
                <w:rFonts w:ascii="Times New Roman" w:hAnsi="Times New Roman"/>
              </w:rPr>
              <w:t>xerofite</w:t>
            </w:r>
            <w:proofErr w:type="spellEnd"/>
            <w:r w:rsidRPr="0060721D">
              <w:rPr>
                <w:rFonts w:ascii="Times New Roman" w:hAnsi="Times New Roman"/>
              </w:rPr>
              <w:t xml:space="preserve"> a </w:t>
            </w:r>
            <w:proofErr w:type="spellStart"/>
            <w:r w:rsidRPr="0060721D">
              <w:rPr>
                <w:rFonts w:ascii="Times New Roman" w:hAnsi="Times New Roman"/>
              </w:rPr>
              <w:t>Câmpiei</w:t>
            </w:r>
            <w:proofErr w:type="spellEnd"/>
            <w:r w:rsidRPr="0060721D">
              <w:rPr>
                <w:rFonts w:ascii="Times New Roman" w:hAnsi="Times New Roman"/>
              </w:rPr>
              <w:t xml:space="preserve"> </w:t>
            </w:r>
            <w:proofErr w:type="spellStart"/>
            <w:r w:rsidRPr="0060721D">
              <w:rPr>
                <w:rFonts w:ascii="Times New Roman" w:hAnsi="Times New Roman"/>
              </w:rPr>
              <w:t>Moldovei</w:t>
            </w:r>
            <w:proofErr w:type="spellEnd"/>
            <w:r w:rsidRPr="0060721D">
              <w:rPr>
                <w:rFonts w:ascii="Times New Roman" w:hAnsi="Times New Roman"/>
              </w:rPr>
              <w:t xml:space="preserve"> de Sud, </w:t>
            </w:r>
            <w:proofErr w:type="spellStart"/>
            <w:r w:rsidRPr="0060721D">
              <w:rPr>
                <w:rFonts w:ascii="Times New Roman" w:hAnsi="Times New Roman"/>
              </w:rPr>
              <w:t>raionul</w:t>
            </w:r>
            <w:proofErr w:type="spellEnd"/>
            <w:r w:rsidRPr="0060721D">
              <w:rPr>
                <w:rFonts w:ascii="Times New Roman" w:hAnsi="Times New Roman"/>
              </w:rPr>
              <w:t xml:space="preserve"> </w:t>
            </w:r>
            <w:proofErr w:type="spellStart"/>
            <w:r w:rsidRPr="0060721D">
              <w:rPr>
                <w:rFonts w:ascii="Times New Roman" w:hAnsi="Times New Roman"/>
              </w:rPr>
              <w:t>cernoziomurilor</w:t>
            </w:r>
            <w:proofErr w:type="spellEnd"/>
            <w:r w:rsidRPr="0060721D">
              <w:rPr>
                <w:rFonts w:ascii="Times New Roman" w:hAnsi="Times New Roman"/>
              </w:rPr>
              <w:t xml:space="preserve"> </w:t>
            </w:r>
            <w:proofErr w:type="spellStart"/>
            <w:r w:rsidRPr="0060721D">
              <w:rPr>
                <w:rFonts w:ascii="Times New Roman" w:hAnsi="Times New Roman"/>
              </w:rPr>
              <w:t>tipice</w:t>
            </w:r>
            <w:proofErr w:type="spellEnd"/>
            <w:r w:rsidRPr="0060721D">
              <w:rPr>
                <w:rFonts w:ascii="Times New Roman" w:hAnsi="Times New Roman"/>
              </w:rPr>
              <w:t xml:space="preserve"> </w:t>
            </w:r>
            <w:proofErr w:type="spellStart"/>
            <w:r w:rsidRPr="0060721D">
              <w:rPr>
                <w:rFonts w:ascii="Times New Roman" w:hAnsi="Times New Roman"/>
              </w:rPr>
              <w:t>moderat</w:t>
            </w:r>
            <w:proofErr w:type="spellEnd"/>
            <w:r w:rsidRPr="0060721D">
              <w:rPr>
                <w:rFonts w:ascii="Times New Roman" w:hAnsi="Times New Roman"/>
              </w:rPr>
              <w:t xml:space="preserve"> </w:t>
            </w:r>
            <w:proofErr w:type="spellStart"/>
            <w:r w:rsidRPr="0060721D">
              <w:rPr>
                <w:rFonts w:ascii="Times New Roman" w:hAnsi="Times New Roman"/>
              </w:rPr>
              <w:t>și</w:t>
            </w:r>
            <w:proofErr w:type="spellEnd"/>
            <w:r w:rsidRPr="0060721D">
              <w:rPr>
                <w:rFonts w:ascii="Times New Roman" w:hAnsi="Times New Roman"/>
              </w:rPr>
              <w:t xml:space="preserve"> slab </w:t>
            </w:r>
            <w:proofErr w:type="spellStart"/>
            <w:r w:rsidRPr="0060721D">
              <w:rPr>
                <w:rFonts w:ascii="Times New Roman" w:hAnsi="Times New Roman"/>
              </w:rPr>
              <w:t>humifiere</w:t>
            </w:r>
            <w:proofErr w:type="spellEnd"/>
            <w:r w:rsidRPr="0060721D">
              <w:rPr>
                <w:rFonts w:ascii="Times New Roman" w:hAnsi="Times New Roman"/>
              </w:rPr>
              <w:t xml:space="preserve"> ale </w:t>
            </w:r>
            <w:proofErr w:type="spellStart"/>
            <w:r w:rsidRPr="0060721D">
              <w:rPr>
                <w:rFonts w:ascii="Times New Roman" w:hAnsi="Times New Roman"/>
              </w:rPr>
              <w:t>Dealurilor</w:t>
            </w:r>
            <w:proofErr w:type="spellEnd"/>
            <w:r w:rsidRPr="0060721D">
              <w:rPr>
                <w:rFonts w:ascii="Times New Roman" w:hAnsi="Times New Roman"/>
              </w:rPr>
              <w:t xml:space="preserve"> </w:t>
            </w:r>
            <w:proofErr w:type="spellStart"/>
            <w:r w:rsidRPr="0060721D">
              <w:rPr>
                <w:rFonts w:ascii="Times New Roman" w:hAnsi="Times New Roman"/>
              </w:rPr>
              <w:t>Priprutene</w:t>
            </w:r>
            <w:proofErr w:type="spellEnd"/>
            <w:r w:rsidRPr="0060721D">
              <w:rPr>
                <w:rFonts w:ascii="Times New Roman" w:hAnsi="Times New Roman"/>
              </w:rPr>
              <w:t>.</w:t>
            </w:r>
          </w:p>
        </w:tc>
        <w:tc>
          <w:tcPr>
            <w:tcW w:w="1620" w:type="dxa"/>
            <w:gridSpan w:val="2"/>
            <w:hideMark/>
          </w:tcPr>
          <w:p w14:paraId="750A66ED" w14:textId="77777777" w:rsidR="0060721D" w:rsidRPr="0060721D" w:rsidRDefault="0060721D" w:rsidP="0060721D">
            <w:pPr>
              <w:jc w:val="center"/>
              <w:rPr>
                <w:rFonts w:ascii="Times New Roman" w:eastAsia="Times New Roman" w:hAnsi="Times New Roman"/>
                <w:lang w:eastAsia="ru-RU"/>
              </w:rPr>
            </w:pPr>
            <w:r w:rsidRPr="0060721D">
              <w:rPr>
                <w:rFonts w:ascii="Times New Roman" w:eastAsia="Times New Roman" w:hAnsi="Times New Roman"/>
                <w:lang w:val="es-ES" w:eastAsia="ru-RU"/>
              </w:rPr>
              <w:lastRenderedPageBreak/>
              <w:t>50 mii ha/an în perioada 2021-2025</w:t>
            </w:r>
          </w:p>
        </w:tc>
        <w:tc>
          <w:tcPr>
            <w:tcW w:w="1440" w:type="dxa"/>
            <w:gridSpan w:val="2"/>
            <w:hideMark/>
          </w:tcPr>
          <w:p w14:paraId="2B1B8CAF" w14:textId="77777777" w:rsidR="0060721D" w:rsidRPr="0060721D" w:rsidRDefault="0060721D" w:rsidP="0060721D">
            <w:pPr>
              <w:jc w:val="center"/>
              <w:rPr>
                <w:rFonts w:ascii="Times New Roman" w:eastAsia="Times New Roman" w:hAnsi="Times New Roman"/>
                <w:lang w:val="ro-RO" w:eastAsia="ru-RU"/>
              </w:rPr>
            </w:pPr>
            <w:r w:rsidRPr="0060721D">
              <w:rPr>
                <w:rFonts w:ascii="Times New Roman" w:eastAsia="Times New Roman" w:hAnsi="Times New Roman"/>
                <w:lang w:val="es-ES" w:eastAsia="ru-RU"/>
              </w:rPr>
              <w:t>50 mii ha/an în perioada 2021-2025</w:t>
            </w:r>
          </w:p>
        </w:tc>
        <w:tc>
          <w:tcPr>
            <w:tcW w:w="3429" w:type="dxa"/>
            <w:gridSpan w:val="2"/>
            <w:hideMark/>
          </w:tcPr>
          <w:p w14:paraId="5AF0CF58" w14:textId="77777777" w:rsidR="0060721D" w:rsidRPr="0060721D" w:rsidRDefault="0060721D" w:rsidP="0060721D">
            <w:pPr>
              <w:jc w:val="center"/>
              <w:rPr>
                <w:rFonts w:ascii="Times New Roman" w:eastAsia="Times New Roman" w:hAnsi="Times New Roman"/>
                <w:lang w:val="ro-RO" w:eastAsia="ru-RU"/>
              </w:rPr>
            </w:pPr>
            <w:r w:rsidRPr="0060721D">
              <w:rPr>
                <w:rFonts w:ascii="Times New Roman" w:eastAsia="Times New Roman" w:hAnsi="Times New Roman"/>
                <w:lang w:eastAsia="ru-RU"/>
              </w:rPr>
              <w:t>190 mii tone CO2</w:t>
            </w:r>
            <w:r w:rsidRPr="0060721D">
              <w:rPr>
                <w:rFonts w:ascii="Times New Roman" w:eastAsia="Times New Roman" w:hAnsi="Times New Roman"/>
                <w:vertAlign w:val="subscript"/>
                <w:lang w:eastAsia="ru-RU"/>
              </w:rPr>
              <w:t xml:space="preserve"> </w:t>
            </w:r>
            <w:proofErr w:type="spellStart"/>
            <w:r w:rsidRPr="0060721D">
              <w:rPr>
                <w:rFonts w:ascii="Times New Roman" w:eastAsia="Times New Roman" w:hAnsi="Times New Roman"/>
                <w:lang w:eastAsia="ru-RU"/>
              </w:rPr>
              <w:t>echivalent</w:t>
            </w:r>
            <w:proofErr w:type="spellEnd"/>
            <w:r w:rsidRPr="0060721D">
              <w:rPr>
                <w:rFonts w:ascii="Times New Roman" w:eastAsia="Times New Roman" w:hAnsi="Times New Roman"/>
                <w:lang w:eastAsia="ru-RU"/>
              </w:rPr>
              <w:t xml:space="preserve">/an </w:t>
            </w:r>
            <w:proofErr w:type="spellStart"/>
            <w:r w:rsidRPr="0060721D">
              <w:rPr>
                <w:rFonts w:ascii="Times New Roman" w:eastAsia="Times New Roman" w:hAnsi="Times New Roman"/>
                <w:lang w:eastAsia="ru-RU"/>
              </w:rPr>
              <w:t>în</w:t>
            </w:r>
            <w:proofErr w:type="spellEnd"/>
            <w:r w:rsidRPr="0060721D">
              <w:rPr>
                <w:rFonts w:ascii="Times New Roman" w:eastAsia="Times New Roman" w:hAnsi="Times New Roman"/>
                <w:lang w:eastAsia="ru-RU"/>
              </w:rPr>
              <w:t xml:space="preserve"> </w:t>
            </w:r>
            <w:proofErr w:type="spellStart"/>
            <w:r w:rsidRPr="0060721D">
              <w:rPr>
                <w:rFonts w:ascii="Times New Roman" w:eastAsia="Times New Roman" w:hAnsi="Times New Roman"/>
                <w:lang w:eastAsia="ru-RU"/>
              </w:rPr>
              <w:t>perioada</w:t>
            </w:r>
            <w:proofErr w:type="spellEnd"/>
            <w:r w:rsidRPr="0060721D">
              <w:rPr>
                <w:rFonts w:ascii="Times New Roman" w:eastAsia="Times New Roman" w:hAnsi="Times New Roman"/>
                <w:lang w:eastAsia="ru-RU"/>
              </w:rPr>
              <w:t xml:space="preserve"> 2021-2025</w:t>
            </w:r>
          </w:p>
        </w:tc>
        <w:tc>
          <w:tcPr>
            <w:tcW w:w="1502" w:type="dxa"/>
            <w:gridSpan w:val="2"/>
            <w:hideMark/>
          </w:tcPr>
          <w:p w14:paraId="634F3E87" w14:textId="77777777" w:rsidR="0060721D" w:rsidRPr="0060721D" w:rsidRDefault="0060721D" w:rsidP="0060721D">
            <w:pPr>
              <w:jc w:val="center"/>
              <w:rPr>
                <w:rFonts w:ascii="Times New Roman" w:eastAsia="Times New Roman" w:hAnsi="Times New Roman"/>
                <w:lang w:val="ro-RO" w:eastAsia="ru-RU"/>
              </w:rPr>
            </w:pPr>
            <w:r w:rsidRPr="0060721D">
              <w:rPr>
                <w:rFonts w:ascii="Times New Roman" w:eastAsia="Times New Roman" w:hAnsi="Times New Roman"/>
                <w:lang w:eastAsia="ru-RU"/>
              </w:rPr>
              <w:t>190 mii tone CO2</w:t>
            </w:r>
            <w:r w:rsidRPr="0060721D">
              <w:rPr>
                <w:rFonts w:ascii="Times New Roman" w:eastAsia="Times New Roman" w:hAnsi="Times New Roman"/>
                <w:vertAlign w:val="subscript"/>
                <w:lang w:eastAsia="ru-RU"/>
              </w:rPr>
              <w:t xml:space="preserve"> </w:t>
            </w:r>
            <w:proofErr w:type="spellStart"/>
            <w:r w:rsidRPr="0060721D">
              <w:rPr>
                <w:rFonts w:ascii="Times New Roman" w:eastAsia="Times New Roman" w:hAnsi="Times New Roman"/>
                <w:lang w:eastAsia="ru-RU"/>
              </w:rPr>
              <w:t>echivalent</w:t>
            </w:r>
            <w:proofErr w:type="spellEnd"/>
            <w:r w:rsidRPr="0060721D">
              <w:rPr>
                <w:rFonts w:ascii="Times New Roman" w:eastAsia="Times New Roman" w:hAnsi="Times New Roman"/>
                <w:lang w:eastAsia="ru-RU"/>
              </w:rPr>
              <w:t xml:space="preserve">/an </w:t>
            </w:r>
            <w:proofErr w:type="spellStart"/>
            <w:r w:rsidRPr="0060721D">
              <w:rPr>
                <w:rFonts w:ascii="Times New Roman" w:eastAsia="Times New Roman" w:hAnsi="Times New Roman"/>
                <w:lang w:eastAsia="ru-RU"/>
              </w:rPr>
              <w:t>în</w:t>
            </w:r>
            <w:proofErr w:type="spellEnd"/>
            <w:r w:rsidRPr="0060721D">
              <w:rPr>
                <w:rFonts w:ascii="Times New Roman" w:eastAsia="Times New Roman" w:hAnsi="Times New Roman"/>
                <w:lang w:eastAsia="ru-RU"/>
              </w:rPr>
              <w:t xml:space="preserve"> </w:t>
            </w:r>
            <w:proofErr w:type="spellStart"/>
            <w:r w:rsidRPr="0060721D">
              <w:rPr>
                <w:rFonts w:ascii="Times New Roman" w:eastAsia="Times New Roman" w:hAnsi="Times New Roman"/>
                <w:lang w:eastAsia="ru-RU"/>
              </w:rPr>
              <w:t>perioada</w:t>
            </w:r>
            <w:proofErr w:type="spellEnd"/>
            <w:r w:rsidRPr="0060721D">
              <w:rPr>
                <w:rFonts w:ascii="Times New Roman" w:eastAsia="Times New Roman" w:hAnsi="Times New Roman"/>
                <w:lang w:eastAsia="ru-RU"/>
              </w:rPr>
              <w:t xml:space="preserve"> 2021-2025</w:t>
            </w:r>
          </w:p>
        </w:tc>
      </w:tr>
      <w:tr w:rsidR="00F11CCD" w:rsidRPr="0060721D" w14:paraId="3FCE4CAF" w14:textId="77777777" w:rsidTr="00F11CCD">
        <w:trPr>
          <w:divId w:val="546725049"/>
          <w:trHeight w:val="1275"/>
        </w:trPr>
        <w:tc>
          <w:tcPr>
            <w:tcW w:w="500" w:type="dxa"/>
            <w:vMerge/>
            <w:hideMark/>
          </w:tcPr>
          <w:p w14:paraId="20B4A1E3" w14:textId="77777777" w:rsidR="0060721D" w:rsidRPr="0060721D" w:rsidRDefault="0060721D" w:rsidP="0060721D">
            <w:pPr>
              <w:jc w:val="center"/>
              <w:rPr>
                <w:rFonts w:ascii="Times New Roman" w:eastAsia="Times New Roman" w:hAnsi="Times New Roman"/>
                <w:lang w:eastAsia="ru-RU"/>
              </w:rPr>
            </w:pPr>
          </w:p>
        </w:tc>
        <w:tc>
          <w:tcPr>
            <w:tcW w:w="3437" w:type="dxa"/>
            <w:gridSpan w:val="2"/>
            <w:vMerge/>
            <w:hideMark/>
          </w:tcPr>
          <w:p w14:paraId="4CB3584E" w14:textId="77777777" w:rsidR="0060721D" w:rsidRPr="0060721D" w:rsidRDefault="0060721D" w:rsidP="0060721D">
            <w:pPr>
              <w:rPr>
                <w:rFonts w:ascii="Times New Roman" w:eastAsia="Times New Roman" w:hAnsi="Times New Roman"/>
                <w:lang w:val="es-ES" w:eastAsia="ru-RU"/>
              </w:rPr>
            </w:pPr>
          </w:p>
        </w:tc>
        <w:tc>
          <w:tcPr>
            <w:tcW w:w="2211" w:type="dxa"/>
            <w:gridSpan w:val="2"/>
            <w:vMerge/>
            <w:hideMark/>
          </w:tcPr>
          <w:p w14:paraId="174F962F" w14:textId="77777777" w:rsidR="0060721D" w:rsidRPr="0060721D" w:rsidRDefault="0060721D" w:rsidP="0060721D">
            <w:pPr>
              <w:rPr>
                <w:rFonts w:ascii="Times New Roman" w:eastAsia="Times New Roman" w:hAnsi="Times New Roman"/>
                <w:lang w:val="es-ES" w:eastAsia="ru-RU"/>
              </w:rPr>
            </w:pPr>
          </w:p>
        </w:tc>
        <w:tc>
          <w:tcPr>
            <w:tcW w:w="1620" w:type="dxa"/>
            <w:gridSpan w:val="2"/>
            <w:hideMark/>
          </w:tcPr>
          <w:p w14:paraId="6341477D" w14:textId="77777777" w:rsidR="0060721D" w:rsidRPr="0060721D" w:rsidRDefault="0060721D" w:rsidP="0060721D">
            <w:pPr>
              <w:jc w:val="center"/>
              <w:rPr>
                <w:rFonts w:ascii="Times New Roman" w:eastAsia="Times New Roman" w:hAnsi="Times New Roman"/>
                <w:lang w:val="es-ES" w:eastAsia="ru-RU"/>
              </w:rPr>
            </w:pPr>
            <w:r w:rsidRPr="0060721D">
              <w:rPr>
                <w:rFonts w:ascii="Times New Roman" w:eastAsia="Times New Roman" w:hAnsi="Times New Roman"/>
                <w:lang w:val="es-ES" w:eastAsia="ru-RU"/>
              </w:rPr>
              <w:t>100 mii ha/an în perioada 2026-2030</w:t>
            </w:r>
          </w:p>
        </w:tc>
        <w:tc>
          <w:tcPr>
            <w:tcW w:w="1440" w:type="dxa"/>
            <w:gridSpan w:val="2"/>
            <w:hideMark/>
          </w:tcPr>
          <w:p w14:paraId="5A606C03" w14:textId="77777777" w:rsidR="0060721D" w:rsidRPr="0060721D" w:rsidRDefault="0060721D" w:rsidP="0060721D">
            <w:pPr>
              <w:jc w:val="center"/>
              <w:rPr>
                <w:rFonts w:ascii="Times New Roman" w:eastAsia="Times New Roman" w:hAnsi="Times New Roman"/>
                <w:lang w:val="es-ES" w:eastAsia="ru-RU"/>
              </w:rPr>
            </w:pPr>
            <w:r w:rsidRPr="0060721D">
              <w:rPr>
                <w:rFonts w:ascii="Times New Roman" w:eastAsia="Times New Roman" w:hAnsi="Times New Roman"/>
                <w:lang w:val="es-ES" w:eastAsia="ru-RU"/>
              </w:rPr>
              <w:t>100 mii ha/an în perioada 2026-2030</w:t>
            </w:r>
          </w:p>
        </w:tc>
        <w:tc>
          <w:tcPr>
            <w:tcW w:w="3429" w:type="dxa"/>
            <w:gridSpan w:val="2"/>
            <w:hideMark/>
          </w:tcPr>
          <w:p w14:paraId="401C949E" w14:textId="77777777" w:rsidR="0060721D" w:rsidRPr="0060721D" w:rsidRDefault="0060721D" w:rsidP="0060721D">
            <w:pPr>
              <w:jc w:val="center"/>
              <w:rPr>
                <w:rFonts w:ascii="Times New Roman" w:hAnsi="Times New Roman"/>
              </w:rPr>
            </w:pPr>
            <w:r w:rsidRPr="0060721D">
              <w:rPr>
                <w:rFonts w:ascii="Times New Roman" w:eastAsia="Times New Roman" w:hAnsi="Times New Roman"/>
                <w:lang w:eastAsia="ru-RU"/>
              </w:rPr>
              <w:t xml:space="preserve">380 mii tone CO2 </w:t>
            </w:r>
            <w:proofErr w:type="spellStart"/>
            <w:r w:rsidRPr="0060721D">
              <w:rPr>
                <w:rFonts w:ascii="Times New Roman" w:eastAsia="Times New Roman" w:hAnsi="Times New Roman"/>
                <w:lang w:eastAsia="ru-RU"/>
              </w:rPr>
              <w:t>echivalent</w:t>
            </w:r>
            <w:proofErr w:type="spellEnd"/>
            <w:r w:rsidRPr="0060721D">
              <w:rPr>
                <w:rFonts w:ascii="Times New Roman" w:eastAsia="Times New Roman" w:hAnsi="Times New Roman"/>
                <w:vertAlign w:val="subscript"/>
                <w:lang w:eastAsia="ru-RU"/>
              </w:rPr>
              <w:t>/</w:t>
            </w:r>
            <w:r w:rsidRPr="0060721D">
              <w:rPr>
                <w:rFonts w:ascii="Times New Roman" w:eastAsia="Times New Roman" w:hAnsi="Times New Roman"/>
                <w:lang w:eastAsia="ru-RU"/>
              </w:rPr>
              <w:t>an</w:t>
            </w:r>
            <w:r w:rsidRPr="0060721D">
              <w:rPr>
                <w:rFonts w:ascii="Times New Roman" w:eastAsia="Times New Roman" w:hAnsi="Times New Roman"/>
                <w:lang w:val="ro-RO" w:eastAsia="ru-RU"/>
              </w:rPr>
              <w:t xml:space="preserve"> </w:t>
            </w:r>
            <w:proofErr w:type="spellStart"/>
            <w:r w:rsidRPr="0060721D">
              <w:rPr>
                <w:rFonts w:ascii="Times New Roman" w:hAnsi="Times New Roman"/>
              </w:rPr>
              <w:t>în</w:t>
            </w:r>
            <w:proofErr w:type="spellEnd"/>
            <w:r w:rsidRPr="0060721D">
              <w:rPr>
                <w:rFonts w:ascii="Times New Roman" w:hAnsi="Times New Roman"/>
              </w:rPr>
              <w:t xml:space="preserve"> </w:t>
            </w:r>
            <w:proofErr w:type="spellStart"/>
            <w:r w:rsidRPr="0060721D">
              <w:rPr>
                <w:rFonts w:ascii="Times New Roman" w:hAnsi="Times New Roman"/>
              </w:rPr>
              <w:t>perioada</w:t>
            </w:r>
            <w:proofErr w:type="spellEnd"/>
            <w:r w:rsidRPr="0060721D">
              <w:rPr>
                <w:rFonts w:ascii="Times New Roman" w:hAnsi="Times New Roman"/>
              </w:rPr>
              <w:t xml:space="preserve"> 2026-2030</w:t>
            </w:r>
          </w:p>
        </w:tc>
        <w:tc>
          <w:tcPr>
            <w:tcW w:w="1502" w:type="dxa"/>
            <w:gridSpan w:val="2"/>
            <w:hideMark/>
          </w:tcPr>
          <w:p w14:paraId="237E4FF6" w14:textId="77777777" w:rsidR="0060721D" w:rsidRPr="0060721D" w:rsidRDefault="0060721D" w:rsidP="0060721D">
            <w:pPr>
              <w:jc w:val="center"/>
              <w:rPr>
                <w:rFonts w:ascii="Times New Roman" w:hAnsi="Times New Roman"/>
              </w:rPr>
            </w:pPr>
            <w:r w:rsidRPr="0060721D">
              <w:rPr>
                <w:rFonts w:ascii="Times New Roman" w:eastAsia="Times New Roman" w:hAnsi="Times New Roman"/>
                <w:lang w:eastAsia="ru-RU"/>
              </w:rPr>
              <w:t xml:space="preserve">380 mii tone CO2 </w:t>
            </w:r>
            <w:proofErr w:type="spellStart"/>
            <w:r w:rsidRPr="0060721D">
              <w:rPr>
                <w:rFonts w:ascii="Times New Roman" w:eastAsia="Times New Roman" w:hAnsi="Times New Roman"/>
                <w:lang w:eastAsia="ru-RU"/>
              </w:rPr>
              <w:t>echivalent</w:t>
            </w:r>
            <w:proofErr w:type="spellEnd"/>
            <w:r w:rsidRPr="0060721D">
              <w:rPr>
                <w:rFonts w:ascii="Times New Roman" w:eastAsia="Times New Roman" w:hAnsi="Times New Roman"/>
                <w:vertAlign w:val="subscript"/>
                <w:lang w:eastAsia="ru-RU"/>
              </w:rPr>
              <w:t>/</w:t>
            </w:r>
            <w:r w:rsidRPr="0060721D">
              <w:rPr>
                <w:rFonts w:ascii="Times New Roman" w:eastAsia="Times New Roman" w:hAnsi="Times New Roman"/>
                <w:lang w:eastAsia="ru-RU"/>
              </w:rPr>
              <w:t>an</w:t>
            </w:r>
            <w:r w:rsidRPr="0060721D">
              <w:rPr>
                <w:rFonts w:ascii="Times New Roman" w:eastAsia="Times New Roman" w:hAnsi="Times New Roman"/>
                <w:lang w:val="ro-RO" w:eastAsia="ru-RU"/>
              </w:rPr>
              <w:t xml:space="preserve"> </w:t>
            </w:r>
            <w:proofErr w:type="spellStart"/>
            <w:r w:rsidRPr="0060721D">
              <w:rPr>
                <w:rFonts w:ascii="Times New Roman" w:hAnsi="Times New Roman"/>
              </w:rPr>
              <w:t>în</w:t>
            </w:r>
            <w:proofErr w:type="spellEnd"/>
            <w:r w:rsidRPr="0060721D">
              <w:rPr>
                <w:rFonts w:ascii="Times New Roman" w:hAnsi="Times New Roman"/>
              </w:rPr>
              <w:t xml:space="preserve"> </w:t>
            </w:r>
            <w:proofErr w:type="spellStart"/>
            <w:r w:rsidRPr="0060721D">
              <w:rPr>
                <w:rFonts w:ascii="Times New Roman" w:hAnsi="Times New Roman"/>
              </w:rPr>
              <w:t>perioada</w:t>
            </w:r>
            <w:proofErr w:type="spellEnd"/>
            <w:r w:rsidRPr="0060721D">
              <w:rPr>
                <w:rFonts w:ascii="Times New Roman" w:hAnsi="Times New Roman"/>
              </w:rPr>
              <w:t xml:space="preserve"> 2026-2030</w:t>
            </w:r>
          </w:p>
        </w:tc>
      </w:tr>
      <w:tr w:rsidR="00F11CCD" w:rsidRPr="0060721D" w14:paraId="10EB9B6A" w14:textId="77777777" w:rsidTr="00F11CCD">
        <w:trPr>
          <w:divId w:val="546725049"/>
          <w:trHeight w:val="2055"/>
        </w:trPr>
        <w:tc>
          <w:tcPr>
            <w:tcW w:w="500" w:type="dxa"/>
            <w:vMerge w:val="restart"/>
            <w:hideMark/>
          </w:tcPr>
          <w:p w14:paraId="6860B7E1" w14:textId="77777777" w:rsidR="0060721D" w:rsidRPr="0060721D" w:rsidRDefault="0060721D" w:rsidP="0060721D">
            <w:pPr>
              <w:jc w:val="center"/>
              <w:rPr>
                <w:rFonts w:ascii="Times New Roman" w:eastAsia="Times New Roman" w:hAnsi="Times New Roman"/>
                <w:lang w:val="ro-RO" w:eastAsia="ru-RU"/>
              </w:rPr>
            </w:pPr>
            <w:r w:rsidRPr="0060721D">
              <w:rPr>
                <w:rFonts w:ascii="Times New Roman" w:eastAsia="Times New Roman" w:hAnsi="Times New Roman"/>
                <w:lang w:eastAsia="ru-RU"/>
              </w:rPr>
              <w:lastRenderedPageBreak/>
              <w:t>5,4</w:t>
            </w:r>
          </w:p>
        </w:tc>
        <w:tc>
          <w:tcPr>
            <w:tcW w:w="3437" w:type="dxa"/>
            <w:gridSpan w:val="2"/>
            <w:vMerge w:val="restart"/>
            <w:hideMark/>
          </w:tcPr>
          <w:p w14:paraId="617B1890" w14:textId="77777777" w:rsidR="0060721D" w:rsidRPr="0060721D" w:rsidRDefault="0060721D" w:rsidP="0060721D">
            <w:pPr>
              <w:rPr>
                <w:rFonts w:ascii="Times New Roman" w:hAnsi="Times New Roman"/>
              </w:rPr>
            </w:pPr>
            <w:r w:rsidRPr="0060721D">
              <w:rPr>
                <w:rFonts w:ascii="Times New Roman" w:eastAsia="Times New Roman" w:hAnsi="Times New Roman"/>
                <w:lang w:val="es-ES" w:eastAsia="ru-RU"/>
              </w:rPr>
              <w:t xml:space="preserve">Implementarea practicilor de management durabil al terenurilor agricole în cadrul sistemului conservativ de lucrare fără afânare </w:t>
            </w:r>
            <w:r w:rsidRPr="0060721D">
              <w:rPr>
                <w:rFonts w:ascii="Times New Roman" w:eastAsia="Times New Roman" w:hAnsi="Times New Roman"/>
                <w:lang w:val="ro-RO" w:eastAsia="ru-RU"/>
              </w:rPr>
              <w:t>a</w:t>
            </w:r>
            <w:r w:rsidRPr="0060721D">
              <w:rPr>
                <w:rFonts w:ascii="Times New Roman" w:hAnsi="Times New Roman"/>
              </w:rPr>
              <w:t xml:space="preserve"> </w:t>
            </w:r>
            <w:proofErr w:type="spellStart"/>
            <w:r w:rsidRPr="0060721D">
              <w:rPr>
                <w:rFonts w:ascii="Times New Roman" w:hAnsi="Times New Roman"/>
              </w:rPr>
              <w:t>solului</w:t>
            </w:r>
            <w:proofErr w:type="spellEnd"/>
            <w:r w:rsidRPr="0060721D">
              <w:rPr>
                <w:rFonts w:ascii="Times New Roman" w:hAnsi="Times New Roman"/>
              </w:rPr>
              <w:t xml:space="preserve"> (no-till), </w:t>
            </w:r>
            <w:proofErr w:type="spellStart"/>
            <w:r w:rsidRPr="0060721D">
              <w:rPr>
                <w:rFonts w:ascii="Times New Roman" w:hAnsi="Times New Roman"/>
              </w:rPr>
              <w:t>în</w:t>
            </w:r>
            <w:proofErr w:type="spellEnd"/>
            <w:r w:rsidRPr="0060721D">
              <w:rPr>
                <w:rFonts w:ascii="Times New Roman" w:hAnsi="Times New Roman"/>
              </w:rPr>
              <w:t xml:space="preserve"> </w:t>
            </w:r>
            <w:proofErr w:type="spellStart"/>
            <w:r w:rsidRPr="0060721D">
              <w:rPr>
                <w:rFonts w:ascii="Times New Roman" w:hAnsi="Times New Roman"/>
              </w:rPr>
              <w:t>asolamentul</w:t>
            </w:r>
            <w:proofErr w:type="spellEnd"/>
            <w:r w:rsidRPr="0060721D">
              <w:rPr>
                <w:rFonts w:ascii="Times New Roman" w:hAnsi="Times New Roman"/>
              </w:rPr>
              <w:t xml:space="preserve"> cu </w:t>
            </w:r>
            <w:proofErr w:type="spellStart"/>
            <w:r w:rsidRPr="0060721D">
              <w:rPr>
                <w:rFonts w:ascii="Times New Roman" w:hAnsi="Times New Roman"/>
              </w:rPr>
              <w:t>cinci</w:t>
            </w:r>
            <w:proofErr w:type="spellEnd"/>
            <w:r w:rsidRPr="0060721D">
              <w:rPr>
                <w:rFonts w:ascii="Times New Roman" w:hAnsi="Times New Roman"/>
              </w:rPr>
              <w:t xml:space="preserve"> sole, </w:t>
            </w:r>
            <w:proofErr w:type="spellStart"/>
            <w:r w:rsidRPr="0060721D">
              <w:rPr>
                <w:rFonts w:ascii="Times New Roman" w:hAnsi="Times New Roman"/>
              </w:rPr>
              <w:t>cuplat</w:t>
            </w:r>
            <w:proofErr w:type="spellEnd"/>
            <w:r w:rsidRPr="0060721D">
              <w:rPr>
                <w:rFonts w:ascii="Times New Roman" w:hAnsi="Times New Roman"/>
              </w:rPr>
              <w:t xml:space="preserve"> cu </w:t>
            </w:r>
            <w:proofErr w:type="spellStart"/>
            <w:r w:rsidRPr="0060721D">
              <w:rPr>
                <w:rFonts w:ascii="Times New Roman" w:hAnsi="Times New Roman"/>
              </w:rPr>
              <w:t>incorporarea</w:t>
            </w:r>
            <w:proofErr w:type="spellEnd"/>
            <w:r w:rsidRPr="0060721D">
              <w:rPr>
                <w:rFonts w:ascii="Times New Roman" w:hAnsi="Times New Roman"/>
              </w:rPr>
              <w:t xml:space="preserve"> </w:t>
            </w:r>
            <w:proofErr w:type="spellStart"/>
            <w:r w:rsidRPr="0060721D">
              <w:rPr>
                <w:rFonts w:ascii="Times New Roman" w:hAnsi="Times New Roman"/>
              </w:rPr>
              <w:t>anuală</w:t>
            </w:r>
            <w:proofErr w:type="spellEnd"/>
            <w:r w:rsidRPr="0060721D">
              <w:rPr>
                <w:rFonts w:ascii="Times New Roman" w:hAnsi="Times New Roman"/>
              </w:rPr>
              <w:t xml:space="preserve"> </w:t>
            </w:r>
            <w:proofErr w:type="spellStart"/>
            <w:r w:rsidRPr="0060721D">
              <w:rPr>
                <w:rFonts w:ascii="Times New Roman" w:hAnsi="Times New Roman"/>
              </w:rPr>
              <w:t>în</w:t>
            </w:r>
            <w:proofErr w:type="spellEnd"/>
            <w:r w:rsidRPr="0060721D">
              <w:rPr>
                <w:rFonts w:ascii="Times New Roman" w:hAnsi="Times New Roman"/>
              </w:rPr>
              <w:t xml:space="preserve"> sol a </w:t>
            </w:r>
            <w:proofErr w:type="spellStart"/>
            <w:r w:rsidRPr="0060721D">
              <w:rPr>
                <w:rFonts w:ascii="Times New Roman" w:hAnsi="Times New Roman"/>
              </w:rPr>
              <w:t>resturilor</w:t>
            </w:r>
            <w:proofErr w:type="spellEnd"/>
            <w:r w:rsidRPr="0060721D">
              <w:rPr>
                <w:rFonts w:ascii="Times New Roman" w:hAnsi="Times New Roman"/>
              </w:rPr>
              <w:t xml:space="preserve"> </w:t>
            </w:r>
            <w:proofErr w:type="spellStart"/>
            <w:r w:rsidRPr="0060721D">
              <w:rPr>
                <w:rFonts w:ascii="Times New Roman" w:hAnsi="Times New Roman"/>
              </w:rPr>
              <w:t>vegetale</w:t>
            </w:r>
            <w:proofErr w:type="spellEnd"/>
            <w:r w:rsidRPr="0060721D">
              <w:rPr>
                <w:rFonts w:ascii="Times New Roman" w:hAnsi="Times New Roman"/>
              </w:rPr>
              <w:t xml:space="preserve"> </w:t>
            </w:r>
            <w:proofErr w:type="spellStart"/>
            <w:r w:rsidRPr="0060721D">
              <w:rPr>
                <w:rFonts w:ascii="Times New Roman" w:hAnsi="Times New Roman"/>
              </w:rPr>
              <w:t>și</w:t>
            </w:r>
            <w:proofErr w:type="spellEnd"/>
            <w:r w:rsidRPr="0060721D">
              <w:rPr>
                <w:rFonts w:ascii="Times New Roman" w:hAnsi="Times New Roman"/>
              </w:rPr>
              <w:t xml:space="preserve"> o </w:t>
            </w:r>
            <w:proofErr w:type="spellStart"/>
            <w:r w:rsidRPr="0060721D">
              <w:rPr>
                <w:rFonts w:ascii="Times New Roman" w:hAnsi="Times New Roman"/>
              </w:rPr>
              <w:t>dată</w:t>
            </w:r>
            <w:proofErr w:type="spellEnd"/>
            <w:r w:rsidRPr="0060721D">
              <w:rPr>
                <w:rFonts w:ascii="Times New Roman" w:hAnsi="Times New Roman"/>
              </w:rPr>
              <w:t xml:space="preserve"> la </w:t>
            </w:r>
            <w:proofErr w:type="spellStart"/>
            <w:r w:rsidRPr="0060721D">
              <w:rPr>
                <w:rFonts w:ascii="Times New Roman" w:hAnsi="Times New Roman"/>
              </w:rPr>
              <w:t>cinci</w:t>
            </w:r>
            <w:proofErr w:type="spellEnd"/>
            <w:r w:rsidRPr="0060721D">
              <w:rPr>
                <w:rFonts w:ascii="Times New Roman" w:hAnsi="Times New Roman"/>
              </w:rPr>
              <w:t xml:space="preserve"> ani a </w:t>
            </w:r>
            <w:proofErr w:type="spellStart"/>
            <w:r w:rsidRPr="0060721D">
              <w:rPr>
                <w:rFonts w:ascii="Times New Roman" w:hAnsi="Times New Roman"/>
              </w:rPr>
              <w:t>două</w:t>
            </w:r>
            <w:proofErr w:type="spellEnd"/>
            <w:r w:rsidRPr="0060721D">
              <w:rPr>
                <w:rFonts w:ascii="Times New Roman" w:hAnsi="Times New Roman"/>
              </w:rPr>
              <w:t xml:space="preserve"> </w:t>
            </w:r>
            <w:proofErr w:type="spellStart"/>
            <w:r w:rsidRPr="0060721D">
              <w:rPr>
                <w:rFonts w:ascii="Times New Roman" w:hAnsi="Times New Roman"/>
              </w:rPr>
              <w:t>recolte</w:t>
            </w:r>
            <w:proofErr w:type="spellEnd"/>
            <w:r w:rsidRPr="0060721D">
              <w:rPr>
                <w:rFonts w:ascii="Times New Roman" w:hAnsi="Times New Roman"/>
              </w:rPr>
              <w:t xml:space="preserve"> de </w:t>
            </w:r>
            <w:proofErr w:type="spellStart"/>
            <w:r w:rsidRPr="0060721D">
              <w:rPr>
                <w:rFonts w:ascii="Times New Roman" w:hAnsi="Times New Roman"/>
              </w:rPr>
              <w:t>măzăriche</w:t>
            </w:r>
            <w:proofErr w:type="spellEnd"/>
            <w:r w:rsidRPr="0060721D">
              <w:rPr>
                <w:rFonts w:ascii="Times New Roman" w:hAnsi="Times New Roman"/>
              </w:rPr>
              <w:t xml:space="preserve"> de </w:t>
            </w:r>
            <w:proofErr w:type="spellStart"/>
            <w:r w:rsidRPr="0060721D">
              <w:rPr>
                <w:rFonts w:ascii="Times New Roman" w:hAnsi="Times New Roman"/>
              </w:rPr>
              <w:t>toamnă</w:t>
            </w:r>
            <w:proofErr w:type="spellEnd"/>
            <w:r w:rsidRPr="0060721D">
              <w:rPr>
                <w:rFonts w:ascii="Times New Roman" w:hAnsi="Times New Roman"/>
              </w:rPr>
              <w:t xml:space="preserve"> </w:t>
            </w:r>
            <w:proofErr w:type="spellStart"/>
            <w:r w:rsidRPr="0060721D">
              <w:rPr>
                <w:rFonts w:ascii="Times New Roman" w:hAnsi="Times New Roman"/>
              </w:rPr>
              <w:t>și</w:t>
            </w:r>
            <w:proofErr w:type="spellEnd"/>
            <w:r w:rsidRPr="0060721D">
              <w:rPr>
                <w:rFonts w:ascii="Times New Roman" w:hAnsi="Times New Roman"/>
              </w:rPr>
              <w:t xml:space="preserve"> de </w:t>
            </w:r>
            <w:proofErr w:type="spellStart"/>
            <w:r w:rsidRPr="0060721D">
              <w:rPr>
                <w:rFonts w:ascii="Times New Roman" w:hAnsi="Times New Roman"/>
              </w:rPr>
              <w:t>primăvară</w:t>
            </w:r>
            <w:proofErr w:type="spellEnd"/>
            <w:r w:rsidRPr="0060721D">
              <w:rPr>
                <w:rFonts w:ascii="Times New Roman" w:hAnsi="Times New Roman"/>
              </w:rPr>
              <w:t xml:space="preserve">, </w:t>
            </w:r>
            <w:proofErr w:type="spellStart"/>
            <w:r w:rsidRPr="0060721D">
              <w:rPr>
                <w:rFonts w:ascii="Times New Roman" w:hAnsi="Times New Roman"/>
              </w:rPr>
              <w:t>în</w:t>
            </w:r>
            <w:proofErr w:type="spellEnd"/>
            <w:r w:rsidRPr="0060721D">
              <w:rPr>
                <w:rFonts w:ascii="Times New Roman" w:hAnsi="Times New Roman"/>
              </w:rPr>
              <w:t xml:space="preserve"> </w:t>
            </w:r>
            <w:proofErr w:type="spellStart"/>
            <w:r w:rsidRPr="0060721D">
              <w:rPr>
                <w:rFonts w:ascii="Times New Roman" w:hAnsi="Times New Roman"/>
              </w:rPr>
              <w:t>calitate</w:t>
            </w:r>
            <w:proofErr w:type="spellEnd"/>
            <w:r w:rsidRPr="0060721D">
              <w:rPr>
                <w:rFonts w:ascii="Times New Roman" w:hAnsi="Times New Roman"/>
              </w:rPr>
              <w:t xml:space="preserve"> de </w:t>
            </w:r>
            <w:proofErr w:type="spellStart"/>
            <w:r w:rsidRPr="0060721D">
              <w:rPr>
                <w:rFonts w:ascii="Times New Roman" w:hAnsi="Times New Roman"/>
              </w:rPr>
              <w:t>îngrășământ</w:t>
            </w:r>
            <w:proofErr w:type="spellEnd"/>
            <w:r w:rsidRPr="0060721D">
              <w:rPr>
                <w:rFonts w:ascii="Times New Roman" w:hAnsi="Times New Roman"/>
              </w:rPr>
              <w:t xml:space="preserve"> sideral </w:t>
            </w:r>
          </w:p>
        </w:tc>
        <w:tc>
          <w:tcPr>
            <w:tcW w:w="2211" w:type="dxa"/>
            <w:gridSpan w:val="2"/>
            <w:vMerge w:val="restart"/>
            <w:hideMark/>
          </w:tcPr>
          <w:p w14:paraId="4A6A46BF" w14:textId="77777777" w:rsidR="0060721D" w:rsidRPr="0060721D" w:rsidRDefault="0060721D" w:rsidP="0060721D">
            <w:pPr>
              <w:rPr>
                <w:rFonts w:ascii="Times New Roman" w:hAnsi="Times New Roman"/>
              </w:rPr>
            </w:pPr>
            <w:r w:rsidRPr="0060721D">
              <w:rPr>
                <w:rFonts w:ascii="Times New Roman" w:eastAsia="Times New Roman" w:hAnsi="Times New Roman"/>
                <w:lang w:val="es-ES" w:eastAsia="ru-RU"/>
              </w:rPr>
              <w:t>Acţiunea se bazează pe introducerea seminței direct în miriștea culturii premergătoare, fără a efectua lucrări anterioare de afânare a solului, cu excepția deschiderii concomitent cu semănatul a unei benzi foarte înguste (fantă), de numai câțiva centimetri, pentru a permite introducerea semințelor în sol. Pentru practicarea acestui sistem sunt necesare mașini speciale de semănat, care să asigure concomitent deschiderea fantei şi introducerea semințelor. Alte lucrări ca:</w:t>
            </w:r>
            <w:r w:rsidRPr="002D5884">
              <w:rPr>
                <w:rFonts w:ascii="Times New Roman" w:eastAsia="Times New Roman" w:hAnsi="Times New Roman"/>
                <w:lang w:val="es-ES" w:eastAsia="ru-RU"/>
              </w:rPr>
              <w:t xml:space="preserve"> </w:t>
            </w:r>
            <w:r w:rsidRPr="002D5884">
              <w:rPr>
                <w:rFonts w:ascii="Times New Roman" w:hAnsi="Times New Roman"/>
                <w:lang w:val="es-ES"/>
              </w:rPr>
              <w:t xml:space="preserve">arătura, discuirea, grăpatul, prașilele mecanice, etc., necesare în sistemul convențional, nu se efectuează, suprafața solului rămâne acoperită în totalitate cu resturi vegetale. </w:t>
            </w:r>
            <w:proofErr w:type="spellStart"/>
            <w:r w:rsidRPr="0060721D">
              <w:rPr>
                <w:rFonts w:ascii="Times New Roman" w:hAnsi="Times New Roman"/>
              </w:rPr>
              <w:t>Controlul</w:t>
            </w:r>
            <w:proofErr w:type="spellEnd"/>
            <w:r w:rsidRPr="0060721D">
              <w:rPr>
                <w:rFonts w:ascii="Times New Roman" w:hAnsi="Times New Roman"/>
              </w:rPr>
              <w:t xml:space="preserve"> </w:t>
            </w:r>
            <w:proofErr w:type="spellStart"/>
            <w:r w:rsidRPr="0060721D">
              <w:rPr>
                <w:rFonts w:ascii="Times New Roman" w:hAnsi="Times New Roman"/>
              </w:rPr>
              <w:t>buruienilor</w:t>
            </w:r>
            <w:proofErr w:type="spellEnd"/>
            <w:r w:rsidRPr="0060721D">
              <w:rPr>
                <w:rFonts w:ascii="Times New Roman" w:hAnsi="Times New Roman"/>
              </w:rPr>
              <w:t xml:space="preserve">, </w:t>
            </w:r>
            <w:proofErr w:type="spellStart"/>
            <w:r w:rsidRPr="0060721D">
              <w:rPr>
                <w:rFonts w:ascii="Times New Roman" w:hAnsi="Times New Roman"/>
              </w:rPr>
              <w:t>inclusiv</w:t>
            </w:r>
            <w:proofErr w:type="spellEnd"/>
            <w:r w:rsidRPr="0060721D">
              <w:rPr>
                <w:rFonts w:ascii="Times New Roman" w:hAnsi="Times New Roman"/>
              </w:rPr>
              <w:t xml:space="preserve"> </w:t>
            </w:r>
            <w:proofErr w:type="spellStart"/>
            <w:r w:rsidRPr="0060721D">
              <w:rPr>
                <w:rFonts w:ascii="Times New Roman" w:hAnsi="Times New Roman"/>
              </w:rPr>
              <w:t>pentru</w:t>
            </w:r>
            <w:proofErr w:type="spellEnd"/>
            <w:r w:rsidRPr="0060721D">
              <w:rPr>
                <w:rFonts w:ascii="Times New Roman" w:hAnsi="Times New Roman"/>
              </w:rPr>
              <w:t xml:space="preserve"> </w:t>
            </w:r>
            <w:proofErr w:type="spellStart"/>
            <w:r w:rsidRPr="0060721D">
              <w:rPr>
                <w:rFonts w:ascii="Times New Roman" w:hAnsi="Times New Roman"/>
              </w:rPr>
              <w:t>plantele</w:t>
            </w:r>
            <w:proofErr w:type="spellEnd"/>
            <w:r w:rsidRPr="0060721D">
              <w:rPr>
                <w:rFonts w:ascii="Times New Roman" w:hAnsi="Times New Roman"/>
              </w:rPr>
              <w:t xml:space="preserve"> </w:t>
            </w:r>
            <w:proofErr w:type="spellStart"/>
            <w:r w:rsidRPr="0060721D">
              <w:rPr>
                <w:rFonts w:ascii="Times New Roman" w:hAnsi="Times New Roman"/>
              </w:rPr>
              <w:t>prășitoare</w:t>
            </w:r>
            <w:proofErr w:type="spellEnd"/>
            <w:r w:rsidRPr="0060721D">
              <w:rPr>
                <w:rFonts w:ascii="Times New Roman" w:hAnsi="Times New Roman"/>
              </w:rPr>
              <w:t xml:space="preserve">, se </w:t>
            </w:r>
            <w:proofErr w:type="spellStart"/>
            <w:r w:rsidRPr="0060721D">
              <w:rPr>
                <w:rFonts w:ascii="Times New Roman" w:hAnsi="Times New Roman"/>
              </w:rPr>
              <w:t>efectuează</w:t>
            </w:r>
            <w:proofErr w:type="spellEnd"/>
            <w:r w:rsidRPr="0060721D">
              <w:rPr>
                <w:rFonts w:ascii="Times New Roman" w:hAnsi="Times New Roman"/>
              </w:rPr>
              <w:t xml:space="preserve"> </w:t>
            </w:r>
            <w:proofErr w:type="spellStart"/>
            <w:r w:rsidRPr="0060721D">
              <w:rPr>
                <w:rFonts w:ascii="Times New Roman" w:hAnsi="Times New Roman"/>
              </w:rPr>
              <w:t>doar</w:t>
            </w:r>
            <w:proofErr w:type="spellEnd"/>
            <w:r w:rsidRPr="0060721D">
              <w:rPr>
                <w:rFonts w:ascii="Times New Roman" w:hAnsi="Times New Roman"/>
              </w:rPr>
              <w:t xml:space="preserve"> </w:t>
            </w:r>
            <w:proofErr w:type="spellStart"/>
            <w:r w:rsidRPr="0060721D">
              <w:rPr>
                <w:rFonts w:ascii="Times New Roman" w:hAnsi="Times New Roman"/>
              </w:rPr>
              <w:t>prin</w:t>
            </w:r>
            <w:proofErr w:type="spellEnd"/>
            <w:r w:rsidRPr="0060721D">
              <w:rPr>
                <w:rFonts w:ascii="Times New Roman" w:hAnsi="Times New Roman"/>
              </w:rPr>
              <w:t xml:space="preserve"> </w:t>
            </w:r>
            <w:proofErr w:type="spellStart"/>
            <w:r w:rsidRPr="0060721D">
              <w:rPr>
                <w:rFonts w:ascii="Times New Roman" w:hAnsi="Times New Roman"/>
              </w:rPr>
              <w:t>metode</w:t>
            </w:r>
            <w:proofErr w:type="spellEnd"/>
            <w:r w:rsidRPr="0060721D">
              <w:rPr>
                <w:rFonts w:ascii="Times New Roman" w:hAnsi="Times New Roman"/>
              </w:rPr>
              <w:t xml:space="preserve"> </w:t>
            </w:r>
            <w:proofErr w:type="spellStart"/>
            <w:r w:rsidRPr="0060721D">
              <w:rPr>
                <w:rFonts w:ascii="Times New Roman" w:hAnsi="Times New Roman"/>
              </w:rPr>
              <w:t>chimice</w:t>
            </w:r>
            <w:proofErr w:type="spellEnd"/>
            <w:r w:rsidRPr="0060721D">
              <w:rPr>
                <w:rFonts w:ascii="Times New Roman" w:hAnsi="Times New Roman"/>
              </w:rPr>
              <w:t xml:space="preserve">, cu </w:t>
            </w:r>
            <w:proofErr w:type="spellStart"/>
            <w:r w:rsidRPr="0060721D">
              <w:rPr>
                <w:rFonts w:ascii="Times New Roman" w:hAnsi="Times New Roman"/>
              </w:rPr>
              <w:t>ajutorul</w:t>
            </w:r>
            <w:proofErr w:type="spellEnd"/>
            <w:r w:rsidRPr="0060721D">
              <w:rPr>
                <w:rFonts w:ascii="Times New Roman" w:hAnsi="Times New Roman"/>
              </w:rPr>
              <w:t xml:space="preserve"> </w:t>
            </w:r>
            <w:proofErr w:type="spellStart"/>
            <w:r w:rsidRPr="0060721D">
              <w:rPr>
                <w:rFonts w:ascii="Times New Roman" w:hAnsi="Times New Roman"/>
              </w:rPr>
              <w:t>erbicidelor</w:t>
            </w:r>
            <w:proofErr w:type="spellEnd"/>
            <w:r w:rsidRPr="0060721D">
              <w:rPr>
                <w:rFonts w:ascii="Times New Roman" w:hAnsi="Times New Roman"/>
              </w:rPr>
              <w:t xml:space="preserve"> </w:t>
            </w:r>
            <w:proofErr w:type="spellStart"/>
            <w:r w:rsidRPr="0060721D">
              <w:rPr>
                <w:rFonts w:ascii="Times New Roman" w:hAnsi="Times New Roman"/>
              </w:rPr>
              <w:t>şi</w:t>
            </w:r>
            <w:proofErr w:type="spellEnd"/>
            <w:r w:rsidRPr="0060721D">
              <w:rPr>
                <w:rFonts w:ascii="Times New Roman" w:hAnsi="Times New Roman"/>
              </w:rPr>
              <w:t>/</w:t>
            </w:r>
            <w:proofErr w:type="spellStart"/>
            <w:r w:rsidRPr="0060721D">
              <w:rPr>
                <w:rFonts w:ascii="Times New Roman" w:hAnsi="Times New Roman"/>
              </w:rPr>
              <w:t>sau</w:t>
            </w:r>
            <w:proofErr w:type="spellEnd"/>
            <w:r w:rsidRPr="0060721D">
              <w:rPr>
                <w:rFonts w:ascii="Times New Roman" w:hAnsi="Times New Roman"/>
              </w:rPr>
              <w:t xml:space="preserve"> </w:t>
            </w:r>
            <w:proofErr w:type="spellStart"/>
            <w:r w:rsidRPr="0060721D">
              <w:rPr>
                <w:rFonts w:ascii="Times New Roman" w:hAnsi="Times New Roman"/>
              </w:rPr>
              <w:t>prin</w:t>
            </w:r>
            <w:proofErr w:type="spellEnd"/>
            <w:r w:rsidRPr="0060721D">
              <w:rPr>
                <w:rFonts w:ascii="Times New Roman" w:hAnsi="Times New Roman"/>
              </w:rPr>
              <w:t xml:space="preserve"> </w:t>
            </w:r>
            <w:proofErr w:type="spellStart"/>
            <w:r w:rsidRPr="0060721D">
              <w:rPr>
                <w:rFonts w:ascii="Times New Roman" w:hAnsi="Times New Roman"/>
              </w:rPr>
              <w:t>metode</w:t>
            </w:r>
            <w:proofErr w:type="spellEnd"/>
            <w:r w:rsidRPr="0060721D">
              <w:rPr>
                <w:rFonts w:ascii="Times New Roman" w:hAnsi="Times New Roman"/>
              </w:rPr>
              <w:t xml:space="preserve"> de </w:t>
            </w:r>
            <w:proofErr w:type="spellStart"/>
            <w:r w:rsidRPr="0060721D">
              <w:rPr>
                <w:rFonts w:ascii="Times New Roman" w:hAnsi="Times New Roman"/>
              </w:rPr>
              <w:t>protecție</w:t>
            </w:r>
            <w:proofErr w:type="spellEnd"/>
            <w:r w:rsidRPr="0060721D">
              <w:rPr>
                <w:rFonts w:ascii="Times New Roman" w:hAnsi="Times New Roman"/>
              </w:rPr>
              <w:t xml:space="preserve"> </w:t>
            </w:r>
            <w:proofErr w:type="spellStart"/>
            <w:r w:rsidRPr="0060721D">
              <w:rPr>
                <w:rFonts w:ascii="Times New Roman" w:hAnsi="Times New Roman"/>
              </w:rPr>
              <w:t>biologice</w:t>
            </w:r>
            <w:proofErr w:type="spellEnd"/>
            <w:r w:rsidRPr="0060721D">
              <w:rPr>
                <w:rFonts w:ascii="Times New Roman" w:hAnsi="Times New Roman"/>
              </w:rPr>
              <w:t xml:space="preserve">. De </w:t>
            </w:r>
            <w:proofErr w:type="spellStart"/>
            <w:r w:rsidRPr="0060721D">
              <w:rPr>
                <w:rFonts w:ascii="Times New Roman" w:hAnsi="Times New Roman"/>
              </w:rPr>
              <w:t>rând</w:t>
            </w:r>
            <w:proofErr w:type="spellEnd"/>
            <w:r w:rsidRPr="0060721D">
              <w:rPr>
                <w:rFonts w:ascii="Times New Roman" w:hAnsi="Times New Roman"/>
              </w:rPr>
              <w:t xml:space="preserve"> cu </w:t>
            </w:r>
            <w:proofErr w:type="spellStart"/>
            <w:r w:rsidRPr="0060721D">
              <w:rPr>
                <w:rFonts w:ascii="Times New Roman" w:hAnsi="Times New Roman"/>
              </w:rPr>
              <w:lastRenderedPageBreak/>
              <w:t>erbicidele</w:t>
            </w:r>
            <w:proofErr w:type="spellEnd"/>
            <w:r w:rsidRPr="0060721D">
              <w:rPr>
                <w:rFonts w:ascii="Times New Roman" w:hAnsi="Times New Roman"/>
              </w:rPr>
              <w:t xml:space="preserve">, </w:t>
            </w:r>
            <w:proofErr w:type="spellStart"/>
            <w:r w:rsidRPr="0060721D">
              <w:rPr>
                <w:rFonts w:ascii="Times New Roman" w:hAnsi="Times New Roman"/>
              </w:rPr>
              <w:t>în</w:t>
            </w:r>
            <w:proofErr w:type="spellEnd"/>
            <w:r w:rsidRPr="0060721D">
              <w:rPr>
                <w:rFonts w:ascii="Times New Roman" w:hAnsi="Times New Roman"/>
              </w:rPr>
              <w:t xml:space="preserve"> </w:t>
            </w:r>
            <w:proofErr w:type="spellStart"/>
            <w:r w:rsidRPr="0060721D">
              <w:rPr>
                <w:rFonts w:ascii="Times New Roman" w:hAnsi="Times New Roman"/>
              </w:rPr>
              <w:t>scopul</w:t>
            </w:r>
            <w:proofErr w:type="spellEnd"/>
            <w:r w:rsidRPr="0060721D">
              <w:rPr>
                <w:rFonts w:ascii="Times New Roman" w:hAnsi="Times New Roman"/>
              </w:rPr>
              <w:t xml:space="preserve"> </w:t>
            </w:r>
            <w:proofErr w:type="spellStart"/>
            <w:r w:rsidRPr="0060721D">
              <w:rPr>
                <w:rFonts w:ascii="Times New Roman" w:hAnsi="Times New Roman"/>
              </w:rPr>
              <w:t>unui</w:t>
            </w:r>
            <w:proofErr w:type="spellEnd"/>
            <w:r w:rsidRPr="0060721D">
              <w:rPr>
                <w:rFonts w:ascii="Times New Roman" w:hAnsi="Times New Roman"/>
              </w:rPr>
              <w:t xml:space="preserve"> control </w:t>
            </w:r>
            <w:proofErr w:type="spellStart"/>
            <w:r w:rsidRPr="0060721D">
              <w:rPr>
                <w:rFonts w:ascii="Times New Roman" w:hAnsi="Times New Roman"/>
              </w:rPr>
              <w:t>eficient</w:t>
            </w:r>
            <w:proofErr w:type="spellEnd"/>
            <w:r w:rsidRPr="0060721D">
              <w:rPr>
                <w:rFonts w:ascii="Times New Roman" w:hAnsi="Times New Roman"/>
              </w:rPr>
              <w:t xml:space="preserve"> al </w:t>
            </w:r>
            <w:proofErr w:type="spellStart"/>
            <w:r w:rsidRPr="0060721D">
              <w:rPr>
                <w:rFonts w:ascii="Times New Roman" w:hAnsi="Times New Roman"/>
              </w:rPr>
              <w:t>buruienilor</w:t>
            </w:r>
            <w:proofErr w:type="spellEnd"/>
            <w:r w:rsidRPr="0060721D">
              <w:rPr>
                <w:rFonts w:ascii="Times New Roman" w:hAnsi="Times New Roman"/>
              </w:rPr>
              <w:t xml:space="preserve">, </w:t>
            </w:r>
            <w:proofErr w:type="spellStart"/>
            <w:r w:rsidRPr="0060721D">
              <w:rPr>
                <w:rFonts w:ascii="Times New Roman" w:hAnsi="Times New Roman"/>
              </w:rPr>
              <w:t>agenții</w:t>
            </w:r>
            <w:proofErr w:type="spellEnd"/>
            <w:r w:rsidRPr="0060721D">
              <w:rPr>
                <w:rFonts w:ascii="Times New Roman" w:hAnsi="Times New Roman"/>
              </w:rPr>
              <w:t xml:space="preserve"> economici </w:t>
            </w:r>
            <w:proofErr w:type="spellStart"/>
            <w:r w:rsidRPr="0060721D">
              <w:rPr>
                <w:rFonts w:ascii="Times New Roman" w:hAnsi="Times New Roman"/>
              </w:rPr>
              <w:t>trebuie</w:t>
            </w:r>
            <w:proofErr w:type="spellEnd"/>
            <w:r w:rsidRPr="0060721D">
              <w:rPr>
                <w:rFonts w:ascii="Times New Roman" w:hAnsi="Times New Roman"/>
              </w:rPr>
              <w:t xml:space="preserve"> </w:t>
            </w:r>
            <w:proofErr w:type="spellStart"/>
            <w:r w:rsidRPr="0060721D">
              <w:rPr>
                <w:rFonts w:ascii="Times New Roman" w:hAnsi="Times New Roman"/>
              </w:rPr>
              <w:t>să-şi</w:t>
            </w:r>
            <w:proofErr w:type="spellEnd"/>
            <w:r w:rsidRPr="0060721D">
              <w:rPr>
                <w:rFonts w:ascii="Times New Roman" w:hAnsi="Times New Roman"/>
              </w:rPr>
              <w:t xml:space="preserve"> </w:t>
            </w:r>
            <w:proofErr w:type="spellStart"/>
            <w:r w:rsidRPr="0060721D">
              <w:rPr>
                <w:rFonts w:ascii="Times New Roman" w:hAnsi="Times New Roman"/>
              </w:rPr>
              <w:t>stabilească</w:t>
            </w:r>
            <w:proofErr w:type="spellEnd"/>
            <w:r w:rsidRPr="0060721D">
              <w:rPr>
                <w:rFonts w:ascii="Times New Roman" w:hAnsi="Times New Roman"/>
              </w:rPr>
              <w:t xml:space="preserve"> o </w:t>
            </w:r>
            <w:proofErr w:type="spellStart"/>
            <w:r w:rsidRPr="0060721D">
              <w:rPr>
                <w:rFonts w:ascii="Times New Roman" w:hAnsi="Times New Roman"/>
              </w:rPr>
              <w:t>rotație</w:t>
            </w:r>
            <w:proofErr w:type="spellEnd"/>
            <w:r w:rsidRPr="0060721D">
              <w:rPr>
                <w:rFonts w:ascii="Times New Roman" w:hAnsi="Times New Roman"/>
              </w:rPr>
              <w:t xml:space="preserve"> de minimum 5-7 </w:t>
            </w:r>
            <w:proofErr w:type="spellStart"/>
            <w:r w:rsidRPr="0060721D">
              <w:rPr>
                <w:rFonts w:ascii="Times New Roman" w:hAnsi="Times New Roman"/>
              </w:rPr>
              <w:t>culturi</w:t>
            </w:r>
            <w:proofErr w:type="spellEnd"/>
            <w:r w:rsidRPr="0060721D">
              <w:rPr>
                <w:rFonts w:ascii="Times New Roman" w:hAnsi="Times New Roman"/>
              </w:rPr>
              <w:t xml:space="preserve">, care </w:t>
            </w:r>
            <w:proofErr w:type="spellStart"/>
            <w:r w:rsidRPr="0060721D">
              <w:rPr>
                <w:rFonts w:ascii="Times New Roman" w:hAnsi="Times New Roman"/>
              </w:rPr>
              <w:t>să</w:t>
            </w:r>
            <w:proofErr w:type="spellEnd"/>
            <w:r w:rsidRPr="0060721D">
              <w:rPr>
                <w:rFonts w:ascii="Times New Roman" w:hAnsi="Times New Roman"/>
              </w:rPr>
              <w:t xml:space="preserve"> </w:t>
            </w:r>
            <w:proofErr w:type="spellStart"/>
            <w:r w:rsidRPr="0060721D">
              <w:rPr>
                <w:rFonts w:ascii="Times New Roman" w:hAnsi="Times New Roman"/>
              </w:rPr>
              <w:t>cuprindă</w:t>
            </w:r>
            <w:proofErr w:type="spellEnd"/>
            <w:r w:rsidRPr="0060721D">
              <w:rPr>
                <w:rFonts w:ascii="Times New Roman" w:hAnsi="Times New Roman"/>
              </w:rPr>
              <w:t xml:space="preserve"> </w:t>
            </w:r>
            <w:proofErr w:type="spellStart"/>
            <w:r w:rsidRPr="0060721D">
              <w:rPr>
                <w:rFonts w:ascii="Times New Roman" w:hAnsi="Times New Roman"/>
              </w:rPr>
              <w:t>specii</w:t>
            </w:r>
            <w:proofErr w:type="spellEnd"/>
            <w:r w:rsidRPr="0060721D">
              <w:rPr>
                <w:rFonts w:ascii="Times New Roman" w:hAnsi="Times New Roman"/>
              </w:rPr>
              <w:t xml:space="preserve"> </w:t>
            </w:r>
            <w:proofErr w:type="spellStart"/>
            <w:r w:rsidRPr="0060721D">
              <w:rPr>
                <w:rFonts w:ascii="Times New Roman" w:hAnsi="Times New Roman"/>
              </w:rPr>
              <w:t>cât</w:t>
            </w:r>
            <w:proofErr w:type="spellEnd"/>
            <w:r w:rsidRPr="0060721D">
              <w:rPr>
                <w:rFonts w:ascii="Times New Roman" w:hAnsi="Times New Roman"/>
              </w:rPr>
              <w:t xml:space="preserve"> </w:t>
            </w:r>
            <w:proofErr w:type="spellStart"/>
            <w:r w:rsidRPr="0060721D">
              <w:rPr>
                <w:rFonts w:ascii="Times New Roman" w:hAnsi="Times New Roman"/>
              </w:rPr>
              <w:t>mai</w:t>
            </w:r>
            <w:proofErr w:type="spellEnd"/>
            <w:r w:rsidRPr="0060721D">
              <w:rPr>
                <w:rFonts w:ascii="Times New Roman" w:hAnsi="Times New Roman"/>
              </w:rPr>
              <w:t xml:space="preserve"> </w:t>
            </w:r>
            <w:proofErr w:type="spellStart"/>
            <w:r w:rsidRPr="0060721D">
              <w:rPr>
                <w:rFonts w:ascii="Times New Roman" w:hAnsi="Times New Roman"/>
              </w:rPr>
              <w:t>diferite</w:t>
            </w:r>
            <w:proofErr w:type="spellEnd"/>
            <w:r w:rsidRPr="0060721D">
              <w:rPr>
                <w:rFonts w:ascii="Times New Roman" w:hAnsi="Times New Roman"/>
              </w:rPr>
              <w:t xml:space="preserve">, </w:t>
            </w:r>
            <w:proofErr w:type="spellStart"/>
            <w:r w:rsidRPr="0060721D">
              <w:rPr>
                <w:rFonts w:ascii="Times New Roman" w:hAnsi="Times New Roman"/>
              </w:rPr>
              <w:t>asolamentul</w:t>
            </w:r>
            <w:proofErr w:type="spellEnd"/>
            <w:r w:rsidRPr="0060721D">
              <w:rPr>
                <w:rFonts w:ascii="Times New Roman" w:hAnsi="Times New Roman"/>
              </w:rPr>
              <w:t xml:space="preserve"> cu </w:t>
            </w:r>
            <w:proofErr w:type="spellStart"/>
            <w:r w:rsidRPr="0060721D">
              <w:rPr>
                <w:rFonts w:ascii="Times New Roman" w:hAnsi="Times New Roman"/>
              </w:rPr>
              <w:t>plante</w:t>
            </w:r>
            <w:proofErr w:type="spellEnd"/>
            <w:r w:rsidRPr="0060721D">
              <w:rPr>
                <w:rFonts w:ascii="Times New Roman" w:hAnsi="Times New Roman"/>
              </w:rPr>
              <w:t xml:space="preserve"> </w:t>
            </w:r>
            <w:proofErr w:type="spellStart"/>
            <w:r w:rsidRPr="0060721D">
              <w:rPr>
                <w:rFonts w:ascii="Times New Roman" w:hAnsi="Times New Roman"/>
              </w:rPr>
              <w:t>contrastante</w:t>
            </w:r>
            <w:proofErr w:type="spellEnd"/>
            <w:r w:rsidRPr="0060721D">
              <w:rPr>
                <w:rFonts w:ascii="Times New Roman" w:hAnsi="Times New Roman"/>
              </w:rPr>
              <w:t xml:space="preserve"> </w:t>
            </w:r>
            <w:proofErr w:type="spellStart"/>
            <w:r w:rsidRPr="0060721D">
              <w:rPr>
                <w:rFonts w:ascii="Times New Roman" w:hAnsi="Times New Roman"/>
              </w:rPr>
              <w:t>fiind</w:t>
            </w:r>
            <w:proofErr w:type="spellEnd"/>
            <w:r w:rsidRPr="0060721D">
              <w:rPr>
                <w:rFonts w:ascii="Times New Roman" w:hAnsi="Times New Roman"/>
              </w:rPr>
              <w:t xml:space="preserve"> un factor </w:t>
            </w:r>
            <w:proofErr w:type="spellStart"/>
            <w:r w:rsidRPr="0060721D">
              <w:rPr>
                <w:rFonts w:ascii="Times New Roman" w:hAnsi="Times New Roman"/>
              </w:rPr>
              <w:t>foarte</w:t>
            </w:r>
            <w:proofErr w:type="spellEnd"/>
            <w:r w:rsidRPr="0060721D">
              <w:rPr>
                <w:rFonts w:ascii="Times New Roman" w:hAnsi="Times New Roman"/>
              </w:rPr>
              <w:t xml:space="preserve"> </w:t>
            </w:r>
            <w:proofErr w:type="spellStart"/>
            <w:r w:rsidRPr="0060721D">
              <w:rPr>
                <w:rFonts w:ascii="Times New Roman" w:hAnsi="Times New Roman"/>
              </w:rPr>
              <w:t>eficient</w:t>
            </w:r>
            <w:proofErr w:type="spellEnd"/>
            <w:r w:rsidRPr="0060721D">
              <w:rPr>
                <w:rFonts w:ascii="Times New Roman" w:hAnsi="Times New Roman"/>
              </w:rPr>
              <w:t xml:space="preserve">. </w:t>
            </w:r>
            <w:proofErr w:type="spellStart"/>
            <w:r w:rsidRPr="0060721D">
              <w:rPr>
                <w:rFonts w:ascii="Times New Roman" w:hAnsi="Times New Roman"/>
              </w:rPr>
              <w:t>Fertilizarea</w:t>
            </w:r>
            <w:proofErr w:type="spellEnd"/>
            <w:r w:rsidRPr="0060721D">
              <w:rPr>
                <w:rFonts w:ascii="Times New Roman" w:hAnsi="Times New Roman"/>
              </w:rPr>
              <w:t xml:space="preserve"> </w:t>
            </w:r>
            <w:proofErr w:type="spellStart"/>
            <w:r w:rsidRPr="0060721D">
              <w:rPr>
                <w:rFonts w:ascii="Times New Roman" w:hAnsi="Times New Roman"/>
              </w:rPr>
              <w:t>organică</w:t>
            </w:r>
            <w:proofErr w:type="spellEnd"/>
            <w:r w:rsidRPr="0060721D">
              <w:rPr>
                <w:rFonts w:ascii="Times New Roman" w:hAnsi="Times New Roman"/>
              </w:rPr>
              <w:t xml:space="preserve">, precum </w:t>
            </w:r>
            <w:proofErr w:type="spellStart"/>
            <w:r w:rsidRPr="0060721D">
              <w:rPr>
                <w:rFonts w:ascii="Times New Roman" w:hAnsi="Times New Roman"/>
              </w:rPr>
              <w:t>şi</w:t>
            </w:r>
            <w:proofErr w:type="spellEnd"/>
            <w:r w:rsidRPr="0060721D">
              <w:rPr>
                <w:rFonts w:ascii="Times New Roman" w:hAnsi="Times New Roman"/>
              </w:rPr>
              <w:t xml:space="preserve"> </w:t>
            </w:r>
            <w:proofErr w:type="spellStart"/>
            <w:r w:rsidRPr="0060721D">
              <w:rPr>
                <w:rFonts w:ascii="Times New Roman" w:hAnsi="Times New Roman"/>
              </w:rPr>
              <w:t>aplicarea</w:t>
            </w:r>
            <w:proofErr w:type="spellEnd"/>
            <w:r w:rsidRPr="0060721D">
              <w:rPr>
                <w:rFonts w:ascii="Times New Roman" w:hAnsi="Times New Roman"/>
              </w:rPr>
              <w:t xml:space="preserve"> </w:t>
            </w:r>
            <w:proofErr w:type="spellStart"/>
            <w:r w:rsidRPr="0060721D">
              <w:rPr>
                <w:rFonts w:ascii="Times New Roman" w:hAnsi="Times New Roman"/>
              </w:rPr>
              <w:t>amendamentelor</w:t>
            </w:r>
            <w:proofErr w:type="spellEnd"/>
            <w:r w:rsidRPr="0060721D">
              <w:rPr>
                <w:rFonts w:ascii="Times New Roman" w:hAnsi="Times New Roman"/>
              </w:rPr>
              <w:t xml:space="preserve">, nu </w:t>
            </w:r>
            <w:proofErr w:type="spellStart"/>
            <w:r w:rsidRPr="0060721D">
              <w:rPr>
                <w:rFonts w:ascii="Times New Roman" w:hAnsi="Times New Roman"/>
              </w:rPr>
              <w:t>este</w:t>
            </w:r>
            <w:proofErr w:type="spellEnd"/>
            <w:r w:rsidRPr="0060721D">
              <w:rPr>
                <w:rFonts w:ascii="Times New Roman" w:hAnsi="Times New Roman"/>
              </w:rPr>
              <w:t xml:space="preserve"> </w:t>
            </w:r>
            <w:proofErr w:type="spellStart"/>
            <w:r w:rsidRPr="0060721D">
              <w:rPr>
                <w:rFonts w:ascii="Times New Roman" w:hAnsi="Times New Roman"/>
              </w:rPr>
              <w:t>posibilă</w:t>
            </w:r>
            <w:proofErr w:type="spellEnd"/>
            <w:r w:rsidRPr="0060721D">
              <w:rPr>
                <w:rFonts w:ascii="Times New Roman" w:hAnsi="Times New Roman"/>
              </w:rPr>
              <w:t xml:space="preserve">, </w:t>
            </w:r>
            <w:proofErr w:type="spellStart"/>
            <w:r w:rsidRPr="0060721D">
              <w:rPr>
                <w:rFonts w:ascii="Times New Roman" w:hAnsi="Times New Roman"/>
              </w:rPr>
              <w:t>astfel</w:t>
            </w:r>
            <w:proofErr w:type="spellEnd"/>
            <w:r w:rsidRPr="0060721D">
              <w:rPr>
                <w:rFonts w:ascii="Times New Roman" w:hAnsi="Times New Roman"/>
              </w:rPr>
              <w:t xml:space="preserve"> </w:t>
            </w:r>
            <w:proofErr w:type="spellStart"/>
            <w:r w:rsidRPr="0060721D">
              <w:rPr>
                <w:rFonts w:ascii="Times New Roman" w:hAnsi="Times New Roman"/>
              </w:rPr>
              <w:t>încât</w:t>
            </w:r>
            <w:proofErr w:type="spellEnd"/>
            <w:r w:rsidRPr="0060721D">
              <w:rPr>
                <w:rFonts w:ascii="Times New Roman" w:hAnsi="Times New Roman"/>
              </w:rPr>
              <w:t xml:space="preserve">, se </w:t>
            </w:r>
            <w:proofErr w:type="spellStart"/>
            <w:r w:rsidRPr="0060721D">
              <w:rPr>
                <w:rFonts w:ascii="Times New Roman" w:hAnsi="Times New Roman"/>
              </w:rPr>
              <w:t>vor</w:t>
            </w:r>
            <w:proofErr w:type="spellEnd"/>
            <w:r w:rsidRPr="0060721D">
              <w:rPr>
                <w:rFonts w:ascii="Times New Roman" w:hAnsi="Times New Roman"/>
              </w:rPr>
              <w:t xml:space="preserve"> </w:t>
            </w:r>
            <w:proofErr w:type="spellStart"/>
            <w:r w:rsidRPr="0060721D">
              <w:rPr>
                <w:rFonts w:ascii="Times New Roman" w:hAnsi="Times New Roman"/>
              </w:rPr>
              <w:t>folosi</w:t>
            </w:r>
            <w:proofErr w:type="spellEnd"/>
            <w:r w:rsidRPr="0060721D">
              <w:rPr>
                <w:rFonts w:ascii="Times New Roman" w:hAnsi="Times New Roman"/>
              </w:rPr>
              <w:t xml:space="preserve"> </w:t>
            </w:r>
            <w:proofErr w:type="spellStart"/>
            <w:r w:rsidRPr="0060721D">
              <w:rPr>
                <w:rFonts w:ascii="Times New Roman" w:hAnsi="Times New Roman"/>
              </w:rPr>
              <w:t>doar</w:t>
            </w:r>
            <w:proofErr w:type="spellEnd"/>
            <w:r w:rsidRPr="0060721D">
              <w:rPr>
                <w:rFonts w:ascii="Times New Roman" w:hAnsi="Times New Roman"/>
              </w:rPr>
              <w:t xml:space="preserve"> </w:t>
            </w:r>
            <w:proofErr w:type="spellStart"/>
            <w:r w:rsidRPr="0060721D">
              <w:rPr>
                <w:rFonts w:ascii="Times New Roman" w:hAnsi="Times New Roman"/>
              </w:rPr>
              <w:t>îngrășăminte</w:t>
            </w:r>
            <w:proofErr w:type="spellEnd"/>
            <w:r w:rsidRPr="0060721D">
              <w:rPr>
                <w:rFonts w:ascii="Times New Roman" w:hAnsi="Times New Roman"/>
              </w:rPr>
              <w:t xml:space="preserve"> </w:t>
            </w:r>
            <w:proofErr w:type="spellStart"/>
            <w:r w:rsidRPr="0060721D">
              <w:rPr>
                <w:rFonts w:ascii="Times New Roman" w:hAnsi="Times New Roman"/>
              </w:rPr>
              <w:t>minerale</w:t>
            </w:r>
            <w:proofErr w:type="spellEnd"/>
            <w:r w:rsidRPr="0060721D">
              <w:rPr>
                <w:rFonts w:ascii="Times New Roman" w:hAnsi="Times New Roman"/>
              </w:rPr>
              <w:t xml:space="preserve"> cu un </w:t>
            </w:r>
            <w:proofErr w:type="spellStart"/>
            <w:r w:rsidRPr="0060721D">
              <w:rPr>
                <w:rFonts w:ascii="Times New Roman" w:hAnsi="Times New Roman"/>
              </w:rPr>
              <w:t>anumit</w:t>
            </w:r>
            <w:proofErr w:type="spellEnd"/>
            <w:r w:rsidRPr="0060721D">
              <w:rPr>
                <w:rFonts w:ascii="Times New Roman" w:hAnsi="Times New Roman"/>
              </w:rPr>
              <w:t xml:space="preserve"> grad de </w:t>
            </w:r>
            <w:proofErr w:type="spellStart"/>
            <w:r w:rsidRPr="0060721D">
              <w:rPr>
                <w:rFonts w:ascii="Times New Roman" w:hAnsi="Times New Roman"/>
              </w:rPr>
              <w:t>solubilitate</w:t>
            </w:r>
            <w:proofErr w:type="spellEnd"/>
            <w:r w:rsidRPr="0060721D">
              <w:rPr>
                <w:rFonts w:ascii="Times New Roman" w:hAnsi="Times New Roman"/>
              </w:rPr>
              <w:t xml:space="preserve">, </w:t>
            </w:r>
            <w:proofErr w:type="spellStart"/>
            <w:r w:rsidRPr="0060721D">
              <w:rPr>
                <w:rFonts w:ascii="Times New Roman" w:hAnsi="Times New Roman"/>
              </w:rPr>
              <w:t>alături</w:t>
            </w:r>
            <w:proofErr w:type="spellEnd"/>
            <w:r w:rsidRPr="0060721D">
              <w:rPr>
                <w:rFonts w:ascii="Times New Roman" w:hAnsi="Times New Roman"/>
              </w:rPr>
              <w:t xml:space="preserve"> de </w:t>
            </w:r>
            <w:proofErr w:type="spellStart"/>
            <w:r w:rsidRPr="0060721D">
              <w:rPr>
                <w:rFonts w:ascii="Times New Roman" w:hAnsi="Times New Roman"/>
              </w:rPr>
              <w:t>îngrășămintele</w:t>
            </w:r>
            <w:proofErr w:type="spellEnd"/>
            <w:r w:rsidRPr="0060721D">
              <w:rPr>
                <w:rFonts w:ascii="Times New Roman" w:hAnsi="Times New Roman"/>
              </w:rPr>
              <w:t xml:space="preserve"> </w:t>
            </w:r>
            <w:proofErr w:type="spellStart"/>
            <w:r w:rsidRPr="0060721D">
              <w:rPr>
                <w:rFonts w:ascii="Times New Roman" w:hAnsi="Times New Roman"/>
              </w:rPr>
              <w:t>foliare</w:t>
            </w:r>
            <w:proofErr w:type="spellEnd"/>
            <w:r w:rsidRPr="0060721D">
              <w:rPr>
                <w:rFonts w:ascii="Times New Roman" w:hAnsi="Times New Roman"/>
              </w:rPr>
              <w:t xml:space="preserve">. </w:t>
            </w:r>
            <w:proofErr w:type="spellStart"/>
            <w:r w:rsidRPr="0060721D">
              <w:rPr>
                <w:rFonts w:ascii="Times New Roman" w:hAnsi="Times New Roman"/>
              </w:rPr>
              <w:t>Avantajele</w:t>
            </w:r>
            <w:proofErr w:type="spellEnd"/>
            <w:r w:rsidRPr="0060721D">
              <w:rPr>
                <w:rFonts w:ascii="Times New Roman" w:hAnsi="Times New Roman"/>
              </w:rPr>
              <w:t xml:space="preserve"> </w:t>
            </w:r>
            <w:proofErr w:type="spellStart"/>
            <w:r w:rsidRPr="0060721D">
              <w:rPr>
                <w:rFonts w:ascii="Times New Roman" w:hAnsi="Times New Roman"/>
              </w:rPr>
              <w:t>tehnologiei</w:t>
            </w:r>
            <w:proofErr w:type="spellEnd"/>
            <w:r w:rsidRPr="0060721D">
              <w:rPr>
                <w:rFonts w:ascii="Times New Roman" w:hAnsi="Times New Roman"/>
              </w:rPr>
              <w:t xml:space="preserve"> no-till se </w:t>
            </w:r>
            <w:proofErr w:type="spellStart"/>
            <w:r w:rsidRPr="0060721D">
              <w:rPr>
                <w:rFonts w:ascii="Times New Roman" w:hAnsi="Times New Roman"/>
              </w:rPr>
              <w:t>referă</w:t>
            </w:r>
            <w:proofErr w:type="spellEnd"/>
            <w:r w:rsidRPr="0060721D">
              <w:rPr>
                <w:rFonts w:ascii="Times New Roman" w:hAnsi="Times New Roman"/>
              </w:rPr>
              <w:t xml:space="preserve"> la: </w:t>
            </w:r>
            <w:proofErr w:type="spellStart"/>
            <w:r w:rsidRPr="0060721D">
              <w:rPr>
                <w:rFonts w:ascii="Times New Roman" w:hAnsi="Times New Roman"/>
              </w:rPr>
              <w:t>reducerea</w:t>
            </w:r>
            <w:proofErr w:type="spellEnd"/>
            <w:r w:rsidRPr="0060721D">
              <w:rPr>
                <w:rFonts w:ascii="Times New Roman" w:hAnsi="Times New Roman"/>
              </w:rPr>
              <w:t xml:space="preserve"> </w:t>
            </w:r>
            <w:proofErr w:type="spellStart"/>
            <w:r w:rsidRPr="0060721D">
              <w:rPr>
                <w:rFonts w:ascii="Times New Roman" w:hAnsi="Times New Roman"/>
              </w:rPr>
              <w:t>până</w:t>
            </w:r>
            <w:proofErr w:type="spellEnd"/>
            <w:r w:rsidRPr="0060721D">
              <w:rPr>
                <w:rFonts w:ascii="Times New Roman" w:hAnsi="Times New Roman"/>
              </w:rPr>
              <w:t xml:space="preserve"> la zero a </w:t>
            </w:r>
            <w:proofErr w:type="spellStart"/>
            <w:r w:rsidRPr="0060721D">
              <w:rPr>
                <w:rFonts w:ascii="Times New Roman" w:hAnsi="Times New Roman"/>
              </w:rPr>
              <w:t>lucrărilor</w:t>
            </w:r>
            <w:proofErr w:type="spellEnd"/>
            <w:r w:rsidRPr="0060721D">
              <w:rPr>
                <w:rFonts w:ascii="Times New Roman" w:hAnsi="Times New Roman"/>
              </w:rPr>
              <w:t xml:space="preserve"> </w:t>
            </w:r>
            <w:proofErr w:type="spellStart"/>
            <w:r w:rsidRPr="0060721D">
              <w:rPr>
                <w:rFonts w:ascii="Times New Roman" w:hAnsi="Times New Roman"/>
              </w:rPr>
              <w:t>şi</w:t>
            </w:r>
            <w:proofErr w:type="spellEnd"/>
            <w:r w:rsidRPr="0060721D">
              <w:rPr>
                <w:rFonts w:ascii="Times New Roman" w:hAnsi="Times New Roman"/>
              </w:rPr>
              <w:t xml:space="preserve"> </w:t>
            </w:r>
            <w:proofErr w:type="spellStart"/>
            <w:r w:rsidRPr="0060721D">
              <w:rPr>
                <w:rFonts w:ascii="Times New Roman" w:hAnsi="Times New Roman"/>
              </w:rPr>
              <w:t>perturbării</w:t>
            </w:r>
            <w:proofErr w:type="spellEnd"/>
            <w:r w:rsidRPr="0060721D">
              <w:rPr>
                <w:rFonts w:ascii="Times New Roman" w:hAnsi="Times New Roman"/>
              </w:rPr>
              <w:t xml:space="preserve"> </w:t>
            </w:r>
            <w:proofErr w:type="spellStart"/>
            <w:r w:rsidRPr="0060721D">
              <w:rPr>
                <w:rFonts w:ascii="Times New Roman" w:hAnsi="Times New Roman"/>
              </w:rPr>
              <w:t>stratului</w:t>
            </w:r>
            <w:proofErr w:type="spellEnd"/>
            <w:r w:rsidRPr="0060721D">
              <w:rPr>
                <w:rFonts w:ascii="Times New Roman" w:hAnsi="Times New Roman"/>
              </w:rPr>
              <w:t xml:space="preserve"> superior al </w:t>
            </w:r>
            <w:proofErr w:type="spellStart"/>
            <w:r w:rsidRPr="0060721D">
              <w:rPr>
                <w:rFonts w:ascii="Times New Roman" w:hAnsi="Times New Roman"/>
              </w:rPr>
              <w:t>solului</w:t>
            </w:r>
            <w:proofErr w:type="spellEnd"/>
            <w:r w:rsidRPr="0060721D">
              <w:rPr>
                <w:rFonts w:ascii="Times New Roman" w:hAnsi="Times New Roman"/>
              </w:rPr>
              <w:t xml:space="preserve">; </w:t>
            </w:r>
            <w:proofErr w:type="spellStart"/>
            <w:r w:rsidRPr="0060721D">
              <w:rPr>
                <w:rFonts w:ascii="Times New Roman" w:hAnsi="Times New Roman"/>
              </w:rPr>
              <w:t>reducerea</w:t>
            </w:r>
            <w:proofErr w:type="spellEnd"/>
            <w:r w:rsidRPr="0060721D">
              <w:rPr>
                <w:rFonts w:ascii="Times New Roman" w:hAnsi="Times New Roman"/>
              </w:rPr>
              <w:t xml:space="preserve"> la minimum a </w:t>
            </w:r>
            <w:proofErr w:type="spellStart"/>
            <w:r w:rsidRPr="0060721D">
              <w:rPr>
                <w:rFonts w:ascii="Times New Roman" w:hAnsi="Times New Roman"/>
              </w:rPr>
              <w:t>trecerilor</w:t>
            </w:r>
            <w:proofErr w:type="spellEnd"/>
            <w:r w:rsidRPr="0060721D">
              <w:rPr>
                <w:rFonts w:ascii="Times New Roman" w:hAnsi="Times New Roman"/>
              </w:rPr>
              <w:t xml:space="preserve"> pe </w:t>
            </w:r>
            <w:proofErr w:type="spellStart"/>
            <w:r w:rsidRPr="0060721D">
              <w:rPr>
                <w:rFonts w:ascii="Times New Roman" w:hAnsi="Times New Roman"/>
              </w:rPr>
              <w:t>teren</w:t>
            </w:r>
            <w:proofErr w:type="spellEnd"/>
            <w:r w:rsidRPr="0060721D">
              <w:rPr>
                <w:rFonts w:ascii="Times New Roman" w:hAnsi="Times New Roman"/>
              </w:rPr>
              <w:t xml:space="preserve"> </w:t>
            </w:r>
            <w:proofErr w:type="spellStart"/>
            <w:r w:rsidRPr="0060721D">
              <w:rPr>
                <w:rFonts w:ascii="Times New Roman" w:hAnsi="Times New Roman"/>
              </w:rPr>
              <w:t>şi</w:t>
            </w:r>
            <w:proofErr w:type="spellEnd"/>
            <w:r w:rsidRPr="0060721D">
              <w:rPr>
                <w:rFonts w:ascii="Times New Roman" w:hAnsi="Times New Roman"/>
              </w:rPr>
              <w:t xml:space="preserve"> a </w:t>
            </w:r>
            <w:proofErr w:type="spellStart"/>
            <w:r w:rsidRPr="0060721D">
              <w:rPr>
                <w:rFonts w:ascii="Times New Roman" w:hAnsi="Times New Roman"/>
              </w:rPr>
              <w:t>presiunilor</w:t>
            </w:r>
            <w:proofErr w:type="spellEnd"/>
            <w:r w:rsidRPr="0060721D">
              <w:rPr>
                <w:rFonts w:ascii="Times New Roman" w:hAnsi="Times New Roman"/>
              </w:rPr>
              <w:t xml:space="preserve"> </w:t>
            </w:r>
            <w:proofErr w:type="spellStart"/>
            <w:r w:rsidRPr="0060721D">
              <w:rPr>
                <w:rFonts w:ascii="Times New Roman" w:hAnsi="Times New Roman"/>
              </w:rPr>
              <w:t>mecanice</w:t>
            </w:r>
            <w:proofErr w:type="spellEnd"/>
            <w:r w:rsidRPr="0060721D">
              <w:rPr>
                <w:rFonts w:ascii="Times New Roman" w:hAnsi="Times New Roman"/>
              </w:rPr>
              <w:t xml:space="preserve"> </w:t>
            </w:r>
            <w:proofErr w:type="spellStart"/>
            <w:r w:rsidRPr="0060721D">
              <w:rPr>
                <w:rFonts w:ascii="Times New Roman" w:hAnsi="Times New Roman"/>
              </w:rPr>
              <w:t>asupra</w:t>
            </w:r>
            <w:proofErr w:type="spellEnd"/>
            <w:r w:rsidRPr="0060721D">
              <w:rPr>
                <w:rFonts w:ascii="Times New Roman" w:hAnsi="Times New Roman"/>
              </w:rPr>
              <w:t xml:space="preserve"> </w:t>
            </w:r>
            <w:proofErr w:type="spellStart"/>
            <w:r w:rsidRPr="0060721D">
              <w:rPr>
                <w:rFonts w:ascii="Times New Roman" w:hAnsi="Times New Roman"/>
              </w:rPr>
              <w:t>solului</w:t>
            </w:r>
            <w:proofErr w:type="spellEnd"/>
            <w:r w:rsidRPr="0060721D">
              <w:rPr>
                <w:rFonts w:ascii="Times New Roman" w:hAnsi="Times New Roman"/>
              </w:rPr>
              <w:t xml:space="preserve">; conduce la </w:t>
            </w:r>
            <w:proofErr w:type="spellStart"/>
            <w:r w:rsidRPr="0060721D">
              <w:rPr>
                <w:rFonts w:ascii="Times New Roman" w:hAnsi="Times New Roman"/>
              </w:rPr>
              <w:t>stimularea</w:t>
            </w:r>
            <w:proofErr w:type="spellEnd"/>
            <w:r w:rsidRPr="0060721D">
              <w:rPr>
                <w:rFonts w:ascii="Times New Roman" w:hAnsi="Times New Roman"/>
              </w:rPr>
              <w:t xml:space="preserve"> </w:t>
            </w:r>
            <w:proofErr w:type="spellStart"/>
            <w:r w:rsidRPr="0060721D">
              <w:rPr>
                <w:rFonts w:ascii="Times New Roman" w:hAnsi="Times New Roman"/>
              </w:rPr>
              <w:t>proceselor</w:t>
            </w:r>
            <w:proofErr w:type="spellEnd"/>
            <w:r w:rsidRPr="0060721D">
              <w:rPr>
                <w:rFonts w:ascii="Times New Roman" w:hAnsi="Times New Roman"/>
              </w:rPr>
              <w:t xml:space="preserve"> </w:t>
            </w:r>
            <w:proofErr w:type="spellStart"/>
            <w:r w:rsidRPr="0060721D">
              <w:rPr>
                <w:rFonts w:ascii="Times New Roman" w:hAnsi="Times New Roman"/>
              </w:rPr>
              <w:t>biologice</w:t>
            </w:r>
            <w:proofErr w:type="spellEnd"/>
            <w:r w:rsidRPr="0060721D">
              <w:rPr>
                <w:rFonts w:ascii="Times New Roman" w:hAnsi="Times New Roman"/>
              </w:rPr>
              <w:t xml:space="preserve"> </w:t>
            </w:r>
            <w:proofErr w:type="spellStart"/>
            <w:r w:rsidRPr="0060721D">
              <w:rPr>
                <w:rFonts w:ascii="Times New Roman" w:hAnsi="Times New Roman"/>
              </w:rPr>
              <w:t>responsabile</w:t>
            </w:r>
            <w:proofErr w:type="spellEnd"/>
            <w:r w:rsidRPr="0060721D">
              <w:rPr>
                <w:rFonts w:ascii="Times New Roman" w:hAnsi="Times New Roman"/>
              </w:rPr>
              <w:t xml:space="preserve"> de </w:t>
            </w:r>
            <w:proofErr w:type="spellStart"/>
            <w:r w:rsidRPr="0060721D">
              <w:rPr>
                <w:rFonts w:ascii="Times New Roman" w:hAnsi="Times New Roman"/>
              </w:rPr>
              <w:t>afânarea</w:t>
            </w:r>
            <w:proofErr w:type="spellEnd"/>
            <w:r w:rsidRPr="0060721D">
              <w:rPr>
                <w:rFonts w:ascii="Times New Roman" w:hAnsi="Times New Roman"/>
              </w:rPr>
              <w:t xml:space="preserve"> </w:t>
            </w:r>
            <w:proofErr w:type="spellStart"/>
            <w:r w:rsidRPr="0060721D">
              <w:rPr>
                <w:rFonts w:ascii="Times New Roman" w:hAnsi="Times New Roman"/>
              </w:rPr>
              <w:t>şi</w:t>
            </w:r>
            <w:proofErr w:type="spellEnd"/>
            <w:r w:rsidRPr="0060721D">
              <w:rPr>
                <w:rFonts w:ascii="Times New Roman" w:hAnsi="Times New Roman"/>
              </w:rPr>
              <w:t xml:space="preserve"> </w:t>
            </w:r>
            <w:proofErr w:type="spellStart"/>
            <w:r w:rsidRPr="0060721D">
              <w:rPr>
                <w:rFonts w:ascii="Times New Roman" w:hAnsi="Times New Roman"/>
              </w:rPr>
              <w:t>structurarea</w:t>
            </w:r>
            <w:proofErr w:type="spellEnd"/>
            <w:r w:rsidRPr="0060721D">
              <w:rPr>
                <w:rFonts w:ascii="Times New Roman" w:hAnsi="Times New Roman"/>
              </w:rPr>
              <w:t xml:space="preserve"> </w:t>
            </w:r>
            <w:proofErr w:type="spellStart"/>
            <w:r w:rsidRPr="0060721D">
              <w:rPr>
                <w:rFonts w:ascii="Times New Roman" w:hAnsi="Times New Roman"/>
              </w:rPr>
              <w:t>solului</w:t>
            </w:r>
            <w:proofErr w:type="spellEnd"/>
            <w:r w:rsidRPr="0060721D">
              <w:rPr>
                <w:rFonts w:ascii="Times New Roman" w:hAnsi="Times New Roman"/>
              </w:rPr>
              <w:t xml:space="preserve">, </w:t>
            </w:r>
            <w:proofErr w:type="spellStart"/>
            <w:r w:rsidRPr="0060721D">
              <w:rPr>
                <w:rFonts w:ascii="Times New Roman" w:hAnsi="Times New Roman"/>
              </w:rPr>
              <w:t>îmbogățirea</w:t>
            </w:r>
            <w:proofErr w:type="spellEnd"/>
            <w:r w:rsidRPr="0060721D">
              <w:rPr>
                <w:rFonts w:ascii="Times New Roman" w:hAnsi="Times New Roman"/>
              </w:rPr>
              <w:t xml:space="preserve"> </w:t>
            </w:r>
            <w:proofErr w:type="spellStart"/>
            <w:r w:rsidRPr="0060721D">
              <w:rPr>
                <w:rFonts w:ascii="Times New Roman" w:hAnsi="Times New Roman"/>
              </w:rPr>
              <w:t>stratului</w:t>
            </w:r>
            <w:proofErr w:type="spellEnd"/>
            <w:r w:rsidRPr="0060721D">
              <w:rPr>
                <w:rFonts w:ascii="Times New Roman" w:hAnsi="Times New Roman"/>
              </w:rPr>
              <w:t xml:space="preserve"> superior cu </w:t>
            </w:r>
            <w:proofErr w:type="spellStart"/>
            <w:r w:rsidRPr="0060721D">
              <w:rPr>
                <w:rFonts w:ascii="Times New Roman" w:hAnsi="Times New Roman"/>
              </w:rPr>
              <w:t>materie</w:t>
            </w:r>
            <w:proofErr w:type="spellEnd"/>
            <w:r w:rsidRPr="0060721D">
              <w:rPr>
                <w:rFonts w:ascii="Times New Roman" w:hAnsi="Times New Roman"/>
              </w:rPr>
              <w:t xml:space="preserve"> </w:t>
            </w:r>
            <w:proofErr w:type="spellStart"/>
            <w:r w:rsidRPr="0060721D">
              <w:rPr>
                <w:rFonts w:ascii="Times New Roman" w:hAnsi="Times New Roman"/>
              </w:rPr>
              <w:t>organică</w:t>
            </w:r>
            <w:proofErr w:type="spellEnd"/>
            <w:r w:rsidRPr="0060721D">
              <w:rPr>
                <w:rFonts w:ascii="Times New Roman" w:hAnsi="Times New Roman"/>
              </w:rPr>
              <w:t xml:space="preserve"> </w:t>
            </w:r>
            <w:proofErr w:type="spellStart"/>
            <w:r w:rsidRPr="0060721D">
              <w:rPr>
                <w:rFonts w:ascii="Times New Roman" w:hAnsi="Times New Roman"/>
              </w:rPr>
              <w:t>şi</w:t>
            </w:r>
            <w:proofErr w:type="spellEnd"/>
            <w:r w:rsidRPr="0060721D">
              <w:rPr>
                <w:rFonts w:ascii="Times New Roman" w:hAnsi="Times New Roman"/>
              </w:rPr>
              <w:t xml:space="preserve"> </w:t>
            </w:r>
            <w:proofErr w:type="spellStart"/>
            <w:r w:rsidRPr="0060721D">
              <w:rPr>
                <w:rFonts w:ascii="Times New Roman" w:hAnsi="Times New Roman"/>
              </w:rPr>
              <w:t>intensificarea</w:t>
            </w:r>
            <w:proofErr w:type="spellEnd"/>
            <w:r w:rsidRPr="0060721D">
              <w:rPr>
                <w:rFonts w:ascii="Times New Roman" w:hAnsi="Times New Roman"/>
              </w:rPr>
              <w:t xml:space="preserve"> </w:t>
            </w:r>
            <w:proofErr w:type="spellStart"/>
            <w:r w:rsidRPr="0060721D">
              <w:rPr>
                <w:rFonts w:ascii="Times New Roman" w:hAnsi="Times New Roman"/>
              </w:rPr>
              <w:t>proceselor</w:t>
            </w:r>
            <w:proofErr w:type="spellEnd"/>
            <w:r w:rsidRPr="0060721D">
              <w:rPr>
                <w:rFonts w:ascii="Times New Roman" w:hAnsi="Times New Roman"/>
              </w:rPr>
              <w:t xml:space="preserve"> de </w:t>
            </w:r>
            <w:proofErr w:type="spellStart"/>
            <w:r w:rsidRPr="0060721D">
              <w:rPr>
                <w:rFonts w:ascii="Times New Roman" w:hAnsi="Times New Roman"/>
              </w:rPr>
              <w:t>formare</w:t>
            </w:r>
            <w:proofErr w:type="spellEnd"/>
            <w:r w:rsidRPr="0060721D">
              <w:rPr>
                <w:rFonts w:ascii="Times New Roman" w:hAnsi="Times New Roman"/>
              </w:rPr>
              <w:t xml:space="preserve"> </w:t>
            </w:r>
            <w:proofErr w:type="spellStart"/>
            <w:r w:rsidRPr="0060721D">
              <w:rPr>
                <w:rFonts w:ascii="Times New Roman" w:hAnsi="Times New Roman"/>
              </w:rPr>
              <w:t>şi</w:t>
            </w:r>
            <w:proofErr w:type="spellEnd"/>
            <w:r w:rsidRPr="0060721D">
              <w:rPr>
                <w:rFonts w:ascii="Times New Roman" w:hAnsi="Times New Roman"/>
              </w:rPr>
              <w:t xml:space="preserve"> </w:t>
            </w:r>
            <w:proofErr w:type="spellStart"/>
            <w:r w:rsidRPr="0060721D">
              <w:rPr>
                <w:rFonts w:ascii="Times New Roman" w:hAnsi="Times New Roman"/>
              </w:rPr>
              <w:t>acumulare</w:t>
            </w:r>
            <w:proofErr w:type="spellEnd"/>
            <w:r w:rsidRPr="0060721D">
              <w:rPr>
                <w:rFonts w:ascii="Times New Roman" w:hAnsi="Times New Roman"/>
              </w:rPr>
              <w:t xml:space="preserve"> </w:t>
            </w:r>
            <w:r w:rsidRPr="0060721D">
              <w:rPr>
                <w:rFonts w:ascii="Times New Roman" w:hAnsi="Times New Roman"/>
              </w:rPr>
              <w:lastRenderedPageBreak/>
              <w:t xml:space="preserve">a </w:t>
            </w:r>
            <w:proofErr w:type="spellStart"/>
            <w:r w:rsidRPr="0060721D">
              <w:rPr>
                <w:rFonts w:ascii="Times New Roman" w:hAnsi="Times New Roman"/>
              </w:rPr>
              <w:t>humusului</w:t>
            </w:r>
            <w:proofErr w:type="spellEnd"/>
            <w:r w:rsidRPr="0060721D">
              <w:rPr>
                <w:rFonts w:ascii="Times New Roman" w:hAnsi="Times New Roman"/>
              </w:rPr>
              <w:t xml:space="preserve">, </w:t>
            </w:r>
            <w:proofErr w:type="spellStart"/>
            <w:r w:rsidRPr="0060721D">
              <w:rPr>
                <w:rFonts w:ascii="Times New Roman" w:hAnsi="Times New Roman"/>
              </w:rPr>
              <w:t>consumuri</w:t>
            </w:r>
            <w:proofErr w:type="spellEnd"/>
            <w:r w:rsidRPr="0060721D">
              <w:rPr>
                <w:rFonts w:ascii="Times New Roman" w:hAnsi="Times New Roman"/>
              </w:rPr>
              <w:t xml:space="preserve"> de </w:t>
            </w:r>
            <w:proofErr w:type="spellStart"/>
            <w:r w:rsidRPr="0060721D">
              <w:rPr>
                <w:rFonts w:ascii="Times New Roman" w:hAnsi="Times New Roman"/>
              </w:rPr>
              <w:t>carburanți</w:t>
            </w:r>
            <w:proofErr w:type="spellEnd"/>
            <w:r w:rsidRPr="0060721D">
              <w:rPr>
                <w:rFonts w:ascii="Times New Roman" w:hAnsi="Times New Roman"/>
              </w:rPr>
              <w:t xml:space="preserve"> </w:t>
            </w:r>
            <w:proofErr w:type="spellStart"/>
            <w:r w:rsidRPr="0060721D">
              <w:rPr>
                <w:rFonts w:ascii="Times New Roman" w:hAnsi="Times New Roman"/>
              </w:rPr>
              <w:t>mai</w:t>
            </w:r>
            <w:proofErr w:type="spellEnd"/>
            <w:r w:rsidRPr="0060721D">
              <w:rPr>
                <w:rFonts w:ascii="Times New Roman" w:hAnsi="Times New Roman"/>
              </w:rPr>
              <w:t xml:space="preserve"> </w:t>
            </w:r>
            <w:proofErr w:type="spellStart"/>
            <w:r w:rsidRPr="0060721D">
              <w:rPr>
                <w:rFonts w:ascii="Times New Roman" w:hAnsi="Times New Roman"/>
              </w:rPr>
              <w:t>mici</w:t>
            </w:r>
            <w:proofErr w:type="spellEnd"/>
            <w:r w:rsidRPr="0060721D">
              <w:rPr>
                <w:rFonts w:ascii="Times New Roman" w:hAnsi="Times New Roman"/>
              </w:rPr>
              <w:t xml:space="preserve">;  </w:t>
            </w:r>
            <w:proofErr w:type="spellStart"/>
            <w:r w:rsidRPr="0060721D">
              <w:rPr>
                <w:rFonts w:ascii="Times New Roman" w:hAnsi="Times New Roman"/>
              </w:rPr>
              <w:t>implicarea</w:t>
            </w:r>
            <w:proofErr w:type="spellEnd"/>
            <w:r w:rsidRPr="0060721D">
              <w:rPr>
                <w:rFonts w:ascii="Times New Roman" w:hAnsi="Times New Roman"/>
              </w:rPr>
              <w:t xml:space="preserve"> </w:t>
            </w:r>
            <w:proofErr w:type="spellStart"/>
            <w:r w:rsidRPr="0060721D">
              <w:rPr>
                <w:rFonts w:ascii="Times New Roman" w:hAnsi="Times New Roman"/>
              </w:rPr>
              <w:t>unui</w:t>
            </w:r>
            <w:proofErr w:type="spellEnd"/>
            <w:r w:rsidRPr="0060721D">
              <w:rPr>
                <w:rFonts w:ascii="Times New Roman" w:hAnsi="Times New Roman"/>
              </w:rPr>
              <w:t xml:space="preserve"> </w:t>
            </w:r>
            <w:proofErr w:type="spellStart"/>
            <w:r w:rsidRPr="0060721D">
              <w:rPr>
                <w:rFonts w:ascii="Times New Roman" w:hAnsi="Times New Roman"/>
              </w:rPr>
              <w:t>volum</w:t>
            </w:r>
            <w:proofErr w:type="spellEnd"/>
            <w:r w:rsidRPr="0060721D">
              <w:rPr>
                <w:rFonts w:ascii="Times New Roman" w:hAnsi="Times New Roman"/>
              </w:rPr>
              <w:t xml:space="preserve"> de </w:t>
            </w:r>
            <w:proofErr w:type="spellStart"/>
            <w:r w:rsidRPr="0060721D">
              <w:rPr>
                <w:rFonts w:ascii="Times New Roman" w:hAnsi="Times New Roman"/>
              </w:rPr>
              <w:t>forță</w:t>
            </w:r>
            <w:proofErr w:type="spellEnd"/>
            <w:r w:rsidRPr="0060721D">
              <w:rPr>
                <w:rFonts w:ascii="Times New Roman" w:hAnsi="Times New Roman"/>
              </w:rPr>
              <w:t xml:space="preserve"> de </w:t>
            </w:r>
            <w:proofErr w:type="spellStart"/>
            <w:r w:rsidRPr="0060721D">
              <w:rPr>
                <w:rFonts w:ascii="Times New Roman" w:hAnsi="Times New Roman"/>
              </w:rPr>
              <w:t>muncă</w:t>
            </w:r>
            <w:proofErr w:type="spellEnd"/>
            <w:r w:rsidRPr="0060721D">
              <w:rPr>
                <w:rFonts w:ascii="Times New Roman" w:hAnsi="Times New Roman"/>
              </w:rPr>
              <w:t xml:space="preserve"> </w:t>
            </w:r>
            <w:proofErr w:type="spellStart"/>
            <w:r w:rsidRPr="0060721D">
              <w:rPr>
                <w:rFonts w:ascii="Times New Roman" w:hAnsi="Times New Roman"/>
              </w:rPr>
              <w:t>mai</w:t>
            </w:r>
            <w:proofErr w:type="spellEnd"/>
            <w:r w:rsidRPr="0060721D">
              <w:rPr>
                <w:rFonts w:ascii="Times New Roman" w:hAnsi="Times New Roman"/>
              </w:rPr>
              <w:t xml:space="preserve"> </w:t>
            </w:r>
            <w:proofErr w:type="spellStart"/>
            <w:r w:rsidRPr="0060721D">
              <w:rPr>
                <w:rFonts w:ascii="Times New Roman" w:hAnsi="Times New Roman"/>
              </w:rPr>
              <w:t>mică</w:t>
            </w:r>
            <w:proofErr w:type="spellEnd"/>
            <w:r w:rsidRPr="0060721D">
              <w:rPr>
                <w:rFonts w:ascii="Times New Roman" w:hAnsi="Times New Roman"/>
              </w:rPr>
              <w:t xml:space="preserve">, etc. </w:t>
            </w:r>
            <w:proofErr w:type="spellStart"/>
            <w:r w:rsidRPr="0060721D">
              <w:rPr>
                <w:rFonts w:ascii="Times New Roman" w:hAnsi="Times New Roman"/>
              </w:rPr>
              <w:t>Prin</w:t>
            </w:r>
            <w:proofErr w:type="spellEnd"/>
            <w:r w:rsidRPr="0060721D">
              <w:rPr>
                <w:rFonts w:ascii="Times New Roman" w:hAnsi="Times New Roman"/>
              </w:rPr>
              <w:t xml:space="preserve"> </w:t>
            </w:r>
            <w:proofErr w:type="spellStart"/>
            <w:r w:rsidRPr="0060721D">
              <w:rPr>
                <w:rFonts w:ascii="Times New Roman" w:hAnsi="Times New Roman"/>
              </w:rPr>
              <w:t>aplicarea</w:t>
            </w:r>
            <w:proofErr w:type="spellEnd"/>
            <w:r w:rsidRPr="0060721D">
              <w:rPr>
                <w:rFonts w:ascii="Times New Roman" w:hAnsi="Times New Roman"/>
              </w:rPr>
              <w:t xml:space="preserve"> </w:t>
            </w:r>
            <w:proofErr w:type="spellStart"/>
            <w:r w:rsidRPr="0060721D">
              <w:rPr>
                <w:rFonts w:ascii="Times New Roman" w:hAnsi="Times New Roman"/>
              </w:rPr>
              <w:t>măsurilor</w:t>
            </w:r>
            <w:proofErr w:type="spellEnd"/>
            <w:r w:rsidRPr="0060721D">
              <w:rPr>
                <w:rFonts w:ascii="Times New Roman" w:hAnsi="Times New Roman"/>
              </w:rPr>
              <w:t xml:space="preserve"> enumerate </w:t>
            </w:r>
            <w:proofErr w:type="spellStart"/>
            <w:r w:rsidRPr="0060721D">
              <w:rPr>
                <w:rFonts w:ascii="Times New Roman" w:hAnsi="Times New Roman"/>
              </w:rPr>
              <w:t>mai</w:t>
            </w:r>
            <w:proofErr w:type="spellEnd"/>
            <w:r w:rsidRPr="0060721D">
              <w:rPr>
                <w:rFonts w:ascii="Times New Roman" w:hAnsi="Times New Roman"/>
              </w:rPr>
              <w:t xml:space="preserve"> sus, </w:t>
            </w:r>
            <w:proofErr w:type="spellStart"/>
            <w:r w:rsidRPr="0060721D">
              <w:rPr>
                <w:rFonts w:ascii="Times New Roman" w:hAnsi="Times New Roman"/>
              </w:rPr>
              <w:t>emisiile</w:t>
            </w:r>
            <w:proofErr w:type="spellEnd"/>
            <w:r w:rsidRPr="0060721D">
              <w:rPr>
                <w:rFonts w:ascii="Times New Roman" w:hAnsi="Times New Roman"/>
              </w:rPr>
              <w:t xml:space="preserve"> de GES se </w:t>
            </w:r>
            <w:proofErr w:type="spellStart"/>
            <w:r w:rsidRPr="0060721D">
              <w:rPr>
                <w:rFonts w:ascii="Times New Roman" w:hAnsi="Times New Roman"/>
              </w:rPr>
              <w:t>vor</w:t>
            </w:r>
            <w:proofErr w:type="spellEnd"/>
            <w:r w:rsidRPr="0060721D">
              <w:rPr>
                <w:rFonts w:ascii="Times New Roman" w:hAnsi="Times New Roman"/>
              </w:rPr>
              <w:t xml:space="preserve"> reduce </w:t>
            </w:r>
            <w:proofErr w:type="spellStart"/>
            <w:r w:rsidRPr="0060721D">
              <w:rPr>
                <w:rFonts w:ascii="Times New Roman" w:hAnsi="Times New Roman"/>
              </w:rPr>
              <w:t>anual</w:t>
            </w:r>
            <w:proofErr w:type="spellEnd"/>
            <w:r w:rsidRPr="0060721D">
              <w:rPr>
                <w:rFonts w:ascii="Times New Roman" w:hAnsi="Times New Roman"/>
              </w:rPr>
              <w:t xml:space="preserve"> cu circa 4.6 tone CO2 </w:t>
            </w:r>
            <w:proofErr w:type="spellStart"/>
            <w:r w:rsidRPr="0060721D">
              <w:rPr>
                <w:rFonts w:ascii="Times New Roman" w:hAnsi="Times New Roman"/>
              </w:rPr>
              <w:t>echivalent</w:t>
            </w:r>
            <w:proofErr w:type="spellEnd"/>
            <w:r w:rsidRPr="0060721D">
              <w:rPr>
                <w:rFonts w:ascii="Times New Roman" w:hAnsi="Times New Roman"/>
              </w:rPr>
              <w:t xml:space="preserve">/ha/an.                                                                </w:t>
            </w:r>
            <w:proofErr w:type="spellStart"/>
            <w:r w:rsidRPr="0060721D">
              <w:rPr>
                <w:rFonts w:ascii="Times New Roman" w:hAnsi="Times New Roman"/>
              </w:rPr>
              <w:t>Acţiunea</w:t>
            </w:r>
            <w:proofErr w:type="spellEnd"/>
            <w:r w:rsidRPr="0060721D">
              <w:rPr>
                <w:rFonts w:ascii="Times New Roman" w:hAnsi="Times New Roman"/>
              </w:rPr>
              <w:t xml:space="preserve"> </w:t>
            </w:r>
            <w:proofErr w:type="spellStart"/>
            <w:r w:rsidRPr="0060721D">
              <w:rPr>
                <w:rFonts w:ascii="Times New Roman" w:hAnsi="Times New Roman"/>
              </w:rPr>
              <w:t>este</w:t>
            </w:r>
            <w:proofErr w:type="spellEnd"/>
            <w:r w:rsidRPr="0060721D">
              <w:rPr>
                <w:rFonts w:ascii="Times New Roman" w:hAnsi="Times New Roman"/>
              </w:rPr>
              <w:t xml:space="preserve"> </w:t>
            </w:r>
            <w:proofErr w:type="spellStart"/>
            <w:r w:rsidRPr="0060721D">
              <w:rPr>
                <w:rFonts w:ascii="Times New Roman" w:hAnsi="Times New Roman"/>
              </w:rPr>
              <w:t>recomandată</w:t>
            </w:r>
            <w:proofErr w:type="spellEnd"/>
            <w:r w:rsidRPr="0060721D">
              <w:rPr>
                <w:rFonts w:ascii="Times New Roman" w:hAnsi="Times New Roman"/>
              </w:rPr>
              <w:t xml:space="preserve"> </w:t>
            </w:r>
            <w:proofErr w:type="spellStart"/>
            <w:r w:rsidRPr="0060721D">
              <w:rPr>
                <w:rFonts w:ascii="Times New Roman" w:hAnsi="Times New Roman"/>
              </w:rPr>
              <w:t>pentru</w:t>
            </w:r>
            <w:proofErr w:type="spellEnd"/>
            <w:r w:rsidRPr="0060721D">
              <w:rPr>
                <w:rFonts w:ascii="Times New Roman" w:hAnsi="Times New Roman"/>
              </w:rPr>
              <w:t xml:space="preserve"> </w:t>
            </w:r>
            <w:proofErr w:type="spellStart"/>
            <w:r w:rsidRPr="0060721D">
              <w:rPr>
                <w:rFonts w:ascii="Times New Roman" w:hAnsi="Times New Roman"/>
              </w:rPr>
              <w:t>raionul</w:t>
            </w:r>
            <w:proofErr w:type="spellEnd"/>
            <w:r w:rsidRPr="0060721D">
              <w:rPr>
                <w:rFonts w:ascii="Times New Roman" w:hAnsi="Times New Roman"/>
              </w:rPr>
              <w:t xml:space="preserve"> </w:t>
            </w:r>
            <w:proofErr w:type="spellStart"/>
            <w:r w:rsidRPr="0060721D">
              <w:rPr>
                <w:rFonts w:ascii="Times New Roman" w:hAnsi="Times New Roman"/>
              </w:rPr>
              <w:t>pedogeografic</w:t>
            </w:r>
            <w:proofErr w:type="spellEnd"/>
            <w:r w:rsidRPr="0060721D">
              <w:rPr>
                <w:rFonts w:ascii="Times New Roman" w:hAnsi="Times New Roman"/>
              </w:rPr>
              <w:t xml:space="preserve"> al </w:t>
            </w:r>
            <w:proofErr w:type="spellStart"/>
            <w:r w:rsidRPr="0060721D">
              <w:rPr>
                <w:rFonts w:ascii="Times New Roman" w:hAnsi="Times New Roman"/>
              </w:rPr>
              <w:t>cernoziomurilor</w:t>
            </w:r>
            <w:proofErr w:type="spellEnd"/>
            <w:r w:rsidRPr="0060721D">
              <w:rPr>
                <w:rFonts w:ascii="Times New Roman" w:hAnsi="Times New Roman"/>
              </w:rPr>
              <w:t xml:space="preserve"> </w:t>
            </w:r>
            <w:proofErr w:type="spellStart"/>
            <w:r w:rsidRPr="0060721D">
              <w:rPr>
                <w:rFonts w:ascii="Times New Roman" w:hAnsi="Times New Roman"/>
              </w:rPr>
              <w:t>tipice</w:t>
            </w:r>
            <w:proofErr w:type="spellEnd"/>
            <w:r w:rsidRPr="0060721D">
              <w:rPr>
                <w:rFonts w:ascii="Times New Roman" w:hAnsi="Times New Roman"/>
              </w:rPr>
              <w:t xml:space="preserve"> slab </w:t>
            </w:r>
            <w:proofErr w:type="spellStart"/>
            <w:r w:rsidRPr="0060721D">
              <w:rPr>
                <w:rFonts w:ascii="Times New Roman" w:hAnsi="Times New Roman"/>
              </w:rPr>
              <w:t>și</w:t>
            </w:r>
            <w:proofErr w:type="spellEnd"/>
            <w:r w:rsidRPr="0060721D">
              <w:rPr>
                <w:rFonts w:ascii="Times New Roman" w:hAnsi="Times New Roman"/>
              </w:rPr>
              <w:t xml:space="preserve"> </w:t>
            </w:r>
            <w:proofErr w:type="spellStart"/>
            <w:r w:rsidRPr="0060721D">
              <w:rPr>
                <w:rFonts w:ascii="Times New Roman" w:hAnsi="Times New Roman"/>
              </w:rPr>
              <w:t>moderat</w:t>
            </w:r>
            <w:proofErr w:type="spellEnd"/>
            <w:r w:rsidRPr="0060721D">
              <w:rPr>
                <w:rFonts w:ascii="Times New Roman" w:hAnsi="Times New Roman"/>
              </w:rPr>
              <w:t xml:space="preserve"> </w:t>
            </w:r>
            <w:proofErr w:type="spellStart"/>
            <w:r w:rsidRPr="0060721D">
              <w:rPr>
                <w:rFonts w:ascii="Times New Roman" w:hAnsi="Times New Roman"/>
              </w:rPr>
              <w:t>humifiere</w:t>
            </w:r>
            <w:proofErr w:type="spellEnd"/>
            <w:r w:rsidRPr="0060721D">
              <w:rPr>
                <w:rFonts w:ascii="Times New Roman" w:hAnsi="Times New Roman"/>
              </w:rPr>
              <w:t xml:space="preserve"> </w:t>
            </w:r>
            <w:proofErr w:type="spellStart"/>
            <w:r w:rsidRPr="0060721D">
              <w:rPr>
                <w:rFonts w:ascii="Times New Roman" w:hAnsi="Times New Roman"/>
              </w:rPr>
              <w:t>și</w:t>
            </w:r>
            <w:proofErr w:type="spellEnd"/>
            <w:r w:rsidRPr="0060721D">
              <w:rPr>
                <w:rFonts w:ascii="Times New Roman" w:hAnsi="Times New Roman"/>
              </w:rPr>
              <w:t xml:space="preserve"> levigate ale </w:t>
            </w:r>
            <w:proofErr w:type="spellStart"/>
            <w:r w:rsidRPr="0060721D">
              <w:rPr>
                <w:rFonts w:ascii="Times New Roman" w:hAnsi="Times New Roman"/>
              </w:rPr>
              <w:t>silvostepei</w:t>
            </w:r>
            <w:proofErr w:type="spellEnd"/>
            <w:r w:rsidRPr="0060721D">
              <w:rPr>
                <w:rFonts w:ascii="Times New Roman" w:hAnsi="Times New Roman"/>
              </w:rPr>
              <w:t xml:space="preserve"> </w:t>
            </w:r>
            <w:proofErr w:type="spellStart"/>
            <w:r w:rsidRPr="0060721D">
              <w:rPr>
                <w:rFonts w:ascii="Times New Roman" w:hAnsi="Times New Roman"/>
              </w:rPr>
              <w:t>xerofite</w:t>
            </w:r>
            <w:proofErr w:type="spellEnd"/>
            <w:r w:rsidRPr="0060721D">
              <w:rPr>
                <w:rFonts w:ascii="Times New Roman" w:hAnsi="Times New Roman"/>
              </w:rPr>
              <w:t xml:space="preserve"> a </w:t>
            </w:r>
            <w:proofErr w:type="spellStart"/>
            <w:r w:rsidRPr="0060721D">
              <w:rPr>
                <w:rFonts w:ascii="Times New Roman" w:hAnsi="Times New Roman"/>
              </w:rPr>
              <w:t>Câmpiei</w:t>
            </w:r>
            <w:proofErr w:type="spellEnd"/>
            <w:r w:rsidRPr="0060721D">
              <w:rPr>
                <w:rFonts w:ascii="Times New Roman" w:hAnsi="Times New Roman"/>
              </w:rPr>
              <w:t xml:space="preserve"> </w:t>
            </w:r>
            <w:proofErr w:type="spellStart"/>
            <w:r w:rsidRPr="0060721D">
              <w:rPr>
                <w:rFonts w:ascii="Times New Roman" w:hAnsi="Times New Roman"/>
              </w:rPr>
              <w:t>Moldovei</w:t>
            </w:r>
            <w:proofErr w:type="spellEnd"/>
            <w:r w:rsidRPr="0060721D">
              <w:rPr>
                <w:rFonts w:ascii="Times New Roman" w:hAnsi="Times New Roman"/>
              </w:rPr>
              <w:t xml:space="preserve"> de Sud, </w:t>
            </w:r>
            <w:proofErr w:type="spellStart"/>
            <w:r w:rsidRPr="0060721D">
              <w:rPr>
                <w:rFonts w:ascii="Times New Roman" w:hAnsi="Times New Roman"/>
              </w:rPr>
              <w:t>raionul</w:t>
            </w:r>
            <w:proofErr w:type="spellEnd"/>
            <w:r w:rsidRPr="0060721D">
              <w:rPr>
                <w:rFonts w:ascii="Times New Roman" w:hAnsi="Times New Roman"/>
              </w:rPr>
              <w:t xml:space="preserve"> </w:t>
            </w:r>
            <w:proofErr w:type="spellStart"/>
            <w:r w:rsidRPr="0060721D">
              <w:rPr>
                <w:rFonts w:ascii="Times New Roman" w:hAnsi="Times New Roman"/>
              </w:rPr>
              <w:t>cernoziomurilor</w:t>
            </w:r>
            <w:proofErr w:type="spellEnd"/>
            <w:r w:rsidRPr="0060721D">
              <w:rPr>
                <w:rFonts w:ascii="Times New Roman" w:hAnsi="Times New Roman"/>
              </w:rPr>
              <w:t xml:space="preserve"> </w:t>
            </w:r>
            <w:proofErr w:type="spellStart"/>
            <w:r w:rsidRPr="0060721D">
              <w:rPr>
                <w:rFonts w:ascii="Times New Roman" w:hAnsi="Times New Roman"/>
              </w:rPr>
              <w:t>tipice</w:t>
            </w:r>
            <w:proofErr w:type="spellEnd"/>
            <w:r w:rsidRPr="0060721D">
              <w:rPr>
                <w:rFonts w:ascii="Times New Roman" w:hAnsi="Times New Roman"/>
              </w:rPr>
              <w:t xml:space="preserve"> </w:t>
            </w:r>
            <w:proofErr w:type="spellStart"/>
            <w:r w:rsidRPr="0060721D">
              <w:rPr>
                <w:rFonts w:ascii="Times New Roman" w:hAnsi="Times New Roman"/>
              </w:rPr>
              <w:t>moderat</w:t>
            </w:r>
            <w:proofErr w:type="spellEnd"/>
            <w:r w:rsidRPr="0060721D">
              <w:rPr>
                <w:rFonts w:ascii="Times New Roman" w:hAnsi="Times New Roman"/>
              </w:rPr>
              <w:t xml:space="preserve"> </w:t>
            </w:r>
            <w:proofErr w:type="spellStart"/>
            <w:r w:rsidRPr="0060721D">
              <w:rPr>
                <w:rFonts w:ascii="Times New Roman" w:hAnsi="Times New Roman"/>
              </w:rPr>
              <w:t>și</w:t>
            </w:r>
            <w:proofErr w:type="spellEnd"/>
            <w:r w:rsidRPr="0060721D">
              <w:rPr>
                <w:rFonts w:ascii="Times New Roman" w:hAnsi="Times New Roman"/>
              </w:rPr>
              <w:t xml:space="preserve"> slab </w:t>
            </w:r>
            <w:proofErr w:type="spellStart"/>
            <w:r w:rsidRPr="0060721D">
              <w:rPr>
                <w:rFonts w:ascii="Times New Roman" w:hAnsi="Times New Roman"/>
              </w:rPr>
              <w:t>humifiere</w:t>
            </w:r>
            <w:proofErr w:type="spellEnd"/>
            <w:r w:rsidRPr="0060721D">
              <w:rPr>
                <w:rFonts w:ascii="Times New Roman" w:hAnsi="Times New Roman"/>
              </w:rPr>
              <w:t xml:space="preserve"> ale </w:t>
            </w:r>
            <w:proofErr w:type="spellStart"/>
            <w:r w:rsidRPr="0060721D">
              <w:rPr>
                <w:rFonts w:ascii="Times New Roman" w:hAnsi="Times New Roman"/>
              </w:rPr>
              <w:t>Dealurilor</w:t>
            </w:r>
            <w:proofErr w:type="spellEnd"/>
            <w:r w:rsidRPr="0060721D">
              <w:rPr>
                <w:rFonts w:ascii="Times New Roman" w:hAnsi="Times New Roman"/>
              </w:rPr>
              <w:t xml:space="preserve"> </w:t>
            </w:r>
            <w:proofErr w:type="spellStart"/>
            <w:r w:rsidRPr="0060721D">
              <w:rPr>
                <w:rFonts w:ascii="Times New Roman" w:hAnsi="Times New Roman"/>
              </w:rPr>
              <w:t>Priprutene</w:t>
            </w:r>
            <w:proofErr w:type="spellEnd"/>
            <w:r w:rsidRPr="0060721D">
              <w:rPr>
                <w:rFonts w:ascii="Times New Roman" w:hAnsi="Times New Roman"/>
              </w:rPr>
              <w:t xml:space="preserve">, </w:t>
            </w:r>
            <w:proofErr w:type="spellStart"/>
            <w:r w:rsidRPr="0060721D">
              <w:rPr>
                <w:rFonts w:ascii="Times New Roman" w:hAnsi="Times New Roman"/>
              </w:rPr>
              <w:t>raionul</w:t>
            </w:r>
            <w:proofErr w:type="spellEnd"/>
            <w:r w:rsidRPr="0060721D">
              <w:rPr>
                <w:rFonts w:ascii="Times New Roman" w:hAnsi="Times New Roman"/>
              </w:rPr>
              <w:t xml:space="preserve"> </w:t>
            </w:r>
            <w:proofErr w:type="spellStart"/>
            <w:r w:rsidRPr="0060721D">
              <w:rPr>
                <w:rFonts w:ascii="Times New Roman" w:hAnsi="Times New Roman"/>
              </w:rPr>
              <w:t>pedogeografic</w:t>
            </w:r>
            <w:proofErr w:type="spellEnd"/>
            <w:r w:rsidRPr="0060721D">
              <w:rPr>
                <w:rFonts w:ascii="Times New Roman" w:hAnsi="Times New Roman"/>
              </w:rPr>
              <w:t xml:space="preserve"> 3 al </w:t>
            </w:r>
            <w:proofErr w:type="spellStart"/>
            <w:r w:rsidRPr="0060721D">
              <w:rPr>
                <w:rFonts w:ascii="Times New Roman" w:hAnsi="Times New Roman"/>
              </w:rPr>
              <w:t>cernoziomurilor</w:t>
            </w:r>
            <w:proofErr w:type="spellEnd"/>
            <w:r w:rsidRPr="0060721D">
              <w:rPr>
                <w:rFonts w:ascii="Times New Roman" w:hAnsi="Times New Roman"/>
              </w:rPr>
              <w:t xml:space="preserve"> </w:t>
            </w:r>
            <w:proofErr w:type="spellStart"/>
            <w:r w:rsidRPr="0060721D">
              <w:rPr>
                <w:rFonts w:ascii="Times New Roman" w:hAnsi="Times New Roman"/>
              </w:rPr>
              <w:t>tipice</w:t>
            </w:r>
            <w:proofErr w:type="spellEnd"/>
            <w:r w:rsidRPr="0060721D">
              <w:rPr>
                <w:rFonts w:ascii="Times New Roman" w:hAnsi="Times New Roman"/>
              </w:rPr>
              <w:t xml:space="preserve"> </w:t>
            </w:r>
            <w:proofErr w:type="spellStart"/>
            <w:r w:rsidRPr="0060721D">
              <w:rPr>
                <w:rFonts w:ascii="Times New Roman" w:hAnsi="Times New Roman"/>
              </w:rPr>
              <w:t>moderat</w:t>
            </w:r>
            <w:proofErr w:type="spellEnd"/>
            <w:r w:rsidRPr="0060721D">
              <w:rPr>
                <w:rFonts w:ascii="Times New Roman" w:hAnsi="Times New Roman"/>
              </w:rPr>
              <w:t xml:space="preserve"> </w:t>
            </w:r>
            <w:proofErr w:type="spellStart"/>
            <w:r w:rsidRPr="0060721D">
              <w:rPr>
                <w:rFonts w:ascii="Times New Roman" w:hAnsi="Times New Roman"/>
              </w:rPr>
              <w:t>humifere</w:t>
            </w:r>
            <w:proofErr w:type="spellEnd"/>
            <w:r w:rsidRPr="0060721D">
              <w:rPr>
                <w:rFonts w:ascii="Times New Roman" w:hAnsi="Times New Roman"/>
              </w:rPr>
              <w:t xml:space="preserve"> </w:t>
            </w:r>
            <w:proofErr w:type="spellStart"/>
            <w:r w:rsidRPr="0060721D">
              <w:rPr>
                <w:rFonts w:ascii="Times New Roman" w:hAnsi="Times New Roman"/>
              </w:rPr>
              <w:t>şi</w:t>
            </w:r>
            <w:proofErr w:type="spellEnd"/>
            <w:r w:rsidRPr="0060721D">
              <w:rPr>
                <w:rFonts w:ascii="Times New Roman" w:hAnsi="Times New Roman"/>
              </w:rPr>
              <w:t xml:space="preserve"> </w:t>
            </w:r>
            <w:proofErr w:type="spellStart"/>
            <w:r w:rsidRPr="0060721D">
              <w:rPr>
                <w:rFonts w:ascii="Times New Roman" w:hAnsi="Times New Roman"/>
              </w:rPr>
              <w:t>cernoziomurilor</w:t>
            </w:r>
            <w:proofErr w:type="spellEnd"/>
            <w:r w:rsidRPr="0060721D">
              <w:rPr>
                <w:rFonts w:ascii="Times New Roman" w:hAnsi="Times New Roman"/>
              </w:rPr>
              <w:t xml:space="preserve"> levigate </w:t>
            </w:r>
            <w:proofErr w:type="spellStart"/>
            <w:r w:rsidRPr="0060721D">
              <w:rPr>
                <w:rFonts w:ascii="Times New Roman" w:hAnsi="Times New Roman"/>
              </w:rPr>
              <w:t>argilolutoase</w:t>
            </w:r>
            <w:proofErr w:type="spellEnd"/>
            <w:r w:rsidRPr="0060721D">
              <w:rPr>
                <w:rFonts w:ascii="Times New Roman" w:hAnsi="Times New Roman"/>
              </w:rPr>
              <w:t xml:space="preserve"> </w:t>
            </w:r>
            <w:proofErr w:type="spellStart"/>
            <w:r w:rsidRPr="0060721D">
              <w:rPr>
                <w:rFonts w:ascii="Times New Roman" w:hAnsi="Times New Roman"/>
              </w:rPr>
              <w:t>şi</w:t>
            </w:r>
            <w:proofErr w:type="spellEnd"/>
            <w:r w:rsidRPr="0060721D">
              <w:rPr>
                <w:rFonts w:ascii="Times New Roman" w:hAnsi="Times New Roman"/>
              </w:rPr>
              <w:t xml:space="preserve"> </w:t>
            </w:r>
            <w:proofErr w:type="spellStart"/>
            <w:r w:rsidRPr="0060721D">
              <w:rPr>
                <w:rFonts w:ascii="Times New Roman" w:hAnsi="Times New Roman"/>
              </w:rPr>
              <w:t>lutoase</w:t>
            </w:r>
            <w:proofErr w:type="spellEnd"/>
            <w:r w:rsidRPr="0060721D">
              <w:rPr>
                <w:rFonts w:ascii="Times New Roman" w:hAnsi="Times New Roman"/>
              </w:rPr>
              <w:t xml:space="preserve">, </w:t>
            </w:r>
            <w:proofErr w:type="spellStart"/>
            <w:r w:rsidRPr="0060721D">
              <w:rPr>
                <w:rFonts w:ascii="Times New Roman" w:hAnsi="Times New Roman"/>
              </w:rPr>
              <w:t>raionul</w:t>
            </w:r>
            <w:proofErr w:type="spellEnd"/>
            <w:r w:rsidRPr="0060721D">
              <w:rPr>
                <w:rFonts w:ascii="Times New Roman" w:hAnsi="Times New Roman"/>
              </w:rPr>
              <w:t xml:space="preserve"> </w:t>
            </w:r>
            <w:proofErr w:type="spellStart"/>
            <w:r w:rsidRPr="0060721D">
              <w:rPr>
                <w:rFonts w:ascii="Times New Roman" w:hAnsi="Times New Roman"/>
              </w:rPr>
              <w:t>pedogeografic</w:t>
            </w:r>
            <w:proofErr w:type="spellEnd"/>
            <w:r w:rsidRPr="0060721D">
              <w:rPr>
                <w:rFonts w:ascii="Times New Roman" w:hAnsi="Times New Roman"/>
              </w:rPr>
              <w:t xml:space="preserve"> al </w:t>
            </w:r>
            <w:proofErr w:type="spellStart"/>
            <w:r w:rsidRPr="0060721D">
              <w:rPr>
                <w:rFonts w:ascii="Times New Roman" w:hAnsi="Times New Roman"/>
              </w:rPr>
              <w:t>cernoziomurilor</w:t>
            </w:r>
            <w:proofErr w:type="spellEnd"/>
            <w:r w:rsidRPr="0060721D">
              <w:rPr>
                <w:rFonts w:ascii="Times New Roman" w:hAnsi="Times New Roman"/>
              </w:rPr>
              <w:t xml:space="preserve"> </w:t>
            </w:r>
            <w:proofErr w:type="spellStart"/>
            <w:r w:rsidRPr="0060721D">
              <w:rPr>
                <w:rFonts w:ascii="Times New Roman" w:hAnsi="Times New Roman"/>
              </w:rPr>
              <w:t>tipice</w:t>
            </w:r>
            <w:proofErr w:type="spellEnd"/>
            <w:r w:rsidRPr="0060721D">
              <w:rPr>
                <w:rFonts w:ascii="Times New Roman" w:hAnsi="Times New Roman"/>
              </w:rPr>
              <w:t xml:space="preserve"> slab </w:t>
            </w:r>
            <w:proofErr w:type="spellStart"/>
            <w:r w:rsidRPr="0060721D">
              <w:rPr>
                <w:rFonts w:ascii="Times New Roman" w:hAnsi="Times New Roman"/>
              </w:rPr>
              <w:t>humifere</w:t>
            </w:r>
            <w:proofErr w:type="spellEnd"/>
            <w:r w:rsidRPr="0060721D">
              <w:rPr>
                <w:rFonts w:ascii="Times New Roman" w:hAnsi="Times New Roman"/>
              </w:rPr>
              <w:t xml:space="preserve"> din </w:t>
            </w:r>
            <w:proofErr w:type="spellStart"/>
            <w:r w:rsidRPr="0060721D">
              <w:rPr>
                <w:rFonts w:ascii="Times New Roman" w:hAnsi="Times New Roman"/>
              </w:rPr>
              <w:t>Stepa</w:t>
            </w:r>
            <w:proofErr w:type="spellEnd"/>
            <w:r w:rsidRPr="0060721D">
              <w:rPr>
                <w:rFonts w:ascii="Times New Roman" w:hAnsi="Times New Roman"/>
              </w:rPr>
              <w:t xml:space="preserve"> </w:t>
            </w:r>
            <w:proofErr w:type="spellStart"/>
            <w:r w:rsidRPr="0060721D">
              <w:rPr>
                <w:rFonts w:ascii="Times New Roman" w:hAnsi="Times New Roman"/>
              </w:rPr>
              <w:t>Bălților</w:t>
            </w:r>
            <w:proofErr w:type="spellEnd"/>
            <w:r w:rsidRPr="0060721D">
              <w:rPr>
                <w:rFonts w:ascii="Times New Roman" w:hAnsi="Times New Roman"/>
              </w:rPr>
              <w:t xml:space="preserve">, </w:t>
            </w:r>
            <w:proofErr w:type="spellStart"/>
            <w:r w:rsidRPr="0060721D">
              <w:rPr>
                <w:rFonts w:ascii="Times New Roman" w:hAnsi="Times New Roman"/>
              </w:rPr>
              <w:t>raionul</w:t>
            </w:r>
            <w:proofErr w:type="spellEnd"/>
            <w:r w:rsidRPr="0060721D">
              <w:rPr>
                <w:rFonts w:ascii="Times New Roman" w:hAnsi="Times New Roman"/>
              </w:rPr>
              <w:t xml:space="preserve"> </w:t>
            </w:r>
            <w:proofErr w:type="spellStart"/>
            <w:r w:rsidRPr="0060721D">
              <w:rPr>
                <w:rFonts w:ascii="Times New Roman" w:hAnsi="Times New Roman"/>
              </w:rPr>
              <w:t>pedogeografic</w:t>
            </w:r>
            <w:proofErr w:type="spellEnd"/>
            <w:r w:rsidRPr="0060721D">
              <w:rPr>
                <w:rFonts w:ascii="Times New Roman" w:hAnsi="Times New Roman"/>
              </w:rPr>
              <w:t xml:space="preserve"> 1 al </w:t>
            </w:r>
            <w:proofErr w:type="spellStart"/>
            <w:r w:rsidRPr="0060721D">
              <w:rPr>
                <w:rFonts w:ascii="Times New Roman" w:hAnsi="Times New Roman"/>
              </w:rPr>
              <w:t>solurilor</w:t>
            </w:r>
            <w:proofErr w:type="spellEnd"/>
            <w:r w:rsidRPr="0060721D">
              <w:rPr>
                <w:rFonts w:ascii="Times New Roman" w:hAnsi="Times New Roman"/>
              </w:rPr>
              <w:t xml:space="preserve"> </w:t>
            </w:r>
            <w:proofErr w:type="spellStart"/>
            <w:r w:rsidRPr="0060721D">
              <w:rPr>
                <w:rFonts w:ascii="Times New Roman" w:hAnsi="Times New Roman"/>
              </w:rPr>
              <w:t>cenușii</w:t>
            </w:r>
            <w:proofErr w:type="spellEnd"/>
            <w:r w:rsidRPr="0060721D">
              <w:rPr>
                <w:rFonts w:ascii="Times New Roman" w:hAnsi="Times New Roman"/>
              </w:rPr>
              <w:t xml:space="preserve">, </w:t>
            </w:r>
            <w:proofErr w:type="spellStart"/>
            <w:r w:rsidRPr="0060721D">
              <w:rPr>
                <w:rFonts w:ascii="Times New Roman" w:hAnsi="Times New Roman"/>
              </w:rPr>
              <w:t>cernoziomurilor</w:t>
            </w:r>
            <w:proofErr w:type="spellEnd"/>
            <w:r w:rsidRPr="0060721D">
              <w:rPr>
                <w:rFonts w:ascii="Times New Roman" w:hAnsi="Times New Roman"/>
              </w:rPr>
              <w:t xml:space="preserve"> </w:t>
            </w:r>
            <w:proofErr w:type="spellStart"/>
            <w:r w:rsidRPr="0060721D">
              <w:rPr>
                <w:rFonts w:ascii="Times New Roman" w:hAnsi="Times New Roman"/>
              </w:rPr>
              <w:t>argilo-iluviale</w:t>
            </w:r>
            <w:proofErr w:type="spellEnd"/>
            <w:r w:rsidRPr="0060721D">
              <w:rPr>
                <w:rFonts w:ascii="Times New Roman" w:hAnsi="Times New Roman"/>
              </w:rPr>
              <w:t xml:space="preserve"> </w:t>
            </w:r>
            <w:proofErr w:type="spellStart"/>
            <w:r w:rsidRPr="0060721D">
              <w:rPr>
                <w:rFonts w:ascii="Times New Roman" w:hAnsi="Times New Roman"/>
              </w:rPr>
              <w:t>şi</w:t>
            </w:r>
            <w:proofErr w:type="spellEnd"/>
            <w:r w:rsidRPr="0060721D">
              <w:rPr>
                <w:rFonts w:ascii="Times New Roman" w:hAnsi="Times New Roman"/>
              </w:rPr>
              <w:t xml:space="preserve"> levigate.</w:t>
            </w:r>
          </w:p>
        </w:tc>
        <w:tc>
          <w:tcPr>
            <w:tcW w:w="1620" w:type="dxa"/>
            <w:gridSpan w:val="2"/>
            <w:hideMark/>
          </w:tcPr>
          <w:p w14:paraId="6A28DF95" w14:textId="77777777" w:rsidR="0060721D" w:rsidRPr="0060721D" w:rsidRDefault="0060721D" w:rsidP="0060721D">
            <w:pPr>
              <w:jc w:val="center"/>
              <w:rPr>
                <w:rFonts w:ascii="Times New Roman" w:eastAsia="Times New Roman" w:hAnsi="Times New Roman"/>
                <w:lang w:eastAsia="ru-RU"/>
              </w:rPr>
            </w:pPr>
            <w:r w:rsidRPr="0060721D">
              <w:rPr>
                <w:rFonts w:ascii="Times New Roman" w:eastAsia="Times New Roman" w:hAnsi="Times New Roman"/>
                <w:lang w:eastAsia="ru-RU"/>
              </w:rPr>
              <w:lastRenderedPageBreak/>
              <w:t xml:space="preserve">50 mii ha/an </w:t>
            </w:r>
            <w:proofErr w:type="spellStart"/>
            <w:r w:rsidRPr="0060721D">
              <w:rPr>
                <w:rFonts w:ascii="Times New Roman" w:eastAsia="Times New Roman" w:hAnsi="Times New Roman"/>
                <w:lang w:eastAsia="ru-RU"/>
              </w:rPr>
              <w:t>în</w:t>
            </w:r>
            <w:proofErr w:type="spellEnd"/>
            <w:r w:rsidRPr="0060721D">
              <w:rPr>
                <w:rFonts w:ascii="Times New Roman" w:eastAsia="Times New Roman" w:hAnsi="Times New Roman"/>
                <w:lang w:eastAsia="ru-RU"/>
              </w:rPr>
              <w:t xml:space="preserve"> </w:t>
            </w:r>
            <w:proofErr w:type="spellStart"/>
            <w:r w:rsidRPr="0060721D">
              <w:rPr>
                <w:rFonts w:ascii="Times New Roman" w:eastAsia="Times New Roman" w:hAnsi="Times New Roman"/>
                <w:lang w:eastAsia="ru-RU"/>
              </w:rPr>
              <w:t>perioada</w:t>
            </w:r>
            <w:proofErr w:type="spellEnd"/>
            <w:r w:rsidRPr="0060721D">
              <w:rPr>
                <w:rFonts w:ascii="Times New Roman" w:eastAsia="Times New Roman" w:hAnsi="Times New Roman"/>
                <w:lang w:eastAsia="ru-RU"/>
              </w:rPr>
              <w:t xml:space="preserve"> 2021-2025</w:t>
            </w:r>
          </w:p>
        </w:tc>
        <w:tc>
          <w:tcPr>
            <w:tcW w:w="1440" w:type="dxa"/>
            <w:gridSpan w:val="2"/>
            <w:hideMark/>
          </w:tcPr>
          <w:p w14:paraId="3D163AEF" w14:textId="77777777" w:rsidR="0060721D" w:rsidRPr="0060721D" w:rsidRDefault="0060721D" w:rsidP="0060721D">
            <w:pPr>
              <w:jc w:val="center"/>
              <w:rPr>
                <w:rFonts w:ascii="Times New Roman" w:hAnsi="Times New Roman"/>
              </w:rPr>
            </w:pPr>
            <w:r w:rsidRPr="0060721D">
              <w:rPr>
                <w:rFonts w:ascii="Times New Roman" w:eastAsia="Times New Roman" w:hAnsi="Times New Roman"/>
                <w:lang w:eastAsia="ru-RU"/>
              </w:rPr>
              <w:t xml:space="preserve">50 mii ha/an </w:t>
            </w:r>
            <w:proofErr w:type="spellStart"/>
            <w:r w:rsidRPr="0060721D">
              <w:rPr>
                <w:rFonts w:ascii="Times New Roman" w:eastAsia="Times New Roman" w:hAnsi="Times New Roman"/>
                <w:lang w:eastAsia="ru-RU"/>
              </w:rPr>
              <w:t>în</w:t>
            </w:r>
            <w:proofErr w:type="spellEnd"/>
            <w:r w:rsidRPr="0060721D">
              <w:rPr>
                <w:rFonts w:ascii="Times New Roman" w:eastAsia="Times New Roman" w:hAnsi="Times New Roman"/>
                <w:lang w:eastAsia="ru-RU"/>
              </w:rPr>
              <w:t xml:space="preserve"> </w:t>
            </w:r>
            <w:r w:rsidRPr="0060721D">
              <w:rPr>
                <w:rFonts w:ascii="Times New Roman" w:eastAsia="Times New Roman" w:hAnsi="Times New Roman"/>
                <w:lang w:val="ro-RO" w:eastAsia="ru-RU"/>
              </w:rPr>
              <w:t>perioada</w:t>
            </w:r>
            <w:r w:rsidRPr="0060721D">
              <w:rPr>
                <w:rFonts w:ascii="Times New Roman" w:hAnsi="Times New Roman"/>
              </w:rPr>
              <w:t xml:space="preserve"> 2021-2025</w:t>
            </w:r>
          </w:p>
        </w:tc>
        <w:tc>
          <w:tcPr>
            <w:tcW w:w="3429" w:type="dxa"/>
            <w:gridSpan w:val="2"/>
            <w:hideMark/>
          </w:tcPr>
          <w:p w14:paraId="18DFBA91" w14:textId="77777777" w:rsidR="0060721D" w:rsidRPr="0060721D" w:rsidRDefault="0060721D" w:rsidP="0060721D">
            <w:pPr>
              <w:jc w:val="center"/>
              <w:rPr>
                <w:rFonts w:ascii="Times New Roman" w:hAnsi="Times New Roman"/>
              </w:rPr>
            </w:pPr>
            <w:r w:rsidRPr="0060721D">
              <w:rPr>
                <w:rFonts w:ascii="Times New Roman" w:eastAsia="Times New Roman" w:hAnsi="Times New Roman"/>
                <w:lang w:eastAsia="ru-RU"/>
              </w:rPr>
              <w:t xml:space="preserve">230 mii tone CO2 </w:t>
            </w:r>
            <w:proofErr w:type="spellStart"/>
            <w:r w:rsidRPr="0060721D">
              <w:rPr>
                <w:rFonts w:ascii="Times New Roman" w:eastAsia="Times New Roman" w:hAnsi="Times New Roman"/>
                <w:lang w:eastAsia="ru-RU"/>
              </w:rPr>
              <w:t>echivalent</w:t>
            </w:r>
            <w:proofErr w:type="spellEnd"/>
            <w:r w:rsidRPr="0060721D">
              <w:rPr>
                <w:rFonts w:ascii="Times New Roman" w:eastAsia="Times New Roman" w:hAnsi="Times New Roman"/>
                <w:vertAlign w:val="subscript"/>
                <w:lang w:eastAsia="ru-RU"/>
              </w:rPr>
              <w:t>/</w:t>
            </w:r>
            <w:r w:rsidRPr="0060721D">
              <w:rPr>
                <w:rFonts w:ascii="Times New Roman" w:eastAsia="Times New Roman" w:hAnsi="Times New Roman"/>
                <w:lang w:eastAsia="ru-RU"/>
              </w:rPr>
              <w:t>an</w:t>
            </w:r>
            <w:r w:rsidRPr="0060721D">
              <w:rPr>
                <w:rFonts w:ascii="Times New Roman" w:eastAsia="Times New Roman" w:hAnsi="Times New Roman"/>
                <w:lang w:val="ro-RO" w:eastAsia="ru-RU"/>
              </w:rPr>
              <w:t xml:space="preserve"> </w:t>
            </w:r>
            <w:proofErr w:type="spellStart"/>
            <w:r w:rsidRPr="0060721D">
              <w:rPr>
                <w:rFonts w:ascii="Times New Roman" w:hAnsi="Times New Roman"/>
              </w:rPr>
              <w:t>în</w:t>
            </w:r>
            <w:proofErr w:type="spellEnd"/>
            <w:r w:rsidRPr="0060721D">
              <w:rPr>
                <w:rFonts w:ascii="Times New Roman" w:hAnsi="Times New Roman"/>
              </w:rPr>
              <w:t xml:space="preserve"> </w:t>
            </w:r>
            <w:proofErr w:type="spellStart"/>
            <w:r w:rsidRPr="0060721D">
              <w:rPr>
                <w:rFonts w:ascii="Times New Roman" w:hAnsi="Times New Roman"/>
              </w:rPr>
              <w:t>perioada</w:t>
            </w:r>
            <w:proofErr w:type="spellEnd"/>
            <w:r w:rsidRPr="0060721D">
              <w:rPr>
                <w:rFonts w:ascii="Times New Roman" w:hAnsi="Times New Roman"/>
              </w:rPr>
              <w:t xml:space="preserve"> 2021-2025</w:t>
            </w:r>
          </w:p>
        </w:tc>
        <w:tc>
          <w:tcPr>
            <w:tcW w:w="1502" w:type="dxa"/>
            <w:gridSpan w:val="2"/>
            <w:hideMark/>
          </w:tcPr>
          <w:p w14:paraId="5A051B0D" w14:textId="77777777" w:rsidR="0060721D" w:rsidRPr="0060721D" w:rsidRDefault="0060721D" w:rsidP="0060721D">
            <w:pPr>
              <w:jc w:val="center"/>
              <w:rPr>
                <w:rFonts w:ascii="Times New Roman" w:hAnsi="Times New Roman"/>
              </w:rPr>
            </w:pPr>
            <w:r w:rsidRPr="0060721D">
              <w:rPr>
                <w:rFonts w:ascii="Times New Roman" w:eastAsia="Times New Roman" w:hAnsi="Times New Roman"/>
                <w:lang w:eastAsia="ru-RU"/>
              </w:rPr>
              <w:t xml:space="preserve">230 mii tone CO2 </w:t>
            </w:r>
            <w:proofErr w:type="spellStart"/>
            <w:r w:rsidRPr="0060721D">
              <w:rPr>
                <w:rFonts w:ascii="Times New Roman" w:eastAsia="Times New Roman" w:hAnsi="Times New Roman"/>
                <w:lang w:eastAsia="ru-RU"/>
              </w:rPr>
              <w:t>echivalent</w:t>
            </w:r>
            <w:proofErr w:type="spellEnd"/>
            <w:r w:rsidRPr="0060721D">
              <w:rPr>
                <w:rFonts w:ascii="Times New Roman" w:eastAsia="Times New Roman" w:hAnsi="Times New Roman"/>
                <w:lang w:eastAsia="ru-RU"/>
              </w:rPr>
              <w:t>/an</w:t>
            </w:r>
            <w:r w:rsidRPr="0060721D">
              <w:rPr>
                <w:rFonts w:ascii="Times New Roman" w:eastAsia="Times New Roman" w:hAnsi="Times New Roman"/>
                <w:lang w:val="ro-RO" w:eastAsia="ru-RU"/>
              </w:rPr>
              <w:t xml:space="preserve"> </w:t>
            </w:r>
            <w:proofErr w:type="spellStart"/>
            <w:r w:rsidRPr="0060721D">
              <w:rPr>
                <w:rFonts w:ascii="Times New Roman" w:hAnsi="Times New Roman"/>
              </w:rPr>
              <w:t>în</w:t>
            </w:r>
            <w:proofErr w:type="spellEnd"/>
            <w:r w:rsidRPr="0060721D">
              <w:rPr>
                <w:rFonts w:ascii="Times New Roman" w:hAnsi="Times New Roman"/>
              </w:rPr>
              <w:t xml:space="preserve"> </w:t>
            </w:r>
            <w:proofErr w:type="spellStart"/>
            <w:r w:rsidRPr="0060721D">
              <w:rPr>
                <w:rFonts w:ascii="Times New Roman" w:hAnsi="Times New Roman"/>
              </w:rPr>
              <w:t>perioada</w:t>
            </w:r>
            <w:proofErr w:type="spellEnd"/>
            <w:r w:rsidRPr="0060721D">
              <w:rPr>
                <w:rFonts w:ascii="Times New Roman" w:hAnsi="Times New Roman"/>
              </w:rPr>
              <w:t xml:space="preserve"> 2021-2025</w:t>
            </w:r>
          </w:p>
        </w:tc>
      </w:tr>
      <w:tr w:rsidR="00F11CCD" w:rsidRPr="0060721D" w14:paraId="31CF4E64" w14:textId="77777777" w:rsidTr="00F11CCD">
        <w:trPr>
          <w:divId w:val="546725049"/>
          <w:trHeight w:val="2400"/>
        </w:trPr>
        <w:tc>
          <w:tcPr>
            <w:tcW w:w="500" w:type="dxa"/>
            <w:vMerge/>
            <w:hideMark/>
          </w:tcPr>
          <w:p w14:paraId="39B5F53E" w14:textId="77777777" w:rsidR="0060721D" w:rsidRPr="0060721D" w:rsidRDefault="0060721D" w:rsidP="0060721D">
            <w:pPr>
              <w:jc w:val="center"/>
              <w:rPr>
                <w:rFonts w:ascii="Times New Roman" w:eastAsia="Times New Roman" w:hAnsi="Times New Roman"/>
                <w:lang w:eastAsia="ru-RU"/>
              </w:rPr>
            </w:pPr>
          </w:p>
        </w:tc>
        <w:tc>
          <w:tcPr>
            <w:tcW w:w="3437" w:type="dxa"/>
            <w:gridSpan w:val="2"/>
            <w:vMerge/>
            <w:hideMark/>
          </w:tcPr>
          <w:p w14:paraId="148E2D28" w14:textId="77777777" w:rsidR="0060721D" w:rsidRPr="0060721D" w:rsidRDefault="0060721D" w:rsidP="0060721D">
            <w:pPr>
              <w:rPr>
                <w:rFonts w:ascii="Times New Roman" w:eastAsia="Times New Roman" w:hAnsi="Times New Roman"/>
                <w:lang w:val="es-ES" w:eastAsia="ru-RU"/>
              </w:rPr>
            </w:pPr>
          </w:p>
        </w:tc>
        <w:tc>
          <w:tcPr>
            <w:tcW w:w="2211" w:type="dxa"/>
            <w:gridSpan w:val="2"/>
            <w:vMerge/>
            <w:hideMark/>
          </w:tcPr>
          <w:p w14:paraId="2D672502" w14:textId="77777777" w:rsidR="0060721D" w:rsidRPr="0060721D" w:rsidRDefault="0060721D" w:rsidP="0060721D">
            <w:pPr>
              <w:rPr>
                <w:rFonts w:ascii="Times New Roman" w:eastAsia="Times New Roman" w:hAnsi="Times New Roman"/>
                <w:lang w:val="es-ES" w:eastAsia="ru-RU"/>
              </w:rPr>
            </w:pPr>
          </w:p>
        </w:tc>
        <w:tc>
          <w:tcPr>
            <w:tcW w:w="1620" w:type="dxa"/>
            <w:gridSpan w:val="2"/>
            <w:hideMark/>
          </w:tcPr>
          <w:p w14:paraId="69039085" w14:textId="77777777" w:rsidR="0060721D" w:rsidRPr="0060721D" w:rsidRDefault="0060721D" w:rsidP="0060721D">
            <w:pPr>
              <w:jc w:val="center"/>
              <w:rPr>
                <w:rFonts w:ascii="Times New Roman" w:eastAsia="Times New Roman" w:hAnsi="Times New Roman"/>
                <w:lang w:val="es-ES" w:eastAsia="ru-RU"/>
              </w:rPr>
            </w:pPr>
            <w:r w:rsidRPr="0060721D">
              <w:rPr>
                <w:rFonts w:ascii="Times New Roman" w:eastAsia="Times New Roman" w:hAnsi="Times New Roman"/>
                <w:lang w:val="es-ES" w:eastAsia="ru-RU"/>
              </w:rPr>
              <w:t>100 mii ha/an în perioada 2026-2030</w:t>
            </w:r>
          </w:p>
        </w:tc>
        <w:tc>
          <w:tcPr>
            <w:tcW w:w="1440" w:type="dxa"/>
            <w:gridSpan w:val="2"/>
            <w:hideMark/>
          </w:tcPr>
          <w:p w14:paraId="48CC3381" w14:textId="77777777" w:rsidR="0060721D" w:rsidRPr="0060721D" w:rsidRDefault="0060721D" w:rsidP="0060721D">
            <w:pPr>
              <w:jc w:val="center"/>
              <w:rPr>
                <w:rFonts w:ascii="Times New Roman" w:eastAsia="Times New Roman" w:hAnsi="Times New Roman"/>
                <w:lang w:val="es-ES" w:eastAsia="ru-RU"/>
              </w:rPr>
            </w:pPr>
            <w:r w:rsidRPr="0060721D">
              <w:rPr>
                <w:rFonts w:ascii="Times New Roman" w:eastAsia="Times New Roman" w:hAnsi="Times New Roman"/>
                <w:lang w:val="es-ES" w:eastAsia="ru-RU"/>
              </w:rPr>
              <w:t>100 mii ha/an în perioada 2026-2030</w:t>
            </w:r>
          </w:p>
        </w:tc>
        <w:tc>
          <w:tcPr>
            <w:tcW w:w="3429" w:type="dxa"/>
            <w:gridSpan w:val="2"/>
            <w:hideMark/>
          </w:tcPr>
          <w:p w14:paraId="5CE0B8FF" w14:textId="77777777" w:rsidR="0060721D" w:rsidRPr="0060721D" w:rsidRDefault="0060721D" w:rsidP="0060721D">
            <w:pPr>
              <w:jc w:val="center"/>
              <w:rPr>
                <w:rFonts w:ascii="Times New Roman" w:hAnsi="Times New Roman"/>
              </w:rPr>
            </w:pPr>
            <w:r w:rsidRPr="0060721D">
              <w:rPr>
                <w:rFonts w:ascii="Times New Roman" w:eastAsia="Times New Roman" w:hAnsi="Times New Roman"/>
                <w:lang w:eastAsia="ru-RU"/>
              </w:rPr>
              <w:t xml:space="preserve">460 mii tone CO2 </w:t>
            </w:r>
            <w:proofErr w:type="spellStart"/>
            <w:r w:rsidRPr="0060721D">
              <w:rPr>
                <w:rFonts w:ascii="Times New Roman" w:eastAsia="Times New Roman" w:hAnsi="Times New Roman"/>
                <w:lang w:eastAsia="ru-RU"/>
              </w:rPr>
              <w:t>echivalent</w:t>
            </w:r>
            <w:proofErr w:type="spellEnd"/>
            <w:r w:rsidRPr="0060721D">
              <w:rPr>
                <w:rFonts w:ascii="Times New Roman" w:eastAsia="Times New Roman" w:hAnsi="Times New Roman"/>
                <w:lang w:eastAsia="ru-RU"/>
              </w:rPr>
              <w:t>/an</w:t>
            </w:r>
            <w:r w:rsidRPr="0060721D">
              <w:rPr>
                <w:rFonts w:ascii="Times New Roman" w:eastAsia="Times New Roman" w:hAnsi="Times New Roman"/>
                <w:lang w:val="ro-RO" w:eastAsia="ru-RU"/>
              </w:rPr>
              <w:t xml:space="preserve"> </w:t>
            </w:r>
            <w:proofErr w:type="spellStart"/>
            <w:r w:rsidRPr="0060721D">
              <w:rPr>
                <w:rFonts w:ascii="Times New Roman" w:hAnsi="Times New Roman"/>
              </w:rPr>
              <w:t>în</w:t>
            </w:r>
            <w:proofErr w:type="spellEnd"/>
            <w:r w:rsidRPr="0060721D">
              <w:rPr>
                <w:rFonts w:ascii="Times New Roman" w:hAnsi="Times New Roman"/>
              </w:rPr>
              <w:t xml:space="preserve"> </w:t>
            </w:r>
            <w:proofErr w:type="spellStart"/>
            <w:r w:rsidRPr="0060721D">
              <w:rPr>
                <w:rFonts w:ascii="Times New Roman" w:hAnsi="Times New Roman"/>
              </w:rPr>
              <w:t>perioada</w:t>
            </w:r>
            <w:proofErr w:type="spellEnd"/>
            <w:r w:rsidRPr="0060721D">
              <w:rPr>
                <w:rFonts w:ascii="Times New Roman" w:hAnsi="Times New Roman"/>
              </w:rPr>
              <w:t xml:space="preserve"> 2026-2030</w:t>
            </w:r>
          </w:p>
        </w:tc>
        <w:tc>
          <w:tcPr>
            <w:tcW w:w="1502" w:type="dxa"/>
            <w:gridSpan w:val="2"/>
            <w:hideMark/>
          </w:tcPr>
          <w:p w14:paraId="34260660" w14:textId="77777777" w:rsidR="0060721D" w:rsidRPr="0060721D" w:rsidRDefault="0060721D" w:rsidP="0060721D">
            <w:pPr>
              <w:jc w:val="center"/>
              <w:rPr>
                <w:rFonts w:ascii="Times New Roman" w:hAnsi="Times New Roman"/>
              </w:rPr>
            </w:pPr>
            <w:r w:rsidRPr="0060721D">
              <w:rPr>
                <w:rFonts w:ascii="Times New Roman" w:eastAsia="Times New Roman" w:hAnsi="Times New Roman"/>
                <w:lang w:eastAsia="ru-RU"/>
              </w:rPr>
              <w:t xml:space="preserve">460 mii tone CO2 </w:t>
            </w:r>
            <w:proofErr w:type="spellStart"/>
            <w:r w:rsidRPr="0060721D">
              <w:rPr>
                <w:rFonts w:ascii="Times New Roman" w:eastAsia="Times New Roman" w:hAnsi="Times New Roman"/>
                <w:lang w:eastAsia="ru-RU"/>
              </w:rPr>
              <w:t>echivalent</w:t>
            </w:r>
            <w:proofErr w:type="spellEnd"/>
            <w:r w:rsidRPr="0060721D">
              <w:rPr>
                <w:rFonts w:ascii="Times New Roman" w:eastAsia="Times New Roman" w:hAnsi="Times New Roman"/>
                <w:vertAlign w:val="subscript"/>
                <w:lang w:eastAsia="ru-RU"/>
              </w:rPr>
              <w:t>/</w:t>
            </w:r>
            <w:r w:rsidRPr="0060721D">
              <w:rPr>
                <w:rFonts w:ascii="Times New Roman" w:eastAsia="Times New Roman" w:hAnsi="Times New Roman"/>
                <w:lang w:eastAsia="ru-RU"/>
              </w:rPr>
              <w:t>an</w:t>
            </w:r>
            <w:r w:rsidRPr="0060721D">
              <w:rPr>
                <w:rFonts w:ascii="Times New Roman" w:eastAsia="Times New Roman" w:hAnsi="Times New Roman"/>
                <w:lang w:val="ro-RO" w:eastAsia="ru-RU"/>
              </w:rPr>
              <w:t xml:space="preserve"> </w:t>
            </w:r>
            <w:proofErr w:type="spellStart"/>
            <w:r w:rsidRPr="0060721D">
              <w:rPr>
                <w:rFonts w:ascii="Times New Roman" w:hAnsi="Times New Roman"/>
              </w:rPr>
              <w:t>în</w:t>
            </w:r>
            <w:proofErr w:type="spellEnd"/>
            <w:r w:rsidRPr="0060721D">
              <w:rPr>
                <w:rFonts w:ascii="Times New Roman" w:hAnsi="Times New Roman"/>
              </w:rPr>
              <w:t xml:space="preserve"> </w:t>
            </w:r>
            <w:proofErr w:type="spellStart"/>
            <w:r w:rsidRPr="0060721D">
              <w:rPr>
                <w:rFonts w:ascii="Times New Roman" w:hAnsi="Times New Roman"/>
              </w:rPr>
              <w:t>perioada</w:t>
            </w:r>
            <w:proofErr w:type="spellEnd"/>
            <w:r w:rsidRPr="0060721D">
              <w:rPr>
                <w:rFonts w:ascii="Times New Roman" w:hAnsi="Times New Roman"/>
              </w:rPr>
              <w:t xml:space="preserve"> 2026-2030</w:t>
            </w:r>
          </w:p>
        </w:tc>
      </w:tr>
      <w:tr w:rsidR="00F11CCD" w:rsidRPr="0060721D" w14:paraId="5C021435" w14:textId="77777777" w:rsidTr="00F11CCD">
        <w:trPr>
          <w:divId w:val="546725049"/>
          <w:trHeight w:val="1110"/>
        </w:trPr>
        <w:tc>
          <w:tcPr>
            <w:tcW w:w="500" w:type="dxa"/>
            <w:hideMark/>
          </w:tcPr>
          <w:p w14:paraId="78FF3109" w14:textId="77777777" w:rsidR="0060721D" w:rsidRPr="0060721D" w:rsidRDefault="0060721D" w:rsidP="0060721D">
            <w:pPr>
              <w:jc w:val="center"/>
              <w:rPr>
                <w:rFonts w:ascii="Times New Roman" w:eastAsia="Times New Roman" w:hAnsi="Times New Roman"/>
                <w:lang w:val="ro-RO" w:eastAsia="ru-RU"/>
              </w:rPr>
            </w:pPr>
            <w:r w:rsidRPr="0060721D">
              <w:rPr>
                <w:rFonts w:ascii="Times New Roman" w:eastAsia="Times New Roman" w:hAnsi="Times New Roman"/>
                <w:lang w:eastAsia="ru-RU"/>
              </w:rPr>
              <w:lastRenderedPageBreak/>
              <w:t>5,5</w:t>
            </w:r>
          </w:p>
        </w:tc>
        <w:tc>
          <w:tcPr>
            <w:tcW w:w="3437" w:type="dxa"/>
            <w:gridSpan w:val="2"/>
            <w:hideMark/>
          </w:tcPr>
          <w:p w14:paraId="710916E2" w14:textId="77777777" w:rsidR="0060721D" w:rsidRPr="0060721D" w:rsidRDefault="0060721D" w:rsidP="0060721D">
            <w:pPr>
              <w:rPr>
                <w:rFonts w:ascii="Times New Roman" w:eastAsia="Times New Roman" w:hAnsi="Times New Roman"/>
                <w:lang w:val="ro-RO" w:eastAsia="ru-RU"/>
              </w:rPr>
            </w:pPr>
            <w:r w:rsidRPr="0060721D">
              <w:rPr>
                <w:rFonts w:ascii="Times New Roman" w:eastAsia="Times New Roman" w:hAnsi="Times New Roman"/>
                <w:lang w:val="ro-RO" w:eastAsia="ru-RU"/>
              </w:rPr>
              <w:t>Depozitarea gunoiului de grajd în platforme comunale sau depozite individuale</w:t>
            </w:r>
          </w:p>
        </w:tc>
        <w:tc>
          <w:tcPr>
            <w:tcW w:w="2211" w:type="dxa"/>
            <w:gridSpan w:val="2"/>
            <w:hideMark/>
          </w:tcPr>
          <w:p w14:paraId="04BFDC9C" w14:textId="77777777" w:rsidR="0060721D" w:rsidRPr="0060721D" w:rsidRDefault="0060721D" w:rsidP="0060721D">
            <w:pPr>
              <w:rPr>
                <w:rFonts w:ascii="Times New Roman" w:hAnsi="Times New Roman"/>
              </w:rPr>
            </w:pPr>
            <w:proofErr w:type="spellStart"/>
            <w:r w:rsidRPr="0060721D">
              <w:rPr>
                <w:rFonts w:ascii="Times New Roman" w:eastAsia="Times New Roman" w:hAnsi="Times New Roman"/>
                <w:lang w:eastAsia="ru-RU"/>
              </w:rPr>
              <w:t>Gunoiul</w:t>
            </w:r>
            <w:proofErr w:type="spellEnd"/>
            <w:r w:rsidRPr="0060721D">
              <w:rPr>
                <w:rFonts w:ascii="Times New Roman" w:eastAsia="Times New Roman" w:hAnsi="Times New Roman"/>
                <w:lang w:eastAsia="ru-RU"/>
              </w:rPr>
              <w:t xml:space="preserve"> de </w:t>
            </w:r>
            <w:proofErr w:type="spellStart"/>
            <w:r w:rsidRPr="0060721D">
              <w:rPr>
                <w:rFonts w:ascii="Times New Roman" w:eastAsia="Times New Roman" w:hAnsi="Times New Roman"/>
                <w:lang w:eastAsia="ru-RU"/>
              </w:rPr>
              <w:t>grajd</w:t>
            </w:r>
            <w:proofErr w:type="spellEnd"/>
            <w:r w:rsidRPr="0060721D">
              <w:rPr>
                <w:rFonts w:ascii="Times New Roman" w:eastAsia="Times New Roman" w:hAnsi="Times New Roman"/>
                <w:lang w:eastAsia="ru-RU"/>
              </w:rPr>
              <w:t xml:space="preserve">, </w:t>
            </w:r>
            <w:proofErr w:type="spellStart"/>
            <w:r w:rsidRPr="0060721D">
              <w:rPr>
                <w:rFonts w:ascii="Times New Roman" w:eastAsia="Times New Roman" w:hAnsi="Times New Roman"/>
                <w:lang w:eastAsia="ru-RU"/>
              </w:rPr>
              <w:t>fiind</w:t>
            </w:r>
            <w:proofErr w:type="spellEnd"/>
            <w:r w:rsidRPr="0060721D">
              <w:rPr>
                <w:rFonts w:ascii="Times New Roman" w:eastAsia="Times New Roman" w:hAnsi="Times New Roman"/>
                <w:lang w:eastAsia="ru-RU"/>
              </w:rPr>
              <w:t xml:space="preserve"> </w:t>
            </w:r>
            <w:proofErr w:type="spellStart"/>
            <w:r w:rsidRPr="0060721D">
              <w:rPr>
                <w:rFonts w:ascii="Times New Roman" w:eastAsia="Times New Roman" w:hAnsi="Times New Roman"/>
                <w:lang w:eastAsia="ru-RU"/>
              </w:rPr>
              <w:t>depozitat</w:t>
            </w:r>
            <w:proofErr w:type="spellEnd"/>
            <w:r w:rsidRPr="0060721D">
              <w:rPr>
                <w:rFonts w:ascii="Times New Roman" w:eastAsia="Times New Roman" w:hAnsi="Times New Roman"/>
                <w:lang w:eastAsia="ru-RU"/>
              </w:rPr>
              <w:t xml:space="preserve"> pe </w:t>
            </w:r>
            <w:proofErr w:type="spellStart"/>
            <w:r w:rsidRPr="0060721D">
              <w:rPr>
                <w:rFonts w:ascii="Times New Roman" w:eastAsia="Times New Roman" w:hAnsi="Times New Roman"/>
                <w:lang w:eastAsia="ru-RU"/>
              </w:rPr>
              <w:t>platforme</w:t>
            </w:r>
            <w:proofErr w:type="spellEnd"/>
            <w:r w:rsidRPr="0060721D">
              <w:rPr>
                <w:rFonts w:ascii="Times New Roman" w:eastAsia="Times New Roman" w:hAnsi="Times New Roman"/>
                <w:lang w:eastAsia="ru-RU"/>
              </w:rPr>
              <w:t xml:space="preserve"> </w:t>
            </w:r>
            <w:proofErr w:type="spellStart"/>
            <w:r w:rsidRPr="0060721D">
              <w:rPr>
                <w:rFonts w:ascii="Times New Roman" w:eastAsia="Times New Roman" w:hAnsi="Times New Roman"/>
                <w:lang w:eastAsia="ru-RU"/>
              </w:rPr>
              <w:t>impermeabile</w:t>
            </w:r>
            <w:proofErr w:type="spellEnd"/>
            <w:r w:rsidRPr="0060721D">
              <w:rPr>
                <w:rFonts w:ascii="Times New Roman" w:eastAsia="Times New Roman" w:hAnsi="Times New Roman"/>
                <w:lang w:eastAsia="ru-RU"/>
              </w:rPr>
              <w:t xml:space="preserve">, </w:t>
            </w:r>
            <w:proofErr w:type="spellStart"/>
            <w:r w:rsidRPr="0060721D">
              <w:rPr>
                <w:rFonts w:ascii="Times New Roman" w:eastAsia="Times New Roman" w:hAnsi="Times New Roman"/>
                <w:lang w:eastAsia="ru-RU"/>
              </w:rPr>
              <w:t>poate</w:t>
            </w:r>
            <w:proofErr w:type="spellEnd"/>
            <w:r w:rsidRPr="0060721D">
              <w:rPr>
                <w:rFonts w:ascii="Times New Roman" w:eastAsia="Times New Roman" w:hAnsi="Times New Roman"/>
                <w:lang w:eastAsia="ru-RU"/>
              </w:rPr>
              <w:t xml:space="preserve"> fi </w:t>
            </w:r>
            <w:proofErr w:type="spellStart"/>
            <w:r w:rsidRPr="0060721D">
              <w:rPr>
                <w:rFonts w:ascii="Times New Roman" w:eastAsia="Times New Roman" w:hAnsi="Times New Roman"/>
                <w:lang w:eastAsia="ru-RU"/>
              </w:rPr>
              <w:t>separat</w:t>
            </w:r>
            <w:proofErr w:type="spellEnd"/>
            <w:r w:rsidRPr="0060721D">
              <w:rPr>
                <w:rFonts w:ascii="Times New Roman" w:eastAsia="Times New Roman" w:hAnsi="Times New Roman"/>
                <w:lang w:eastAsia="ru-RU"/>
              </w:rPr>
              <w:t xml:space="preserve">. </w:t>
            </w:r>
            <w:proofErr w:type="spellStart"/>
            <w:r w:rsidRPr="0060721D">
              <w:rPr>
                <w:rFonts w:ascii="Times New Roman" w:eastAsia="Times New Roman" w:hAnsi="Times New Roman"/>
                <w:lang w:eastAsia="ru-RU"/>
              </w:rPr>
              <w:t>În</w:t>
            </w:r>
            <w:proofErr w:type="spellEnd"/>
            <w:r w:rsidRPr="0060721D">
              <w:rPr>
                <w:rFonts w:ascii="Times New Roman" w:eastAsia="Times New Roman" w:hAnsi="Times New Roman"/>
                <w:lang w:eastAsia="ru-RU"/>
              </w:rPr>
              <w:t xml:space="preserve"> </w:t>
            </w:r>
            <w:proofErr w:type="spellStart"/>
            <w:r w:rsidRPr="0060721D">
              <w:rPr>
                <w:rFonts w:ascii="Times New Roman" w:eastAsia="Times New Roman" w:hAnsi="Times New Roman"/>
                <w:lang w:eastAsia="ru-RU"/>
              </w:rPr>
              <w:t>scopul</w:t>
            </w:r>
            <w:proofErr w:type="spellEnd"/>
            <w:r w:rsidRPr="0060721D">
              <w:rPr>
                <w:rFonts w:ascii="Times New Roman" w:eastAsia="Times New Roman" w:hAnsi="Times New Roman"/>
                <w:lang w:eastAsia="ru-RU"/>
              </w:rPr>
              <w:t xml:space="preserve"> </w:t>
            </w:r>
            <w:proofErr w:type="spellStart"/>
            <w:r w:rsidRPr="0060721D">
              <w:rPr>
                <w:rFonts w:ascii="Times New Roman" w:eastAsia="Times New Roman" w:hAnsi="Times New Roman"/>
                <w:lang w:eastAsia="ru-RU"/>
              </w:rPr>
              <w:t>fermentării</w:t>
            </w:r>
            <w:proofErr w:type="spellEnd"/>
            <w:r w:rsidRPr="0060721D">
              <w:rPr>
                <w:rFonts w:ascii="Times New Roman" w:eastAsia="Times New Roman" w:hAnsi="Times New Roman"/>
                <w:lang w:eastAsia="ru-RU"/>
              </w:rPr>
              <w:t xml:space="preserve"> </w:t>
            </w:r>
            <w:proofErr w:type="spellStart"/>
            <w:r w:rsidRPr="0060721D">
              <w:rPr>
                <w:rFonts w:ascii="Times New Roman" w:eastAsia="Times New Roman" w:hAnsi="Times New Roman"/>
                <w:lang w:eastAsia="ru-RU"/>
              </w:rPr>
              <w:t>corecte</w:t>
            </w:r>
            <w:proofErr w:type="spellEnd"/>
            <w:r w:rsidRPr="0060721D">
              <w:rPr>
                <w:rFonts w:ascii="Times New Roman" w:eastAsia="Times New Roman" w:hAnsi="Times New Roman"/>
                <w:lang w:eastAsia="ru-RU"/>
              </w:rPr>
              <w:t xml:space="preserve">, </w:t>
            </w:r>
            <w:proofErr w:type="spellStart"/>
            <w:r w:rsidRPr="0060721D">
              <w:rPr>
                <w:rFonts w:ascii="Times New Roman" w:eastAsia="Times New Roman" w:hAnsi="Times New Roman"/>
                <w:lang w:eastAsia="ru-RU"/>
              </w:rPr>
              <w:t>va</w:t>
            </w:r>
            <w:proofErr w:type="spellEnd"/>
            <w:r w:rsidRPr="0060721D">
              <w:rPr>
                <w:rFonts w:ascii="Times New Roman" w:eastAsia="Times New Roman" w:hAnsi="Times New Roman"/>
                <w:lang w:eastAsia="ru-RU"/>
              </w:rPr>
              <w:t xml:space="preserve"> fi </w:t>
            </w:r>
            <w:proofErr w:type="spellStart"/>
            <w:r w:rsidRPr="0060721D">
              <w:rPr>
                <w:rFonts w:ascii="Times New Roman" w:eastAsia="Times New Roman" w:hAnsi="Times New Roman"/>
                <w:lang w:eastAsia="ru-RU"/>
              </w:rPr>
              <w:t>acoperit</w:t>
            </w:r>
            <w:proofErr w:type="spellEnd"/>
            <w:r w:rsidRPr="0060721D">
              <w:rPr>
                <w:rFonts w:ascii="Times New Roman" w:eastAsia="Times New Roman" w:hAnsi="Times New Roman"/>
                <w:lang w:eastAsia="ru-RU"/>
              </w:rPr>
              <w:t xml:space="preserve"> cu o folie de plastic, </w:t>
            </w:r>
            <w:proofErr w:type="spellStart"/>
            <w:r w:rsidRPr="0060721D">
              <w:rPr>
                <w:rFonts w:ascii="Times New Roman" w:eastAsia="Times New Roman" w:hAnsi="Times New Roman"/>
                <w:lang w:eastAsia="ru-RU"/>
              </w:rPr>
              <w:t>pentru</w:t>
            </w:r>
            <w:proofErr w:type="spellEnd"/>
            <w:r w:rsidRPr="0060721D">
              <w:rPr>
                <w:rFonts w:ascii="Times New Roman" w:eastAsia="Times New Roman" w:hAnsi="Times New Roman"/>
                <w:lang w:eastAsia="ru-RU"/>
              </w:rPr>
              <w:t xml:space="preserve"> a </w:t>
            </w:r>
            <w:proofErr w:type="spellStart"/>
            <w:r w:rsidRPr="0060721D">
              <w:rPr>
                <w:rFonts w:ascii="Times New Roman" w:eastAsia="Times New Roman" w:hAnsi="Times New Roman"/>
                <w:lang w:eastAsia="ru-RU"/>
              </w:rPr>
              <w:t>preveni</w:t>
            </w:r>
            <w:proofErr w:type="spellEnd"/>
            <w:r w:rsidRPr="0060721D">
              <w:rPr>
                <w:rFonts w:ascii="Times New Roman" w:eastAsia="Times New Roman" w:hAnsi="Times New Roman"/>
                <w:lang w:eastAsia="ru-RU"/>
              </w:rPr>
              <w:t xml:space="preserve"> </w:t>
            </w:r>
            <w:proofErr w:type="spellStart"/>
            <w:r w:rsidRPr="0060721D">
              <w:rPr>
                <w:rFonts w:ascii="Times New Roman" w:eastAsia="Times New Roman" w:hAnsi="Times New Roman"/>
                <w:lang w:eastAsia="ru-RU"/>
              </w:rPr>
              <w:t>spălarea</w:t>
            </w:r>
            <w:proofErr w:type="spellEnd"/>
            <w:r w:rsidRPr="0060721D">
              <w:rPr>
                <w:rFonts w:ascii="Times New Roman" w:eastAsia="Times New Roman" w:hAnsi="Times New Roman"/>
                <w:lang w:eastAsia="ru-RU"/>
              </w:rPr>
              <w:t xml:space="preserve"> </w:t>
            </w:r>
            <w:proofErr w:type="spellStart"/>
            <w:r w:rsidRPr="0060721D">
              <w:rPr>
                <w:rFonts w:ascii="Times New Roman" w:eastAsia="Times New Roman" w:hAnsi="Times New Roman"/>
                <w:lang w:eastAsia="ru-RU"/>
              </w:rPr>
              <w:t>nutrienţilor</w:t>
            </w:r>
            <w:proofErr w:type="spellEnd"/>
            <w:r w:rsidRPr="0060721D">
              <w:rPr>
                <w:rFonts w:ascii="Times New Roman" w:eastAsia="Times New Roman" w:hAnsi="Times New Roman"/>
                <w:lang w:eastAsia="ru-RU"/>
              </w:rPr>
              <w:t xml:space="preserve"> </w:t>
            </w:r>
            <w:proofErr w:type="spellStart"/>
            <w:r w:rsidRPr="0060721D">
              <w:rPr>
                <w:rFonts w:ascii="Times New Roman" w:eastAsia="Times New Roman" w:hAnsi="Times New Roman"/>
                <w:lang w:eastAsia="ru-RU"/>
              </w:rPr>
              <w:t>şi</w:t>
            </w:r>
            <w:proofErr w:type="spellEnd"/>
            <w:r w:rsidRPr="0060721D">
              <w:rPr>
                <w:rFonts w:ascii="Times New Roman" w:eastAsia="Times New Roman" w:hAnsi="Times New Roman"/>
                <w:lang w:eastAsia="ru-RU"/>
              </w:rPr>
              <w:t xml:space="preserve"> a </w:t>
            </w:r>
            <w:proofErr w:type="spellStart"/>
            <w:r w:rsidRPr="0060721D">
              <w:rPr>
                <w:rFonts w:ascii="Times New Roman" w:eastAsia="Times New Roman" w:hAnsi="Times New Roman"/>
                <w:lang w:eastAsia="ru-RU"/>
              </w:rPr>
              <w:t>diminua</w:t>
            </w:r>
            <w:proofErr w:type="spellEnd"/>
            <w:r w:rsidRPr="0060721D">
              <w:rPr>
                <w:rFonts w:ascii="Times New Roman" w:eastAsia="Times New Roman" w:hAnsi="Times New Roman"/>
                <w:lang w:eastAsia="ru-RU"/>
              </w:rPr>
              <w:t xml:space="preserve"> </w:t>
            </w:r>
            <w:proofErr w:type="spellStart"/>
            <w:r w:rsidRPr="0060721D">
              <w:rPr>
                <w:rFonts w:ascii="Times New Roman" w:eastAsia="Times New Roman" w:hAnsi="Times New Roman"/>
                <w:lang w:eastAsia="ru-RU"/>
              </w:rPr>
              <w:t>volatilizarea</w:t>
            </w:r>
            <w:proofErr w:type="spellEnd"/>
            <w:r w:rsidRPr="0060721D">
              <w:rPr>
                <w:rFonts w:ascii="Times New Roman" w:eastAsia="Times New Roman" w:hAnsi="Times New Roman"/>
                <w:lang w:eastAsia="ru-RU"/>
              </w:rPr>
              <w:t xml:space="preserve"> de CH4 </w:t>
            </w:r>
            <w:proofErr w:type="spellStart"/>
            <w:r w:rsidRPr="0060721D">
              <w:rPr>
                <w:rFonts w:ascii="Times New Roman" w:eastAsia="Times New Roman" w:hAnsi="Times New Roman"/>
                <w:lang w:eastAsia="ru-RU"/>
              </w:rPr>
              <w:t>şi</w:t>
            </w:r>
            <w:proofErr w:type="spellEnd"/>
            <w:r w:rsidRPr="0060721D">
              <w:rPr>
                <w:rFonts w:ascii="Times New Roman" w:eastAsia="Times New Roman" w:hAnsi="Times New Roman"/>
                <w:lang w:eastAsia="ru-RU"/>
              </w:rPr>
              <w:t xml:space="preserve"> NH3. </w:t>
            </w:r>
            <w:proofErr w:type="spellStart"/>
            <w:r w:rsidRPr="0060721D">
              <w:rPr>
                <w:rFonts w:ascii="Times New Roman" w:eastAsia="Times New Roman" w:hAnsi="Times New Roman"/>
                <w:lang w:eastAsia="ru-RU"/>
              </w:rPr>
              <w:t>Astfel</w:t>
            </w:r>
            <w:proofErr w:type="spellEnd"/>
            <w:r w:rsidRPr="0060721D">
              <w:rPr>
                <w:rFonts w:ascii="Times New Roman" w:eastAsia="Times New Roman" w:hAnsi="Times New Roman"/>
                <w:lang w:eastAsia="ru-RU"/>
              </w:rPr>
              <w:t xml:space="preserve"> </w:t>
            </w:r>
            <w:proofErr w:type="spellStart"/>
            <w:r w:rsidRPr="0060721D">
              <w:rPr>
                <w:rFonts w:ascii="Times New Roman" w:eastAsia="Times New Roman" w:hAnsi="Times New Roman"/>
                <w:lang w:eastAsia="ru-RU"/>
              </w:rPr>
              <w:t>va</w:t>
            </w:r>
            <w:proofErr w:type="spellEnd"/>
            <w:r w:rsidRPr="0060721D">
              <w:rPr>
                <w:rFonts w:ascii="Times New Roman" w:hAnsi="Times New Roman"/>
              </w:rPr>
              <w:t xml:space="preserve"> </w:t>
            </w:r>
            <w:proofErr w:type="spellStart"/>
            <w:r w:rsidRPr="0060721D">
              <w:rPr>
                <w:rFonts w:ascii="Times New Roman" w:hAnsi="Times New Roman"/>
              </w:rPr>
              <w:t>deveni</w:t>
            </w:r>
            <w:proofErr w:type="spellEnd"/>
            <w:r w:rsidRPr="0060721D">
              <w:rPr>
                <w:rFonts w:ascii="Times New Roman" w:hAnsi="Times New Roman"/>
              </w:rPr>
              <w:t xml:space="preserve"> </w:t>
            </w:r>
            <w:proofErr w:type="spellStart"/>
            <w:r w:rsidRPr="0060721D">
              <w:rPr>
                <w:rFonts w:ascii="Times New Roman" w:hAnsi="Times New Roman"/>
              </w:rPr>
              <w:t>posibilă</w:t>
            </w:r>
            <w:proofErr w:type="spellEnd"/>
            <w:r w:rsidRPr="0060721D">
              <w:rPr>
                <w:rFonts w:ascii="Times New Roman" w:hAnsi="Times New Roman"/>
              </w:rPr>
              <w:t xml:space="preserve"> </w:t>
            </w:r>
            <w:proofErr w:type="spellStart"/>
            <w:r w:rsidRPr="0060721D">
              <w:rPr>
                <w:rFonts w:ascii="Times New Roman" w:hAnsi="Times New Roman"/>
              </w:rPr>
              <w:t>limitarea</w:t>
            </w:r>
            <w:proofErr w:type="spellEnd"/>
            <w:r w:rsidRPr="0060721D">
              <w:rPr>
                <w:rFonts w:ascii="Times New Roman" w:hAnsi="Times New Roman"/>
              </w:rPr>
              <w:t xml:space="preserve"> </w:t>
            </w:r>
            <w:proofErr w:type="spellStart"/>
            <w:r w:rsidRPr="0060721D">
              <w:rPr>
                <w:rFonts w:ascii="Times New Roman" w:hAnsi="Times New Roman"/>
              </w:rPr>
              <w:t>pătrunderii</w:t>
            </w:r>
            <w:proofErr w:type="spellEnd"/>
            <w:r w:rsidRPr="0060721D">
              <w:rPr>
                <w:rFonts w:ascii="Times New Roman" w:hAnsi="Times New Roman"/>
              </w:rPr>
              <w:t xml:space="preserve"> </w:t>
            </w:r>
            <w:proofErr w:type="spellStart"/>
            <w:r w:rsidRPr="0060721D">
              <w:rPr>
                <w:rFonts w:ascii="Times New Roman" w:hAnsi="Times New Roman"/>
              </w:rPr>
              <w:t>în</w:t>
            </w:r>
            <w:proofErr w:type="spellEnd"/>
            <w:r w:rsidRPr="0060721D">
              <w:rPr>
                <w:rFonts w:ascii="Times New Roman" w:hAnsi="Times New Roman"/>
              </w:rPr>
              <w:t xml:space="preserve"> sol </w:t>
            </w:r>
            <w:proofErr w:type="spellStart"/>
            <w:r w:rsidRPr="0060721D">
              <w:rPr>
                <w:rFonts w:ascii="Times New Roman" w:hAnsi="Times New Roman"/>
              </w:rPr>
              <w:t>şi</w:t>
            </w:r>
            <w:proofErr w:type="spellEnd"/>
            <w:r w:rsidRPr="0060721D">
              <w:rPr>
                <w:rFonts w:ascii="Times New Roman" w:hAnsi="Times New Roman"/>
              </w:rPr>
              <w:t xml:space="preserve"> </w:t>
            </w:r>
            <w:proofErr w:type="spellStart"/>
            <w:r w:rsidRPr="0060721D">
              <w:rPr>
                <w:rFonts w:ascii="Times New Roman" w:hAnsi="Times New Roman"/>
              </w:rPr>
              <w:t>în</w:t>
            </w:r>
            <w:proofErr w:type="spellEnd"/>
            <w:r w:rsidRPr="0060721D">
              <w:rPr>
                <w:rFonts w:ascii="Times New Roman" w:hAnsi="Times New Roman"/>
              </w:rPr>
              <w:t xml:space="preserve"> </w:t>
            </w:r>
            <w:proofErr w:type="spellStart"/>
            <w:r w:rsidRPr="0060721D">
              <w:rPr>
                <w:rFonts w:ascii="Times New Roman" w:hAnsi="Times New Roman"/>
              </w:rPr>
              <w:t>apă</w:t>
            </w:r>
            <w:proofErr w:type="spellEnd"/>
            <w:r w:rsidRPr="0060721D">
              <w:rPr>
                <w:rFonts w:ascii="Times New Roman" w:hAnsi="Times New Roman"/>
              </w:rPr>
              <w:t xml:space="preserve"> a </w:t>
            </w:r>
            <w:proofErr w:type="spellStart"/>
            <w:r w:rsidRPr="0060721D">
              <w:rPr>
                <w:rFonts w:ascii="Times New Roman" w:hAnsi="Times New Roman"/>
              </w:rPr>
              <w:t>nitraţilor</w:t>
            </w:r>
            <w:proofErr w:type="spellEnd"/>
            <w:r w:rsidRPr="0060721D">
              <w:rPr>
                <w:rFonts w:ascii="Times New Roman" w:hAnsi="Times New Roman"/>
              </w:rPr>
              <w:t xml:space="preserve"> </w:t>
            </w:r>
            <w:proofErr w:type="spellStart"/>
            <w:r w:rsidRPr="0060721D">
              <w:rPr>
                <w:rFonts w:ascii="Times New Roman" w:hAnsi="Times New Roman"/>
              </w:rPr>
              <w:t>şi</w:t>
            </w:r>
            <w:proofErr w:type="spellEnd"/>
            <w:r w:rsidRPr="0060721D">
              <w:rPr>
                <w:rFonts w:ascii="Times New Roman" w:hAnsi="Times New Roman"/>
              </w:rPr>
              <w:t xml:space="preserve"> </w:t>
            </w:r>
            <w:proofErr w:type="spellStart"/>
            <w:r w:rsidRPr="0060721D">
              <w:rPr>
                <w:rFonts w:ascii="Times New Roman" w:hAnsi="Times New Roman"/>
              </w:rPr>
              <w:t>nitriţilor</w:t>
            </w:r>
            <w:proofErr w:type="spellEnd"/>
            <w:r w:rsidRPr="0060721D">
              <w:rPr>
                <w:rFonts w:ascii="Times New Roman" w:hAnsi="Times New Roman"/>
              </w:rPr>
              <w:t xml:space="preserve">, </w:t>
            </w:r>
            <w:proofErr w:type="spellStart"/>
            <w:r w:rsidRPr="0060721D">
              <w:rPr>
                <w:rFonts w:ascii="Times New Roman" w:hAnsi="Times New Roman"/>
              </w:rPr>
              <w:t>reducerea</w:t>
            </w:r>
            <w:proofErr w:type="spellEnd"/>
            <w:r w:rsidRPr="0060721D">
              <w:rPr>
                <w:rFonts w:ascii="Times New Roman" w:hAnsi="Times New Roman"/>
              </w:rPr>
              <w:t xml:space="preserve"> </w:t>
            </w:r>
            <w:proofErr w:type="spellStart"/>
            <w:r w:rsidRPr="0060721D">
              <w:rPr>
                <w:rFonts w:ascii="Times New Roman" w:hAnsi="Times New Roman"/>
              </w:rPr>
              <w:t>emisiilor</w:t>
            </w:r>
            <w:proofErr w:type="spellEnd"/>
            <w:r w:rsidRPr="0060721D">
              <w:rPr>
                <w:rFonts w:ascii="Times New Roman" w:hAnsi="Times New Roman"/>
              </w:rPr>
              <w:t xml:space="preserve"> de gaze cu </w:t>
            </w:r>
            <w:proofErr w:type="spellStart"/>
            <w:r w:rsidRPr="0060721D">
              <w:rPr>
                <w:rFonts w:ascii="Times New Roman" w:hAnsi="Times New Roman"/>
              </w:rPr>
              <w:t>efect</w:t>
            </w:r>
            <w:proofErr w:type="spellEnd"/>
            <w:r w:rsidRPr="0060721D">
              <w:rPr>
                <w:rFonts w:ascii="Times New Roman" w:hAnsi="Times New Roman"/>
              </w:rPr>
              <w:t xml:space="preserve"> de </w:t>
            </w:r>
            <w:proofErr w:type="spellStart"/>
            <w:r w:rsidRPr="0060721D">
              <w:rPr>
                <w:rFonts w:ascii="Times New Roman" w:hAnsi="Times New Roman"/>
              </w:rPr>
              <w:t>seră</w:t>
            </w:r>
            <w:proofErr w:type="spellEnd"/>
            <w:r w:rsidRPr="0060721D">
              <w:rPr>
                <w:rFonts w:ascii="Times New Roman" w:hAnsi="Times New Roman"/>
              </w:rPr>
              <w:t xml:space="preserve"> </w:t>
            </w:r>
            <w:proofErr w:type="spellStart"/>
            <w:r w:rsidRPr="0060721D">
              <w:rPr>
                <w:rFonts w:ascii="Times New Roman" w:hAnsi="Times New Roman"/>
              </w:rPr>
              <w:t>şi</w:t>
            </w:r>
            <w:proofErr w:type="spellEnd"/>
            <w:r w:rsidRPr="0060721D">
              <w:rPr>
                <w:rFonts w:ascii="Times New Roman" w:hAnsi="Times New Roman"/>
              </w:rPr>
              <w:t xml:space="preserve"> </w:t>
            </w:r>
            <w:proofErr w:type="spellStart"/>
            <w:r w:rsidRPr="0060721D">
              <w:rPr>
                <w:rFonts w:ascii="Times New Roman" w:hAnsi="Times New Roman"/>
              </w:rPr>
              <w:t>obţinerea</w:t>
            </w:r>
            <w:proofErr w:type="spellEnd"/>
            <w:r w:rsidRPr="0060721D">
              <w:rPr>
                <w:rFonts w:ascii="Times New Roman" w:hAnsi="Times New Roman"/>
              </w:rPr>
              <w:t xml:space="preserve"> </w:t>
            </w:r>
            <w:proofErr w:type="spellStart"/>
            <w:r w:rsidRPr="0060721D">
              <w:rPr>
                <w:rFonts w:ascii="Times New Roman" w:hAnsi="Times New Roman"/>
              </w:rPr>
              <w:t>unor</w:t>
            </w:r>
            <w:proofErr w:type="spellEnd"/>
            <w:r w:rsidRPr="0060721D">
              <w:rPr>
                <w:rFonts w:ascii="Times New Roman" w:hAnsi="Times New Roman"/>
              </w:rPr>
              <w:t xml:space="preserve"> </w:t>
            </w:r>
            <w:proofErr w:type="spellStart"/>
            <w:r w:rsidRPr="0060721D">
              <w:rPr>
                <w:rFonts w:ascii="Times New Roman" w:hAnsi="Times New Roman"/>
              </w:rPr>
              <w:t>îngrăşăminte</w:t>
            </w:r>
            <w:proofErr w:type="spellEnd"/>
            <w:r w:rsidRPr="0060721D">
              <w:rPr>
                <w:rFonts w:ascii="Times New Roman" w:hAnsi="Times New Roman"/>
              </w:rPr>
              <w:t xml:space="preserve"> </w:t>
            </w:r>
            <w:proofErr w:type="spellStart"/>
            <w:r w:rsidRPr="0060721D">
              <w:rPr>
                <w:rFonts w:ascii="Times New Roman" w:hAnsi="Times New Roman"/>
              </w:rPr>
              <w:t>organice</w:t>
            </w:r>
            <w:proofErr w:type="spellEnd"/>
            <w:r w:rsidRPr="0060721D">
              <w:rPr>
                <w:rFonts w:ascii="Times New Roman" w:hAnsi="Times New Roman"/>
              </w:rPr>
              <w:t xml:space="preserve"> de </w:t>
            </w:r>
            <w:proofErr w:type="spellStart"/>
            <w:r w:rsidRPr="0060721D">
              <w:rPr>
                <w:rFonts w:ascii="Times New Roman" w:hAnsi="Times New Roman"/>
              </w:rPr>
              <w:t>valoare</w:t>
            </w:r>
            <w:proofErr w:type="spellEnd"/>
          </w:p>
        </w:tc>
        <w:tc>
          <w:tcPr>
            <w:tcW w:w="1620" w:type="dxa"/>
            <w:gridSpan w:val="2"/>
            <w:hideMark/>
          </w:tcPr>
          <w:p w14:paraId="4F7EED91" w14:textId="77777777" w:rsidR="0060721D" w:rsidRPr="0060721D" w:rsidRDefault="0060721D" w:rsidP="0060721D">
            <w:pPr>
              <w:jc w:val="center"/>
              <w:rPr>
                <w:rFonts w:ascii="Times New Roman" w:eastAsia="Times New Roman" w:hAnsi="Times New Roman"/>
                <w:lang w:val="es-ES" w:eastAsia="ru-RU"/>
              </w:rPr>
            </w:pPr>
            <w:r w:rsidRPr="0060721D">
              <w:rPr>
                <w:rFonts w:ascii="Times New Roman" w:eastAsia="Times New Roman" w:hAnsi="Times New Roman"/>
                <w:lang w:val="es-ES" w:eastAsia="ru-RU"/>
              </w:rPr>
              <w:t>38% din totalul de 16,62 mil. tone de gunoi de grajd</w:t>
            </w:r>
          </w:p>
        </w:tc>
        <w:tc>
          <w:tcPr>
            <w:tcW w:w="1440" w:type="dxa"/>
            <w:gridSpan w:val="2"/>
            <w:hideMark/>
          </w:tcPr>
          <w:p w14:paraId="536CA38C" w14:textId="77777777" w:rsidR="0060721D" w:rsidRPr="0060721D" w:rsidRDefault="0060721D" w:rsidP="0060721D">
            <w:pPr>
              <w:jc w:val="center"/>
              <w:rPr>
                <w:rFonts w:ascii="Times New Roman" w:eastAsia="Times New Roman" w:hAnsi="Times New Roman"/>
                <w:lang w:val="es-ES" w:eastAsia="ru-RU"/>
              </w:rPr>
            </w:pPr>
            <w:r w:rsidRPr="0060721D">
              <w:rPr>
                <w:rFonts w:ascii="Times New Roman" w:eastAsia="Times New Roman" w:hAnsi="Times New Roman"/>
                <w:lang w:val="es-ES" w:eastAsia="ru-RU"/>
              </w:rPr>
              <w:t>12% din totalul de 16,62 mil. tone de gunoi de grajd</w:t>
            </w:r>
          </w:p>
        </w:tc>
        <w:tc>
          <w:tcPr>
            <w:tcW w:w="3429" w:type="dxa"/>
            <w:gridSpan w:val="2"/>
            <w:hideMark/>
          </w:tcPr>
          <w:p w14:paraId="09CB23D4" w14:textId="77777777" w:rsidR="0060721D" w:rsidRPr="0060721D" w:rsidRDefault="0060721D" w:rsidP="0060721D">
            <w:pPr>
              <w:jc w:val="center"/>
              <w:rPr>
                <w:rFonts w:ascii="Times New Roman" w:eastAsia="Times New Roman" w:hAnsi="Times New Roman"/>
                <w:lang w:val="ro-RO" w:eastAsia="ru-RU"/>
              </w:rPr>
            </w:pPr>
            <w:r w:rsidRPr="0060721D">
              <w:rPr>
                <w:rFonts w:ascii="Times New Roman" w:eastAsia="Times New Roman" w:hAnsi="Times New Roman"/>
                <w:lang w:eastAsia="ru-RU"/>
              </w:rPr>
              <w:t>259 243 tone CO2</w:t>
            </w:r>
            <w:r w:rsidRPr="0060721D">
              <w:rPr>
                <w:rFonts w:ascii="Times New Roman" w:eastAsia="Times New Roman" w:hAnsi="Times New Roman"/>
                <w:vertAlign w:val="subscript"/>
                <w:lang w:eastAsia="ru-RU"/>
              </w:rPr>
              <w:t xml:space="preserve"> </w:t>
            </w:r>
            <w:proofErr w:type="spellStart"/>
            <w:r w:rsidRPr="0060721D">
              <w:rPr>
                <w:rFonts w:ascii="Times New Roman" w:eastAsia="Times New Roman" w:hAnsi="Times New Roman"/>
                <w:lang w:eastAsia="ru-RU"/>
              </w:rPr>
              <w:t>echivalent</w:t>
            </w:r>
            <w:proofErr w:type="spellEnd"/>
          </w:p>
        </w:tc>
        <w:tc>
          <w:tcPr>
            <w:tcW w:w="1502" w:type="dxa"/>
            <w:gridSpan w:val="2"/>
            <w:hideMark/>
          </w:tcPr>
          <w:p w14:paraId="512A3A0E" w14:textId="77777777" w:rsidR="0060721D" w:rsidRPr="0060721D" w:rsidRDefault="0060721D" w:rsidP="0060721D">
            <w:pPr>
              <w:jc w:val="center"/>
              <w:rPr>
                <w:rFonts w:ascii="Times New Roman" w:eastAsia="Times New Roman" w:hAnsi="Times New Roman"/>
                <w:lang w:val="ro-RO" w:eastAsia="ru-RU"/>
              </w:rPr>
            </w:pPr>
            <w:r w:rsidRPr="0060721D">
              <w:rPr>
                <w:rFonts w:ascii="Times New Roman" w:eastAsia="Times New Roman" w:hAnsi="Times New Roman"/>
                <w:lang w:eastAsia="ru-RU"/>
              </w:rPr>
              <w:t>86 305 tone CO2</w:t>
            </w:r>
            <w:r w:rsidRPr="0060721D">
              <w:rPr>
                <w:rFonts w:ascii="Times New Roman" w:eastAsia="Times New Roman" w:hAnsi="Times New Roman"/>
                <w:vertAlign w:val="subscript"/>
                <w:lang w:eastAsia="ru-RU"/>
              </w:rPr>
              <w:t xml:space="preserve"> </w:t>
            </w:r>
            <w:proofErr w:type="spellStart"/>
            <w:r w:rsidRPr="0060721D">
              <w:rPr>
                <w:rFonts w:ascii="Times New Roman" w:eastAsia="Times New Roman" w:hAnsi="Times New Roman"/>
                <w:lang w:eastAsia="ru-RU"/>
              </w:rPr>
              <w:t>echivalent</w:t>
            </w:r>
            <w:proofErr w:type="spellEnd"/>
          </w:p>
        </w:tc>
      </w:tr>
      <w:tr w:rsidR="00F11CCD" w:rsidRPr="0060721D" w14:paraId="1154F0AB" w14:textId="77777777" w:rsidTr="00F11CCD">
        <w:trPr>
          <w:divId w:val="546725049"/>
          <w:trHeight w:val="1290"/>
        </w:trPr>
        <w:tc>
          <w:tcPr>
            <w:tcW w:w="500" w:type="dxa"/>
            <w:hideMark/>
          </w:tcPr>
          <w:p w14:paraId="56CE2F63" w14:textId="77777777" w:rsidR="0060721D" w:rsidRPr="0060721D" w:rsidRDefault="0060721D" w:rsidP="0060721D">
            <w:pPr>
              <w:jc w:val="center"/>
              <w:rPr>
                <w:rFonts w:ascii="Times New Roman" w:eastAsia="Times New Roman" w:hAnsi="Times New Roman"/>
                <w:lang w:val="ro-RO" w:eastAsia="ru-RU"/>
              </w:rPr>
            </w:pPr>
            <w:r w:rsidRPr="0060721D">
              <w:rPr>
                <w:rFonts w:ascii="Times New Roman" w:eastAsia="Times New Roman" w:hAnsi="Times New Roman"/>
                <w:lang w:eastAsia="ru-RU"/>
              </w:rPr>
              <w:t>5,6</w:t>
            </w:r>
          </w:p>
        </w:tc>
        <w:tc>
          <w:tcPr>
            <w:tcW w:w="3437" w:type="dxa"/>
            <w:gridSpan w:val="2"/>
            <w:hideMark/>
          </w:tcPr>
          <w:p w14:paraId="3EFCC5A7" w14:textId="77777777" w:rsidR="0060721D" w:rsidRPr="0060721D" w:rsidRDefault="0060721D" w:rsidP="0060721D">
            <w:pPr>
              <w:rPr>
                <w:rFonts w:ascii="Times New Roman" w:eastAsia="Times New Roman" w:hAnsi="Times New Roman"/>
                <w:lang w:val="es-ES" w:eastAsia="ru-RU"/>
              </w:rPr>
            </w:pPr>
            <w:r w:rsidRPr="0060721D">
              <w:rPr>
                <w:rFonts w:ascii="Times New Roman" w:eastAsia="Times New Roman" w:hAnsi="Times New Roman"/>
                <w:lang w:val="es-ES" w:eastAsia="ru-RU"/>
              </w:rPr>
              <w:t>Implementarea tehnologiilor de alimentaţie a taurinelor prin utilizarea unor raţii cu o structură optimă, ştiinţific argumentată</w:t>
            </w:r>
          </w:p>
        </w:tc>
        <w:tc>
          <w:tcPr>
            <w:tcW w:w="2211" w:type="dxa"/>
            <w:gridSpan w:val="2"/>
            <w:hideMark/>
          </w:tcPr>
          <w:p w14:paraId="02376599" w14:textId="77777777" w:rsidR="0060721D" w:rsidRPr="0060721D" w:rsidRDefault="0060721D" w:rsidP="0060721D">
            <w:pPr>
              <w:rPr>
                <w:rFonts w:ascii="Times New Roman" w:hAnsi="Times New Roman"/>
              </w:rPr>
            </w:pPr>
            <w:r w:rsidRPr="0060721D">
              <w:rPr>
                <w:rFonts w:ascii="Times New Roman" w:eastAsia="Times New Roman" w:hAnsi="Times New Roman"/>
                <w:lang w:val="es-ES" w:eastAsia="ru-RU"/>
              </w:rPr>
              <w:t xml:space="preserve">Tehnologie tradiţională pentru Republica Moldova de alimentaţie a taurinelor prin folosirea raţiilor constituite din nutreţuri separate – fîn, plante verzi, concentrate etc. În funcţie de starea fiziologică şi productivitatea animalelor, raţiile se deosebesc după cantitatea de nutreţuri şi raportul dintre ele (structura). Dacă structura raţiilor este optimă, atunci productivitatea, starea sănătăţii animalelor, </w:t>
            </w:r>
            <w:r w:rsidRPr="0060721D">
              <w:rPr>
                <w:rFonts w:ascii="Times New Roman" w:eastAsia="Times New Roman" w:hAnsi="Times New Roman"/>
                <w:lang w:val="es-ES" w:eastAsia="ru-RU"/>
              </w:rPr>
              <w:lastRenderedPageBreak/>
              <w:t>digestibilitatea furajelor şi formarea de gaze în</w:t>
            </w:r>
            <w:r w:rsidRPr="0060721D">
              <w:rPr>
                <w:rFonts w:ascii="Times New Roman" w:eastAsia="Times New Roman" w:hAnsi="Times New Roman"/>
                <w:lang w:eastAsia="ru-RU"/>
              </w:rPr>
              <w:t xml:space="preserve"> </w:t>
            </w:r>
            <w:r w:rsidRPr="0060721D">
              <w:rPr>
                <w:rFonts w:ascii="Times New Roman" w:hAnsi="Times New Roman"/>
              </w:rPr>
              <w:t xml:space="preserve">rumen </w:t>
            </w:r>
            <w:proofErr w:type="spellStart"/>
            <w:r w:rsidRPr="0060721D">
              <w:rPr>
                <w:rFonts w:ascii="Times New Roman" w:hAnsi="Times New Roman"/>
              </w:rPr>
              <w:t>sînt</w:t>
            </w:r>
            <w:proofErr w:type="spellEnd"/>
            <w:r w:rsidRPr="0060721D">
              <w:rPr>
                <w:rFonts w:ascii="Times New Roman" w:hAnsi="Times New Roman"/>
              </w:rPr>
              <w:t xml:space="preserve"> la un </w:t>
            </w:r>
            <w:proofErr w:type="spellStart"/>
            <w:r w:rsidRPr="0060721D">
              <w:rPr>
                <w:rFonts w:ascii="Times New Roman" w:hAnsi="Times New Roman"/>
              </w:rPr>
              <w:t>nivel</w:t>
            </w:r>
            <w:proofErr w:type="spellEnd"/>
            <w:r w:rsidRPr="0060721D">
              <w:rPr>
                <w:rFonts w:ascii="Times New Roman" w:hAnsi="Times New Roman"/>
              </w:rPr>
              <w:t xml:space="preserve"> </w:t>
            </w:r>
            <w:proofErr w:type="spellStart"/>
            <w:r w:rsidRPr="0060721D">
              <w:rPr>
                <w:rFonts w:ascii="Times New Roman" w:hAnsi="Times New Roman"/>
              </w:rPr>
              <w:t>optim</w:t>
            </w:r>
            <w:proofErr w:type="spellEnd"/>
          </w:p>
        </w:tc>
        <w:tc>
          <w:tcPr>
            <w:tcW w:w="1620" w:type="dxa"/>
            <w:gridSpan w:val="2"/>
            <w:hideMark/>
          </w:tcPr>
          <w:p w14:paraId="22414E77" w14:textId="77777777" w:rsidR="0060721D" w:rsidRPr="0060721D" w:rsidRDefault="0060721D" w:rsidP="0060721D">
            <w:pPr>
              <w:jc w:val="center"/>
              <w:rPr>
                <w:rFonts w:ascii="Times New Roman" w:eastAsia="Times New Roman" w:hAnsi="Times New Roman"/>
                <w:lang w:val="es-ES" w:eastAsia="ru-RU"/>
              </w:rPr>
            </w:pPr>
            <w:r w:rsidRPr="0060721D">
              <w:rPr>
                <w:rFonts w:ascii="Times New Roman" w:eastAsia="Times New Roman" w:hAnsi="Times New Roman"/>
                <w:lang w:val="es-ES" w:eastAsia="ru-RU"/>
              </w:rPr>
              <w:lastRenderedPageBreak/>
              <w:t>41,5% din şeptelul de taurine din ţară</w:t>
            </w:r>
          </w:p>
        </w:tc>
        <w:tc>
          <w:tcPr>
            <w:tcW w:w="1440" w:type="dxa"/>
            <w:gridSpan w:val="2"/>
            <w:hideMark/>
          </w:tcPr>
          <w:p w14:paraId="3E6BE155" w14:textId="77777777" w:rsidR="0060721D" w:rsidRPr="0060721D" w:rsidRDefault="0060721D" w:rsidP="0060721D">
            <w:pPr>
              <w:jc w:val="center"/>
              <w:rPr>
                <w:rFonts w:ascii="Times New Roman" w:eastAsia="Times New Roman" w:hAnsi="Times New Roman"/>
                <w:lang w:val="es-ES" w:eastAsia="ru-RU"/>
              </w:rPr>
            </w:pPr>
            <w:r w:rsidRPr="0060721D">
              <w:rPr>
                <w:rFonts w:ascii="Times New Roman" w:eastAsia="Times New Roman" w:hAnsi="Times New Roman"/>
                <w:lang w:val="es-ES" w:eastAsia="ru-RU"/>
              </w:rPr>
              <w:t>Cuprinde peste 8,5% din şeptelul</w:t>
            </w:r>
          </w:p>
        </w:tc>
        <w:tc>
          <w:tcPr>
            <w:tcW w:w="3429" w:type="dxa"/>
            <w:gridSpan w:val="2"/>
            <w:hideMark/>
          </w:tcPr>
          <w:p w14:paraId="4BB049E7" w14:textId="77777777" w:rsidR="0060721D" w:rsidRPr="0060721D" w:rsidRDefault="0060721D" w:rsidP="0060721D">
            <w:pPr>
              <w:jc w:val="center"/>
              <w:rPr>
                <w:rFonts w:ascii="Times New Roman" w:eastAsia="Times New Roman" w:hAnsi="Times New Roman"/>
                <w:lang w:val="ro-RO" w:eastAsia="ru-RU"/>
              </w:rPr>
            </w:pPr>
            <w:r w:rsidRPr="0060721D">
              <w:rPr>
                <w:rFonts w:ascii="Times New Roman" w:eastAsia="Times New Roman" w:hAnsi="Times New Roman"/>
                <w:lang w:eastAsia="ru-RU"/>
              </w:rPr>
              <w:t xml:space="preserve">79 mii tone CO2 </w:t>
            </w:r>
            <w:proofErr w:type="spellStart"/>
            <w:r w:rsidRPr="0060721D">
              <w:rPr>
                <w:rFonts w:ascii="Times New Roman" w:eastAsia="Times New Roman" w:hAnsi="Times New Roman"/>
                <w:lang w:eastAsia="ru-RU"/>
              </w:rPr>
              <w:t>echivalent</w:t>
            </w:r>
            <w:proofErr w:type="spellEnd"/>
          </w:p>
        </w:tc>
        <w:tc>
          <w:tcPr>
            <w:tcW w:w="1502" w:type="dxa"/>
            <w:gridSpan w:val="2"/>
            <w:hideMark/>
          </w:tcPr>
          <w:p w14:paraId="450FFC75" w14:textId="77777777" w:rsidR="0060721D" w:rsidRPr="0060721D" w:rsidRDefault="0060721D" w:rsidP="0060721D">
            <w:pPr>
              <w:jc w:val="center"/>
              <w:rPr>
                <w:rFonts w:ascii="Times New Roman" w:eastAsia="Times New Roman" w:hAnsi="Times New Roman"/>
                <w:lang w:val="ro-RO" w:eastAsia="ru-RU"/>
              </w:rPr>
            </w:pPr>
            <w:r w:rsidRPr="0060721D">
              <w:rPr>
                <w:rFonts w:ascii="Times New Roman" w:eastAsia="Times New Roman" w:hAnsi="Times New Roman"/>
                <w:lang w:eastAsia="ru-RU"/>
              </w:rPr>
              <w:t>19 mii tone CO2</w:t>
            </w:r>
            <w:r w:rsidRPr="0060721D">
              <w:rPr>
                <w:rFonts w:ascii="Times New Roman" w:eastAsia="Times New Roman" w:hAnsi="Times New Roman"/>
                <w:vertAlign w:val="subscript"/>
                <w:lang w:eastAsia="ru-RU"/>
              </w:rPr>
              <w:t xml:space="preserve"> </w:t>
            </w:r>
            <w:proofErr w:type="spellStart"/>
            <w:r w:rsidRPr="0060721D">
              <w:rPr>
                <w:rFonts w:ascii="Times New Roman" w:eastAsia="Times New Roman" w:hAnsi="Times New Roman"/>
                <w:lang w:eastAsia="ru-RU"/>
              </w:rPr>
              <w:t>echivalent</w:t>
            </w:r>
            <w:proofErr w:type="spellEnd"/>
          </w:p>
        </w:tc>
      </w:tr>
      <w:tr w:rsidR="002D5884" w:rsidRPr="0060721D" w14:paraId="07CB04E2" w14:textId="77777777" w:rsidTr="00F11CCD">
        <w:trPr>
          <w:divId w:val="546725049"/>
          <w:trHeight w:val="600"/>
        </w:trPr>
        <w:tc>
          <w:tcPr>
            <w:tcW w:w="500" w:type="dxa"/>
            <w:hideMark/>
          </w:tcPr>
          <w:p w14:paraId="02A193A3" w14:textId="77777777" w:rsidR="0060721D" w:rsidRPr="0060721D" w:rsidRDefault="0060721D" w:rsidP="0060721D">
            <w:pPr>
              <w:jc w:val="center"/>
              <w:rPr>
                <w:rFonts w:ascii="Times New Roman" w:eastAsia="Times New Roman" w:hAnsi="Times New Roman"/>
                <w:lang w:val="ro-RO" w:eastAsia="ru-RU"/>
              </w:rPr>
            </w:pPr>
            <w:r w:rsidRPr="0060721D">
              <w:rPr>
                <w:rFonts w:ascii="Times New Roman" w:eastAsia="Times New Roman" w:hAnsi="Times New Roman"/>
                <w:lang w:eastAsia="ru-RU"/>
              </w:rPr>
              <w:t>5,7</w:t>
            </w:r>
          </w:p>
        </w:tc>
        <w:tc>
          <w:tcPr>
            <w:tcW w:w="3437" w:type="dxa"/>
            <w:gridSpan w:val="2"/>
            <w:hideMark/>
          </w:tcPr>
          <w:p w14:paraId="0BA97A95" w14:textId="77777777" w:rsidR="0060721D" w:rsidRPr="0060721D" w:rsidRDefault="0060721D" w:rsidP="0060721D">
            <w:pPr>
              <w:jc w:val="center"/>
              <w:rPr>
                <w:rFonts w:ascii="Times New Roman" w:eastAsia="Times New Roman" w:hAnsi="Times New Roman"/>
                <w:b/>
                <w:bCs/>
                <w:lang w:val="ro-RO" w:eastAsia="ru-RU"/>
              </w:rPr>
            </w:pPr>
            <w:r w:rsidRPr="0060721D">
              <w:rPr>
                <w:rFonts w:ascii="Times New Roman" w:eastAsia="Times New Roman" w:hAnsi="Times New Roman"/>
                <w:b/>
                <w:bCs/>
                <w:lang w:val="ro-RO" w:eastAsia="ru-RU"/>
              </w:rPr>
              <w:t>Promovarea tehnologiilor de</w:t>
            </w:r>
            <w:r w:rsidRPr="0060721D">
              <w:rPr>
                <w:rFonts w:ascii="Times New Roman" w:eastAsia="Times New Roman" w:hAnsi="Times New Roman"/>
                <w:lang w:val="ro-RO" w:eastAsia="ru-RU"/>
              </w:rPr>
              <w:t xml:space="preserve"> </w:t>
            </w:r>
            <w:proofErr w:type="spellStart"/>
            <w:r w:rsidRPr="0060721D">
              <w:rPr>
                <w:rFonts w:ascii="Times New Roman" w:eastAsia="Times New Roman" w:hAnsi="Times New Roman"/>
                <w:lang w:val="ro-RO" w:eastAsia="ru-RU"/>
              </w:rPr>
              <w:t>alimentaţie</w:t>
            </w:r>
            <w:proofErr w:type="spellEnd"/>
            <w:r w:rsidRPr="0060721D">
              <w:rPr>
                <w:rFonts w:ascii="Times New Roman" w:eastAsia="Times New Roman" w:hAnsi="Times New Roman"/>
                <w:lang w:val="ro-RO" w:eastAsia="ru-RU"/>
              </w:rPr>
              <w:t xml:space="preserve"> a taurinelor prin utilizarea furajelor în formă de amestecuri unice (</w:t>
            </w:r>
            <w:proofErr w:type="spellStart"/>
            <w:r w:rsidRPr="0060721D">
              <w:rPr>
                <w:rFonts w:ascii="Times New Roman" w:eastAsia="Times New Roman" w:hAnsi="Times New Roman"/>
                <w:lang w:val="ro-RO" w:eastAsia="ru-RU"/>
              </w:rPr>
              <w:t>monoraţie</w:t>
            </w:r>
            <w:proofErr w:type="spellEnd"/>
            <w:r w:rsidRPr="0060721D">
              <w:rPr>
                <w:rFonts w:ascii="Times New Roman" w:eastAsia="Times New Roman" w:hAnsi="Times New Roman"/>
                <w:lang w:val="ro-RO" w:eastAsia="ru-RU"/>
              </w:rPr>
              <w:t xml:space="preserve">), fără sau cu </w:t>
            </w:r>
            <w:proofErr w:type="spellStart"/>
            <w:r w:rsidRPr="0060721D">
              <w:rPr>
                <w:rFonts w:ascii="Times New Roman" w:eastAsia="Times New Roman" w:hAnsi="Times New Roman"/>
                <w:b/>
                <w:bCs/>
                <w:lang w:val="ro-RO" w:eastAsia="ru-RU"/>
              </w:rPr>
              <w:t>cantităţi</w:t>
            </w:r>
            <w:proofErr w:type="spellEnd"/>
            <w:r w:rsidRPr="0060721D">
              <w:rPr>
                <w:rFonts w:ascii="Times New Roman" w:eastAsia="Times New Roman" w:hAnsi="Times New Roman"/>
                <w:b/>
                <w:bCs/>
                <w:lang w:val="ro-RO" w:eastAsia="ru-RU"/>
              </w:rPr>
              <w:t xml:space="preserve"> mici de </w:t>
            </w:r>
            <w:proofErr w:type="spellStart"/>
            <w:r w:rsidRPr="0060721D">
              <w:rPr>
                <w:rFonts w:ascii="Times New Roman" w:eastAsia="Times New Roman" w:hAnsi="Times New Roman"/>
                <w:b/>
                <w:bCs/>
                <w:lang w:val="ro-RO" w:eastAsia="ru-RU"/>
              </w:rPr>
              <w:t>nutreţuri</w:t>
            </w:r>
            <w:proofErr w:type="spellEnd"/>
            <w:r w:rsidRPr="0060721D">
              <w:rPr>
                <w:rFonts w:ascii="Times New Roman" w:eastAsia="Times New Roman" w:hAnsi="Times New Roman"/>
                <w:b/>
                <w:bCs/>
                <w:lang w:val="ro-RO" w:eastAsia="ru-RU"/>
              </w:rPr>
              <w:t xml:space="preserve"> verzi</w:t>
            </w:r>
          </w:p>
        </w:tc>
        <w:tc>
          <w:tcPr>
            <w:tcW w:w="1949" w:type="dxa"/>
            <w:hideMark/>
          </w:tcPr>
          <w:p w14:paraId="7FD0599A" w14:textId="77777777" w:rsidR="0060721D" w:rsidRPr="0060721D" w:rsidRDefault="0060721D" w:rsidP="0060721D">
            <w:pPr>
              <w:jc w:val="center"/>
              <w:rPr>
                <w:rFonts w:ascii="Times New Roman" w:hAnsi="Times New Roman"/>
              </w:rPr>
            </w:pPr>
            <w:proofErr w:type="spellStart"/>
            <w:r w:rsidRPr="0060721D">
              <w:rPr>
                <w:rFonts w:ascii="Times New Roman" w:hAnsi="Times New Roman"/>
              </w:rPr>
              <w:t>Tehnologie</w:t>
            </w:r>
            <w:proofErr w:type="spellEnd"/>
            <w:r w:rsidRPr="0060721D">
              <w:rPr>
                <w:rFonts w:ascii="Times New Roman" w:hAnsi="Times New Roman"/>
              </w:rPr>
              <w:t xml:space="preserve"> pe </w:t>
            </w:r>
            <w:proofErr w:type="spellStart"/>
            <w:r w:rsidRPr="0060721D">
              <w:rPr>
                <w:rFonts w:ascii="Times New Roman" w:hAnsi="Times New Roman"/>
              </w:rPr>
              <w:t>larg</w:t>
            </w:r>
            <w:proofErr w:type="spellEnd"/>
            <w:r w:rsidRPr="0060721D">
              <w:rPr>
                <w:rFonts w:ascii="Times New Roman" w:hAnsi="Times New Roman"/>
              </w:rPr>
              <w:t xml:space="preserve"> </w:t>
            </w:r>
            <w:proofErr w:type="spellStart"/>
            <w:r w:rsidRPr="0060721D">
              <w:rPr>
                <w:rFonts w:ascii="Times New Roman" w:hAnsi="Times New Roman"/>
              </w:rPr>
              <w:t>utilizată</w:t>
            </w:r>
            <w:proofErr w:type="spellEnd"/>
            <w:r w:rsidRPr="0060721D">
              <w:rPr>
                <w:rFonts w:ascii="Times New Roman" w:hAnsi="Times New Roman"/>
              </w:rPr>
              <w:t xml:space="preserve"> </w:t>
            </w:r>
            <w:proofErr w:type="spellStart"/>
            <w:r w:rsidRPr="0060721D">
              <w:rPr>
                <w:rFonts w:ascii="Times New Roman" w:hAnsi="Times New Roman"/>
              </w:rPr>
              <w:t>în</w:t>
            </w:r>
            <w:proofErr w:type="spellEnd"/>
            <w:r w:rsidRPr="0060721D">
              <w:rPr>
                <w:rFonts w:ascii="Times New Roman" w:hAnsi="Times New Roman"/>
              </w:rPr>
              <w:t xml:space="preserve"> </w:t>
            </w:r>
            <w:proofErr w:type="spellStart"/>
            <w:r w:rsidRPr="0060721D">
              <w:rPr>
                <w:rFonts w:ascii="Times New Roman" w:hAnsi="Times New Roman"/>
              </w:rPr>
              <w:t>ţările</w:t>
            </w:r>
            <w:proofErr w:type="spellEnd"/>
            <w:r w:rsidRPr="0060721D">
              <w:rPr>
                <w:rFonts w:ascii="Times New Roman" w:hAnsi="Times New Roman"/>
              </w:rPr>
              <w:t xml:space="preserve"> cu o </w:t>
            </w:r>
            <w:proofErr w:type="spellStart"/>
            <w:r w:rsidRPr="0060721D">
              <w:rPr>
                <w:rFonts w:ascii="Times New Roman" w:hAnsi="Times New Roman"/>
              </w:rPr>
              <w:t>zootehnie</w:t>
            </w:r>
            <w:proofErr w:type="spellEnd"/>
            <w:r w:rsidRPr="0060721D">
              <w:rPr>
                <w:rFonts w:ascii="Times New Roman" w:hAnsi="Times New Roman"/>
              </w:rPr>
              <w:t xml:space="preserve"> </w:t>
            </w:r>
            <w:proofErr w:type="spellStart"/>
            <w:r w:rsidRPr="0060721D">
              <w:rPr>
                <w:rFonts w:ascii="Times New Roman" w:hAnsi="Times New Roman"/>
              </w:rPr>
              <w:t>dezvoltată</w:t>
            </w:r>
            <w:proofErr w:type="spellEnd"/>
            <w:r w:rsidRPr="0060721D">
              <w:rPr>
                <w:rFonts w:ascii="Times New Roman" w:hAnsi="Times New Roman"/>
              </w:rPr>
              <w:t xml:space="preserve">. </w:t>
            </w:r>
            <w:proofErr w:type="spellStart"/>
            <w:r w:rsidRPr="0060721D">
              <w:rPr>
                <w:rFonts w:ascii="Times New Roman" w:hAnsi="Times New Roman"/>
              </w:rPr>
              <w:t>În</w:t>
            </w:r>
            <w:proofErr w:type="spellEnd"/>
            <w:r w:rsidRPr="0060721D">
              <w:rPr>
                <w:rFonts w:ascii="Times New Roman" w:hAnsi="Times New Roman"/>
              </w:rPr>
              <w:t xml:space="preserve"> </w:t>
            </w:r>
            <w:proofErr w:type="spellStart"/>
            <w:r w:rsidRPr="0060721D">
              <w:rPr>
                <w:rFonts w:ascii="Times New Roman" w:hAnsi="Times New Roman"/>
              </w:rPr>
              <w:t>Republica</w:t>
            </w:r>
            <w:proofErr w:type="spellEnd"/>
            <w:r w:rsidRPr="0060721D">
              <w:rPr>
                <w:rFonts w:ascii="Times New Roman" w:hAnsi="Times New Roman"/>
              </w:rPr>
              <w:t xml:space="preserve"> Moldova </w:t>
            </w:r>
            <w:proofErr w:type="spellStart"/>
            <w:r w:rsidRPr="0060721D">
              <w:rPr>
                <w:rFonts w:ascii="Times New Roman" w:hAnsi="Times New Roman"/>
              </w:rPr>
              <w:t>această</w:t>
            </w:r>
            <w:proofErr w:type="spellEnd"/>
            <w:r w:rsidRPr="0060721D">
              <w:rPr>
                <w:rFonts w:ascii="Times New Roman" w:hAnsi="Times New Roman"/>
              </w:rPr>
              <w:t xml:space="preserve"> </w:t>
            </w:r>
            <w:proofErr w:type="spellStart"/>
            <w:r w:rsidRPr="0060721D">
              <w:rPr>
                <w:rFonts w:ascii="Times New Roman" w:hAnsi="Times New Roman"/>
              </w:rPr>
              <w:t>tehnologie</w:t>
            </w:r>
            <w:proofErr w:type="spellEnd"/>
            <w:r w:rsidRPr="0060721D">
              <w:rPr>
                <w:rFonts w:ascii="Times New Roman" w:hAnsi="Times New Roman"/>
              </w:rPr>
              <w:t xml:space="preserve"> </w:t>
            </w:r>
            <w:proofErr w:type="spellStart"/>
            <w:r w:rsidRPr="0060721D">
              <w:rPr>
                <w:rFonts w:ascii="Times New Roman" w:hAnsi="Times New Roman"/>
              </w:rPr>
              <w:t>este</w:t>
            </w:r>
            <w:proofErr w:type="spellEnd"/>
            <w:r w:rsidRPr="0060721D">
              <w:rPr>
                <w:rFonts w:ascii="Times New Roman" w:hAnsi="Times New Roman"/>
              </w:rPr>
              <w:t xml:space="preserve"> </w:t>
            </w:r>
            <w:proofErr w:type="spellStart"/>
            <w:r w:rsidRPr="0060721D">
              <w:rPr>
                <w:rFonts w:ascii="Times New Roman" w:hAnsi="Times New Roman"/>
              </w:rPr>
              <w:t>în</w:t>
            </w:r>
            <w:proofErr w:type="spellEnd"/>
            <w:r w:rsidRPr="0060721D">
              <w:rPr>
                <w:rFonts w:ascii="Times New Roman" w:hAnsi="Times New Roman"/>
              </w:rPr>
              <w:t xml:space="preserve"> </w:t>
            </w:r>
            <w:proofErr w:type="spellStart"/>
            <w:r w:rsidRPr="0060721D">
              <w:rPr>
                <w:rFonts w:ascii="Times New Roman" w:hAnsi="Times New Roman"/>
              </w:rPr>
              <w:t>proces</w:t>
            </w:r>
            <w:proofErr w:type="spellEnd"/>
            <w:r w:rsidRPr="0060721D">
              <w:rPr>
                <w:rFonts w:ascii="Times New Roman" w:hAnsi="Times New Roman"/>
              </w:rPr>
              <w:t xml:space="preserve"> de </w:t>
            </w:r>
            <w:proofErr w:type="spellStart"/>
            <w:r w:rsidRPr="0060721D">
              <w:rPr>
                <w:rFonts w:ascii="Times New Roman" w:hAnsi="Times New Roman"/>
              </w:rPr>
              <w:t>implementare</w:t>
            </w:r>
            <w:proofErr w:type="spellEnd"/>
            <w:r w:rsidRPr="0060721D">
              <w:rPr>
                <w:rFonts w:ascii="Times New Roman" w:hAnsi="Times New Roman"/>
              </w:rPr>
              <w:t xml:space="preserve">, </w:t>
            </w:r>
            <w:proofErr w:type="spellStart"/>
            <w:r w:rsidRPr="0060721D">
              <w:rPr>
                <w:rFonts w:ascii="Times New Roman" w:hAnsi="Times New Roman"/>
              </w:rPr>
              <w:t>actualmente</w:t>
            </w:r>
            <w:proofErr w:type="spellEnd"/>
            <w:r w:rsidRPr="0060721D">
              <w:rPr>
                <w:rFonts w:ascii="Times New Roman" w:hAnsi="Times New Roman"/>
              </w:rPr>
              <w:t xml:space="preserve"> se </w:t>
            </w:r>
            <w:proofErr w:type="spellStart"/>
            <w:r w:rsidRPr="0060721D">
              <w:rPr>
                <w:rFonts w:ascii="Times New Roman" w:hAnsi="Times New Roman"/>
              </w:rPr>
              <w:t>utilizează</w:t>
            </w:r>
            <w:proofErr w:type="spellEnd"/>
            <w:r w:rsidRPr="0060721D">
              <w:rPr>
                <w:rFonts w:ascii="Times New Roman" w:hAnsi="Times New Roman"/>
              </w:rPr>
              <w:t xml:space="preserve"> </w:t>
            </w:r>
            <w:proofErr w:type="spellStart"/>
            <w:r w:rsidRPr="0060721D">
              <w:rPr>
                <w:rFonts w:ascii="Times New Roman" w:hAnsi="Times New Roman"/>
              </w:rPr>
              <w:t>aproximativ</w:t>
            </w:r>
            <w:proofErr w:type="spellEnd"/>
            <w:r w:rsidRPr="0060721D">
              <w:rPr>
                <w:rFonts w:ascii="Times New Roman" w:hAnsi="Times New Roman"/>
              </w:rPr>
              <w:t xml:space="preserve"> la15-20% din </w:t>
            </w:r>
            <w:proofErr w:type="spellStart"/>
            <w:r w:rsidRPr="0060721D">
              <w:rPr>
                <w:rFonts w:ascii="Times New Roman" w:hAnsi="Times New Roman"/>
              </w:rPr>
              <w:t>şeptelul</w:t>
            </w:r>
            <w:proofErr w:type="spellEnd"/>
            <w:r w:rsidRPr="0060721D">
              <w:rPr>
                <w:rFonts w:ascii="Times New Roman" w:hAnsi="Times New Roman"/>
              </w:rPr>
              <w:t xml:space="preserve"> de taurine. </w:t>
            </w:r>
            <w:proofErr w:type="spellStart"/>
            <w:r w:rsidRPr="0060721D">
              <w:rPr>
                <w:rFonts w:ascii="Times New Roman" w:hAnsi="Times New Roman"/>
              </w:rPr>
              <w:t>Deosebirea</w:t>
            </w:r>
            <w:proofErr w:type="spellEnd"/>
            <w:r w:rsidRPr="0060721D">
              <w:rPr>
                <w:rFonts w:ascii="Times New Roman" w:hAnsi="Times New Roman"/>
              </w:rPr>
              <w:t xml:space="preserve"> </w:t>
            </w:r>
            <w:proofErr w:type="spellStart"/>
            <w:r w:rsidRPr="0060721D">
              <w:rPr>
                <w:rFonts w:ascii="Times New Roman" w:hAnsi="Times New Roman"/>
              </w:rPr>
              <w:t>principală</w:t>
            </w:r>
            <w:proofErr w:type="spellEnd"/>
            <w:r w:rsidRPr="0060721D">
              <w:rPr>
                <w:rFonts w:ascii="Times New Roman" w:hAnsi="Times New Roman"/>
              </w:rPr>
              <w:t xml:space="preserve"> a </w:t>
            </w:r>
            <w:proofErr w:type="spellStart"/>
            <w:r w:rsidRPr="0060721D">
              <w:rPr>
                <w:rFonts w:ascii="Times New Roman" w:hAnsi="Times New Roman"/>
              </w:rPr>
              <w:t>acestei</w:t>
            </w:r>
            <w:proofErr w:type="spellEnd"/>
            <w:r w:rsidRPr="0060721D">
              <w:rPr>
                <w:rFonts w:ascii="Times New Roman" w:hAnsi="Times New Roman"/>
              </w:rPr>
              <w:t xml:space="preserve"> </w:t>
            </w:r>
            <w:proofErr w:type="spellStart"/>
            <w:r w:rsidRPr="0060721D">
              <w:rPr>
                <w:rFonts w:ascii="Times New Roman" w:hAnsi="Times New Roman"/>
              </w:rPr>
              <w:t>tehnologii</w:t>
            </w:r>
            <w:proofErr w:type="spellEnd"/>
            <w:r w:rsidRPr="0060721D">
              <w:rPr>
                <w:rFonts w:ascii="Times New Roman" w:hAnsi="Times New Roman"/>
              </w:rPr>
              <w:t xml:space="preserve"> </w:t>
            </w:r>
            <w:proofErr w:type="spellStart"/>
            <w:r w:rsidRPr="0060721D">
              <w:rPr>
                <w:rFonts w:ascii="Times New Roman" w:hAnsi="Times New Roman"/>
              </w:rPr>
              <w:t>constă</w:t>
            </w:r>
            <w:proofErr w:type="spellEnd"/>
            <w:r w:rsidRPr="0060721D">
              <w:rPr>
                <w:rFonts w:ascii="Times New Roman" w:hAnsi="Times New Roman"/>
              </w:rPr>
              <w:t xml:space="preserve"> </w:t>
            </w:r>
            <w:proofErr w:type="spellStart"/>
            <w:r w:rsidRPr="0060721D">
              <w:rPr>
                <w:rFonts w:ascii="Times New Roman" w:hAnsi="Times New Roman"/>
              </w:rPr>
              <w:t>în</w:t>
            </w:r>
            <w:proofErr w:type="spellEnd"/>
            <w:r w:rsidRPr="0060721D">
              <w:rPr>
                <w:rFonts w:ascii="Times New Roman" w:hAnsi="Times New Roman"/>
              </w:rPr>
              <w:t xml:space="preserve"> </w:t>
            </w:r>
            <w:proofErr w:type="spellStart"/>
            <w:r w:rsidRPr="0060721D">
              <w:rPr>
                <w:rFonts w:ascii="Times New Roman" w:hAnsi="Times New Roman"/>
              </w:rPr>
              <w:t>faptul</w:t>
            </w:r>
            <w:proofErr w:type="spellEnd"/>
            <w:r w:rsidRPr="0060721D">
              <w:rPr>
                <w:rFonts w:ascii="Times New Roman" w:hAnsi="Times New Roman"/>
              </w:rPr>
              <w:t xml:space="preserve"> </w:t>
            </w:r>
            <w:proofErr w:type="spellStart"/>
            <w:r w:rsidRPr="0060721D">
              <w:rPr>
                <w:rFonts w:ascii="Times New Roman" w:hAnsi="Times New Roman"/>
              </w:rPr>
              <w:t>că</w:t>
            </w:r>
            <w:proofErr w:type="spellEnd"/>
            <w:r w:rsidRPr="0060721D">
              <w:rPr>
                <w:rFonts w:ascii="Times New Roman" w:hAnsi="Times New Roman"/>
              </w:rPr>
              <w:t xml:space="preserve"> </w:t>
            </w:r>
            <w:proofErr w:type="spellStart"/>
            <w:r w:rsidRPr="0060721D">
              <w:rPr>
                <w:rFonts w:ascii="Times New Roman" w:hAnsi="Times New Roman"/>
              </w:rPr>
              <w:t>raţiile</w:t>
            </w:r>
            <w:proofErr w:type="spellEnd"/>
            <w:r w:rsidRPr="0060721D">
              <w:rPr>
                <w:rFonts w:ascii="Times New Roman" w:hAnsi="Times New Roman"/>
              </w:rPr>
              <w:t xml:space="preserve"> calculate, </w:t>
            </w:r>
            <w:proofErr w:type="spellStart"/>
            <w:r w:rsidRPr="0060721D">
              <w:rPr>
                <w:rFonts w:ascii="Times New Roman" w:hAnsi="Times New Roman"/>
              </w:rPr>
              <w:t>reieşind</w:t>
            </w:r>
            <w:proofErr w:type="spellEnd"/>
            <w:r w:rsidRPr="0060721D">
              <w:rPr>
                <w:rFonts w:ascii="Times New Roman" w:hAnsi="Times New Roman"/>
              </w:rPr>
              <w:t xml:space="preserve"> din </w:t>
            </w:r>
            <w:proofErr w:type="spellStart"/>
            <w:r w:rsidRPr="0060721D">
              <w:rPr>
                <w:rFonts w:ascii="Times New Roman" w:hAnsi="Times New Roman"/>
              </w:rPr>
              <w:t>cerinţele</w:t>
            </w:r>
            <w:proofErr w:type="spellEnd"/>
            <w:r w:rsidRPr="0060721D">
              <w:rPr>
                <w:rFonts w:ascii="Times New Roman" w:hAnsi="Times New Roman"/>
              </w:rPr>
              <w:t xml:space="preserve"> </w:t>
            </w:r>
            <w:proofErr w:type="spellStart"/>
            <w:r w:rsidRPr="0060721D">
              <w:rPr>
                <w:rFonts w:ascii="Times New Roman" w:hAnsi="Times New Roman"/>
              </w:rPr>
              <w:t>fiziologice</w:t>
            </w:r>
            <w:proofErr w:type="spellEnd"/>
            <w:r w:rsidRPr="0060721D">
              <w:rPr>
                <w:rFonts w:ascii="Times New Roman" w:hAnsi="Times New Roman"/>
              </w:rPr>
              <w:t xml:space="preserve"> ale </w:t>
            </w:r>
            <w:proofErr w:type="spellStart"/>
            <w:r w:rsidRPr="0060721D">
              <w:rPr>
                <w:rFonts w:ascii="Times New Roman" w:hAnsi="Times New Roman"/>
              </w:rPr>
              <w:t>animalelor</w:t>
            </w:r>
            <w:proofErr w:type="spellEnd"/>
            <w:r w:rsidRPr="0060721D">
              <w:rPr>
                <w:rFonts w:ascii="Times New Roman" w:hAnsi="Times New Roman"/>
              </w:rPr>
              <w:t>,  </w:t>
            </w:r>
            <w:proofErr w:type="spellStart"/>
            <w:r w:rsidRPr="0060721D">
              <w:rPr>
                <w:rFonts w:ascii="Times New Roman" w:hAnsi="Times New Roman"/>
              </w:rPr>
              <w:t>formate</w:t>
            </w:r>
            <w:proofErr w:type="spellEnd"/>
            <w:r w:rsidRPr="0060721D">
              <w:rPr>
                <w:rFonts w:ascii="Times New Roman" w:hAnsi="Times New Roman"/>
              </w:rPr>
              <w:t xml:space="preserve"> din </w:t>
            </w:r>
            <w:proofErr w:type="spellStart"/>
            <w:r w:rsidRPr="0060721D">
              <w:rPr>
                <w:rFonts w:ascii="Times New Roman" w:hAnsi="Times New Roman"/>
              </w:rPr>
              <w:t>nutreţuri</w:t>
            </w:r>
            <w:proofErr w:type="spellEnd"/>
            <w:r w:rsidRPr="0060721D">
              <w:rPr>
                <w:rFonts w:ascii="Times New Roman" w:hAnsi="Times New Roman"/>
              </w:rPr>
              <w:t xml:space="preserve"> </w:t>
            </w:r>
            <w:proofErr w:type="spellStart"/>
            <w:r w:rsidRPr="0060721D">
              <w:rPr>
                <w:rFonts w:ascii="Times New Roman" w:hAnsi="Times New Roman"/>
              </w:rPr>
              <w:t>voluminoase</w:t>
            </w:r>
            <w:proofErr w:type="spellEnd"/>
            <w:r w:rsidRPr="0060721D">
              <w:rPr>
                <w:rFonts w:ascii="Times New Roman" w:hAnsi="Times New Roman"/>
              </w:rPr>
              <w:t xml:space="preserve">, </w:t>
            </w:r>
            <w:proofErr w:type="spellStart"/>
            <w:r w:rsidRPr="0060721D">
              <w:rPr>
                <w:rFonts w:ascii="Times New Roman" w:hAnsi="Times New Roman"/>
              </w:rPr>
              <w:t>grosiere</w:t>
            </w:r>
            <w:proofErr w:type="spellEnd"/>
            <w:r w:rsidRPr="0060721D">
              <w:rPr>
                <w:rFonts w:ascii="Times New Roman" w:hAnsi="Times New Roman"/>
              </w:rPr>
              <w:t xml:space="preserve">, </w:t>
            </w:r>
            <w:proofErr w:type="spellStart"/>
            <w:r w:rsidRPr="0060721D">
              <w:rPr>
                <w:rFonts w:ascii="Times New Roman" w:hAnsi="Times New Roman"/>
              </w:rPr>
              <w:t>suculente</w:t>
            </w:r>
            <w:proofErr w:type="spellEnd"/>
            <w:r w:rsidRPr="0060721D">
              <w:rPr>
                <w:rFonts w:ascii="Times New Roman" w:hAnsi="Times New Roman"/>
              </w:rPr>
              <w:t xml:space="preserve">, concentrate, </w:t>
            </w:r>
            <w:proofErr w:type="spellStart"/>
            <w:r w:rsidRPr="0060721D">
              <w:rPr>
                <w:rFonts w:ascii="Times New Roman" w:hAnsi="Times New Roman"/>
              </w:rPr>
              <w:t>adaosuri</w:t>
            </w:r>
            <w:proofErr w:type="spellEnd"/>
            <w:r w:rsidRPr="0060721D">
              <w:rPr>
                <w:rFonts w:ascii="Times New Roman" w:hAnsi="Times New Roman"/>
              </w:rPr>
              <w:t xml:space="preserve"> </w:t>
            </w:r>
            <w:proofErr w:type="spellStart"/>
            <w:r w:rsidRPr="0060721D">
              <w:rPr>
                <w:rFonts w:ascii="Times New Roman" w:hAnsi="Times New Roman"/>
              </w:rPr>
              <w:t>proteino-vitamino-minerale</w:t>
            </w:r>
            <w:proofErr w:type="spellEnd"/>
            <w:r w:rsidRPr="0060721D">
              <w:rPr>
                <w:rFonts w:ascii="Times New Roman" w:hAnsi="Times New Roman"/>
              </w:rPr>
              <w:t xml:space="preserve">, se </w:t>
            </w:r>
            <w:proofErr w:type="spellStart"/>
            <w:r w:rsidRPr="0060721D">
              <w:rPr>
                <w:rFonts w:ascii="Times New Roman" w:hAnsi="Times New Roman"/>
              </w:rPr>
              <w:t>amestecă</w:t>
            </w:r>
            <w:proofErr w:type="spellEnd"/>
            <w:r w:rsidRPr="0060721D">
              <w:rPr>
                <w:rFonts w:ascii="Times New Roman" w:hAnsi="Times New Roman"/>
              </w:rPr>
              <w:t xml:space="preserve"> uniform cu </w:t>
            </w:r>
            <w:proofErr w:type="spellStart"/>
            <w:r w:rsidRPr="0060721D">
              <w:rPr>
                <w:rFonts w:ascii="Times New Roman" w:hAnsi="Times New Roman"/>
              </w:rPr>
              <w:t>utilaje</w:t>
            </w:r>
            <w:proofErr w:type="spellEnd"/>
            <w:r w:rsidRPr="0060721D">
              <w:rPr>
                <w:rFonts w:ascii="Times New Roman" w:hAnsi="Times New Roman"/>
              </w:rPr>
              <w:t xml:space="preserve"> </w:t>
            </w:r>
            <w:proofErr w:type="spellStart"/>
            <w:r w:rsidRPr="0060721D">
              <w:rPr>
                <w:rFonts w:ascii="Times New Roman" w:hAnsi="Times New Roman"/>
              </w:rPr>
              <w:t>speciale</w:t>
            </w:r>
            <w:proofErr w:type="spellEnd"/>
            <w:r w:rsidRPr="0060721D">
              <w:rPr>
                <w:rFonts w:ascii="Times New Roman" w:hAnsi="Times New Roman"/>
              </w:rPr>
              <w:t xml:space="preserve"> (</w:t>
            </w:r>
            <w:proofErr w:type="spellStart"/>
            <w:r w:rsidRPr="0060721D">
              <w:rPr>
                <w:rFonts w:ascii="Times New Roman" w:hAnsi="Times New Roman"/>
              </w:rPr>
              <w:t>mixtere</w:t>
            </w:r>
            <w:proofErr w:type="spellEnd"/>
            <w:r w:rsidRPr="0060721D">
              <w:rPr>
                <w:rFonts w:ascii="Times New Roman" w:hAnsi="Times New Roman"/>
              </w:rPr>
              <w:t xml:space="preserve">) </w:t>
            </w:r>
            <w:proofErr w:type="spellStart"/>
            <w:r w:rsidRPr="0060721D">
              <w:rPr>
                <w:rFonts w:ascii="Times New Roman" w:hAnsi="Times New Roman"/>
              </w:rPr>
              <w:t>şi</w:t>
            </w:r>
            <w:proofErr w:type="spellEnd"/>
            <w:r w:rsidRPr="0060721D">
              <w:rPr>
                <w:rFonts w:ascii="Times New Roman" w:hAnsi="Times New Roman"/>
              </w:rPr>
              <w:t xml:space="preserve"> se </w:t>
            </w:r>
            <w:proofErr w:type="spellStart"/>
            <w:r w:rsidRPr="0060721D">
              <w:rPr>
                <w:rFonts w:ascii="Times New Roman" w:hAnsi="Times New Roman"/>
              </w:rPr>
              <w:t>distribuie</w:t>
            </w:r>
            <w:proofErr w:type="spellEnd"/>
            <w:r w:rsidRPr="0060721D">
              <w:rPr>
                <w:rFonts w:ascii="Times New Roman" w:hAnsi="Times New Roman"/>
              </w:rPr>
              <w:t xml:space="preserve"> </w:t>
            </w:r>
            <w:proofErr w:type="spellStart"/>
            <w:r w:rsidRPr="0060721D">
              <w:rPr>
                <w:rFonts w:ascii="Times New Roman" w:hAnsi="Times New Roman"/>
              </w:rPr>
              <w:t>animalelor</w:t>
            </w:r>
            <w:proofErr w:type="spellEnd"/>
            <w:r w:rsidRPr="0060721D">
              <w:rPr>
                <w:rFonts w:ascii="Times New Roman" w:hAnsi="Times New Roman"/>
              </w:rPr>
              <w:t xml:space="preserve"> </w:t>
            </w:r>
            <w:proofErr w:type="spellStart"/>
            <w:r w:rsidRPr="0060721D">
              <w:rPr>
                <w:rFonts w:ascii="Times New Roman" w:hAnsi="Times New Roman"/>
              </w:rPr>
              <w:t>în</w:t>
            </w:r>
            <w:proofErr w:type="spellEnd"/>
            <w:r w:rsidRPr="0060721D">
              <w:rPr>
                <w:rFonts w:ascii="Times New Roman" w:hAnsi="Times New Roman"/>
              </w:rPr>
              <w:t xml:space="preserve"> </w:t>
            </w:r>
            <w:proofErr w:type="spellStart"/>
            <w:r w:rsidRPr="0060721D">
              <w:rPr>
                <w:rFonts w:ascii="Times New Roman" w:hAnsi="Times New Roman"/>
              </w:rPr>
              <w:t>formă</w:t>
            </w:r>
            <w:proofErr w:type="spellEnd"/>
            <w:r w:rsidRPr="0060721D">
              <w:rPr>
                <w:rFonts w:ascii="Times New Roman" w:hAnsi="Times New Roman"/>
              </w:rPr>
              <w:t xml:space="preserve"> de </w:t>
            </w:r>
            <w:proofErr w:type="spellStart"/>
            <w:r w:rsidRPr="0060721D">
              <w:rPr>
                <w:rFonts w:ascii="Times New Roman" w:hAnsi="Times New Roman"/>
              </w:rPr>
              <w:t>amestec</w:t>
            </w:r>
            <w:proofErr w:type="spellEnd"/>
            <w:r w:rsidRPr="0060721D">
              <w:rPr>
                <w:rFonts w:ascii="Times New Roman" w:hAnsi="Times New Roman"/>
              </w:rPr>
              <w:t xml:space="preserve"> </w:t>
            </w:r>
            <w:proofErr w:type="spellStart"/>
            <w:r w:rsidRPr="0060721D">
              <w:rPr>
                <w:rFonts w:ascii="Times New Roman" w:hAnsi="Times New Roman"/>
              </w:rPr>
              <w:t>unic</w:t>
            </w:r>
            <w:proofErr w:type="spellEnd"/>
            <w:r w:rsidRPr="0060721D">
              <w:rPr>
                <w:rFonts w:ascii="Times New Roman" w:hAnsi="Times New Roman"/>
              </w:rPr>
              <w:t xml:space="preserve">. </w:t>
            </w:r>
            <w:proofErr w:type="spellStart"/>
            <w:r w:rsidRPr="0060721D">
              <w:rPr>
                <w:rFonts w:ascii="Times New Roman" w:hAnsi="Times New Roman"/>
              </w:rPr>
              <w:t>Acest</w:t>
            </w:r>
            <w:proofErr w:type="spellEnd"/>
            <w:r w:rsidRPr="0060721D">
              <w:rPr>
                <w:rFonts w:ascii="Times New Roman" w:hAnsi="Times New Roman"/>
              </w:rPr>
              <w:t xml:space="preserve"> </w:t>
            </w:r>
            <w:r w:rsidRPr="0060721D">
              <w:rPr>
                <w:rFonts w:ascii="Times New Roman" w:hAnsi="Times New Roman"/>
              </w:rPr>
              <w:lastRenderedPageBreak/>
              <w:t>moment  </w:t>
            </w:r>
            <w:proofErr w:type="spellStart"/>
            <w:r w:rsidRPr="0060721D">
              <w:rPr>
                <w:rFonts w:ascii="Times New Roman" w:hAnsi="Times New Roman"/>
              </w:rPr>
              <w:t>influenţează</w:t>
            </w:r>
            <w:proofErr w:type="spellEnd"/>
            <w:r w:rsidRPr="0060721D">
              <w:rPr>
                <w:rFonts w:ascii="Times New Roman" w:hAnsi="Times New Roman"/>
              </w:rPr>
              <w:t xml:space="preserve"> </w:t>
            </w:r>
            <w:proofErr w:type="spellStart"/>
            <w:r w:rsidRPr="0060721D">
              <w:rPr>
                <w:rFonts w:ascii="Times New Roman" w:hAnsi="Times New Roman"/>
              </w:rPr>
              <w:t>pozitiv</w:t>
            </w:r>
            <w:proofErr w:type="spellEnd"/>
            <w:r w:rsidRPr="0060721D">
              <w:rPr>
                <w:rFonts w:ascii="Times New Roman" w:hAnsi="Times New Roman"/>
              </w:rPr>
              <w:t xml:space="preserve"> </w:t>
            </w:r>
            <w:proofErr w:type="spellStart"/>
            <w:r w:rsidRPr="0060721D">
              <w:rPr>
                <w:rFonts w:ascii="Times New Roman" w:hAnsi="Times New Roman"/>
              </w:rPr>
              <w:t>nivelul</w:t>
            </w:r>
            <w:proofErr w:type="spellEnd"/>
            <w:r w:rsidRPr="0060721D">
              <w:rPr>
                <w:rFonts w:ascii="Times New Roman" w:hAnsi="Times New Roman"/>
              </w:rPr>
              <w:t xml:space="preserve"> de </w:t>
            </w:r>
            <w:proofErr w:type="spellStart"/>
            <w:r w:rsidRPr="0060721D">
              <w:rPr>
                <w:rFonts w:ascii="Times New Roman" w:hAnsi="Times New Roman"/>
              </w:rPr>
              <w:t>digestibilitate</w:t>
            </w:r>
            <w:proofErr w:type="spellEnd"/>
            <w:r w:rsidRPr="0060721D">
              <w:rPr>
                <w:rFonts w:ascii="Times New Roman" w:hAnsi="Times New Roman"/>
              </w:rPr>
              <w:t xml:space="preserve"> a </w:t>
            </w:r>
            <w:proofErr w:type="spellStart"/>
            <w:r w:rsidRPr="0060721D">
              <w:rPr>
                <w:rFonts w:ascii="Times New Roman" w:hAnsi="Times New Roman"/>
              </w:rPr>
              <w:t>nutreţurilor</w:t>
            </w:r>
            <w:proofErr w:type="spellEnd"/>
            <w:r w:rsidRPr="0060721D">
              <w:rPr>
                <w:rFonts w:ascii="Times New Roman" w:hAnsi="Times New Roman"/>
              </w:rPr>
              <w:t xml:space="preserve">, </w:t>
            </w:r>
            <w:proofErr w:type="spellStart"/>
            <w:r w:rsidRPr="0060721D">
              <w:rPr>
                <w:rFonts w:ascii="Times New Roman" w:hAnsi="Times New Roman"/>
              </w:rPr>
              <w:t>starea</w:t>
            </w:r>
            <w:proofErr w:type="spellEnd"/>
            <w:r w:rsidRPr="0060721D">
              <w:rPr>
                <w:rFonts w:ascii="Times New Roman" w:hAnsi="Times New Roman"/>
              </w:rPr>
              <w:t xml:space="preserve"> de </w:t>
            </w:r>
            <w:proofErr w:type="spellStart"/>
            <w:r w:rsidRPr="0060721D">
              <w:rPr>
                <w:rFonts w:ascii="Times New Roman" w:hAnsi="Times New Roman"/>
              </w:rPr>
              <w:t>sănătate</w:t>
            </w:r>
            <w:proofErr w:type="spellEnd"/>
            <w:r w:rsidRPr="0060721D">
              <w:rPr>
                <w:rFonts w:ascii="Times New Roman" w:hAnsi="Times New Roman"/>
              </w:rPr>
              <w:t xml:space="preserve"> a </w:t>
            </w:r>
            <w:proofErr w:type="spellStart"/>
            <w:r w:rsidRPr="0060721D">
              <w:rPr>
                <w:rFonts w:ascii="Times New Roman" w:hAnsi="Times New Roman"/>
              </w:rPr>
              <w:t>animalelor</w:t>
            </w:r>
            <w:proofErr w:type="spellEnd"/>
            <w:r w:rsidRPr="0060721D">
              <w:rPr>
                <w:rFonts w:ascii="Times New Roman" w:hAnsi="Times New Roman"/>
              </w:rPr>
              <w:t xml:space="preserve">, </w:t>
            </w:r>
            <w:proofErr w:type="spellStart"/>
            <w:r w:rsidRPr="0060721D">
              <w:rPr>
                <w:rFonts w:ascii="Times New Roman" w:hAnsi="Times New Roman"/>
              </w:rPr>
              <w:t>indicii</w:t>
            </w:r>
            <w:proofErr w:type="spellEnd"/>
            <w:r w:rsidRPr="0060721D">
              <w:rPr>
                <w:rFonts w:ascii="Times New Roman" w:hAnsi="Times New Roman"/>
              </w:rPr>
              <w:t xml:space="preserve"> de </w:t>
            </w:r>
            <w:proofErr w:type="spellStart"/>
            <w:r w:rsidRPr="0060721D">
              <w:rPr>
                <w:rFonts w:ascii="Times New Roman" w:hAnsi="Times New Roman"/>
              </w:rPr>
              <w:t>reproducţie</w:t>
            </w:r>
            <w:proofErr w:type="spellEnd"/>
            <w:r w:rsidRPr="0060721D">
              <w:rPr>
                <w:rFonts w:ascii="Times New Roman" w:hAnsi="Times New Roman"/>
              </w:rPr>
              <w:t xml:space="preserve"> </w:t>
            </w:r>
            <w:proofErr w:type="spellStart"/>
            <w:r w:rsidRPr="0060721D">
              <w:rPr>
                <w:rFonts w:ascii="Times New Roman" w:hAnsi="Times New Roman"/>
              </w:rPr>
              <w:t>şi</w:t>
            </w:r>
            <w:proofErr w:type="spellEnd"/>
            <w:r w:rsidRPr="0060721D">
              <w:rPr>
                <w:rFonts w:ascii="Times New Roman" w:hAnsi="Times New Roman"/>
              </w:rPr>
              <w:t xml:space="preserve">, ca </w:t>
            </w:r>
            <w:proofErr w:type="spellStart"/>
            <w:r w:rsidRPr="0060721D">
              <w:rPr>
                <w:rFonts w:ascii="Times New Roman" w:hAnsi="Times New Roman"/>
              </w:rPr>
              <w:t>rezultat</w:t>
            </w:r>
            <w:proofErr w:type="spellEnd"/>
            <w:r w:rsidRPr="0060721D">
              <w:rPr>
                <w:rFonts w:ascii="Times New Roman" w:hAnsi="Times New Roman"/>
              </w:rPr>
              <w:t xml:space="preserve"> final, </w:t>
            </w:r>
            <w:proofErr w:type="spellStart"/>
            <w:r w:rsidRPr="0060721D">
              <w:rPr>
                <w:rFonts w:ascii="Times New Roman" w:hAnsi="Times New Roman"/>
              </w:rPr>
              <w:t>creşterea</w:t>
            </w:r>
            <w:proofErr w:type="spellEnd"/>
            <w:r w:rsidRPr="0060721D">
              <w:rPr>
                <w:rFonts w:ascii="Times New Roman" w:hAnsi="Times New Roman"/>
              </w:rPr>
              <w:t xml:space="preserve"> </w:t>
            </w:r>
            <w:proofErr w:type="spellStart"/>
            <w:r w:rsidRPr="0060721D">
              <w:rPr>
                <w:rFonts w:ascii="Times New Roman" w:hAnsi="Times New Roman"/>
              </w:rPr>
              <w:t>productivităţii</w:t>
            </w:r>
            <w:proofErr w:type="spellEnd"/>
            <w:r w:rsidRPr="0060721D">
              <w:rPr>
                <w:rFonts w:ascii="Times New Roman" w:hAnsi="Times New Roman"/>
              </w:rPr>
              <w:t xml:space="preserve"> cu </w:t>
            </w:r>
            <w:proofErr w:type="spellStart"/>
            <w:r w:rsidRPr="0060721D">
              <w:rPr>
                <w:rFonts w:ascii="Times New Roman" w:hAnsi="Times New Roman"/>
              </w:rPr>
              <w:t>pînă</w:t>
            </w:r>
            <w:proofErr w:type="spellEnd"/>
            <w:r w:rsidRPr="0060721D">
              <w:rPr>
                <w:rFonts w:ascii="Times New Roman" w:hAnsi="Times New Roman"/>
              </w:rPr>
              <w:t xml:space="preserve"> la 20-25% </w:t>
            </w:r>
            <w:proofErr w:type="spellStart"/>
            <w:r w:rsidRPr="0060721D">
              <w:rPr>
                <w:rFonts w:ascii="Times New Roman" w:hAnsi="Times New Roman"/>
              </w:rPr>
              <w:t>faţă</w:t>
            </w:r>
            <w:proofErr w:type="spellEnd"/>
            <w:r w:rsidRPr="0060721D">
              <w:rPr>
                <w:rFonts w:ascii="Times New Roman" w:hAnsi="Times New Roman"/>
              </w:rPr>
              <w:t xml:space="preserve"> de </w:t>
            </w:r>
            <w:proofErr w:type="spellStart"/>
            <w:r w:rsidRPr="0060721D">
              <w:rPr>
                <w:rFonts w:ascii="Times New Roman" w:hAnsi="Times New Roman"/>
              </w:rPr>
              <w:t>tehnologia</w:t>
            </w:r>
            <w:proofErr w:type="spellEnd"/>
            <w:r w:rsidRPr="0060721D">
              <w:rPr>
                <w:rFonts w:ascii="Times New Roman" w:hAnsi="Times New Roman"/>
              </w:rPr>
              <w:t xml:space="preserve"> </w:t>
            </w:r>
            <w:proofErr w:type="spellStart"/>
            <w:r w:rsidRPr="0060721D">
              <w:rPr>
                <w:rFonts w:ascii="Times New Roman" w:hAnsi="Times New Roman"/>
              </w:rPr>
              <w:t>tradiţională</w:t>
            </w:r>
            <w:proofErr w:type="spellEnd"/>
          </w:p>
        </w:tc>
        <w:tc>
          <w:tcPr>
            <w:tcW w:w="1882" w:type="dxa"/>
            <w:gridSpan w:val="3"/>
            <w:hideMark/>
          </w:tcPr>
          <w:p w14:paraId="770A77F9" w14:textId="77777777" w:rsidR="0060721D" w:rsidRPr="0060721D" w:rsidRDefault="0060721D" w:rsidP="0060721D">
            <w:pPr>
              <w:jc w:val="center"/>
              <w:rPr>
                <w:rFonts w:ascii="Times New Roman" w:hAnsi="Times New Roman"/>
              </w:rPr>
            </w:pPr>
            <w:proofErr w:type="spellStart"/>
            <w:r w:rsidRPr="0060721D">
              <w:rPr>
                <w:rFonts w:ascii="Times New Roman" w:hAnsi="Times New Roman"/>
              </w:rPr>
              <w:lastRenderedPageBreak/>
              <w:t>Pînă</w:t>
            </w:r>
            <w:proofErr w:type="spellEnd"/>
            <w:r w:rsidRPr="0060721D">
              <w:rPr>
                <w:rFonts w:ascii="Times New Roman" w:hAnsi="Times New Roman"/>
              </w:rPr>
              <w:t xml:space="preserve"> </w:t>
            </w:r>
            <w:proofErr w:type="spellStart"/>
            <w:r w:rsidRPr="0060721D">
              <w:rPr>
                <w:rFonts w:ascii="Times New Roman" w:hAnsi="Times New Roman"/>
              </w:rPr>
              <w:t>în</w:t>
            </w:r>
            <w:proofErr w:type="spellEnd"/>
            <w:r w:rsidRPr="0060721D">
              <w:rPr>
                <w:rFonts w:ascii="Times New Roman" w:hAnsi="Times New Roman"/>
              </w:rPr>
              <w:t xml:space="preserve"> </w:t>
            </w:r>
            <w:proofErr w:type="spellStart"/>
            <w:r w:rsidRPr="0060721D">
              <w:rPr>
                <w:rFonts w:ascii="Times New Roman" w:hAnsi="Times New Roman"/>
              </w:rPr>
              <w:t>anul</w:t>
            </w:r>
            <w:proofErr w:type="spellEnd"/>
            <w:r w:rsidRPr="0060721D">
              <w:rPr>
                <w:rFonts w:ascii="Times New Roman" w:hAnsi="Times New Roman"/>
              </w:rPr>
              <w:t xml:space="preserve"> 2030, 77 mii </w:t>
            </w:r>
            <w:proofErr w:type="spellStart"/>
            <w:r w:rsidRPr="0060721D">
              <w:rPr>
                <w:rFonts w:ascii="Times New Roman" w:hAnsi="Times New Roman"/>
              </w:rPr>
              <w:t>capete</w:t>
            </w:r>
            <w:proofErr w:type="spellEnd"/>
            <w:r w:rsidRPr="0060721D">
              <w:rPr>
                <w:rFonts w:ascii="Times New Roman" w:hAnsi="Times New Roman"/>
              </w:rPr>
              <w:t xml:space="preserve"> </w:t>
            </w:r>
            <w:proofErr w:type="spellStart"/>
            <w:r w:rsidRPr="0060721D">
              <w:rPr>
                <w:rFonts w:ascii="Times New Roman" w:hAnsi="Times New Roman"/>
              </w:rPr>
              <w:t>vaci</w:t>
            </w:r>
            <w:proofErr w:type="spellEnd"/>
            <w:r w:rsidRPr="0060721D">
              <w:rPr>
                <w:rFonts w:ascii="Times New Roman" w:hAnsi="Times New Roman"/>
              </w:rPr>
              <w:t xml:space="preserve"> de </w:t>
            </w:r>
            <w:proofErr w:type="spellStart"/>
            <w:r w:rsidRPr="0060721D">
              <w:rPr>
                <w:rFonts w:ascii="Times New Roman" w:hAnsi="Times New Roman"/>
              </w:rPr>
              <w:t>lapte</w:t>
            </w:r>
            <w:proofErr w:type="spellEnd"/>
            <w:r w:rsidRPr="0060721D">
              <w:rPr>
                <w:rFonts w:ascii="Times New Roman" w:hAnsi="Times New Roman"/>
              </w:rPr>
              <w:t xml:space="preserve"> </w:t>
            </w:r>
            <w:proofErr w:type="spellStart"/>
            <w:r w:rsidRPr="0060721D">
              <w:rPr>
                <w:rFonts w:ascii="Times New Roman" w:hAnsi="Times New Roman"/>
              </w:rPr>
              <w:t>şi</w:t>
            </w:r>
            <w:proofErr w:type="spellEnd"/>
            <w:r w:rsidRPr="0060721D">
              <w:rPr>
                <w:rFonts w:ascii="Times New Roman" w:hAnsi="Times New Roman"/>
              </w:rPr>
              <w:t xml:space="preserve"> 58 mii </w:t>
            </w:r>
            <w:proofErr w:type="spellStart"/>
            <w:r w:rsidRPr="0060721D">
              <w:rPr>
                <w:rFonts w:ascii="Times New Roman" w:hAnsi="Times New Roman"/>
              </w:rPr>
              <w:t>capete</w:t>
            </w:r>
            <w:proofErr w:type="spellEnd"/>
            <w:r w:rsidRPr="0060721D">
              <w:rPr>
                <w:rFonts w:ascii="Times New Roman" w:hAnsi="Times New Roman"/>
              </w:rPr>
              <w:t xml:space="preserve"> de </w:t>
            </w:r>
            <w:proofErr w:type="spellStart"/>
            <w:r w:rsidRPr="0060721D">
              <w:rPr>
                <w:rFonts w:ascii="Times New Roman" w:hAnsi="Times New Roman"/>
              </w:rPr>
              <w:t>alte</w:t>
            </w:r>
            <w:proofErr w:type="spellEnd"/>
            <w:r w:rsidRPr="0060721D">
              <w:rPr>
                <w:rFonts w:ascii="Times New Roman" w:hAnsi="Times New Roman"/>
              </w:rPr>
              <w:t xml:space="preserve"> taurine</w:t>
            </w:r>
          </w:p>
        </w:tc>
        <w:tc>
          <w:tcPr>
            <w:tcW w:w="1440" w:type="dxa"/>
            <w:gridSpan w:val="2"/>
            <w:hideMark/>
          </w:tcPr>
          <w:p w14:paraId="67A972EE" w14:textId="77777777" w:rsidR="0060721D" w:rsidRPr="0060721D" w:rsidRDefault="0060721D" w:rsidP="0060721D">
            <w:pPr>
              <w:jc w:val="center"/>
              <w:rPr>
                <w:rFonts w:ascii="Times New Roman" w:hAnsi="Times New Roman"/>
              </w:rPr>
            </w:pPr>
            <w:proofErr w:type="spellStart"/>
            <w:r w:rsidRPr="0060721D">
              <w:rPr>
                <w:rFonts w:ascii="Times New Roman" w:hAnsi="Times New Roman"/>
              </w:rPr>
              <w:t>Pînă</w:t>
            </w:r>
            <w:proofErr w:type="spellEnd"/>
            <w:r w:rsidRPr="0060721D">
              <w:rPr>
                <w:rFonts w:ascii="Times New Roman" w:hAnsi="Times New Roman"/>
              </w:rPr>
              <w:t xml:space="preserve"> </w:t>
            </w:r>
            <w:proofErr w:type="spellStart"/>
            <w:r w:rsidRPr="0060721D">
              <w:rPr>
                <w:rFonts w:ascii="Times New Roman" w:hAnsi="Times New Roman"/>
              </w:rPr>
              <w:t>în</w:t>
            </w:r>
            <w:proofErr w:type="spellEnd"/>
            <w:r w:rsidRPr="0060721D">
              <w:rPr>
                <w:rFonts w:ascii="Times New Roman" w:hAnsi="Times New Roman"/>
              </w:rPr>
              <w:t xml:space="preserve"> </w:t>
            </w:r>
            <w:proofErr w:type="spellStart"/>
            <w:r w:rsidRPr="0060721D">
              <w:rPr>
                <w:rFonts w:ascii="Times New Roman" w:hAnsi="Times New Roman"/>
              </w:rPr>
              <w:t>anul</w:t>
            </w:r>
            <w:proofErr w:type="spellEnd"/>
            <w:r w:rsidRPr="0060721D">
              <w:rPr>
                <w:rFonts w:ascii="Times New Roman" w:hAnsi="Times New Roman"/>
              </w:rPr>
              <w:t xml:space="preserve"> 2030, 43 mii </w:t>
            </w:r>
            <w:proofErr w:type="spellStart"/>
            <w:r w:rsidRPr="0060721D">
              <w:rPr>
                <w:rFonts w:ascii="Times New Roman" w:hAnsi="Times New Roman"/>
              </w:rPr>
              <w:t>capete</w:t>
            </w:r>
            <w:proofErr w:type="spellEnd"/>
            <w:r w:rsidRPr="0060721D">
              <w:rPr>
                <w:rFonts w:ascii="Times New Roman" w:hAnsi="Times New Roman"/>
              </w:rPr>
              <w:t xml:space="preserve"> </w:t>
            </w:r>
            <w:proofErr w:type="spellStart"/>
            <w:r w:rsidRPr="0060721D">
              <w:rPr>
                <w:rFonts w:ascii="Times New Roman" w:hAnsi="Times New Roman"/>
              </w:rPr>
              <w:t>vaci</w:t>
            </w:r>
            <w:proofErr w:type="spellEnd"/>
            <w:r w:rsidRPr="0060721D">
              <w:rPr>
                <w:rFonts w:ascii="Times New Roman" w:hAnsi="Times New Roman"/>
              </w:rPr>
              <w:t xml:space="preserve"> de </w:t>
            </w:r>
            <w:proofErr w:type="spellStart"/>
            <w:r w:rsidRPr="0060721D">
              <w:rPr>
                <w:rFonts w:ascii="Times New Roman" w:hAnsi="Times New Roman"/>
              </w:rPr>
              <w:t>lapte</w:t>
            </w:r>
            <w:proofErr w:type="spellEnd"/>
            <w:r w:rsidRPr="0060721D">
              <w:rPr>
                <w:rFonts w:ascii="Times New Roman" w:hAnsi="Times New Roman"/>
              </w:rPr>
              <w:t xml:space="preserve"> </w:t>
            </w:r>
            <w:proofErr w:type="spellStart"/>
            <w:r w:rsidRPr="0060721D">
              <w:rPr>
                <w:rFonts w:ascii="Times New Roman" w:hAnsi="Times New Roman"/>
              </w:rPr>
              <w:t>şi</w:t>
            </w:r>
            <w:proofErr w:type="spellEnd"/>
            <w:r w:rsidRPr="0060721D">
              <w:rPr>
                <w:rFonts w:ascii="Times New Roman" w:hAnsi="Times New Roman"/>
              </w:rPr>
              <w:t xml:space="preserve"> 32 mii </w:t>
            </w:r>
            <w:proofErr w:type="spellStart"/>
            <w:r w:rsidRPr="0060721D">
              <w:rPr>
                <w:rFonts w:ascii="Times New Roman" w:hAnsi="Times New Roman"/>
              </w:rPr>
              <w:t>capete</w:t>
            </w:r>
            <w:proofErr w:type="spellEnd"/>
            <w:r w:rsidRPr="0060721D">
              <w:rPr>
                <w:rFonts w:ascii="Times New Roman" w:hAnsi="Times New Roman"/>
              </w:rPr>
              <w:t xml:space="preserve"> de </w:t>
            </w:r>
            <w:proofErr w:type="spellStart"/>
            <w:r w:rsidRPr="0060721D">
              <w:rPr>
                <w:rFonts w:ascii="Times New Roman" w:hAnsi="Times New Roman"/>
              </w:rPr>
              <w:t>alte</w:t>
            </w:r>
            <w:proofErr w:type="spellEnd"/>
            <w:r w:rsidRPr="0060721D">
              <w:rPr>
                <w:rFonts w:ascii="Times New Roman" w:hAnsi="Times New Roman"/>
              </w:rPr>
              <w:t xml:space="preserve"> taurine</w:t>
            </w:r>
          </w:p>
        </w:tc>
        <w:tc>
          <w:tcPr>
            <w:tcW w:w="3429" w:type="dxa"/>
            <w:gridSpan w:val="2"/>
            <w:hideMark/>
          </w:tcPr>
          <w:p w14:paraId="6AAB0ED1" w14:textId="77777777" w:rsidR="0060721D" w:rsidRPr="0060721D" w:rsidRDefault="0060721D" w:rsidP="0060721D">
            <w:pPr>
              <w:jc w:val="center"/>
              <w:rPr>
                <w:rFonts w:ascii="Times New Roman" w:hAnsi="Times New Roman"/>
              </w:rPr>
            </w:pPr>
            <w:r w:rsidRPr="0060721D">
              <w:rPr>
                <w:rFonts w:ascii="Times New Roman" w:hAnsi="Times New Roman"/>
              </w:rPr>
              <w:t xml:space="preserve">49 mii tone CO2 </w:t>
            </w:r>
            <w:proofErr w:type="spellStart"/>
            <w:r w:rsidRPr="0060721D">
              <w:rPr>
                <w:rFonts w:ascii="Times New Roman" w:hAnsi="Times New Roman"/>
              </w:rPr>
              <w:t>echivalent</w:t>
            </w:r>
            <w:proofErr w:type="spellEnd"/>
          </w:p>
        </w:tc>
        <w:tc>
          <w:tcPr>
            <w:tcW w:w="1502" w:type="dxa"/>
            <w:gridSpan w:val="2"/>
            <w:hideMark/>
          </w:tcPr>
          <w:p w14:paraId="3F645984" w14:textId="77777777" w:rsidR="0060721D" w:rsidRPr="0060721D" w:rsidRDefault="0060721D" w:rsidP="0060721D">
            <w:pPr>
              <w:jc w:val="center"/>
              <w:rPr>
                <w:rFonts w:ascii="Times New Roman" w:hAnsi="Times New Roman"/>
              </w:rPr>
            </w:pPr>
            <w:r w:rsidRPr="0060721D">
              <w:rPr>
                <w:rFonts w:ascii="Times New Roman" w:hAnsi="Times New Roman"/>
              </w:rPr>
              <w:t>27 mii tone CO2</w:t>
            </w:r>
            <w:r w:rsidRPr="0060721D">
              <w:rPr>
                <w:rFonts w:ascii="Times New Roman" w:hAnsi="Times New Roman"/>
                <w:vertAlign w:val="subscript"/>
              </w:rPr>
              <w:t xml:space="preserve"> </w:t>
            </w:r>
            <w:proofErr w:type="spellStart"/>
            <w:r w:rsidRPr="0060721D">
              <w:rPr>
                <w:rFonts w:ascii="Times New Roman" w:hAnsi="Times New Roman"/>
              </w:rPr>
              <w:t>echivalent</w:t>
            </w:r>
            <w:proofErr w:type="spellEnd"/>
          </w:p>
        </w:tc>
      </w:tr>
      <w:tr w:rsidR="00F11CCD" w:rsidRPr="0060721D" w14:paraId="5AB70415" w14:textId="77777777" w:rsidTr="00F11CCD">
        <w:trPr>
          <w:divId w:val="546725049"/>
          <w:trHeight w:val="1125"/>
        </w:trPr>
        <w:tc>
          <w:tcPr>
            <w:tcW w:w="500" w:type="dxa"/>
            <w:hideMark/>
          </w:tcPr>
          <w:p w14:paraId="1287031C" w14:textId="77777777" w:rsidR="0060721D" w:rsidRPr="0060721D" w:rsidRDefault="0060721D" w:rsidP="0060721D">
            <w:pPr>
              <w:jc w:val="center"/>
              <w:rPr>
                <w:rFonts w:ascii="Times New Roman" w:eastAsia="Times New Roman" w:hAnsi="Times New Roman"/>
                <w:lang w:val="ro-RO" w:eastAsia="ru-RU"/>
              </w:rPr>
            </w:pPr>
            <w:r w:rsidRPr="0060721D">
              <w:rPr>
                <w:rFonts w:ascii="Times New Roman" w:eastAsia="Times New Roman" w:hAnsi="Times New Roman"/>
                <w:lang w:eastAsia="ru-RU"/>
              </w:rPr>
              <w:t>5,8</w:t>
            </w:r>
          </w:p>
        </w:tc>
        <w:tc>
          <w:tcPr>
            <w:tcW w:w="3437" w:type="dxa"/>
            <w:gridSpan w:val="2"/>
            <w:hideMark/>
          </w:tcPr>
          <w:p w14:paraId="608EF4B4" w14:textId="77777777" w:rsidR="0060721D" w:rsidRPr="0060721D" w:rsidRDefault="0060721D" w:rsidP="0060721D">
            <w:pPr>
              <w:rPr>
                <w:rFonts w:ascii="Times New Roman" w:hAnsi="Times New Roman"/>
              </w:rPr>
            </w:pPr>
            <w:proofErr w:type="spellStart"/>
            <w:r w:rsidRPr="0060721D">
              <w:rPr>
                <w:rFonts w:ascii="Times New Roman" w:eastAsia="Times New Roman" w:hAnsi="Times New Roman"/>
                <w:lang w:eastAsia="ru-RU"/>
              </w:rPr>
              <w:t>Includerea</w:t>
            </w:r>
            <w:proofErr w:type="spellEnd"/>
            <w:r w:rsidRPr="0060721D">
              <w:rPr>
                <w:rFonts w:ascii="Times New Roman" w:eastAsia="Times New Roman" w:hAnsi="Times New Roman"/>
                <w:lang w:eastAsia="ru-RU"/>
              </w:rPr>
              <w:t xml:space="preserve"> </w:t>
            </w:r>
            <w:proofErr w:type="spellStart"/>
            <w:r w:rsidRPr="0060721D">
              <w:rPr>
                <w:rFonts w:ascii="Times New Roman" w:eastAsia="Times New Roman" w:hAnsi="Times New Roman"/>
                <w:lang w:eastAsia="ru-RU"/>
              </w:rPr>
              <w:t>în</w:t>
            </w:r>
            <w:proofErr w:type="spellEnd"/>
            <w:r w:rsidRPr="0060721D">
              <w:rPr>
                <w:rFonts w:ascii="Times New Roman" w:eastAsia="Times New Roman" w:hAnsi="Times New Roman"/>
                <w:lang w:eastAsia="ru-RU"/>
              </w:rPr>
              <w:t xml:space="preserve"> </w:t>
            </w:r>
            <w:proofErr w:type="spellStart"/>
            <w:r w:rsidRPr="0060721D">
              <w:rPr>
                <w:rFonts w:ascii="Times New Roman" w:eastAsia="Times New Roman" w:hAnsi="Times New Roman"/>
                <w:lang w:eastAsia="ru-RU"/>
              </w:rPr>
              <w:t>raţiile</w:t>
            </w:r>
            <w:proofErr w:type="spellEnd"/>
            <w:r w:rsidRPr="0060721D">
              <w:rPr>
                <w:rFonts w:ascii="Times New Roman" w:eastAsia="Times New Roman" w:hAnsi="Times New Roman"/>
                <w:lang w:val="ro-RO" w:eastAsia="ru-RU"/>
              </w:rPr>
              <w:t xml:space="preserve"> </w:t>
            </w:r>
            <w:proofErr w:type="spellStart"/>
            <w:r w:rsidRPr="0060721D">
              <w:rPr>
                <w:rFonts w:ascii="Times New Roman" w:hAnsi="Times New Roman"/>
              </w:rPr>
              <w:t>taurinelor</w:t>
            </w:r>
            <w:proofErr w:type="spellEnd"/>
            <w:r w:rsidRPr="0060721D">
              <w:rPr>
                <w:rFonts w:ascii="Times New Roman" w:hAnsi="Times New Roman"/>
              </w:rPr>
              <w:t xml:space="preserve"> a </w:t>
            </w:r>
            <w:proofErr w:type="spellStart"/>
            <w:r w:rsidRPr="0060721D">
              <w:rPr>
                <w:rFonts w:ascii="Times New Roman" w:hAnsi="Times New Roman"/>
              </w:rPr>
              <w:t>unor</w:t>
            </w:r>
            <w:proofErr w:type="spellEnd"/>
            <w:r w:rsidRPr="0060721D">
              <w:rPr>
                <w:rFonts w:ascii="Times New Roman" w:hAnsi="Times New Roman"/>
              </w:rPr>
              <w:t xml:space="preserve"> </w:t>
            </w:r>
            <w:proofErr w:type="spellStart"/>
            <w:r w:rsidRPr="0060721D">
              <w:rPr>
                <w:rFonts w:ascii="Times New Roman" w:hAnsi="Times New Roman"/>
              </w:rPr>
              <w:t>aditivi</w:t>
            </w:r>
            <w:proofErr w:type="spellEnd"/>
            <w:r w:rsidRPr="0060721D">
              <w:rPr>
                <w:rFonts w:ascii="Times New Roman" w:hAnsi="Times New Roman"/>
              </w:rPr>
              <w:t xml:space="preserve"> </w:t>
            </w:r>
            <w:proofErr w:type="spellStart"/>
            <w:r w:rsidRPr="0060721D">
              <w:rPr>
                <w:rFonts w:ascii="Times New Roman" w:hAnsi="Times New Roman"/>
              </w:rPr>
              <w:t>furajeri</w:t>
            </w:r>
            <w:proofErr w:type="spellEnd"/>
            <w:r w:rsidRPr="0060721D">
              <w:rPr>
                <w:rFonts w:ascii="Times New Roman" w:hAnsi="Times New Roman"/>
              </w:rPr>
              <w:t xml:space="preserve"> (</w:t>
            </w:r>
            <w:proofErr w:type="spellStart"/>
            <w:r w:rsidRPr="0060721D">
              <w:rPr>
                <w:rFonts w:ascii="Times New Roman" w:hAnsi="Times New Roman"/>
              </w:rPr>
              <w:t>saponine</w:t>
            </w:r>
            <w:proofErr w:type="spellEnd"/>
            <w:r w:rsidRPr="0060721D">
              <w:rPr>
                <w:rFonts w:ascii="Times New Roman" w:hAnsi="Times New Roman"/>
              </w:rPr>
              <w:t xml:space="preserve">, </w:t>
            </w:r>
            <w:proofErr w:type="spellStart"/>
            <w:r w:rsidRPr="0060721D">
              <w:rPr>
                <w:rFonts w:ascii="Times New Roman" w:hAnsi="Times New Roman"/>
              </w:rPr>
              <w:t>ionofori</w:t>
            </w:r>
            <w:proofErr w:type="spellEnd"/>
            <w:r w:rsidRPr="0060721D">
              <w:rPr>
                <w:rFonts w:ascii="Times New Roman" w:hAnsi="Times New Roman"/>
              </w:rPr>
              <w:t xml:space="preserve">) care </w:t>
            </w:r>
            <w:proofErr w:type="spellStart"/>
            <w:r w:rsidRPr="0060721D">
              <w:rPr>
                <w:rFonts w:ascii="Times New Roman" w:hAnsi="Times New Roman"/>
              </w:rPr>
              <w:t>micşorează</w:t>
            </w:r>
            <w:proofErr w:type="spellEnd"/>
            <w:r w:rsidRPr="0060721D">
              <w:rPr>
                <w:rFonts w:ascii="Times New Roman" w:hAnsi="Times New Roman"/>
              </w:rPr>
              <w:t xml:space="preserve"> </w:t>
            </w:r>
            <w:proofErr w:type="spellStart"/>
            <w:r w:rsidRPr="0060721D">
              <w:rPr>
                <w:rFonts w:ascii="Times New Roman" w:hAnsi="Times New Roman"/>
              </w:rPr>
              <w:t>nivelul</w:t>
            </w:r>
            <w:proofErr w:type="spellEnd"/>
            <w:r w:rsidRPr="0060721D">
              <w:rPr>
                <w:rFonts w:ascii="Times New Roman" w:hAnsi="Times New Roman"/>
              </w:rPr>
              <w:t xml:space="preserve"> de </w:t>
            </w:r>
            <w:proofErr w:type="spellStart"/>
            <w:r w:rsidRPr="0060721D">
              <w:rPr>
                <w:rFonts w:ascii="Times New Roman" w:hAnsi="Times New Roman"/>
              </w:rPr>
              <w:t>formare</w:t>
            </w:r>
            <w:proofErr w:type="spellEnd"/>
            <w:r w:rsidRPr="0060721D">
              <w:rPr>
                <w:rFonts w:ascii="Times New Roman" w:hAnsi="Times New Roman"/>
              </w:rPr>
              <w:t xml:space="preserve"> a </w:t>
            </w:r>
            <w:proofErr w:type="spellStart"/>
            <w:r w:rsidRPr="0060721D">
              <w:rPr>
                <w:rFonts w:ascii="Times New Roman" w:hAnsi="Times New Roman"/>
              </w:rPr>
              <w:t>metanului</w:t>
            </w:r>
            <w:proofErr w:type="spellEnd"/>
            <w:r w:rsidRPr="0060721D">
              <w:rPr>
                <w:rFonts w:ascii="Times New Roman" w:hAnsi="Times New Roman"/>
              </w:rPr>
              <w:t xml:space="preserve"> </w:t>
            </w:r>
            <w:proofErr w:type="spellStart"/>
            <w:r w:rsidRPr="0060721D">
              <w:rPr>
                <w:rFonts w:ascii="Times New Roman" w:hAnsi="Times New Roman"/>
              </w:rPr>
              <w:t>în</w:t>
            </w:r>
            <w:proofErr w:type="spellEnd"/>
            <w:r w:rsidRPr="0060721D">
              <w:rPr>
                <w:rFonts w:ascii="Times New Roman" w:hAnsi="Times New Roman"/>
              </w:rPr>
              <w:t xml:space="preserve"> </w:t>
            </w:r>
            <w:proofErr w:type="spellStart"/>
            <w:r w:rsidRPr="0060721D">
              <w:rPr>
                <w:rFonts w:ascii="Times New Roman" w:hAnsi="Times New Roman"/>
              </w:rPr>
              <w:t>procesul</w:t>
            </w:r>
            <w:proofErr w:type="spellEnd"/>
            <w:r w:rsidRPr="0060721D">
              <w:rPr>
                <w:rFonts w:ascii="Times New Roman" w:hAnsi="Times New Roman"/>
              </w:rPr>
              <w:t xml:space="preserve"> de </w:t>
            </w:r>
            <w:proofErr w:type="spellStart"/>
            <w:r w:rsidRPr="0060721D">
              <w:rPr>
                <w:rFonts w:ascii="Times New Roman" w:hAnsi="Times New Roman"/>
              </w:rPr>
              <w:t>digestie</w:t>
            </w:r>
            <w:proofErr w:type="spellEnd"/>
          </w:p>
        </w:tc>
        <w:tc>
          <w:tcPr>
            <w:tcW w:w="2211" w:type="dxa"/>
            <w:gridSpan w:val="2"/>
            <w:hideMark/>
          </w:tcPr>
          <w:p w14:paraId="674E8BAF" w14:textId="77777777" w:rsidR="0060721D" w:rsidRPr="0060721D" w:rsidRDefault="0060721D" w:rsidP="0060721D">
            <w:pPr>
              <w:rPr>
                <w:rFonts w:ascii="Times New Roman" w:eastAsia="Times New Roman" w:hAnsi="Times New Roman"/>
                <w:lang w:val="es-ES" w:eastAsia="ru-RU"/>
              </w:rPr>
            </w:pPr>
            <w:r w:rsidRPr="0060721D">
              <w:rPr>
                <w:rFonts w:ascii="Times New Roman" w:eastAsia="Times New Roman" w:hAnsi="Times New Roman"/>
                <w:lang w:val="es-ES" w:eastAsia="ru-RU"/>
              </w:rPr>
              <w:t>În amestecurile unice (monoraţii) la taurine se introduc aditivi furajeri speciali, care conţin substanţe (saponine, ionofore, uleiuri eterice etc.) ce influenţează nivelul de formare şi eliminare  a metanului, micşorînd acest indice cu pînă la 30%</w:t>
            </w:r>
          </w:p>
        </w:tc>
        <w:tc>
          <w:tcPr>
            <w:tcW w:w="1620" w:type="dxa"/>
            <w:gridSpan w:val="2"/>
            <w:hideMark/>
          </w:tcPr>
          <w:p w14:paraId="4B51A0CD" w14:textId="77777777" w:rsidR="0060721D" w:rsidRPr="0060721D" w:rsidRDefault="0060721D" w:rsidP="0060721D">
            <w:pPr>
              <w:jc w:val="center"/>
              <w:rPr>
                <w:rFonts w:ascii="Times New Roman" w:hAnsi="Times New Roman"/>
              </w:rPr>
            </w:pPr>
            <w:proofErr w:type="spellStart"/>
            <w:r w:rsidRPr="0060721D">
              <w:rPr>
                <w:rFonts w:ascii="Times New Roman" w:eastAsia="Times New Roman" w:hAnsi="Times New Roman"/>
                <w:lang w:eastAsia="ru-RU"/>
              </w:rPr>
              <w:t>Pînă</w:t>
            </w:r>
            <w:proofErr w:type="spellEnd"/>
            <w:r w:rsidRPr="0060721D">
              <w:rPr>
                <w:rFonts w:ascii="Times New Roman" w:eastAsia="Times New Roman" w:hAnsi="Times New Roman"/>
                <w:lang w:eastAsia="ru-RU"/>
              </w:rPr>
              <w:t xml:space="preserve"> </w:t>
            </w:r>
            <w:proofErr w:type="spellStart"/>
            <w:r w:rsidRPr="0060721D">
              <w:rPr>
                <w:rFonts w:ascii="Times New Roman" w:eastAsia="Times New Roman" w:hAnsi="Times New Roman"/>
                <w:lang w:eastAsia="ru-RU"/>
              </w:rPr>
              <w:t>în</w:t>
            </w:r>
            <w:proofErr w:type="spellEnd"/>
            <w:r w:rsidRPr="0060721D">
              <w:rPr>
                <w:rFonts w:ascii="Times New Roman" w:hAnsi="Times New Roman"/>
              </w:rPr>
              <w:t xml:space="preserve"> </w:t>
            </w:r>
            <w:proofErr w:type="spellStart"/>
            <w:r w:rsidRPr="0060721D">
              <w:rPr>
                <w:rFonts w:ascii="Times New Roman" w:hAnsi="Times New Roman"/>
              </w:rPr>
              <w:t>anul</w:t>
            </w:r>
            <w:proofErr w:type="spellEnd"/>
            <w:r w:rsidRPr="0060721D">
              <w:rPr>
                <w:rFonts w:ascii="Times New Roman" w:hAnsi="Times New Roman"/>
              </w:rPr>
              <w:t xml:space="preserve"> 2030- 34 mii </w:t>
            </w:r>
            <w:proofErr w:type="spellStart"/>
            <w:r w:rsidRPr="0060721D">
              <w:rPr>
                <w:rFonts w:ascii="Times New Roman" w:hAnsi="Times New Roman"/>
              </w:rPr>
              <w:t>capete</w:t>
            </w:r>
            <w:proofErr w:type="spellEnd"/>
            <w:r w:rsidRPr="0060721D">
              <w:rPr>
                <w:rFonts w:ascii="Times New Roman" w:hAnsi="Times New Roman"/>
              </w:rPr>
              <w:t xml:space="preserve"> de </w:t>
            </w:r>
            <w:proofErr w:type="spellStart"/>
            <w:r w:rsidRPr="0060721D">
              <w:rPr>
                <w:rFonts w:ascii="Times New Roman" w:hAnsi="Times New Roman"/>
              </w:rPr>
              <w:t>vaci</w:t>
            </w:r>
            <w:proofErr w:type="spellEnd"/>
            <w:r w:rsidRPr="0060721D">
              <w:rPr>
                <w:rFonts w:ascii="Times New Roman" w:hAnsi="Times New Roman"/>
              </w:rPr>
              <w:t xml:space="preserve"> </w:t>
            </w:r>
            <w:proofErr w:type="spellStart"/>
            <w:r w:rsidRPr="0060721D">
              <w:rPr>
                <w:rFonts w:ascii="Times New Roman" w:hAnsi="Times New Roman"/>
              </w:rPr>
              <w:t>şi</w:t>
            </w:r>
            <w:proofErr w:type="spellEnd"/>
            <w:r w:rsidRPr="0060721D">
              <w:rPr>
                <w:rFonts w:ascii="Times New Roman" w:hAnsi="Times New Roman"/>
              </w:rPr>
              <w:t xml:space="preserve"> 41 mii </w:t>
            </w:r>
            <w:proofErr w:type="spellStart"/>
            <w:r w:rsidRPr="0060721D">
              <w:rPr>
                <w:rFonts w:ascii="Times New Roman" w:hAnsi="Times New Roman"/>
              </w:rPr>
              <w:t>capete</w:t>
            </w:r>
            <w:proofErr w:type="spellEnd"/>
            <w:r w:rsidRPr="0060721D">
              <w:rPr>
                <w:rFonts w:ascii="Times New Roman" w:hAnsi="Times New Roman"/>
              </w:rPr>
              <w:t xml:space="preserve"> de </w:t>
            </w:r>
            <w:proofErr w:type="spellStart"/>
            <w:r w:rsidRPr="0060721D">
              <w:rPr>
                <w:rFonts w:ascii="Times New Roman" w:hAnsi="Times New Roman"/>
              </w:rPr>
              <w:t>alte</w:t>
            </w:r>
            <w:proofErr w:type="spellEnd"/>
            <w:r w:rsidRPr="0060721D">
              <w:rPr>
                <w:rFonts w:ascii="Times New Roman" w:hAnsi="Times New Roman"/>
              </w:rPr>
              <w:t xml:space="preserve"> taurine</w:t>
            </w:r>
          </w:p>
        </w:tc>
        <w:tc>
          <w:tcPr>
            <w:tcW w:w="1440" w:type="dxa"/>
            <w:gridSpan w:val="2"/>
            <w:hideMark/>
          </w:tcPr>
          <w:p w14:paraId="1592A55A" w14:textId="77777777" w:rsidR="0060721D" w:rsidRPr="0060721D" w:rsidRDefault="0060721D" w:rsidP="0060721D">
            <w:pPr>
              <w:jc w:val="center"/>
              <w:rPr>
                <w:rFonts w:ascii="Times New Roman" w:hAnsi="Times New Roman"/>
              </w:rPr>
            </w:pPr>
            <w:proofErr w:type="spellStart"/>
            <w:r w:rsidRPr="0060721D">
              <w:rPr>
                <w:rFonts w:ascii="Times New Roman" w:eastAsia="Times New Roman" w:hAnsi="Times New Roman"/>
                <w:lang w:eastAsia="ru-RU"/>
              </w:rPr>
              <w:t>Pînă</w:t>
            </w:r>
            <w:proofErr w:type="spellEnd"/>
            <w:r w:rsidRPr="0060721D">
              <w:rPr>
                <w:rFonts w:ascii="Times New Roman" w:hAnsi="Times New Roman"/>
                <w:lang w:val="ro-RO"/>
              </w:rPr>
              <w:t xml:space="preserve"> </w:t>
            </w:r>
            <w:proofErr w:type="spellStart"/>
            <w:r w:rsidRPr="0060721D">
              <w:rPr>
                <w:rFonts w:ascii="Times New Roman" w:hAnsi="Times New Roman"/>
              </w:rPr>
              <w:t>în</w:t>
            </w:r>
            <w:proofErr w:type="spellEnd"/>
            <w:r w:rsidRPr="0060721D">
              <w:rPr>
                <w:rFonts w:ascii="Times New Roman" w:hAnsi="Times New Roman"/>
              </w:rPr>
              <w:t xml:space="preserve"> </w:t>
            </w:r>
            <w:proofErr w:type="spellStart"/>
            <w:r w:rsidRPr="0060721D">
              <w:rPr>
                <w:rFonts w:ascii="Times New Roman" w:hAnsi="Times New Roman"/>
              </w:rPr>
              <w:t>anul</w:t>
            </w:r>
            <w:proofErr w:type="spellEnd"/>
            <w:r w:rsidRPr="0060721D">
              <w:rPr>
                <w:rFonts w:ascii="Times New Roman" w:hAnsi="Times New Roman"/>
              </w:rPr>
              <w:t xml:space="preserve"> 2030-16 mii </w:t>
            </w:r>
            <w:proofErr w:type="spellStart"/>
            <w:r w:rsidRPr="0060721D">
              <w:rPr>
                <w:rFonts w:ascii="Times New Roman" w:hAnsi="Times New Roman"/>
              </w:rPr>
              <w:t>capete</w:t>
            </w:r>
            <w:proofErr w:type="spellEnd"/>
            <w:r w:rsidRPr="0060721D">
              <w:rPr>
                <w:rFonts w:ascii="Times New Roman" w:hAnsi="Times New Roman"/>
              </w:rPr>
              <w:t xml:space="preserve"> de </w:t>
            </w:r>
            <w:proofErr w:type="spellStart"/>
            <w:r w:rsidRPr="0060721D">
              <w:rPr>
                <w:rFonts w:ascii="Times New Roman" w:hAnsi="Times New Roman"/>
              </w:rPr>
              <w:t>vaci</w:t>
            </w:r>
            <w:proofErr w:type="spellEnd"/>
            <w:r w:rsidRPr="0060721D">
              <w:rPr>
                <w:rFonts w:ascii="Times New Roman" w:hAnsi="Times New Roman"/>
              </w:rPr>
              <w:t xml:space="preserve"> </w:t>
            </w:r>
            <w:proofErr w:type="spellStart"/>
            <w:r w:rsidRPr="0060721D">
              <w:rPr>
                <w:rFonts w:ascii="Times New Roman" w:hAnsi="Times New Roman"/>
              </w:rPr>
              <w:t>şi</w:t>
            </w:r>
            <w:proofErr w:type="spellEnd"/>
            <w:r w:rsidRPr="0060721D">
              <w:rPr>
                <w:rFonts w:ascii="Times New Roman" w:hAnsi="Times New Roman"/>
              </w:rPr>
              <w:t xml:space="preserve"> 19 mii </w:t>
            </w:r>
            <w:proofErr w:type="spellStart"/>
            <w:r w:rsidRPr="0060721D">
              <w:rPr>
                <w:rFonts w:ascii="Times New Roman" w:hAnsi="Times New Roman"/>
              </w:rPr>
              <w:t>capete</w:t>
            </w:r>
            <w:proofErr w:type="spellEnd"/>
            <w:r w:rsidRPr="0060721D">
              <w:rPr>
                <w:rFonts w:ascii="Times New Roman" w:hAnsi="Times New Roman"/>
              </w:rPr>
              <w:t xml:space="preserve"> de </w:t>
            </w:r>
            <w:proofErr w:type="spellStart"/>
            <w:r w:rsidRPr="0060721D">
              <w:rPr>
                <w:rFonts w:ascii="Times New Roman" w:hAnsi="Times New Roman"/>
              </w:rPr>
              <w:t>alte</w:t>
            </w:r>
            <w:proofErr w:type="spellEnd"/>
            <w:r w:rsidRPr="0060721D">
              <w:rPr>
                <w:rFonts w:ascii="Times New Roman" w:hAnsi="Times New Roman"/>
              </w:rPr>
              <w:t xml:space="preserve"> taurine</w:t>
            </w:r>
          </w:p>
        </w:tc>
        <w:tc>
          <w:tcPr>
            <w:tcW w:w="3429" w:type="dxa"/>
            <w:gridSpan w:val="2"/>
            <w:hideMark/>
          </w:tcPr>
          <w:p w14:paraId="35DE2F1C" w14:textId="77777777" w:rsidR="0060721D" w:rsidRPr="0060721D" w:rsidRDefault="0060721D" w:rsidP="0060721D">
            <w:pPr>
              <w:jc w:val="center"/>
              <w:rPr>
                <w:rFonts w:ascii="Times New Roman" w:eastAsia="Times New Roman" w:hAnsi="Times New Roman"/>
                <w:lang w:eastAsia="ru-RU"/>
              </w:rPr>
            </w:pPr>
            <w:r w:rsidRPr="0060721D">
              <w:rPr>
                <w:rFonts w:ascii="Times New Roman" w:eastAsia="Times New Roman" w:hAnsi="Times New Roman"/>
                <w:lang w:eastAsia="ru-RU"/>
              </w:rPr>
              <w:t xml:space="preserve">39 mii tone CO2 </w:t>
            </w:r>
            <w:proofErr w:type="spellStart"/>
            <w:r w:rsidRPr="0060721D">
              <w:rPr>
                <w:rFonts w:ascii="Times New Roman" w:eastAsia="Times New Roman" w:hAnsi="Times New Roman"/>
                <w:lang w:eastAsia="ru-RU"/>
              </w:rPr>
              <w:t>echivalent</w:t>
            </w:r>
            <w:proofErr w:type="spellEnd"/>
          </w:p>
        </w:tc>
        <w:tc>
          <w:tcPr>
            <w:tcW w:w="1502" w:type="dxa"/>
            <w:gridSpan w:val="2"/>
            <w:hideMark/>
          </w:tcPr>
          <w:p w14:paraId="27C20E9A" w14:textId="77777777" w:rsidR="0060721D" w:rsidRPr="0060721D" w:rsidRDefault="0060721D" w:rsidP="0060721D">
            <w:pPr>
              <w:jc w:val="center"/>
              <w:rPr>
                <w:rFonts w:ascii="Times New Roman" w:hAnsi="Times New Roman"/>
              </w:rPr>
            </w:pPr>
            <w:r w:rsidRPr="0060721D">
              <w:rPr>
                <w:rFonts w:ascii="Times New Roman" w:eastAsia="Times New Roman" w:hAnsi="Times New Roman"/>
                <w:lang w:eastAsia="ru-RU"/>
              </w:rPr>
              <w:t>17</w:t>
            </w:r>
            <w:r w:rsidRPr="0060721D">
              <w:rPr>
                <w:rFonts w:ascii="Times New Roman" w:hAnsi="Times New Roman"/>
                <w:lang w:val="ro-RO"/>
              </w:rPr>
              <w:t xml:space="preserve"> </w:t>
            </w:r>
            <w:r w:rsidRPr="0060721D">
              <w:rPr>
                <w:rFonts w:ascii="Times New Roman" w:hAnsi="Times New Roman"/>
              </w:rPr>
              <w:t xml:space="preserve">mii tone CO2 </w:t>
            </w:r>
            <w:proofErr w:type="spellStart"/>
            <w:r w:rsidRPr="0060721D">
              <w:rPr>
                <w:rFonts w:ascii="Times New Roman" w:hAnsi="Times New Roman"/>
              </w:rPr>
              <w:t>echivalent</w:t>
            </w:r>
            <w:proofErr w:type="spellEnd"/>
          </w:p>
        </w:tc>
      </w:tr>
      <w:tr w:rsidR="00F11CCD" w:rsidRPr="0060721D" w14:paraId="6FAD34E5" w14:textId="77777777" w:rsidTr="00F11CCD">
        <w:trPr>
          <w:divId w:val="546725049"/>
          <w:trHeight w:val="1245"/>
        </w:trPr>
        <w:tc>
          <w:tcPr>
            <w:tcW w:w="500" w:type="dxa"/>
            <w:hideMark/>
          </w:tcPr>
          <w:p w14:paraId="3A24872D" w14:textId="77777777" w:rsidR="0060721D" w:rsidRPr="0060721D" w:rsidRDefault="0060721D" w:rsidP="0060721D">
            <w:pPr>
              <w:jc w:val="center"/>
              <w:rPr>
                <w:rFonts w:ascii="Times New Roman" w:eastAsia="Times New Roman" w:hAnsi="Times New Roman"/>
                <w:lang w:val="ro-RO" w:eastAsia="ru-RU"/>
              </w:rPr>
            </w:pPr>
            <w:r w:rsidRPr="0060721D">
              <w:rPr>
                <w:rFonts w:ascii="Times New Roman" w:eastAsia="Times New Roman" w:hAnsi="Times New Roman"/>
                <w:lang w:eastAsia="ru-RU"/>
              </w:rPr>
              <w:t>5,9</w:t>
            </w:r>
          </w:p>
        </w:tc>
        <w:tc>
          <w:tcPr>
            <w:tcW w:w="3437" w:type="dxa"/>
            <w:gridSpan w:val="2"/>
            <w:hideMark/>
          </w:tcPr>
          <w:p w14:paraId="26629241" w14:textId="77777777" w:rsidR="0060721D" w:rsidRPr="0060721D" w:rsidRDefault="0060721D" w:rsidP="0060721D">
            <w:pPr>
              <w:rPr>
                <w:rFonts w:ascii="Times New Roman" w:hAnsi="Times New Roman"/>
              </w:rPr>
            </w:pPr>
            <w:r w:rsidRPr="0060721D">
              <w:rPr>
                <w:rFonts w:ascii="Times New Roman" w:eastAsia="Times New Roman" w:hAnsi="Times New Roman"/>
                <w:lang w:val="es-ES" w:eastAsia="ru-RU"/>
              </w:rPr>
              <w:t xml:space="preserve">Promovarea folosirii tescovinei de poamă în raţiile rumegătoarelor pentru reducerea emisiilor  de gaze cu efect </w:t>
            </w:r>
            <w:r w:rsidRPr="0060721D">
              <w:rPr>
                <w:rFonts w:ascii="Times New Roman" w:eastAsia="Times New Roman" w:hAnsi="Times New Roman"/>
                <w:lang w:val="ro-RO" w:eastAsia="ru-RU"/>
              </w:rPr>
              <w:t>de</w:t>
            </w:r>
            <w:r w:rsidRPr="0060721D">
              <w:rPr>
                <w:rFonts w:ascii="Times New Roman" w:hAnsi="Times New Roman"/>
              </w:rPr>
              <w:t xml:space="preserve"> </w:t>
            </w:r>
            <w:proofErr w:type="spellStart"/>
            <w:r w:rsidRPr="0060721D">
              <w:rPr>
                <w:rFonts w:ascii="Times New Roman" w:hAnsi="Times New Roman"/>
              </w:rPr>
              <w:t>seră</w:t>
            </w:r>
            <w:proofErr w:type="spellEnd"/>
          </w:p>
        </w:tc>
        <w:tc>
          <w:tcPr>
            <w:tcW w:w="2211" w:type="dxa"/>
            <w:gridSpan w:val="2"/>
            <w:hideMark/>
          </w:tcPr>
          <w:p w14:paraId="2E919757" w14:textId="77777777" w:rsidR="0060721D" w:rsidRPr="0060721D" w:rsidRDefault="0060721D" w:rsidP="0060721D">
            <w:pPr>
              <w:rPr>
                <w:rFonts w:ascii="Times New Roman" w:hAnsi="Times New Roman"/>
              </w:rPr>
            </w:pPr>
            <w:r w:rsidRPr="0060721D">
              <w:rPr>
                <w:rFonts w:ascii="Times New Roman" w:eastAsia="Times New Roman" w:hAnsi="Times New Roman"/>
                <w:lang w:val="es-ES" w:eastAsia="ru-RU"/>
              </w:rPr>
              <w:t>Tescovina de struguri conţine cantităţi importante de grăsimi şi tanine, aceste substanţe pot să reducă nivelul de formare a metanului enteric. O cercetare recentă a savanţilor din Australia şi Noua-Zeelandă a demonstrat că utilizarea tescovinei</w:t>
            </w:r>
            <w:r w:rsidRPr="0060721D">
              <w:rPr>
                <w:rFonts w:ascii="Times New Roman" w:hAnsi="Times New Roman"/>
              </w:rPr>
              <w:t xml:space="preserve"> de </w:t>
            </w:r>
            <w:proofErr w:type="spellStart"/>
            <w:r w:rsidRPr="0060721D">
              <w:rPr>
                <w:rFonts w:ascii="Times New Roman" w:hAnsi="Times New Roman"/>
              </w:rPr>
              <w:t>struguri</w:t>
            </w:r>
            <w:proofErr w:type="spellEnd"/>
            <w:r w:rsidRPr="0060721D">
              <w:rPr>
                <w:rFonts w:ascii="Times New Roman" w:hAnsi="Times New Roman"/>
              </w:rPr>
              <w:t xml:space="preserve">, </w:t>
            </w:r>
            <w:proofErr w:type="spellStart"/>
            <w:r w:rsidRPr="0060721D">
              <w:rPr>
                <w:rFonts w:ascii="Times New Roman" w:hAnsi="Times New Roman"/>
              </w:rPr>
              <w:t>atît</w:t>
            </w:r>
            <w:proofErr w:type="spellEnd"/>
            <w:r w:rsidRPr="0060721D">
              <w:rPr>
                <w:rFonts w:ascii="Times New Roman" w:hAnsi="Times New Roman"/>
              </w:rPr>
              <w:t xml:space="preserve"> </w:t>
            </w:r>
            <w:proofErr w:type="spellStart"/>
            <w:r w:rsidRPr="0060721D">
              <w:rPr>
                <w:rFonts w:ascii="Times New Roman" w:hAnsi="Times New Roman"/>
              </w:rPr>
              <w:t>în</w:t>
            </w:r>
            <w:proofErr w:type="spellEnd"/>
            <w:r w:rsidRPr="0060721D">
              <w:rPr>
                <w:rFonts w:ascii="Times New Roman" w:hAnsi="Times New Roman"/>
              </w:rPr>
              <w:t xml:space="preserve"> </w:t>
            </w:r>
            <w:proofErr w:type="spellStart"/>
            <w:r w:rsidRPr="0060721D">
              <w:rPr>
                <w:rFonts w:ascii="Times New Roman" w:hAnsi="Times New Roman"/>
              </w:rPr>
              <w:t>formă</w:t>
            </w:r>
            <w:proofErr w:type="spellEnd"/>
            <w:r w:rsidRPr="0060721D">
              <w:rPr>
                <w:rFonts w:ascii="Times New Roman" w:hAnsi="Times New Roman"/>
              </w:rPr>
              <w:t xml:space="preserve"> </w:t>
            </w:r>
            <w:proofErr w:type="spellStart"/>
            <w:r w:rsidRPr="0060721D">
              <w:rPr>
                <w:rFonts w:ascii="Times New Roman" w:hAnsi="Times New Roman"/>
              </w:rPr>
              <w:t>uscată</w:t>
            </w:r>
            <w:proofErr w:type="spellEnd"/>
            <w:r w:rsidRPr="0060721D">
              <w:rPr>
                <w:rFonts w:ascii="Times New Roman" w:hAnsi="Times New Roman"/>
              </w:rPr>
              <w:t xml:space="preserve">, </w:t>
            </w:r>
            <w:proofErr w:type="spellStart"/>
            <w:r w:rsidRPr="0060721D">
              <w:rPr>
                <w:rFonts w:ascii="Times New Roman" w:hAnsi="Times New Roman"/>
              </w:rPr>
              <w:t>cît</w:t>
            </w:r>
            <w:proofErr w:type="spellEnd"/>
            <w:r w:rsidRPr="0060721D">
              <w:rPr>
                <w:rFonts w:ascii="Times New Roman" w:hAnsi="Times New Roman"/>
              </w:rPr>
              <w:t xml:space="preserve"> </w:t>
            </w:r>
            <w:proofErr w:type="spellStart"/>
            <w:r w:rsidRPr="0060721D">
              <w:rPr>
                <w:rFonts w:ascii="Times New Roman" w:hAnsi="Times New Roman"/>
              </w:rPr>
              <w:t>şi</w:t>
            </w:r>
            <w:proofErr w:type="spellEnd"/>
            <w:r w:rsidRPr="0060721D">
              <w:rPr>
                <w:rFonts w:ascii="Times New Roman" w:hAnsi="Times New Roman"/>
              </w:rPr>
              <w:t xml:space="preserve"> </w:t>
            </w:r>
            <w:proofErr w:type="spellStart"/>
            <w:r w:rsidRPr="0060721D">
              <w:rPr>
                <w:rFonts w:ascii="Times New Roman" w:hAnsi="Times New Roman"/>
              </w:rPr>
              <w:t>în</w:t>
            </w:r>
            <w:proofErr w:type="spellEnd"/>
            <w:r w:rsidRPr="0060721D">
              <w:rPr>
                <w:rFonts w:ascii="Times New Roman" w:hAnsi="Times New Roman"/>
              </w:rPr>
              <w:t xml:space="preserve"> </w:t>
            </w:r>
            <w:proofErr w:type="spellStart"/>
            <w:r w:rsidRPr="0060721D">
              <w:rPr>
                <w:rFonts w:ascii="Times New Roman" w:hAnsi="Times New Roman"/>
              </w:rPr>
              <w:t>formă</w:t>
            </w:r>
            <w:proofErr w:type="spellEnd"/>
            <w:r w:rsidRPr="0060721D">
              <w:rPr>
                <w:rFonts w:ascii="Times New Roman" w:hAnsi="Times New Roman"/>
              </w:rPr>
              <w:t xml:space="preserve"> </w:t>
            </w:r>
            <w:proofErr w:type="spellStart"/>
            <w:r w:rsidRPr="0060721D">
              <w:rPr>
                <w:rFonts w:ascii="Times New Roman" w:hAnsi="Times New Roman"/>
              </w:rPr>
              <w:t>însilozată</w:t>
            </w:r>
            <w:proofErr w:type="spellEnd"/>
            <w:r w:rsidRPr="0060721D">
              <w:rPr>
                <w:rFonts w:ascii="Times New Roman" w:hAnsi="Times New Roman"/>
              </w:rPr>
              <w:t xml:space="preserve">, </w:t>
            </w:r>
            <w:proofErr w:type="spellStart"/>
            <w:r w:rsidRPr="0060721D">
              <w:rPr>
                <w:rFonts w:ascii="Times New Roman" w:hAnsi="Times New Roman"/>
              </w:rPr>
              <w:t>în</w:t>
            </w:r>
            <w:proofErr w:type="spellEnd"/>
            <w:r w:rsidRPr="0060721D">
              <w:rPr>
                <w:rFonts w:ascii="Times New Roman" w:hAnsi="Times New Roman"/>
              </w:rPr>
              <w:t xml:space="preserve"> </w:t>
            </w:r>
            <w:proofErr w:type="spellStart"/>
            <w:r w:rsidRPr="0060721D">
              <w:rPr>
                <w:rFonts w:ascii="Times New Roman" w:hAnsi="Times New Roman"/>
              </w:rPr>
              <w:t>raţiile</w:t>
            </w:r>
            <w:proofErr w:type="spellEnd"/>
            <w:r w:rsidRPr="0060721D">
              <w:rPr>
                <w:rFonts w:ascii="Times New Roman" w:hAnsi="Times New Roman"/>
              </w:rPr>
              <w:t xml:space="preserve"> </w:t>
            </w:r>
            <w:proofErr w:type="spellStart"/>
            <w:r w:rsidRPr="0060721D">
              <w:rPr>
                <w:rFonts w:ascii="Times New Roman" w:hAnsi="Times New Roman"/>
              </w:rPr>
              <w:lastRenderedPageBreak/>
              <w:t>vacilor</w:t>
            </w:r>
            <w:proofErr w:type="spellEnd"/>
            <w:r w:rsidRPr="0060721D">
              <w:rPr>
                <w:rFonts w:ascii="Times New Roman" w:hAnsi="Times New Roman"/>
              </w:rPr>
              <w:t xml:space="preserve"> de </w:t>
            </w:r>
            <w:proofErr w:type="spellStart"/>
            <w:r w:rsidRPr="0060721D">
              <w:rPr>
                <w:rFonts w:ascii="Times New Roman" w:hAnsi="Times New Roman"/>
              </w:rPr>
              <w:t>lapte</w:t>
            </w:r>
            <w:proofErr w:type="spellEnd"/>
            <w:r w:rsidRPr="0060721D">
              <w:rPr>
                <w:rFonts w:ascii="Times New Roman" w:hAnsi="Times New Roman"/>
              </w:rPr>
              <w:t xml:space="preserve"> reduce </w:t>
            </w:r>
            <w:proofErr w:type="spellStart"/>
            <w:r w:rsidRPr="0060721D">
              <w:rPr>
                <w:rFonts w:ascii="Times New Roman" w:hAnsi="Times New Roman"/>
              </w:rPr>
              <w:t>nivelul</w:t>
            </w:r>
            <w:proofErr w:type="spellEnd"/>
            <w:r w:rsidRPr="0060721D">
              <w:rPr>
                <w:rFonts w:ascii="Times New Roman" w:hAnsi="Times New Roman"/>
              </w:rPr>
              <w:t xml:space="preserve"> de </w:t>
            </w:r>
            <w:proofErr w:type="spellStart"/>
            <w:r w:rsidRPr="0060721D">
              <w:rPr>
                <w:rFonts w:ascii="Times New Roman" w:hAnsi="Times New Roman"/>
              </w:rPr>
              <w:t>formare</w:t>
            </w:r>
            <w:proofErr w:type="spellEnd"/>
            <w:r w:rsidRPr="0060721D">
              <w:rPr>
                <w:rFonts w:ascii="Times New Roman" w:hAnsi="Times New Roman"/>
              </w:rPr>
              <w:t xml:space="preserve"> a </w:t>
            </w:r>
            <w:proofErr w:type="spellStart"/>
            <w:r w:rsidRPr="0060721D">
              <w:rPr>
                <w:rFonts w:ascii="Times New Roman" w:hAnsi="Times New Roman"/>
              </w:rPr>
              <w:t>metanului</w:t>
            </w:r>
            <w:proofErr w:type="spellEnd"/>
            <w:r w:rsidRPr="0060721D">
              <w:rPr>
                <w:rFonts w:ascii="Times New Roman" w:hAnsi="Times New Roman"/>
              </w:rPr>
              <w:t xml:space="preserve"> </w:t>
            </w:r>
            <w:proofErr w:type="spellStart"/>
            <w:r w:rsidRPr="0060721D">
              <w:rPr>
                <w:rFonts w:ascii="Times New Roman" w:hAnsi="Times New Roman"/>
              </w:rPr>
              <w:t>în</w:t>
            </w:r>
            <w:proofErr w:type="spellEnd"/>
            <w:r w:rsidRPr="0060721D">
              <w:rPr>
                <w:rFonts w:ascii="Times New Roman" w:hAnsi="Times New Roman"/>
              </w:rPr>
              <w:t xml:space="preserve"> rumen cu 18-23%</w:t>
            </w:r>
          </w:p>
        </w:tc>
        <w:tc>
          <w:tcPr>
            <w:tcW w:w="1620" w:type="dxa"/>
            <w:gridSpan w:val="2"/>
            <w:hideMark/>
          </w:tcPr>
          <w:p w14:paraId="2267A246" w14:textId="77777777" w:rsidR="0060721D" w:rsidRPr="0060721D" w:rsidRDefault="0060721D" w:rsidP="0060721D">
            <w:pPr>
              <w:jc w:val="center"/>
              <w:rPr>
                <w:rFonts w:ascii="Times New Roman" w:hAnsi="Times New Roman"/>
              </w:rPr>
            </w:pPr>
            <w:r w:rsidRPr="0060721D">
              <w:rPr>
                <w:rFonts w:ascii="Times New Roman" w:eastAsia="Times New Roman" w:hAnsi="Times New Roman"/>
                <w:lang w:val="es-ES" w:eastAsia="ru-RU"/>
              </w:rPr>
              <w:lastRenderedPageBreak/>
              <w:t>52</w:t>
            </w:r>
            <w:r w:rsidRPr="0060721D">
              <w:rPr>
                <w:rFonts w:ascii="Times New Roman" w:hAnsi="Times New Roman"/>
              </w:rPr>
              <w:t xml:space="preserve"> mii </w:t>
            </w:r>
            <w:proofErr w:type="spellStart"/>
            <w:r w:rsidRPr="0060721D">
              <w:rPr>
                <w:rFonts w:ascii="Times New Roman" w:hAnsi="Times New Roman"/>
              </w:rPr>
              <w:t>capete</w:t>
            </w:r>
            <w:proofErr w:type="spellEnd"/>
            <w:r w:rsidRPr="0060721D">
              <w:rPr>
                <w:rFonts w:ascii="Times New Roman" w:hAnsi="Times New Roman"/>
              </w:rPr>
              <w:t xml:space="preserve"> </w:t>
            </w:r>
            <w:proofErr w:type="spellStart"/>
            <w:r w:rsidRPr="0060721D">
              <w:rPr>
                <w:rFonts w:ascii="Times New Roman" w:hAnsi="Times New Roman"/>
              </w:rPr>
              <w:t>vaci</w:t>
            </w:r>
            <w:proofErr w:type="spellEnd"/>
            <w:r w:rsidRPr="0060721D">
              <w:rPr>
                <w:rFonts w:ascii="Times New Roman" w:hAnsi="Times New Roman"/>
              </w:rPr>
              <w:t xml:space="preserve"> de </w:t>
            </w:r>
            <w:proofErr w:type="spellStart"/>
            <w:r w:rsidRPr="0060721D">
              <w:rPr>
                <w:rFonts w:ascii="Times New Roman" w:hAnsi="Times New Roman"/>
              </w:rPr>
              <w:t>lapte</w:t>
            </w:r>
            <w:proofErr w:type="spellEnd"/>
            <w:r w:rsidRPr="0060721D">
              <w:rPr>
                <w:rFonts w:ascii="Times New Roman" w:hAnsi="Times New Roman"/>
              </w:rPr>
              <w:t xml:space="preserve"> </w:t>
            </w:r>
            <w:proofErr w:type="spellStart"/>
            <w:r w:rsidRPr="0060721D">
              <w:rPr>
                <w:rFonts w:ascii="Times New Roman" w:hAnsi="Times New Roman"/>
              </w:rPr>
              <w:t>şi</w:t>
            </w:r>
            <w:proofErr w:type="spellEnd"/>
            <w:r w:rsidRPr="0060721D">
              <w:rPr>
                <w:rFonts w:ascii="Times New Roman" w:hAnsi="Times New Roman"/>
              </w:rPr>
              <w:t xml:space="preserve"> 41 mii </w:t>
            </w:r>
            <w:proofErr w:type="spellStart"/>
            <w:r w:rsidRPr="0060721D">
              <w:rPr>
                <w:rFonts w:ascii="Times New Roman" w:hAnsi="Times New Roman"/>
              </w:rPr>
              <w:t>capete</w:t>
            </w:r>
            <w:proofErr w:type="spellEnd"/>
            <w:r w:rsidRPr="0060721D">
              <w:rPr>
                <w:rFonts w:ascii="Times New Roman" w:hAnsi="Times New Roman"/>
              </w:rPr>
              <w:t xml:space="preserve"> de </w:t>
            </w:r>
            <w:proofErr w:type="spellStart"/>
            <w:r w:rsidRPr="0060721D">
              <w:rPr>
                <w:rFonts w:ascii="Times New Roman" w:hAnsi="Times New Roman"/>
              </w:rPr>
              <w:t>alte</w:t>
            </w:r>
            <w:proofErr w:type="spellEnd"/>
            <w:r w:rsidRPr="0060721D">
              <w:rPr>
                <w:rFonts w:ascii="Times New Roman" w:hAnsi="Times New Roman"/>
              </w:rPr>
              <w:t xml:space="preserve"> taurine</w:t>
            </w:r>
          </w:p>
        </w:tc>
        <w:tc>
          <w:tcPr>
            <w:tcW w:w="1440" w:type="dxa"/>
            <w:gridSpan w:val="2"/>
            <w:hideMark/>
          </w:tcPr>
          <w:p w14:paraId="7CC91DB6" w14:textId="77777777" w:rsidR="0060721D" w:rsidRPr="0060721D" w:rsidRDefault="0060721D" w:rsidP="0060721D">
            <w:pPr>
              <w:jc w:val="center"/>
              <w:rPr>
                <w:rFonts w:ascii="Times New Roman" w:hAnsi="Times New Roman"/>
              </w:rPr>
            </w:pPr>
            <w:r w:rsidRPr="0060721D">
              <w:rPr>
                <w:rFonts w:ascii="Times New Roman" w:eastAsia="Times New Roman" w:hAnsi="Times New Roman"/>
                <w:lang w:eastAsia="ru-RU"/>
              </w:rPr>
              <w:t xml:space="preserve">37 </w:t>
            </w:r>
            <w:r w:rsidRPr="0060721D">
              <w:rPr>
                <w:rFonts w:ascii="Times New Roman" w:eastAsia="Times New Roman" w:hAnsi="Times New Roman"/>
                <w:lang w:val="ro-RO" w:eastAsia="ru-RU"/>
              </w:rPr>
              <w:t>mii</w:t>
            </w:r>
            <w:r w:rsidRPr="0060721D">
              <w:rPr>
                <w:rFonts w:ascii="Times New Roman" w:hAnsi="Times New Roman"/>
              </w:rPr>
              <w:t xml:space="preserve"> </w:t>
            </w:r>
            <w:proofErr w:type="spellStart"/>
            <w:r w:rsidRPr="0060721D">
              <w:rPr>
                <w:rFonts w:ascii="Times New Roman" w:hAnsi="Times New Roman"/>
              </w:rPr>
              <w:t>capete</w:t>
            </w:r>
            <w:proofErr w:type="spellEnd"/>
            <w:r w:rsidRPr="0060721D">
              <w:rPr>
                <w:rFonts w:ascii="Times New Roman" w:hAnsi="Times New Roman"/>
              </w:rPr>
              <w:t xml:space="preserve"> </w:t>
            </w:r>
            <w:proofErr w:type="spellStart"/>
            <w:r w:rsidRPr="0060721D">
              <w:rPr>
                <w:rFonts w:ascii="Times New Roman" w:hAnsi="Times New Roman"/>
              </w:rPr>
              <w:t>vaci</w:t>
            </w:r>
            <w:proofErr w:type="spellEnd"/>
            <w:r w:rsidRPr="0060721D">
              <w:rPr>
                <w:rFonts w:ascii="Times New Roman" w:hAnsi="Times New Roman"/>
              </w:rPr>
              <w:t xml:space="preserve"> de </w:t>
            </w:r>
            <w:proofErr w:type="spellStart"/>
            <w:r w:rsidRPr="0060721D">
              <w:rPr>
                <w:rFonts w:ascii="Times New Roman" w:hAnsi="Times New Roman"/>
              </w:rPr>
              <w:t>lapte</w:t>
            </w:r>
            <w:proofErr w:type="spellEnd"/>
            <w:r w:rsidRPr="0060721D">
              <w:rPr>
                <w:rFonts w:ascii="Times New Roman" w:hAnsi="Times New Roman"/>
              </w:rPr>
              <w:t xml:space="preserve"> </w:t>
            </w:r>
            <w:proofErr w:type="spellStart"/>
            <w:r w:rsidRPr="0060721D">
              <w:rPr>
                <w:rFonts w:ascii="Times New Roman" w:hAnsi="Times New Roman"/>
              </w:rPr>
              <w:t>şi</w:t>
            </w:r>
            <w:proofErr w:type="spellEnd"/>
            <w:r w:rsidRPr="0060721D">
              <w:rPr>
                <w:rFonts w:ascii="Times New Roman" w:hAnsi="Times New Roman"/>
              </w:rPr>
              <w:t xml:space="preserve"> 29 mii </w:t>
            </w:r>
            <w:proofErr w:type="spellStart"/>
            <w:r w:rsidRPr="0060721D">
              <w:rPr>
                <w:rFonts w:ascii="Times New Roman" w:hAnsi="Times New Roman"/>
              </w:rPr>
              <w:t>capete</w:t>
            </w:r>
            <w:proofErr w:type="spellEnd"/>
            <w:r w:rsidRPr="0060721D">
              <w:rPr>
                <w:rFonts w:ascii="Times New Roman" w:hAnsi="Times New Roman"/>
              </w:rPr>
              <w:t xml:space="preserve"> de </w:t>
            </w:r>
            <w:proofErr w:type="spellStart"/>
            <w:r w:rsidRPr="0060721D">
              <w:rPr>
                <w:rFonts w:ascii="Times New Roman" w:hAnsi="Times New Roman"/>
              </w:rPr>
              <w:t>alte</w:t>
            </w:r>
            <w:proofErr w:type="spellEnd"/>
            <w:r w:rsidRPr="0060721D">
              <w:rPr>
                <w:rFonts w:ascii="Times New Roman" w:hAnsi="Times New Roman"/>
              </w:rPr>
              <w:t xml:space="preserve"> taurine</w:t>
            </w:r>
          </w:p>
        </w:tc>
        <w:tc>
          <w:tcPr>
            <w:tcW w:w="3429" w:type="dxa"/>
            <w:gridSpan w:val="2"/>
            <w:hideMark/>
          </w:tcPr>
          <w:p w14:paraId="4A85B77E" w14:textId="77777777" w:rsidR="0060721D" w:rsidRPr="0060721D" w:rsidRDefault="0060721D" w:rsidP="0060721D">
            <w:pPr>
              <w:jc w:val="center"/>
              <w:rPr>
                <w:rFonts w:ascii="Times New Roman" w:hAnsi="Times New Roman"/>
              </w:rPr>
            </w:pPr>
            <w:r w:rsidRPr="0060721D">
              <w:rPr>
                <w:rFonts w:ascii="Times New Roman" w:eastAsia="Times New Roman" w:hAnsi="Times New Roman"/>
                <w:lang w:eastAsia="ru-RU"/>
              </w:rPr>
              <w:t>34</w:t>
            </w:r>
            <w:r w:rsidRPr="0060721D">
              <w:rPr>
                <w:rFonts w:ascii="Times New Roman" w:hAnsi="Times New Roman"/>
                <w:lang w:val="ro-RO"/>
              </w:rPr>
              <w:t xml:space="preserve"> </w:t>
            </w:r>
            <w:r w:rsidRPr="0060721D">
              <w:rPr>
                <w:rFonts w:ascii="Times New Roman" w:hAnsi="Times New Roman"/>
              </w:rPr>
              <w:t xml:space="preserve">mii tone CO2 </w:t>
            </w:r>
            <w:proofErr w:type="spellStart"/>
            <w:r w:rsidRPr="0060721D">
              <w:rPr>
                <w:rFonts w:ascii="Times New Roman" w:hAnsi="Times New Roman"/>
              </w:rPr>
              <w:t>echivalent</w:t>
            </w:r>
            <w:proofErr w:type="spellEnd"/>
          </w:p>
        </w:tc>
        <w:tc>
          <w:tcPr>
            <w:tcW w:w="1502" w:type="dxa"/>
            <w:gridSpan w:val="2"/>
            <w:hideMark/>
          </w:tcPr>
          <w:p w14:paraId="06DD37AA" w14:textId="77777777" w:rsidR="0060721D" w:rsidRPr="0060721D" w:rsidRDefault="0060721D" w:rsidP="0060721D">
            <w:pPr>
              <w:jc w:val="center"/>
              <w:rPr>
                <w:rFonts w:ascii="Times New Roman" w:eastAsia="Times New Roman" w:hAnsi="Times New Roman"/>
                <w:lang w:eastAsia="ru-RU"/>
              </w:rPr>
            </w:pPr>
            <w:r w:rsidRPr="0060721D">
              <w:rPr>
                <w:rFonts w:ascii="Times New Roman" w:eastAsia="Times New Roman" w:hAnsi="Times New Roman"/>
                <w:lang w:eastAsia="ru-RU"/>
              </w:rPr>
              <w:t xml:space="preserve">24 mii tone CO2 </w:t>
            </w:r>
            <w:proofErr w:type="spellStart"/>
            <w:r w:rsidRPr="0060721D">
              <w:rPr>
                <w:rFonts w:ascii="Times New Roman" w:eastAsia="Times New Roman" w:hAnsi="Times New Roman"/>
                <w:lang w:eastAsia="ru-RU"/>
              </w:rPr>
              <w:t>echivalent</w:t>
            </w:r>
            <w:proofErr w:type="spellEnd"/>
          </w:p>
        </w:tc>
      </w:tr>
      <w:tr w:rsidR="0060721D" w:rsidRPr="0060721D" w14:paraId="72D5B6E8" w14:textId="77777777" w:rsidTr="00F11CCD">
        <w:trPr>
          <w:divId w:val="546725049"/>
          <w:trHeight w:val="859"/>
        </w:trPr>
        <w:tc>
          <w:tcPr>
            <w:tcW w:w="500" w:type="dxa"/>
            <w:hideMark/>
          </w:tcPr>
          <w:p w14:paraId="62D3219C" w14:textId="77777777" w:rsidR="0060721D" w:rsidRPr="0060721D" w:rsidRDefault="0060721D" w:rsidP="0060721D">
            <w:pPr>
              <w:jc w:val="center"/>
              <w:rPr>
                <w:rFonts w:ascii="Times New Roman" w:eastAsia="Times New Roman" w:hAnsi="Times New Roman"/>
                <w:lang w:val="ro-RO" w:eastAsia="ru-RU"/>
              </w:rPr>
            </w:pPr>
            <w:r w:rsidRPr="0060721D">
              <w:rPr>
                <w:rFonts w:ascii="Times New Roman" w:eastAsia="Times New Roman" w:hAnsi="Times New Roman"/>
                <w:lang w:eastAsia="ru-RU"/>
              </w:rPr>
              <w:t>6</w:t>
            </w:r>
          </w:p>
        </w:tc>
        <w:tc>
          <w:tcPr>
            <w:tcW w:w="13639" w:type="dxa"/>
            <w:gridSpan w:val="12"/>
            <w:hideMark/>
          </w:tcPr>
          <w:p w14:paraId="58BD5794" w14:textId="77777777" w:rsidR="0060721D" w:rsidRPr="0060721D" w:rsidRDefault="0060721D" w:rsidP="0060721D">
            <w:pPr>
              <w:rPr>
                <w:rFonts w:ascii="Times New Roman" w:hAnsi="Times New Roman"/>
                <w:b/>
                <w:bCs/>
              </w:rPr>
            </w:pPr>
            <w:r w:rsidRPr="0060721D">
              <w:rPr>
                <w:rFonts w:ascii="Times New Roman" w:eastAsia="Times New Roman" w:hAnsi="Times New Roman"/>
                <w:lang w:val="es-ES" w:eastAsia="ru-RU"/>
              </w:rPr>
              <w:t xml:space="preserve">Obiectivul specific 6. Majorarea condiţionată, pînă </w:t>
            </w:r>
            <w:r w:rsidRPr="0060721D">
              <w:rPr>
                <w:rFonts w:ascii="Times New Roman" w:eastAsia="Times New Roman" w:hAnsi="Times New Roman"/>
                <w:lang w:val="ro-RO" w:eastAsia="ru-RU"/>
              </w:rPr>
              <w:t>în</w:t>
            </w:r>
            <w:r w:rsidRPr="0060721D">
              <w:rPr>
                <w:rFonts w:ascii="Times New Roman" w:hAnsi="Times New Roman"/>
              </w:rPr>
              <w:t xml:space="preserve">  </w:t>
            </w:r>
            <w:proofErr w:type="spellStart"/>
            <w:r w:rsidRPr="0060721D">
              <w:rPr>
                <w:rFonts w:ascii="Times New Roman" w:hAnsi="Times New Roman"/>
              </w:rPr>
              <w:t>anul</w:t>
            </w:r>
            <w:proofErr w:type="spellEnd"/>
            <w:r w:rsidRPr="0060721D">
              <w:rPr>
                <w:rFonts w:ascii="Times New Roman" w:hAnsi="Times New Roman"/>
              </w:rPr>
              <w:t xml:space="preserve"> 2030, a </w:t>
            </w:r>
            <w:proofErr w:type="spellStart"/>
            <w:r w:rsidRPr="0060721D">
              <w:rPr>
                <w:rFonts w:ascii="Times New Roman" w:hAnsi="Times New Roman"/>
              </w:rPr>
              <w:t>capacităţii</w:t>
            </w:r>
            <w:proofErr w:type="spellEnd"/>
            <w:r w:rsidRPr="0060721D">
              <w:rPr>
                <w:rFonts w:ascii="Times New Roman" w:hAnsi="Times New Roman"/>
              </w:rPr>
              <w:t xml:space="preserve"> de </w:t>
            </w:r>
            <w:proofErr w:type="spellStart"/>
            <w:r w:rsidRPr="0060721D">
              <w:rPr>
                <w:rFonts w:ascii="Times New Roman" w:hAnsi="Times New Roman"/>
              </w:rPr>
              <w:t>sechestrare</w:t>
            </w:r>
            <w:proofErr w:type="spellEnd"/>
            <w:r w:rsidRPr="0060721D">
              <w:rPr>
                <w:rFonts w:ascii="Times New Roman" w:hAnsi="Times New Roman"/>
              </w:rPr>
              <w:t xml:space="preserve"> a </w:t>
            </w:r>
            <w:proofErr w:type="spellStart"/>
            <w:r w:rsidRPr="0060721D">
              <w:rPr>
                <w:rFonts w:ascii="Times New Roman" w:hAnsi="Times New Roman"/>
              </w:rPr>
              <w:t>dioxidului</w:t>
            </w:r>
            <w:proofErr w:type="spellEnd"/>
            <w:r w:rsidRPr="0060721D">
              <w:rPr>
                <w:rFonts w:ascii="Times New Roman" w:hAnsi="Times New Roman"/>
              </w:rPr>
              <w:t xml:space="preserve"> de carbon </w:t>
            </w:r>
            <w:proofErr w:type="spellStart"/>
            <w:r w:rsidRPr="0060721D">
              <w:rPr>
                <w:rFonts w:ascii="Times New Roman" w:hAnsi="Times New Roman"/>
              </w:rPr>
              <w:t>în</w:t>
            </w:r>
            <w:proofErr w:type="spellEnd"/>
            <w:r w:rsidRPr="0060721D">
              <w:rPr>
                <w:rFonts w:ascii="Times New Roman" w:hAnsi="Times New Roman"/>
              </w:rPr>
              <w:t xml:space="preserve"> </w:t>
            </w:r>
            <w:proofErr w:type="spellStart"/>
            <w:r w:rsidRPr="0060721D">
              <w:rPr>
                <w:rFonts w:ascii="Times New Roman" w:hAnsi="Times New Roman"/>
              </w:rPr>
              <w:t>cadrul</w:t>
            </w:r>
            <w:proofErr w:type="spellEnd"/>
            <w:r w:rsidRPr="0060721D">
              <w:rPr>
                <w:rFonts w:ascii="Times New Roman" w:hAnsi="Times New Roman"/>
              </w:rPr>
              <w:t xml:space="preserve"> </w:t>
            </w:r>
            <w:proofErr w:type="spellStart"/>
            <w:r w:rsidRPr="0060721D">
              <w:rPr>
                <w:rFonts w:ascii="Times New Roman" w:hAnsi="Times New Roman"/>
                <w:b/>
                <w:bCs/>
              </w:rPr>
              <w:t>sectorului</w:t>
            </w:r>
            <w:proofErr w:type="spellEnd"/>
            <w:r w:rsidRPr="0060721D">
              <w:rPr>
                <w:rFonts w:ascii="Times New Roman" w:hAnsi="Times New Roman"/>
                <w:b/>
                <w:bCs/>
              </w:rPr>
              <w:t xml:space="preserve"> </w:t>
            </w:r>
            <w:proofErr w:type="spellStart"/>
            <w:r w:rsidRPr="0060721D">
              <w:rPr>
                <w:rFonts w:ascii="Times New Roman" w:hAnsi="Times New Roman"/>
                <w:b/>
                <w:bCs/>
              </w:rPr>
              <w:t>utilizarea</w:t>
            </w:r>
            <w:proofErr w:type="spellEnd"/>
            <w:r w:rsidRPr="0060721D">
              <w:rPr>
                <w:rFonts w:ascii="Times New Roman" w:hAnsi="Times New Roman"/>
                <w:b/>
                <w:bCs/>
              </w:rPr>
              <w:t xml:space="preserve"> </w:t>
            </w:r>
            <w:proofErr w:type="spellStart"/>
            <w:r w:rsidRPr="0060721D">
              <w:rPr>
                <w:rFonts w:ascii="Times New Roman" w:hAnsi="Times New Roman"/>
                <w:b/>
                <w:bCs/>
              </w:rPr>
              <w:t>terenurilor</w:t>
            </w:r>
            <w:proofErr w:type="spellEnd"/>
            <w:r w:rsidRPr="0060721D">
              <w:rPr>
                <w:rFonts w:ascii="Times New Roman" w:hAnsi="Times New Roman"/>
                <w:b/>
                <w:bCs/>
              </w:rPr>
              <w:t xml:space="preserve">, </w:t>
            </w:r>
            <w:proofErr w:type="spellStart"/>
            <w:r w:rsidRPr="0060721D">
              <w:rPr>
                <w:rFonts w:ascii="Times New Roman" w:hAnsi="Times New Roman"/>
                <w:b/>
                <w:bCs/>
              </w:rPr>
              <w:t>schimbări</w:t>
            </w:r>
            <w:proofErr w:type="spellEnd"/>
            <w:r w:rsidRPr="0060721D">
              <w:rPr>
                <w:rFonts w:ascii="Times New Roman" w:hAnsi="Times New Roman"/>
                <w:b/>
                <w:bCs/>
              </w:rPr>
              <w:t xml:space="preserve"> </w:t>
            </w:r>
            <w:proofErr w:type="spellStart"/>
            <w:r w:rsidRPr="0060721D">
              <w:rPr>
                <w:rFonts w:ascii="Times New Roman" w:hAnsi="Times New Roman"/>
                <w:b/>
                <w:bCs/>
              </w:rPr>
              <w:t>în</w:t>
            </w:r>
            <w:proofErr w:type="spellEnd"/>
            <w:r w:rsidRPr="0060721D">
              <w:rPr>
                <w:rFonts w:ascii="Times New Roman" w:hAnsi="Times New Roman"/>
                <w:b/>
                <w:bCs/>
              </w:rPr>
              <w:t xml:space="preserve"> </w:t>
            </w:r>
            <w:proofErr w:type="spellStart"/>
            <w:r w:rsidRPr="0060721D">
              <w:rPr>
                <w:rFonts w:ascii="Times New Roman" w:hAnsi="Times New Roman"/>
                <w:b/>
                <w:bCs/>
              </w:rPr>
              <w:t>utilizarea</w:t>
            </w:r>
            <w:proofErr w:type="spellEnd"/>
            <w:r w:rsidRPr="0060721D">
              <w:rPr>
                <w:rFonts w:ascii="Times New Roman" w:hAnsi="Times New Roman"/>
                <w:b/>
                <w:bCs/>
              </w:rPr>
              <w:t xml:space="preserve"> </w:t>
            </w:r>
            <w:proofErr w:type="spellStart"/>
            <w:r w:rsidRPr="0060721D">
              <w:rPr>
                <w:rFonts w:ascii="Times New Roman" w:hAnsi="Times New Roman"/>
                <w:b/>
                <w:bCs/>
              </w:rPr>
              <w:t>terenurilor</w:t>
            </w:r>
            <w:proofErr w:type="spellEnd"/>
            <w:r w:rsidRPr="0060721D">
              <w:rPr>
                <w:rFonts w:ascii="Times New Roman" w:hAnsi="Times New Roman"/>
                <w:b/>
                <w:bCs/>
              </w:rPr>
              <w:t xml:space="preserve"> </w:t>
            </w:r>
            <w:proofErr w:type="spellStart"/>
            <w:r w:rsidRPr="0060721D">
              <w:rPr>
                <w:rFonts w:ascii="Times New Roman" w:hAnsi="Times New Roman"/>
                <w:b/>
                <w:bCs/>
              </w:rPr>
              <w:t>şi</w:t>
            </w:r>
            <w:proofErr w:type="spellEnd"/>
            <w:r w:rsidRPr="0060721D">
              <w:rPr>
                <w:rFonts w:ascii="Times New Roman" w:hAnsi="Times New Roman"/>
                <w:b/>
                <w:bCs/>
              </w:rPr>
              <w:t xml:space="preserve"> </w:t>
            </w:r>
            <w:proofErr w:type="spellStart"/>
            <w:r w:rsidRPr="0060721D">
              <w:rPr>
                <w:rFonts w:ascii="Times New Roman" w:hAnsi="Times New Roman"/>
                <w:b/>
                <w:bCs/>
              </w:rPr>
              <w:t>gospodăria</w:t>
            </w:r>
            <w:proofErr w:type="spellEnd"/>
            <w:r w:rsidRPr="0060721D">
              <w:rPr>
                <w:rFonts w:ascii="Times New Roman" w:hAnsi="Times New Roman"/>
                <w:b/>
                <w:bCs/>
              </w:rPr>
              <w:t xml:space="preserve"> </w:t>
            </w:r>
            <w:proofErr w:type="spellStart"/>
            <w:r w:rsidRPr="0060721D">
              <w:rPr>
                <w:rFonts w:ascii="Times New Roman" w:hAnsi="Times New Roman"/>
                <w:b/>
                <w:bCs/>
              </w:rPr>
              <w:t>silvică</w:t>
            </w:r>
            <w:proofErr w:type="spellEnd"/>
            <w:r w:rsidRPr="0060721D">
              <w:rPr>
                <w:rFonts w:ascii="Times New Roman" w:hAnsi="Times New Roman"/>
                <w:b/>
                <w:bCs/>
              </w:rPr>
              <w:t xml:space="preserve"> </w:t>
            </w:r>
            <w:proofErr w:type="spellStart"/>
            <w:r w:rsidRPr="0060721D">
              <w:rPr>
                <w:rFonts w:ascii="Times New Roman" w:hAnsi="Times New Roman"/>
              </w:rPr>
              <w:t>pînă</w:t>
            </w:r>
            <w:proofErr w:type="spellEnd"/>
            <w:r w:rsidRPr="0060721D">
              <w:rPr>
                <w:rFonts w:ascii="Times New Roman" w:hAnsi="Times New Roman"/>
              </w:rPr>
              <w:t xml:space="preserve"> la 10% </w:t>
            </w:r>
            <w:proofErr w:type="spellStart"/>
            <w:r w:rsidRPr="0060721D">
              <w:rPr>
                <w:rFonts w:ascii="Times New Roman" w:hAnsi="Times New Roman"/>
              </w:rPr>
              <w:t>şi</w:t>
            </w:r>
            <w:proofErr w:type="spellEnd"/>
            <w:r w:rsidRPr="0060721D">
              <w:rPr>
                <w:rFonts w:ascii="Times New Roman" w:hAnsi="Times New Roman"/>
              </w:rPr>
              <w:t xml:space="preserve"> </w:t>
            </w:r>
            <w:proofErr w:type="spellStart"/>
            <w:r w:rsidRPr="0060721D">
              <w:rPr>
                <w:rFonts w:ascii="Times New Roman" w:hAnsi="Times New Roman"/>
              </w:rPr>
              <w:t>sechestrarea</w:t>
            </w:r>
            <w:proofErr w:type="spellEnd"/>
            <w:r w:rsidRPr="0060721D">
              <w:rPr>
                <w:rFonts w:ascii="Times New Roman" w:hAnsi="Times New Roman"/>
              </w:rPr>
              <w:t xml:space="preserve"> de gaze cu </w:t>
            </w:r>
            <w:proofErr w:type="spellStart"/>
            <w:r w:rsidRPr="0060721D">
              <w:rPr>
                <w:rFonts w:ascii="Times New Roman" w:hAnsi="Times New Roman"/>
              </w:rPr>
              <w:t>efect</w:t>
            </w:r>
            <w:proofErr w:type="spellEnd"/>
            <w:r w:rsidRPr="0060721D">
              <w:rPr>
                <w:rFonts w:ascii="Times New Roman" w:hAnsi="Times New Roman"/>
              </w:rPr>
              <w:t xml:space="preserve"> de </w:t>
            </w:r>
            <w:proofErr w:type="spellStart"/>
            <w:r w:rsidRPr="0060721D">
              <w:rPr>
                <w:rFonts w:ascii="Times New Roman" w:hAnsi="Times New Roman"/>
              </w:rPr>
              <w:t>seră</w:t>
            </w:r>
            <w:proofErr w:type="spellEnd"/>
            <w:r w:rsidRPr="0060721D">
              <w:rPr>
                <w:rFonts w:ascii="Times New Roman" w:hAnsi="Times New Roman"/>
              </w:rPr>
              <w:t xml:space="preserve"> </w:t>
            </w:r>
            <w:proofErr w:type="spellStart"/>
            <w:r w:rsidRPr="0060721D">
              <w:rPr>
                <w:rFonts w:ascii="Times New Roman" w:hAnsi="Times New Roman"/>
              </w:rPr>
              <w:t>condiţionată</w:t>
            </w:r>
            <w:proofErr w:type="spellEnd"/>
            <w:r w:rsidRPr="0060721D">
              <w:rPr>
                <w:rFonts w:ascii="Times New Roman" w:hAnsi="Times New Roman"/>
              </w:rPr>
              <w:t xml:space="preserve"> </w:t>
            </w:r>
            <w:proofErr w:type="spellStart"/>
            <w:r w:rsidRPr="0060721D">
              <w:rPr>
                <w:rFonts w:ascii="Times New Roman" w:hAnsi="Times New Roman"/>
              </w:rPr>
              <w:t>pînă</w:t>
            </w:r>
            <w:proofErr w:type="spellEnd"/>
            <w:r w:rsidRPr="0060721D">
              <w:rPr>
                <w:rFonts w:ascii="Times New Roman" w:hAnsi="Times New Roman"/>
              </w:rPr>
              <w:t xml:space="preserve"> la 391% </w:t>
            </w:r>
            <w:proofErr w:type="spellStart"/>
            <w:r w:rsidRPr="0060721D">
              <w:rPr>
                <w:rFonts w:ascii="Times New Roman" w:hAnsi="Times New Roman"/>
              </w:rPr>
              <w:t>comparativ</w:t>
            </w:r>
            <w:proofErr w:type="spellEnd"/>
            <w:r w:rsidRPr="0060721D">
              <w:rPr>
                <w:rFonts w:ascii="Times New Roman" w:hAnsi="Times New Roman"/>
              </w:rPr>
              <w:t xml:space="preserve"> cu </w:t>
            </w:r>
            <w:proofErr w:type="spellStart"/>
            <w:r w:rsidRPr="0060721D">
              <w:rPr>
                <w:rFonts w:ascii="Times New Roman" w:hAnsi="Times New Roman"/>
              </w:rPr>
              <w:t>anul</w:t>
            </w:r>
            <w:proofErr w:type="spellEnd"/>
            <w:r w:rsidRPr="0060721D">
              <w:rPr>
                <w:rFonts w:ascii="Times New Roman" w:hAnsi="Times New Roman"/>
              </w:rPr>
              <w:t xml:space="preserve"> 1990</w:t>
            </w:r>
          </w:p>
        </w:tc>
      </w:tr>
      <w:tr w:rsidR="00F11CCD" w:rsidRPr="0060721D" w14:paraId="5674A70D" w14:textId="77777777" w:rsidTr="00F11CCD">
        <w:trPr>
          <w:divId w:val="546725049"/>
          <w:trHeight w:val="765"/>
        </w:trPr>
        <w:tc>
          <w:tcPr>
            <w:tcW w:w="500" w:type="dxa"/>
            <w:hideMark/>
          </w:tcPr>
          <w:p w14:paraId="0BD6E2F0" w14:textId="77777777" w:rsidR="0060721D" w:rsidRPr="0060721D" w:rsidRDefault="0060721D" w:rsidP="0060721D">
            <w:pPr>
              <w:jc w:val="center"/>
              <w:rPr>
                <w:rFonts w:ascii="Times New Roman" w:eastAsia="Times New Roman" w:hAnsi="Times New Roman"/>
                <w:lang w:eastAsia="ru-RU"/>
              </w:rPr>
            </w:pPr>
            <w:r w:rsidRPr="0060721D">
              <w:rPr>
                <w:rFonts w:ascii="Times New Roman" w:eastAsia="Times New Roman" w:hAnsi="Times New Roman"/>
                <w:lang w:eastAsia="ru-RU"/>
              </w:rPr>
              <w:t>6,1</w:t>
            </w:r>
          </w:p>
        </w:tc>
        <w:tc>
          <w:tcPr>
            <w:tcW w:w="3437" w:type="dxa"/>
            <w:gridSpan w:val="2"/>
            <w:hideMark/>
          </w:tcPr>
          <w:p w14:paraId="4DCCC004" w14:textId="77777777" w:rsidR="0060721D" w:rsidRPr="0060721D" w:rsidRDefault="0060721D" w:rsidP="0060721D">
            <w:pPr>
              <w:rPr>
                <w:rFonts w:ascii="Times New Roman" w:eastAsia="Times New Roman" w:hAnsi="Times New Roman"/>
                <w:lang w:eastAsia="ru-RU"/>
              </w:rPr>
            </w:pPr>
            <w:proofErr w:type="spellStart"/>
            <w:r w:rsidRPr="0060721D">
              <w:rPr>
                <w:rFonts w:ascii="Times New Roman" w:eastAsia="Times New Roman" w:hAnsi="Times New Roman"/>
                <w:lang w:eastAsia="ru-RU"/>
              </w:rPr>
              <w:t>Extinderea</w:t>
            </w:r>
            <w:proofErr w:type="spellEnd"/>
            <w:r w:rsidRPr="0060721D">
              <w:rPr>
                <w:rFonts w:ascii="Times New Roman" w:eastAsia="Times New Roman" w:hAnsi="Times New Roman"/>
                <w:lang w:eastAsia="ru-RU"/>
              </w:rPr>
              <w:t xml:space="preserve"> </w:t>
            </w:r>
            <w:proofErr w:type="spellStart"/>
            <w:r w:rsidRPr="0060721D">
              <w:rPr>
                <w:rFonts w:ascii="Times New Roman" w:eastAsia="Times New Roman" w:hAnsi="Times New Roman"/>
                <w:lang w:eastAsia="ru-RU"/>
              </w:rPr>
              <w:t>terenurilor</w:t>
            </w:r>
            <w:proofErr w:type="spellEnd"/>
            <w:r w:rsidRPr="0060721D">
              <w:rPr>
                <w:rFonts w:ascii="Times New Roman" w:eastAsia="Times New Roman" w:hAnsi="Times New Roman"/>
                <w:lang w:eastAsia="ru-RU"/>
              </w:rPr>
              <w:t xml:space="preserve"> </w:t>
            </w:r>
            <w:proofErr w:type="spellStart"/>
            <w:r w:rsidRPr="0060721D">
              <w:rPr>
                <w:rFonts w:ascii="Times New Roman" w:eastAsia="Times New Roman" w:hAnsi="Times New Roman"/>
                <w:lang w:eastAsia="ru-RU"/>
              </w:rPr>
              <w:t>împădurite</w:t>
            </w:r>
            <w:proofErr w:type="spellEnd"/>
          </w:p>
        </w:tc>
        <w:tc>
          <w:tcPr>
            <w:tcW w:w="2211" w:type="dxa"/>
            <w:gridSpan w:val="2"/>
            <w:hideMark/>
          </w:tcPr>
          <w:p w14:paraId="42EF4773" w14:textId="77777777" w:rsidR="0060721D" w:rsidRPr="0060721D" w:rsidRDefault="0060721D" w:rsidP="0060721D">
            <w:pPr>
              <w:rPr>
                <w:rFonts w:ascii="Times New Roman" w:hAnsi="Times New Roman"/>
              </w:rPr>
            </w:pPr>
            <w:r w:rsidRPr="0060721D">
              <w:rPr>
                <w:rFonts w:ascii="Times New Roman" w:eastAsia="Times New Roman" w:hAnsi="Times New Roman"/>
                <w:lang w:val="es-ES" w:eastAsia="ru-RU"/>
              </w:rPr>
              <w:t>Măsurprevede plantarea culturilor silvice pe 24.7 mii ha (26%), ajutorarea regenerării naturale pe</w:t>
            </w:r>
            <w:r w:rsidRPr="0060721D">
              <w:rPr>
                <w:rFonts w:ascii="Times New Roman" w:hAnsi="Times New Roman"/>
              </w:rPr>
              <w:t xml:space="preserve"> 39.0 mii ha (41%) </w:t>
            </w:r>
            <w:proofErr w:type="spellStart"/>
            <w:r w:rsidRPr="0060721D">
              <w:rPr>
                <w:rFonts w:ascii="Times New Roman" w:hAnsi="Times New Roman"/>
              </w:rPr>
              <w:t>şi</w:t>
            </w:r>
            <w:proofErr w:type="spellEnd"/>
            <w:r w:rsidRPr="0060721D">
              <w:rPr>
                <w:rFonts w:ascii="Times New Roman" w:hAnsi="Times New Roman"/>
              </w:rPr>
              <w:t xml:space="preserve"> </w:t>
            </w:r>
            <w:proofErr w:type="spellStart"/>
            <w:r w:rsidRPr="0060721D">
              <w:rPr>
                <w:rFonts w:ascii="Times New Roman" w:hAnsi="Times New Roman"/>
              </w:rPr>
              <w:t>regenerarea</w:t>
            </w:r>
            <w:proofErr w:type="spellEnd"/>
            <w:r w:rsidRPr="0060721D">
              <w:rPr>
                <w:rFonts w:ascii="Times New Roman" w:hAnsi="Times New Roman"/>
              </w:rPr>
              <w:t xml:space="preserve"> </w:t>
            </w:r>
            <w:proofErr w:type="spellStart"/>
            <w:r w:rsidRPr="0060721D">
              <w:rPr>
                <w:rFonts w:ascii="Times New Roman" w:hAnsi="Times New Roman"/>
              </w:rPr>
              <w:t>naturală</w:t>
            </w:r>
            <w:proofErr w:type="spellEnd"/>
            <w:r w:rsidRPr="0060721D">
              <w:rPr>
                <w:rFonts w:ascii="Times New Roman" w:hAnsi="Times New Roman"/>
              </w:rPr>
              <w:t xml:space="preserve"> pe 31.4 mii ha (33%). </w:t>
            </w:r>
            <w:proofErr w:type="spellStart"/>
            <w:r w:rsidRPr="0060721D">
              <w:rPr>
                <w:rFonts w:ascii="Times New Roman" w:hAnsi="Times New Roman"/>
              </w:rPr>
              <w:t>În</w:t>
            </w:r>
            <w:proofErr w:type="spellEnd"/>
            <w:r w:rsidRPr="0060721D">
              <w:rPr>
                <w:rFonts w:ascii="Times New Roman" w:hAnsi="Times New Roman"/>
              </w:rPr>
              <w:t xml:space="preserve"> total, </w:t>
            </w:r>
            <w:proofErr w:type="spellStart"/>
            <w:r w:rsidRPr="0060721D">
              <w:rPr>
                <w:rFonts w:ascii="Times New Roman" w:hAnsi="Times New Roman"/>
              </w:rPr>
              <w:t>lucrările</w:t>
            </w:r>
            <w:proofErr w:type="spellEnd"/>
            <w:r w:rsidRPr="0060721D">
              <w:rPr>
                <w:rFonts w:ascii="Times New Roman" w:hAnsi="Times New Roman"/>
              </w:rPr>
              <w:t xml:space="preserve"> de </w:t>
            </w:r>
            <w:proofErr w:type="spellStart"/>
            <w:r w:rsidRPr="0060721D">
              <w:rPr>
                <w:rFonts w:ascii="Times New Roman" w:hAnsi="Times New Roman"/>
              </w:rPr>
              <w:t>regenerare</w:t>
            </w:r>
            <w:proofErr w:type="spellEnd"/>
            <w:r w:rsidRPr="0060721D">
              <w:rPr>
                <w:rFonts w:ascii="Times New Roman" w:hAnsi="Times New Roman"/>
              </w:rPr>
              <w:t xml:space="preserve"> </w:t>
            </w:r>
            <w:proofErr w:type="spellStart"/>
            <w:r w:rsidRPr="0060721D">
              <w:rPr>
                <w:rFonts w:ascii="Times New Roman" w:hAnsi="Times New Roman"/>
              </w:rPr>
              <w:t>şi</w:t>
            </w:r>
            <w:proofErr w:type="spellEnd"/>
            <w:r w:rsidRPr="0060721D">
              <w:rPr>
                <w:rFonts w:ascii="Times New Roman" w:hAnsi="Times New Roman"/>
              </w:rPr>
              <w:t xml:space="preserve"> </w:t>
            </w:r>
            <w:proofErr w:type="spellStart"/>
            <w:r w:rsidRPr="0060721D">
              <w:rPr>
                <w:rFonts w:ascii="Times New Roman" w:hAnsi="Times New Roman"/>
              </w:rPr>
              <w:t>împădurire</w:t>
            </w:r>
            <w:proofErr w:type="spellEnd"/>
            <w:r w:rsidRPr="0060721D">
              <w:rPr>
                <w:rFonts w:ascii="Times New Roman" w:hAnsi="Times New Roman"/>
              </w:rPr>
              <w:t xml:space="preserve"> </w:t>
            </w:r>
            <w:proofErr w:type="spellStart"/>
            <w:r w:rsidRPr="0060721D">
              <w:rPr>
                <w:rFonts w:ascii="Times New Roman" w:hAnsi="Times New Roman"/>
              </w:rPr>
              <w:t>în</w:t>
            </w:r>
            <w:proofErr w:type="spellEnd"/>
            <w:r w:rsidRPr="0060721D">
              <w:rPr>
                <w:rFonts w:ascii="Times New Roman" w:hAnsi="Times New Roman"/>
              </w:rPr>
              <w:t xml:space="preserve"> </w:t>
            </w:r>
            <w:proofErr w:type="spellStart"/>
            <w:r w:rsidRPr="0060721D">
              <w:rPr>
                <w:rFonts w:ascii="Times New Roman" w:hAnsi="Times New Roman"/>
              </w:rPr>
              <w:t>fondul</w:t>
            </w:r>
            <w:proofErr w:type="spellEnd"/>
            <w:r w:rsidRPr="0060721D">
              <w:rPr>
                <w:rFonts w:ascii="Times New Roman" w:hAnsi="Times New Roman"/>
              </w:rPr>
              <w:t xml:space="preserve"> </w:t>
            </w:r>
            <w:proofErr w:type="spellStart"/>
            <w:r w:rsidRPr="0060721D">
              <w:rPr>
                <w:rFonts w:ascii="Times New Roman" w:hAnsi="Times New Roman"/>
              </w:rPr>
              <w:t>forestier</w:t>
            </w:r>
            <w:proofErr w:type="spellEnd"/>
            <w:r w:rsidRPr="0060721D">
              <w:rPr>
                <w:rFonts w:ascii="Times New Roman" w:hAnsi="Times New Roman"/>
              </w:rPr>
              <w:t xml:space="preserve"> se </w:t>
            </w:r>
            <w:proofErr w:type="spellStart"/>
            <w:r w:rsidRPr="0060721D">
              <w:rPr>
                <w:rFonts w:ascii="Times New Roman" w:hAnsi="Times New Roman"/>
              </w:rPr>
              <w:t>vor</w:t>
            </w:r>
            <w:proofErr w:type="spellEnd"/>
            <w:r w:rsidRPr="0060721D">
              <w:rPr>
                <w:rFonts w:ascii="Times New Roman" w:hAnsi="Times New Roman"/>
              </w:rPr>
              <w:t xml:space="preserve"> </w:t>
            </w:r>
            <w:proofErr w:type="spellStart"/>
            <w:r w:rsidRPr="0060721D">
              <w:rPr>
                <w:rFonts w:ascii="Times New Roman" w:hAnsi="Times New Roman"/>
              </w:rPr>
              <w:t>desfăşura</w:t>
            </w:r>
            <w:proofErr w:type="spellEnd"/>
            <w:r w:rsidRPr="0060721D">
              <w:rPr>
                <w:rFonts w:ascii="Times New Roman" w:hAnsi="Times New Roman"/>
              </w:rPr>
              <w:t xml:space="preserve"> pe o </w:t>
            </w:r>
            <w:proofErr w:type="spellStart"/>
            <w:r w:rsidRPr="0060721D">
              <w:rPr>
                <w:rFonts w:ascii="Times New Roman" w:hAnsi="Times New Roman"/>
              </w:rPr>
              <w:t>suprafaţă</w:t>
            </w:r>
            <w:proofErr w:type="spellEnd"/>
            <w:r w:rsidRPr="0060721D">
              <w:rPr>
                <w:rFonts w:ascii="Times New Roman" w:hAnsi="Times New Roman"/>
              </w:rPr>
              <w:t xml:space="preserve"> </w:t>
            </w:r>
            <w:proofErr w:type="spellStart"/>
            <w:r w:rsidRPr="0060721D">
              <w:rPr>
                <w:rFonts w:ascii="Times New Roman" w:hAnsi="Times New Roman"/>
              </w:rPr>
              <w:t>totală</w:t>
            </w:r>
            <w:proofErr w:type="spellEnd"/>
            <w:r w:rsidRPr="0060721D">
              <w:rPr>
                <w:rFonts w:ascii="Times New Roman" w:hAnsi="Times New Roman"/>
              </w:rPr>
              <w:t xml:space="preserve"> de 95.1 mii ha.</w:t>
            </w:r>
          </w:p>
        </w:tc>
        <w:tc>
          <w:tcPr>
            <w:tcW w:w="1620" w:type="dxa"/>
            <w:gridSpan w:val="2"/>
            <w:hideMark/>
          </w:tcPr>
          <w:p w14:paraId="7094D320" w14:textId="77777777" w:rsidR="0060721D" w:rsidRPr="0060721D" w:rsidRDefault="0060721D" w:rsidP="0060721D">
            <w:pPr>
              <w:jc w:val="center"/>
              <w:rPr>
                <w:rFonts w:ascii="Times New Roman" w:hAnsi="Times New Roman"/>
              </w:rPr>
            </w:pPr>
            <w:r w:rsidRPr="0060721D">
              <w:rPr>
                <w:rFonts w:ascii="Times New Roman" w:eastAsia="Times New Roman" w:hAnsi="Times New Roman"/>
                <w:lang w:val="es-ES" w:eastAsia="ru-RU"/>
              </w:rPr>
              <w:t>100</w:t>
            </w:r>
            <w:r w:rsidRPr="0060721D">
              <w:rPr>
                <w:rFonts w:ascii="Times New Roman" w:hAnsi="Times New Roman"/>
              </w:rPr>
              <w:t>%</w:t>
            </w:r>
          </w:p>
        </w:tc>
        <w:tc>
          <w:tcPr>
            <w:tcW w:w="1440" w:type="dxa"/>
            <w:gridSpan w:val="2"/>
            <w:noWrap/>
            <w:hideMark/>
          </w:tcPr>
          <w:p w14:paraId="1874765A" w14:textId="77777777" w:rsidR="0060721D" w:rsidRPr="0060721D" w:rsidRDefault="0060721D" w:rsidP="0060721D">
            <w:pPr>
              <w:jc w:val="center"/>
              <w:rPr>
                <w:rFonts w:ascii="Times New Roman" w:hAnsi="Times New Roman"/>
                <w:lang w:val="ro-RO"/>
              </w:rPr>
            </w:pPr>
            <w:r w:rsidRPr="0060721D">
              <w:rPr>
                <w:rFonts w:ascii="Times New Roman" w:eastAsia="Times New Roman" w:hAnsi="Times New Roman"/>
                <w:lang w:val="es-ES" w:eastAsia="ru-RU"/>
              </w:rPr>
              <w:t> </w:t>
            </w:r>
          </w:p>
        </w:tc>
        <w:tc>
          <w:tcPr>
            <w:tcW w:w="3429" w:type="dxa"/>
            <w:gridSpan w:val="2"/>
            <w:hideMark/>
          </w:tcPr>
          <w:p w14:paraId="46ED1AC2" w14:textId="77777777" w:rsidR="0060721D" w:rsidRPr="0060721D" w:rsidRDefault="0060721D" w:rsidP="0060721D">
            <w:pPr>
              <w:jc w:val="center"/>
              <w:rPr>
                <w:rFonts w:ascii="Times New Roman" w:hAnsi="Times New Roman"/>
              </w:rPr>
            </w:pPr>
            <w:r w:rsidRPr="0060721D">
              <w:rPr>
                <w:rFonts w:ascii="Times New Roman" w:eastAsia="Times New Roman" w:hAnsi="Times New Roman"/>
                <w:lang w:val="es-ES" w:eastAsia="ru-RU"/>
              </w:rPr>
              <w:t>Către</w:t>
            </w:r>
            <w:r w:rsidRPr="0060721D">
              <w:rPr>
                <w:rFonts w:ascii="Times New Roman" w:hAnsi="Times New Roman"/>
                <w:lang w:val="ro-RO"/>
              </w:rPr>
              <w:t xml:space="preserve"> </w:t>
            </w:r>
            <w:r w:rsidRPr="0060721D">
              <w:rPr>
                <w:rFonts w:ascii="Times New Roman" w:hAnsi="Times New Roman"/>
              </w:rPr>
              <w:t>2030: – minim: --82 Kt CO2eq; – maxim: --414 Kt CO2eq</w:t>
            </w:r>
          </w:p>
        </w:tc>
        <w:tc>
          <w:tcPr>
            <w:tcW w:w="1502" w:type="dxa"/>
            <w:gridSpan w:val="2"/>
            <w:hideMark/>
          </w:tcPr>
          <w:p w14:paraId="112869EF" w14:textId="77777777" w:rsidR="0060721D" w:rsidRPr="0060721D" w:rsidRDefault="0060721D" w:rsidP="0060721D">
            <w:pPr>
              <w:jc w:val="center"/>
              <w:rPr>
                <w:rFonts w:ascii="Times New Roman" w:eastAsia="Times New Roman" w:hAnsi="Times New Roman"/>
                <w:lang w:eastAsia="ru-RU"/>
              </w:rPr>
            </w:pPr>
            <w:r w:rsidRPr="0060721D">
              <w:rPr>
                <w:rFonts w:ascii="Times New Roman" w:eastAsia="Times New Roman" w:hAnsi="Times New Roman"/>
                <w:lang w:eastAsia="ru-RU"/>
              </w:rPr>
              <w:t> </w:t>
            </w:r>
          </w:p>
        </w:tc>
      </w:tr>
      <w:tr w:rsidR="00F11CCD" w:rsidRPr="0060721D" w14:paraId="1370981F" w14:textId="77777777" w:rsidTr="00F11CCD">
        <w:trPr>
          <w:divId w:val="546725049"/>
          <w:trHeight w:val="540"/>
        </w:trPr>
        <w:tc>
          <w:tcPr>
            <w:tcW w:w="500" w:type="dxa"/>
            <w:hideMark/>
          </w:tcPr>
          <w:p w14:paraId="54398486" w14:textId="77777777" w:rsidR="0060721D" w:rsidRPr="0060721D" w:rsidRDefault="0060721D" w:rsidP="0060721D">
            <w:pPr>
              <w:jc w:val="center"/>
              <w:rPr>
                <w:rFonts w:ascii="Times New Roman" w:eastAsia="Times New Roman" w:hAnsi="Times New Roman"/>
                <w:lang w:val="ro-RO" w:eastAsia="ru-RU"/>
              </w:rPr>
            </w:pPr>
            <w:r w:rsidRPr="0060721D">
              <w:rPr>
                <w:rFonts w:ascii="Times New Roman" w:eastAsia="Times New Roman" w:hAnsi="Times New Roman"/>
                <w:lang w:eastAsia="ru-RU"/>
              </w:rPr>
              <w:t>6,2</w:t>
            </w:r>
          </w:p>
        </w:tc>
        <w:tc>
          <w:tcPr>
            <w:tcW w:w="3437" w:type="dxa"/>
            <w:gridSpan w:val="2"/>
            <w:hideMark/>
          </w:tcPr>
          <w:p w14:paraId="3D9DEA9D" w14:textId="77777777" w:rsidR="0060721D" w:rsidRPr="0060721D" w:rsidRDefault="0060721D" w:rsidP="0060721D">
            <w:pPr>
              <w:rPr>
                <w:rFonts w:ascii="Times New Roman" w:hAnsi="Times New Roman"/>
              </w:rPr>
            </w:pPr>
            <w:proofErr w:type="spellStart"/>
            <w:r w:rsidRPr="0060721D">
              <w:rPr>
                <w:rFonts w:ascii="Times New Roman" w:eastAsia="Times New Roman" w:hAnsi="Times New Roman"/>
                <w:lang w:eastAsia="ru-RU"/>
              </w:rPr>
              <w:t>Acțiunea</w:t>
            </w:r>
            <w:proofErr w:type="spellEnd"/>
            <w:r w:rsidRPr="0060721D">
              <w:rPr>
                <w:rFonts w:ascii="Times New Roman" w:eastAsia="Times New Roman" w:hAnsi="Times New Roman"/>
                <w:lang w:eastAsia="ru-RU"/>
              </w:rPr>
              <w:t xml:space="preserve"> NAMA </w:t>
            </w:r>
            <w:proofErr w:type="spellStart"/>
            <w:r w:rsidRPr="0060721D">
              <w:rPr>
                <w:rFonts w:ascii="Times New Roman" w:eastAsia="Times New Roman" w:hAnsi="Times New Roman"/>
                <w:lang w:eastAsia="ru-RU"/>
              </w:rPr>
              <w:t>privind</w:t>
            </w:r>
            <w:proofErr w:type="spellEnd"/>
            <w:r w:rsidRPr="0060721D">
              <w:rPr>
                <w:rFonts w:ascii="Times New Roman" w:eastAsia="Times New Roman" w:hAnsi="Times New Roman"/>
                <w:lang w:eastAsia="ru-RU"/>
              </w:rPr>
              <w:t xml:space="preserve"> </w:t>
            </w:r>
            <w:proofErr w:type="spellStart"/>
            <w:r w:rsidRPr="0060721D">
              <w:rPr>
                <w:rFonts w:ascii="Times New Roman" w:eastAsia="Times New Roman" w:hAnsi="Times New Roman"/>
                <w:lang w:eastAsia="ru-RU"/>
              </w:rPr>
              <w:t>împădurirea</w:t>
            </w:r>
            <w:proofErr w:type="spellEnd"/>
            <w:r w:rsidRPr="0060721D">
              <w:rPr>
                <w:rFonts w:ascii="Times New Roman" w:eastAsia="Times New Roman" w:hAnsi="Times New Roman"/>
                <w:lang w:val="ro-RO" w:eastAsia="ru-RU"/>
              </w:rPr>
              <w:t xml:space="preserve"> </w:t>
            </w:r>
            <w:proofErr w:type="spellStart"/>
            <w:r w:rsidRPr="0060721D">
              <w:rPr>
                <w:rFonts w:ascii="Times New Roman" w:hAnsi="Times New Roman"/>
              </w:rPr>
              <w:t>terenurilor</w:t>
            </w:r>
            <w:proofErr w:type="spellEnd"/>
            <w:r w:rsidRPr="0060721D">
              <w:rPr>
                <w:rFonts w:ascii="Times New Roman" w:hAnsi="Times New Roman"/>
              </w:rPr>
              <w:t xml:space="preserve"> </w:t>
            </w:r>
            <w:proofErr w:type="spellStart"/>
            <w:r w:rsidRPr="0060721D">
              <w:rPr>
                <w:rFonts w:ascii="Times New Roman" w:hAnsi="Times New Roman"/>
              </w:rPr>
              <w:t>degradate</w:t>
            </w:r>
            <w:proofErr w:type="spellEnd"/>
            <w:r w:rsidRPr="0060721D">
              <w:rPr>
                <w:rFonts w:ascii="Times New Roman" w:hAnsi="Times New Roman"/>
              </w:rPr>
              <w:t xml:space="preserve">, </w:t>
            </w:r>
            <w:proofErr w:type="spellStart"/>
            <w:r w:rsidRPr="0060721D">
              <w:rPr>
                <w:rFonts w:ascii="Times New Roman" w:hAnsi="Times New Roman"/>
              </w:rPr>
              <w:t>zonelor</w:t>
            </w:r>
            <w:proofErr w:type="spellEnd"/>
            <w:r w:rsidRPr="0060721D">
              <w:rPr>
                <w:rFonts w:ascii="Times New Roman" w:hAnsi="Times New Roman"/>
              </w:rPr>
              <w:t xml:space="preserve"> </w:t>
            </w:r>
            <w:proofErr w:type="spellStart"/>
            <w:r w:rsidRPr="0060721D">
              <w:rPr>
                <w:rFonts w:ascii="Times New Roman" w:hAnsi="Times New Roman"/>
              </w:rPr>
              <w:t>riverane</w:t>
            </w:r>
            <w:proofErr w:type="spellEnd"/>
            <w:r w:rsidRPr="0060721D">
              <w:rPr>
                <w:rFonts w:ascii="Times New Roman" w:hAnsi="Times New Roman"/>
              </w:rPr>
              <w:t xml:space="preserve"> </w:t>
            </w:r>
            <w:proofErr w:type="spellStart"/>
            <w:r w:rsidRPr="0060721D">
              <w:rPr>
                <w:rFonts w:ascii="Times New Roman" w:hAnsi="Times New Roman"/>
              </w:rPr>
              <w:t>și</w:t>
            </w:r>
            <w:proofErr w:type="spellEnd"/>
            <w:r w:rsidRPr="0060721D">
              <w:rPr>
                <w:rFonts w:ascii="Times New Roman" w:hAnsi="Times New Roman"/>
              </w:rPr>
              <w:t xml:space="preserve"> </w:t>
            </w:r>
            <w:proofErr w:type="spellStart"/>
            <w:r w:rsidRPr="0060721D">
              <w:rPr>
                <w:rFonts w:ascii="Times New Roman" w:hAnsi="Times New Roman"/>
              </w:rPr>
              <w:t>perdelelor</w:t>
            </w:r>
            <w:proofErr w:type="spellEnd"/>
            <w:r w:rsidRPr="0060721D">
              <w:rPr>
                <w:rFonts w:ascii="Times New Roman" w:hAnsi="Times New Roman"/>
              </w:rPr>
              <w:t xml:space="preserve"> de </w:t>
            </w:r>
            <w:proofErr w:type="spellStart"/>
            <w:r w:rsidRPr="0060721D">
              <w:rPr>
                <w:rFonts w:ascii="Times New Roman" w:hAnsi="Times New Roman"/>
              </w:rPr>
              <w:t>protecție</w:t>
            </w:r>
            <w:proofErr w:type="spellEnd"/>
            <w:r w:rsidRPr="0060721D">
              <w:rPr>
                <w:rFonts w:ascii="Times New Roman" w:hAnsi="Times New Roman"/>
              </w:rPr>
              <w:t xml:space="preserve"> </w:t>
            </w:r>
            <w:proofErr w:type="spellStart"/>
            <w:r w:rsidRPr="0060721D">
              <w:rPr>
                <w:rFonts w:ascii="Times New Roman" w:hAnsi="Times New Roman"/>
              </w:rPr>
              <w:t>în</w:t>
            </w:r>
            <w:proofErr w:type="spellEnd"/>
            <w:r w:rsidRPr="0060721D">
              <w:rPr>
                <w:rFonts w:ascii="Times New Roman" w:hAnsi="Times New Roman"/>
              </w:rPr>
              <w:t xml:space="preserve"> </w:t>
            </w:r>
            <w:proofErr w:type="spellStart"/>
            <w:r w:rsidRPr="0060721D">
              <w:rPr>
                <w:rFonts w:ascii="Times New Roman" w:hAnsi="Times New Roman"/>
              </w:rPr>
              <w:t>Republica</w:t>
            </w:r>
            <w:proofErr w:type="spellEnd"/>
            <w:r w:rsidRPr="0060721D">
              <w:rPr>
                <w:rFonts w:ascii="Times New Roman" w:hAnsi="Times New Roman"/>
              </w:rPr>
              <w:t xml:space="preserve"> Moldova</w:t>
            </w:r>
          </w:p>
        </w:tc>
        <w:tc>
          <w:tcPr>
            <w:tcW w:w="2211" w:type="dxa"/>
            <w:gridSpan w:val="2"/>
            <w:hideMark/>
          </w:tcPr>
          <w:p w14:paraId="6E3E4C05" w14:textId="77777777" w:rsidR="0060721D" w:rsidRPr="0060721D" w:rsidRDefault="0060721D" w:rsidP="0060721D">
            <w:pPr>
              <w:rPr>
                <w:rFonts w:ascii="Times New Roman" w:hAnsi="Times New Roman"/>
              </w:rPr>
            </w:pPr>
            <w:r w:rsidRPr="0060721D">
              <w:rPr>
                <w:rFonts w:ascii="Times New Roman" w:eastAsia="Times New Roman" w:hAnsi="Times New Roman"/>
                <w:lang w:val="es-ES" w:eastAsia="ru-RU"/>
              </w:rPr>
              <w:t>Acțiunea prevede:împădurirea terenurilor degradate pe o suprafață de 45000 hectare; – împădurirea fâșiilor riverane pe o</w:t>
            </w:r>
            <w:r w:rsidRPr="0060721D">
              <w:rPr>
                <w:rFonts w:ascii="Times New Roman" w:eastAsia="Times New Roman" w:hAnsi="Times New Roman"/>
                <w:lang w:eastAsia="ru-RU"/>
              </w:rPr>
              <w:t xml:space="preserve"> </w:t>
            </w:r>
            <w:proofErr w:type="spellStart"/>
            <w:r w:rsidRPr="0060721D">
              <w:rPr>
                <w:rFonts w:ascii="Times New Roman" w:hAnsi="Times New Roman"/>
              </w:rPr>
              <w:t>suprafață</w:t>
            </w:r>
            <w:proofErr w:type="spellEnd"/>
            <w:r w:rsidRPr="0060721D">
              <w:rPr>
                <w:rFonts w:ascii="Times New Roman" w:hAnsi="Times New Roman"/>
              </w:rPr>
              <w:t xml:space="preserve"> de 15000 hectare; – </w:t>
            </w:r>
            <w:proofErr w:type="spellStart"/>
            <w:r w:rsidRPr="0060721D">
              <w:rPr>
                <w:rFonts w:ascii="Times New Roman" w:hAnsi="Times New Roman"/>
              </w:rPr>
              <w:t>crearea</w:t>
            </w:r>
            <w:proofErr w:type="spellEnd"/>
            <w:r w:rsidRPr="0060721D">
              <w:rPr>
                <w:rFonts w:ascii="Times New Roman" w:hAnsi="Times New Roman"/>
              </w:rPr>
              <w:t xml:space="preserve"> </w:t>
            </w:r>
            <w:proofErr w:type="spellStart"/>
            <w:r w:rsidRPr="0060721D">
              <w:rPr>
                <w:rFonts w:ascii="Times New Roman" w:hAnsi="Times New Roman"/>
              </w:rPr>
              <w:t>perdelelor</w:t>
            </w:r>
            <w:proofErr w:type="spellEnd"/>
            <w:r w:rsidRPr="0060721D">
              <w:rPr>
                <w:rFonts w:ascii="Times New Roman" w:hAnsi="Times New Roman"/>
              </w:rPr>
              <w:t xml:space="preserve"> de </w:t>
            </w:r>
            <w:proofErr w:type="spellStart"/>
            <w:r w:rsidRPr="0060721D">
              <w:rPr>
                <w:rFonts w:ascii="Times New Roman" w:hAnsi="Times New Roman"/>
              </w:rPr>
              <w:t>protecție</w:t>
            </w:r>
            <w:proofErr w:type="spellEnd"/>
            <w:r w:rsidRPr="0060721D">
              <w:rPr>
                <w:rFonts w:ascii="Times New Roman" w:hAnsi="Times New Roman"/>
              </w:rPr>
              <w:t xml:space="preserve"> a </w:t>
            </w:r>
            <w:proofErr w:type="spellStart"/>
            <w:r w:rsidRPr="0060721D">
              <w:rPr>
                <w:rFonts w:ascii="Times New Roman" w:hAnsi="Times New Roman"/>
              </w:rPr>
              <w:t>câmpurilor</w:t>
            </w:r>
            <w:proofErr w:type="spellEnd"/>
            <w:r w:rsidRPr="0060721D">
              <w:rPr>
                <w:rFonts w:ascii="Times New Roman" w:hAnsi="Times New Roman"/>
              </w:rPr>
              <w:t xml:space="preserve"> </w:t>
            </w:r>
            <w:proofErr w:type="spellStart"/>
            <w:r w:rsidRPr="0060721D">
              <w:rPr>
                <w:rFonts w:ascii="Times New Roman" w:hAnsi="Times New Roman"/>
              </w:rPr>
              <w:t>agricole</w:t>
            </w:r>
            <w:proofErr w:type="spellEnd"/>
            <w:r w:rsidRPr="0060721D">
              <w:rPr>
                <w:rFonts w:ascii="Times New Roman" w:hAnsi="Times New Roman"/>
              </w:rPr>
              <w:t xml:space="preserve"> pe o </w:t>
            </w:r>
            <w:proofErr w:type="spellStart"/>
            <w:r w:rsidRPr="0060721D">
              <w:rPr>
                <w:rFonts w:ascii="Times New Roman" w:hAnsi="Times New Roman"/>
              </w:rPr>
              <w:t>suprafață</w:t>
            </w:r>
            <w:proofErr w:type="spellEnd"/>
            <w:r w:rsidRPr="0060721D">
              <w:rPr>
                <w:rFonts w:ascii="Times New Roman" w:hAnsi="Times New Roman"/>
              </w:rPr>
              <w:t xml:space="preserve"> de1500 hectare.  </w:t>
            </w:r>
          </w:p>
        </w:tc>
        <w:tc>
          <w:tcPr>
            <w:tcW w:w="1620" w:type="dxa"/>
            <w:gridSpan w:val="2"/>
            <w:hideMark/>
          </w:tcPr>
          <w:p w14:paraId="66F7447D" w14:textId="77777777" w:rsidR="0060721D" w:rsidRPr="0060721D" w:rsidRDefault="0060721D" w:rsidP="0060721D">
            <w:pPr>
              <w:jc w:val="center"/>
              <w:rPr>
                <w:rFonts w:ascii="Times New Roman" w:hAnsi="Times New Roman"/>
              </w:rPr>
            </w:pPr>
            <w:r w:rsidRPr="0060721D">
              <w:rPr>
                <w:rFonts w:ascii="Times New Roman" w:eastAsia="Times New Roman" w:hAnsi="Times New Roman"/>
                <w:lang w:val="es-ES" w:eastAsia="ru-RU"/>
              </w:rPr>
              <w:t> </w:t>
            </w:r>
          </w:p>
        </w:tc>
        <w:tc>
          <w:tcPr>
            <w:tcW w:w="1440" w:type="dxa"/>
            <w:gridSpan w:val="2"/>
            <w:hideMark/>
          </w:tcPr>
          <w:p w14:paraId="370B662C" w14:textId="77777777" w:rsidR="0060721D" w:rsidRPr="0060721D" w:rsidRDefault="0060721D" w:rsidP="0060721D">
            <w:pPr>
              <w:jc w:val="center"/>
              <w:rPr>
                <w:rFonts w:ascii="Times New Roman" w:eastAsia="Times New Roman" w:hAnsi="Times New Roman"/>
                <w:lang w:eastAsia="ru-RU"/>
              </w:rPr>
            </w:pPr>
            <w:r w:rsidRPr="0060721D">
              <w:rPr>
                <w:rFonts w:ascii="Times New Roman" w:eastAsia="Times New Roman" w:hAnsi="Times New Roman"/>
                <w:lang w:eastAsia="ru-RU"/>
              </w:rPr>
              <w:t>100%</w:t>
            </w:r>
          </w:p>
        </w:tc>
        <w:tc>
          <w:tcPr>
            <w:tcW w:w="3429" w:type="dxa"/>
            <w:gridSpan w:val="2"/>
            <w:noWrap/>
            <w:hideMark/>
          </w:tcPr>
          <w:p w14:paraId="4B5B7C00" w14:textId="77777777" w:rsidR="0060721D" w:rsidRPr="0060721D" w:rsidRDefault="0060721D" w:rsidP="0060721D">
            <w:pPr>
              <w:jc w:val="center"/>
              <w:rPr>
                <w:rFonts w:ascii="Times New Roman" w:hAnsi="Times New Roman"/>
                <w:lang w:val="ro-RO"/>
              </w:rPr>
            </w:pPr>
            <w:r w:rsidRPr="0060721D">
              <w:rPr>
                <w:rFonts w:ascii="Times New Roman" w:eastAsia="Times New Roman" w:hAnsi="Times New Roman"/>
                <w:lang w:eastAsia="ru-RU"/>
              </w:rPr>
              <w:t> </w:t>
            </w:r>
          </w:p>
        </w:tc>
        <w:tc>
          <w:tcPr>
            <w:tcW w:w="1502" w:type="dxa"/>
            <w:gridSpan w:val="2"/>
            <w:hideMark/>
          </w:tcPr>
          <w:p w14:paraId="0FB0F9EC" w14:textId="77777777" w:rsidR="0060721D" w:rsidRPr="0060721D" w:rsidRDefault="0060721D" w:rsidP="0060721D">
            <w:pPr>
              <w:jc w:val="center"/>
              <w:rPr>
                <w:rFonts w:ascii="Times New Roman" w:eastAsia="Times New Roman" w:hAnsi="Times New Roman"/>
                <w:lang w:val="ro-RO" w:eastAsia="ru-RU"/>
              </w:rPr>
            </w:pPr>
            <w:proofErr w:type="spellStart"/>
            <w:r w:rsidRPr="0060721D">
              <w:rPr>
                <w:rFonts w:ascii="Times New Roman" w:eastAsia="Times New Roman" w:hAnsi="Times New Roman"/>
                <w:lang w:eastAsia="ru-RU"/>
              </w:rPr>
              <w:t>Către</w:t>
            </w:r>
            <w:proofErr w:type="spellEnd"/>
            <w:r w:rsidRPr="0060721D">
              <w:rPr>
                <w:rFonts w:ascii="Times New Roman" w:eastAsia="Times New Roman" w:hAnsi="Times New Roman"/>
                <w:lang w:eastAsia="ru-RU"/>
              </w:rPr>
              <w:t xml:space="preserve"> 2030: </w:t>
            </w:r>
            <w:proofErr w:type="spellStart"/>
            <w:r w:rsidRPr="0060721D">
              <w:rPr>
                <w:rFonts w:ascii="Times New Roman" w:eastAsia="Times New Roman" w:hAnsi="Times New Roman"/>
                <w:lang w:eastAsia="ru-RU"/>
              </w:rPr>
              <w:t>cca</w:t>
            </w:r>
            <w:proofErr w:type="spellEnd"/>
            <w:r w:rsidRPr="0060721D">
              <w:rPr>
                <w:rFonts w:ascii="Times New Roman" w:eastAsia="Times New Roman" w:hAnsi="Times New Roman"/>
                <w:lang w:eastAsia="ru-RU"/>
              </w:rPr>
              <w:t xml:space="preserve"> 2000 Kt CO2eq.</w:t>
            </w:r>
          </w:p>
        </w:tc>
      </w:tr>
      <w:tr w:rsidR="002D5884" w:rsidRPr="0060721D" w14:paraId="0A8D4612" w14:textId="77777777" w:rsidTr="00F11CCD">
        <w:trPr>
          <w:divId w:val="546725049"/>
          <w:trHeight w:val="600"/>
        </w:trPr>
        <w:tc>
          <w:tcPr>
            <w:tcW w:w="500" w:type="dxa"/>
            <w:hideMark/>
          </w:tcPr>
          <w:p w14:paraId="61889861" w14:textId="77777777" w:rsidR="0060721D" w:rsidRPr="0060721D" w:rsidRDefault="0060721D" w:rsidP="0060721D">
            <w:pPr>
              <w:jc w:val="center"/>
              <w:rPr>
                <w:rFonts w:ascii="Times New Roman" w:eastAsia="Times New Roman" w:hAnsi="Times New Roman"/>
                <w:lang w:val="ro-RO" w:eastAsia="ru-RU"/>
              </w:rPr>
            </w:pPr>
            <w:r w:rsidRPr="0060721D">
              <w:rPr>
                <w:rFonts w:ascii="Times New Roman" w:eastAsia="Times New Roman" w:hAnsi="Times New Roman"/>
                <w:lang w:eastAsia="ru-RU"/>
              </w:rPr>
              <w:t>6,3</w:t>
            </w:r>
          </w:p>
        </w:tc>
        <w:tc>
          <w:tcPr>
            <w:tcW w:w="3437" w:type="dxa"/>
            <w:gridSpan w:val="2"/>
            <w:hideMark/>
          </w:tcPr>
          <w:p w14:paraId="504AA724" w14:textId="77777777" w:rsidR="0060721D" w:rsidRPr="0060721D" w:rsidRDefault="0060721D" w:rsidP="0060721D">
            <w:pPr>
              <w:jc w:val="center"/>
              <w:rPr>
                <w:rFonts w:ascii="Times New Roman" w:eastAsia="Times New Roman" w:hAnsi="Times New Roman"/>
                <w:lang w:val="es-ES" w:eastAsia="ru-RU"/>
              </w:rPr>
            </w:pPr>
            <w:r w:rsidRPr="0060721D">
              <w:rPr>
                <w:rFonts w:ascii="Times New Roman" w:eastAsia="Times New Roman" w:hAnsi="Times New Roman"/>
                <w:b/>
                <w:bCs/>
                <w:lang w:val="es-ES" w:eastAsia="ru-RU"/>
              </w:rPr>
              <w:t>Gestionarea climatică inteligentă</w:t>
            </w:r>
            <w:r w:rsidRPr="0060721D">
              <w:rPr>
                <w:rFonts w:ascii="Times New Roman" w:eastAsia="Times New Roman" w:hAnsi="Times New Roman"/>
                <w:lang w:val="es-ES" w:eastAsia="ru-RU"/>
              </w:rPr>
              <w:t xml:space="preserve"> a pădurilor și pajiștilor</w:t>
            </w:r>
          </w:p>
        </w:tc>
        <w:tc>
          <w:tcPr>
            <w:tcW w:w="1949" w:type="dxa"/>
            <w:hideMark/>
          </w:tcPr>
          <w:p w14:paraId="5AFAEB1D" w14:textId="77777777" w:rsidR="0060721D" w:rsidRPr="0060721D" w:rsidRDefault="0060721D" w:rsidP="0060721D">
            <w:pPr>
              <w:jc w:val="center"/>
              <w:rPr>
                <w:rFonts w:ascii="Times New Roman" w:hAnsi="Times New Roman"/>
              </w:rPr>
            </w:pPr>
            <w:r w:rsidRPr="0060721D">
              <w:rPr>
                <w:rFonts w:ascii="Times New Roman" w:hAnsi="Times New Roman"/>
              </w:rPr>
              <w:t xml:space="preserve">– </w:t>
            </w:r>
            <w:proofErr w:type="spellStart"/>
            <w:r w:rsidRPr="0060721D">
              <w:rPr>
                <w:rFonts w:ascii="Times New Roman" w:hAnsi="Times New Roman"/>
              </w:rPr>
              <w:t>împădurirea</w:t>
            </w:r>
            <w:proofErr w:type="spellEnd"/>
            <w:r w:rsidRPr="0060721D">
              <w:rPr>
                <w:rFonts w:ascii="Times New Roman" w:hAnsi="Times New Roman"/>
              </w:rPr>
              <w:t xml:space="preserve"> </w:t>
            </w:r>
            <w:proofErr w:type="spellStart"/>
            <w:r w:rsidRPr="0060721D">
              <w:rPr>
                <w:rFonts w:ascii="Times New Roman" w:hAnsi="Times New Roman"/>
              </w:rPr>
              <w:t>terenurilor</w:t>
            </w:r>
            <w:proofErr w:type="spellEnd"/>
            <w:r w:rsidRPr="0060721D">
              <w:rPr>
                <w:rFonts w:ascii="Times New Roman" w:hAnsi="Times New Roman"/>
              </w:rPr>
              <w:t xml:space="preserve"> </w:t>
            </w:r>
            <w:proofErr w:type="spellStart"/>
            <w:r w:rsidRPr="0060721D">
              <w:rPr>
                <w:rFonts w:ascii="Times New Roman" w:hAnsi="Times New Roman"/>
              </w:rPr>
              <w:t>degradate</w:t>
            </w:r>
            <w:proofErr w:type="spellEnd"/>
            <w:r w:rsidRPr="0060721D">
              <w:rPr>
                <w:rFonts w:ascii="Times New Roman" w:hAnsi="Times New Roman"/>
              </w:rPr>
              <w:t xml:space="preserve"> pe o </w:t>
            </w:r>
            <w:proofErr w:type="spellStart"/>
            <w:r w:rsidRPr="0060721D">
              <w:rPr>
                <w:rFonts w:ascii="Times New Roman" w:hAnsi="Times New Roman"/>
              </w:rPr>
              <w:t>suprafață</w:t>
            </w:r>
            <w:proofErr w:type="spellEnd"/>
            <w:r w:rsidRPr="0060721D">
              <w:rPr>
                <w:rFonts w:ascii="Times New Roman" w:hAnsi="Times New Roman"/>
              </w:rPr>
              <w:t xml:space="preserve"> de 1500 hectare; – </w:t>
            </w:r>
            <w:proofErr w:type="spellStart"/>
            <w:r w:rsidRPr="0060721D">
              <w:rPr>
                <w:rFonts w:ascii="Times New Roman" w:hAnsi="Times New Roman"/>
              </w:rPr>
              <w:t>împădurirea</w:t>
            </w:r>
            <w:proofErr w:type="spellEnd"/>
            <w:r w:rsidRPr="0060721D">
              <w:rPr>
                <w:rFonts w:ascii="Times New Roman" w:hAnsi="Times New Roman"/>
              </w:rPr>
              <w:t xml:space="preserve"> </w:t>
            </w:r>
            <w:proofErr w:type="spellStart"/>
            <w:r w:rsidRPr="0060721D">
              <w:rPr>
                <w:rFonts w:ascii="Times New Roman" w:hAnsi="Times New Roman"/>
              </w:rPr>
              <w:t>fâșiilor</w:t>
            </w:r>
            <w:proofErr w:type="spellEnd"/>
            <w:r w:rsidRPr="0060721D">
              <w:rPr>
                <w:rFonts w:ascii="Times New Roman" w:hAnsi="Times New Roman"/>
              </w:rPr>
              <w:t xml:space="preserve"> </w:t>
            </w:r>
            <w:proofErr w:type="spellStart"/>
            <w:r w:rsidRPr="0060721D">
              <w:rPr>
                <w:rFonts w:ascii="Times New Roman" w:hAnsi="Times New Roman"/>
              </w:rPr>
              <w:lastRenderedPageBreak/>
              <w:t>riverane</w:t>
            </w:r>
            <w:proofErr w:type="spellEnd"/>
            <w:r w:rsidRPr="0060721D">
              <w:rPr>
                <w:rFonts w:ascii="Times New Roman" w:hAnsi="Times New Roman"/>
              </w:rPr>
              <w:t xml:space="preserve"> pe o </w:t>
            </w:r>
            <w:proofErr w:type="spellStart"/>
            <w:r w:rsidRPr="0060721D">
              <w:rPr>
                <w:rFonts w:ascii="Times New Roman" w:hAnsi="Times New Roman"/>
              </w:rPr>
              <w:t>suprafață</w:t>
            </w:r>
            <w:proofErr w:type="spellEnd"/>
            <w:r w:rsidRPr="0060721D">
              <w:rPr>
                <w:rFonts w:ascii="Times New Roman" w:hAnsi="Times New Roman"/>
              </w:rPr>
              <w:t xml:space="preserve"> de 320 hectare; – </w:t>
            </w:r>
            <w:proofErr w:type="spellStart"/>
            <w:r w:rsidRPr="0060721D">
              <w:rPr>
                <w:rFonts w:ascii="Times New Roman" w:hAnsi="Times New Roman"/>
              </w:rPr>
              <w:t>crearea</w:t>
            </w:r>
            <w:proofErr w:type="spellEnd"/>
            <w:r w:rsidRPr="0060721D">
              <w:rPr>
                <w:rFonts w:ascii="Times New Roman" w:hAnsi="Times New Roman"/>
              </w:rPr>
              <w:t xml:space="preserve"> </w:t>
            </w:r>
            <w:proofErr w:type="spellStart"/>
            <w:r w:rsidRPr="0060721D">
              <w:rPr>
                <w:rFonts w:ascii="Times New Roman" w:hAnsi="Times New Roman"/>
              </w:rPr>
              <w:t>perdelelor</w:t>
            </w:r>
            <w:proofErr w:type="spellEnd"/>
            <w:r w:rsidRPr="0060721D">
              <w:rPr>
                <w:rFonts w:ascii="Times New Roman" w:hAnsi="Times New Roman"/>
              </w:rPr>
              <w:t xml:space="preserve"> de </w:t>
            </w:r>
            <w:proofErr w:type="spellStart"/>
            <w:r w:rsidRPr="0060721D">
              <w:rPr>
                <w:rFonts w:ascii="Times New Roman" w:hAnsi="Times New Roman"/>
              </w:rPr>
              <w:t>protecție</w:t>
            </w:r>
            <w:proofErr w:type="spellEnd"/>
            <w:r w:rsidRPr="0060721D">
              <w:rPr>
                <w:rFonts w:ascii="Times New Roman" w:hAnsi="Times New Roman"/>
              </w:rPr>
              <w:t xml:space="preserve"> a </w:t>
            </w:r>
            <w:proofErr w:type="spellStart"/>
            <w:r w:rsidRPr="0060721D">
              <w:rPr>
                <w:rFonts w:ascii="Times New Roman" w:hAnsi="Times New Roman"/>
              </w:rPr>
              <w:t>câmpurilor</w:t>
            </w:r>
            <w:proofErr w:type="spellEnd"/>
            <w:r w:rsidRPr="0060721D">
              <w:rPr>
                <w:rFonts w:ascii="Times New Roman" w:hAnsi="Times New Roman"/>
              </w:rPr>
              <w:t xml:space="preserve"> </w:t>
            </w:r>
            <w:proofErr w:type="spellStart"/>
            <w:r w:rsidRPr="0060721D">
              <w:rPr>
                <w:rFonts w:ascii="Times New Roman" w:hAnsi="Times New Roman"/>
              </w:rPr>
              <w:t>agricole</w:t>
            </w:r>
            <w:proofErr w:type="spellEnd"/>
            <w:r w:rsidRPr="0060721D">
              <w:rPr>
                <w:rFonts w:ascii="Times New Roman" w:hAnsi="Times New Roman"/>
              </w:rPr>
              <w:t xml:space="preserve"> pe o </w:t>
            </w:r>
            <w:proofErr w:type="spellStart"/>
            <w:r w:rsidRPr="0060721D">
              <w:rPr>
                <w:rFonts w:ascii="Times New Roman" w:hAnsi="Times New Roman"/>
              </w:rPr>
              <w:t>suprafață</w:t>
            </w:r>
            <w:proofErr w:type="spellEnd"/>
            <w:r w:rsidRPr="0060721D">
              <w:rPr>
                <w:rFonts w:ascii="Times New Roman" w:hAnsi="Times New Roman"/>
              </w:rPr>
              <w:t xml:space="preserve"> de 560 hectare; – </w:t>
            </w:r>
            <w:proofErr w:type="spellStart"/>
            <w:r w:rsidRPr="0060721D">
              <w:rPr>
                <w:rFonts w:ascii="Times New Roman" w:hAnsi="Times New Roman"/>
              </w:rPr>
              <w:t>reabilitarea</w:t>
            </w:r>
            <w:proofErr w:type="spellEnd"/>
            <w:r w:rsidRPr="0060721D">
              <w:rPr>
                <w:rFonts w:ascii="Times New Roman" w:hAnsi="Times New Roman"/>
              </w:rPr>
              <w:t xml:space="preserve"> </w:t>
            </w:r>
            <w:proofErr w:type="spellStart"/>
            <w:r w:rsidRPr="0060721D">
              <w:rPr>
                <w:rFonts w:ascii="Times New Roman" w:hAnsi="Times New Roman"/>
              </w:rPr>
              <w:t>perdelelor</w:t>
            </w:r>
            <w:proofErr w:type="spellEnd"/>
            <w:r w:rsidRPr="0060721D">
              <w:rPr>
                <w:rFonts w:ascii="Times New Roman" w:hAnsi="Times New Roman"/>
              </w:rPr>
              <w:t xml:space="preserve"> </w:t>
            </w:r>
            <w:proofErr w:type="spellStart"/>
            <w:r w:rsidRPr="0060721D">
              <w:rPr>
                <w:rFonts w:ascii="Times New Roman" w:hAnsi="Times New Roman"/>
              </w:rPr>
              <w:t>forestiere</w:t>
            </w:r>
            <w:proofErr w:type="spellEnd"/>
            <w:r w:rsidRPr="0060721D">
              <w:rPr>
                <w:rFonts w:ascii="Times New Roman" w:hAnsi="Times New Roman"/>
              </w:rPr>
              <w:t xml:space="preserve"> de </w:t>
            </w:r>
            <w:proofErr w:type="spellStart"/>
            <w:r w:rsidRPr="0060721D">
              <w:rPr>
                <w:rFonts w:ascii="Times New Roman" w:hAnsi="Times New Roman"/>
              </w:rPr>
              <w:t>protecție</w:t>
            </w:r>
            <w:proofErr w:type="spellEnd"/>
            <w:r w:rsidRPr="0060721D">
              <w:rPr>
                <w:rFonts w:ascii="Times New Roman" w:hAnsi="Times New Roman"/>
              </w:rPr>
              <w:t xml:space="preserve"> pe o </w:t>
            </w:r>
            <w:proofErr w:type="spellStart"/>
            <w:r w:rsidRPr="0060721D">
              <w:rPr>
                <w:rFonts w:ascii="Times New Roman" w:hAnsi="Times New Roman"/>
              </w:rPr>
              <w:t>suprafață</w:t>
            </w:r>
            <w:proofErr w:type="spellEnd"/>
            <w:r w:rsidRPr="0060721D">
              <w:rPr>
                <w:rFonts w:ascii="Times New Roman" w:hAnsi="Times New Roman"/>
              </w:rPr>
              <w:t xml:space="preserve"> de 750 ha; – </w:t>
            </w:r>
            <w:proofErr w:type="spellStart"/>
            <w:r w:rsidRPr="0060721D">
              <w:rPr>
                <w:rFonts w:ascii="Times New Roman" w:hAnsi="Times New Roman"/>
              </w:rPr>
              <w:t>reabilitarea</w:t>
            </w:r>
            <w:proofErr w:type="spellEnd"/>
            <w:r w:rsidRPr="0060721D">
              <w:rPr>
                <w:rFonts w:ascii="Times New Roman" w:hAnsi="Times New Roman"/>
              </w:rPr>
              <w:t xml:space="preserve"> </w:t>
            </w:r>
            <w:proofErr w:type="spellStart"/>
            <w:r w:rsidRPr="0060721D">
              <w:rPr>
                <w:rFonts w:ascii="Times New Roman" w:hAnsi="Times New Roman"/>
              </w:rPr>
              <w:t>pajiștilor</w:t>
            </w:r>
            <w:proofErr w:type="spellEnd"/>
            <w:r w:rsidRPr="0060721D">
              <w:rPr>
                <w:rFonts w:ascii="Times New Roman" w:hAnsi="Times New Roman"/>
              </w:rPr>
              <w:t xml:space="preserve"> </w:t>
            </w:r>
            <w:proofErr w:type="spellStart"/>
            <w:r w:rsidRPr="0060721D">
              <w:rPr>
                <w:rFonts w:ascii="Times New Roman" w:hAnsi="Times New Roman"/>
              </w:rPr>
              <w:t>degradate</w:t>
            </w:r>
            <w:proofErr w:type="spellEnd"/>
            <w:r w:rsidRPr="0060721D">
              <w:rPr>
                <w:rFonts w:ascii="Times New Roman" w:hAnsi="Times New Roman"/>
              </w:rPr>
              <w:t xml:space="preserve"> pe o </w:t>
            </w:r>
            <w:proofErr w:type="spellStart"/>
            <w:r w:rsidRPr="0060721D">
              <w:rPr>
                <w:rFonts w:ascii="Times New Roman" w:hAnsi="Times New Roman"/>
              </w:rPr>
              <w:t>suprafață</w:t>
            </w:r>
            <w:proofErr w:type="spellEnd"/>
            <w:r w:rsidRPr="0060721D">
              <w:rPr>
                <w:rFonts w:ascii="Times New Roman" w:hAnsi="Times New Roman"/>
              </w:rPr>
              <w:t xml:space="preserve"> de 1000 ha.</w:t>
            </w:r>
          </w:p>
        </w:tc>
        <w:tc>
          <w:tcPr>
            <w:tcW w:w="1882" w:type="dxa"/>
            <w:gridSpan w:val="3"/>
            <w:noWrap/>
            <w:hideMark/>
          </w:tcPr>
          <w:p w14:paraId="671AABF9" w14:textId="77777777" w:rsidR="0060721D" w:rsidRPr="0060721D" w:rsidRDefault="0060721D" w:rsidP="0060721D">
            <w:pPr>
              <w:jc w:val="center"/>
              <w:rPr>
                <w:rFonts w:ascii="Times New Roman" w:hAnsi="Times New Roman"/>
              </w:rPr>
            </w:pPr>
            <w:r w:rsidRPr="0060721D">
              <w:rPr>
                <w:rFonts w:ascii="Times New Roman" w:hAnsi="Times New Roman"/>
              </w:rPr>
              <w:lastRenderedPageBreak/>
              <w:t> </w:t>
            </w:r>
          </w:p>
        </w:tc>
        <w:tc>
          <w:tcPr>
            <w:tcW w:w="1440" w:type="dxa"/>
            <w:gridSpan w:val="2"/>
            <w:noWrap/>
            <w:hideMark/>
          </w:tcPr>
          <w:p w14:paraId="054453A4" w14:textId="77777777" w:rsidR="0060721D" w:rsidRPr="0060721D" w:rsidRDefault="0060721D" w:rsidP="0060721D">
            <w:pPr>
              <w:jc w:val="center"/>
              <w:rPr>
                <w:rFonts w:ascii="Times New Roman" w:hAnsi="Times New Roman"/>
              </w:rPr>
            </w:pPr>
            <w:r w:rsidRPr="0060721D">
              <w:rPr>
                <w:rFonts w:ascii="Times New Roman" w:hAnsi="Times New Roman"/>
              </w:rPr>
              <w:t>100%</w:t>
            </w:r>
          </w:p>
        </w:tc>
        <w:tc>
          <w:tcPr>
            <w:tcW w:w="3429" w:type="dxa"/>
            <w:gridSpan w:val="2"/>
            <w:noWrap/>
            <w:hideMark/>
          </w:tcPr>
          <w:p w14:paraId="29496870" w14:textId="77777777" w:rsidR="0060721D" w:rsidRPr="0060721D" w:rsidRDefault="0060721D" w:rsidP="0060721D">
            <w:pPr>
              <w:jc w:val="center"/>
              <w:rPr>
                <w:rFonts w:ascii="Times New Roman" w:hAnsi="Times New Roman"/>
              </w:rPr>
            </w:pPr>
            <w:r w:rsidRPr="0060721D">
              <w:rPr>
                <w:rFonts w:ascii="Times New Roman" w:hAnsi="Times New Roman"/>
              </w:rPr>
              <w:t> </w:t>
            </w:r>
          </w:p>
        </w:tc>
        <w:tc>
          <w:tcPr>
            <w:tcW w:w="1502" w:type="dxa"/>
            <w:gridSpan w:val="2"/>
            <w:hideMark/>
          </w:tcPr>
          <w:p w14:paraId="00384A76" w14:textId="77777777" w:rsidR="0060721D" w:rsidRPr="0060721D" w:rsidRDefault="0060721D" w:rsidP="0060721D">
            <w:pPr>
              <w:jc w:val="center"/>
              <w:rPr>
                <w:rFonts w:ascii="Times New Roman" w:hAnsi="Times New Roman"/>
              </w:rPr>
            </w:pPr>
            <w:proofErr w:type="spellStart"/>
            <w:r w:rsidRPr="0060721D">
              <w:rPr>
                <w:rFonts w:ascii="Times New Roman" w:hAnsi="Times New Roman"/>
              </w:rPr>
              <w:t>Cca</w:t>
            </w:r>
            <w:proofErr w:type="spellEnd"/>
            <w:r w:rsidRPr="0060721D">
              <w:rPr>
                <w:rFonts w:ascii="Times New Roman" w:hAnsi="Times New Roman"/>
              </w:rPr>
              <w:t xml:space="preserve"> 50 Kt CO2eq </w:t>
            </w:r>
            <w:proofErr w:type="spellStart"/>
            <w:r w:rsidRPr="0060721D">
              <w:rPr>
                <w:rFonts w:ascii="Times New Roman" w:hAnsi="Times New Roman"/>
              </w:rPr>
              <w:t>anual</w:t>
            </w:r>
            <w:proofErr w:type="spellEnd"/>
          </w:p>
        </w:tc>
      </w:tr>
      <w:tr w:rsidR="00F11CCD" w:rsidRPr="0060721D" w14:paraId="6284D1AA" w14:textId="77777777" w:rsidTr="00F11CCD">
        <w:trPr>
          <w:divId w:val="546725049"/>
          <w:trHeight w:val="3900"/>
        </w:trPr>
        <w:tc>
          <w:tcPr>
            <w:tcW w:w="500" w:type="dxa"/>
            <w:hideMark/>
          </w:tcPr>
          <w:p w14:paraId="68C5D2AA" w14:textId="77777777" w:rsidR="0060721D" w:rsidRPr="0060721D" w:rsidRDefault="0060721D" w:rsidP="0060721D">
            <w:pPr>
              <w:jc w:val="center"/>
              <w:rPr>
                <w:rFonts w:ascii="Times New Roman" w:eastAsia="Times New Roman" w:hAnsi="Times New Roman"/>
                <w:lang w:val="ro-RO" w:eastAsia="ru-RU"/>
              </w:rPr>
            </w:pPr>
            <w:r w:rsidRPr="0060721D">
              <w:rPr>
                <w:rFonts w:ascii="Times New Roman" w:eastAsia="Times New Roman" w:hAnsi="Times New Roman"/>
                <w:lang w:eastAsia="ru-RU"/>
              </w:rPr>
              <w:t>6,4</w:t>
            </w:r>
          </w:p>
        </w:tc>
        <w:tc>
          <w:tcPr>
            <w:tcW w:w="3437" w:type="dxa"/>
            <w:gridSpan w:val="2"/>
            <w:hideMark/>
          </w:tcPr>
          <w:p w14:paraId="082FBFD5" w14:textId="77777777" w:rsidR="0060721D" w:rsidRPr="0060721D" w:rsidRDefault="0060721D" w:rsidP="0060721D">
            <w:pPr>
              <w:rPr>
                <w:rFonts w:ascii="Times New Roman" w:eastAsia="Times New Roman" w:hAnsi="Times New Roman"/>
                <w:lang w:val="es-ES" w:eastAsia="ru-RU"/>
              </w:rPr>
            </w:pPr>
            <w:r w:rsidRPr="0060721D">
              <w:rPr>
                <w:rFonts w:ascii="Times New Roman" w:eastAsia="Times New Roman" w:hAnsi="Times New Roman"/>
                <w:lang w:val="es-ES" w:eastAsia="ru-RU"/>
              </w:rPr>
              <w:t>Conversiunea terenurilor moderat și puternic erodate în pajiști</w:t>
            </w:r>
          </w:p>
        </w:tc>
        <w:tc>
          <w:tcPr>
            <w:tcW w:w="2211" w:type="dxa"/>
            <w:gridSpan w:val="2"/>
            <w:hideMark/>
          </w:tcPr>
          <w:p w14:paraId="2ADF1124" w14:textId="77777777" w:rsidR="0060721D" w:rsidRPr="0060721D" w:rsidRDefault="0060721D" w:rsidP="0060721D">
            <w:pPr>
              <w:rPr>
                <w:rFonts w:ascii="Times New Roman" w:eastAsia="Times New Roman" w:hAnsi="Times New Roman"/>
                <w:lang w:val="es-ES" w:eastAsia="ru-RU"/>
              </w:rPr>
            </w:pPr>
            <w:r w:rsidRPr="0060721D">
              <w:rPr>
                <w:rFonts w:ascii="Times New Roman" w:eastAsia="Times New Roman" w:hAnsi="Times New Roman"/>
                <w:lang w:val="es-ES" w:eastAsia="ru-RU"/>
              </w:rPr>
              <w:t xml:space="preserve">Acțiunea prevede conversiunea la pajiști a 40 000 ha terenuri moderat și puternic erodate. </w:t>
            </w:r>
          </w:p>
        </w:tc>
        <w:tc>
          <w:tcPr>
            <w:tcW w:w="1620" w:type="dxa"/>
            <w:gridSpan w:val="2"/>
            <w:noWrap/>
            <w:hideMark/>
          </w:tcPr>
          <w:p w14:paraId="4AA165D9" w14:textId="77777777" w:rsidR="0060721D" w:rsidRPr="0060721D" w:rsidRDefault="0060721D" w:rsidP="0060721D">
            <w:pPr>
              <w:jc w:val="center"/>
              <w:rPr>
                <w:rFonts w:ascii="Times New Roman" w:eastAsia="Times New Roman" w:hAnsi="Times New Roman"/>
                <w:lang w:val="es-ES" w:eastAsia="ru-RU"/>
              </w:rPr>
            </w:pPr>
            <w:r w:rsidRPr="0060721D">
              <w:rPr>
                <w:rFonts w:ascii="Times New Roman" w:eastAsia="Times New Roman" w:hAnsi="Times New Roman"/>
                <w:lang w:val="es-ES" w:eastAsia="ru-RU"/>
              </w:rPr>
              <w:t> </w:t>
            </w:r>
          </w:p>
        </w:tc>
        <w:tc>
          <w:tcPr>
            <w:tcW w:w="1440" w:type="dxa"/>
            <w:gridSpan w:val="2"/>
            <w:noWrap/>
            <w:hideMark/>
          </w:tcPr>
          <w:p w14:paraId="2CCD1285" w14:textId="77777777" w:rsidR="0060721D" w:rsidRPr="0060721D" w:rsidRDefault="0060721D" w:rsidP="0060721D">
            <w:pPr>
              <w:jc w:val="center"/>
              <w:rPr>
                <w:rFonts w:ascii="Times New Roman" w:eastAsia="Times New Roman" w:hAnsi="Times New Roman"/>
                <w:lang w:val="es-ES" w:eastAsia="ru-RU"/>
              </w:rPr>
            </w:pPr>
            <w:r w:rsidRPr="0060721D">
              <w:rPr>
                <w:rFonts w:ascii="Times New Roman" w:eastAsia="Times New Roman" w:hAnsi="Times New Roman"/>
                <w:lang w:val="es-ES" w:eastAsia="ru-RU"/>
              </w:rPr>
              <w:t> </w:t>
            </w:r>
          </w:p>
        </w:tc>
        <w:tc>
          <w:tcPr>
            <w:tcW w:w="3429" w:type="dxa"/>
            <w:gridSpan w:val="2"/>
            <w:noWrap/>
            <w:hideMark/>
          </w:tcPr>
          <w:p w14:paraId="524C463E" w14:textId="77777777" w:rsidR="0060721D" w:rsidRPr="0060721D" w:rsidRDefault="0060721D" w:rsidP="0060721D">
            <w:pPr>
              <w:jc w:val="center"/>
              <w:rPr>
                <w:rFonts w:ascii="Times New Roman" w:eastAsia="Times New Roman" w:hAnsi="Times New Roman"/>
                <w:lang w:eastAsia="ru-RU"/>
              </w:rPr>
            </w:pPr>
            <w:r w:rsidRPr="0060721D">
              <w:rPr>
                <w:rFonts w:ascii="Times New Roman" w:eastAsia="Times New Roman" w:hAnsi="Times New Roman"/>
                <w:lang w:eastAsia="ru-RU"/>
              </w:rPr>
              <w:t> </w:t>
            </w:r>
          </w:p>
        </w:tc>
        <w:tc>
          <w:tcPr>
            <w:tcW w:w="1502" w:type="dxa"/>
            <w:gridSpan w:val="2"/>
            <w:hideMark/>
          </w:tcPr>
          <w:p w14:paraId="532F8EC4" w14:textId="77777777" w:rsidR="0060721D" w:rsidRPr="0060721D" w:rsidRDefault="0060721D" w:rsidP="0060721D">
            <w:pPr>
              <w:jc w:val="center"/>
              <w:rPr>
                <w:rFonts w:ascii="Times New Roman" w:hAnsi="Times New Roman"/>
              </w:rPr>
            </w:pPr>
            <w:proofErr w:type="spellStart"/>
            <w:r w:rsidRPr="0060721D">
              <w:rPr>
                <w:rFonts w:ascii="Times New Roman" w:eastAsia="Times New Roman" w:hAnsi="Times New Roman"/>
                <w:lang w:eastAsia="ru-RU"/>
              </w:rPr>
              <w:t>Către</w:t>
            </w:r>
            <w:proofErr w:type="spellEnd"/>
            <w:r w:rsidRPr="0060721D">
              <w:rPr>
                <w:rFonts w:ascii="Times New Roman" w:eastAsia="Times New Roman" w:hAnsi="Times New Roman"/>
                <w:lang w:eastAsia="ru-RU"/>
              </w:rPr>
              <w:t xml:space="preserve"> 2030: </w:t>
            </w:r>
            <w:proofErr w:type="spellStart"/>
            <w:r w:rsidRPr="0060721D">
              <w:rPr>
                <w:rFonts w:ascii="Times New Roman" w:eastAsia="Times New Roman" w:hAnsi="Times New Roman"/>
                <w:lang w:eastAsia="ru-RU"/>
              </w:rPr>
              <w:t>cca</w:t>
            </w:r>
            <w:proofErr w:type="spellEnd"/>
            <w:r w:rsidRPr="0060721D">
              <w:rPr>
                <w:rFonts w:ascii="Times New Roman" w:eastAsia="Times New Roman" w:hAnsi="Times New Roman"/>
                <w:lang w:eastAsia="ru-RU"/>
              </w:rPr>
              <w:t xml:space="preserve"> 555 Kt</w:t>
            </w:r>
            <w:r w:rsidRPr="0060721D">
              <w:rPr>
                <w:rFonts w:ascii="Times New Roman" w:hAnsi="Times New Roman"/>
                <w:lang w:val="ro-RO"/>
              </w:rPr>
              <w:t xml:space="preserve"> </w:t>
            </w:r>
            <w:r w:rsidRPr="0060721D">
              <w:rPr>
                <w:rFonts w:ascii="Times New Roman" w:hAnsi="Times New Roman"/>
              </w:rPr>
              <w:t>CO2eq.</w:t>
            </w:r>
          </w:p>
        </w:tc>
      </w:tr>
      <w:tr w:rsidR="00F11CCD" w:rsidRPr="0060721D" w14:paraId="082DF957" w14:textId="77777777" w:rsidTr="00F11CCD">
        <w:trPr>
          <w:divId w:val="546725049"/>
          <w:trHeight w:val="3795"/>
        </w:trPr>
        <w:tc>
          <w:tcPr>
            <w:tcW w:w="500" w:type="dxa"/>
            <w:hideMark/>
          </w:tcPr>
          <w:p w14:paraId="1C6C4625" w14:textId="77777777" w:rsidR="0060721D" w:rsidRPr="0060721D" w:rsidRDefault="0060721D" w:rsidP="0060721D">
            <w:pPr>
              <w:jc w:val="center"/>
              <w:rPr>
                <w:rFonts w:ascii="Times New Roman" w:eastAsia="Times New Roman" w:hAnsi="Times New Roman"/>
                <w:lang w:val="ro-RO" w:eastAsia="ru-RU"/>
              </w:rPr>
            </w:pPr>
            <w:r w:rsidRPr="0060721D">
              <w:rPr>
                <w:rFonts w:ascii="Times New Roman" w:eastAsia="Times New Roman" w:hAnsi="Times New Roman"/>
                <w:lang w:eastAsia="ru-RU"/>
              </w:rPr>
              <w:lastRenderedPageBreak/>
              <w:t>6,5</w:t>
            </w:r>
          </w:p>
        </w:tc>
        <w:tc>
          <w:tcPr>
            <w:tcW w:w="3437" w:type="dxa"/>
            <w:gridSpan w:val="2"/>
            <w:hideMark/>
          </w:tcPr>
          <w:p w14:paraId="00CBB5B0" w14:textId="77777777" w:rsidR="0060721D" w:rsidRPr="0060721D" w:rsidRDefault="0060721D" w:rsidP="0060721D">
            <w:pPr>
              <w:rPr>
                <w:rFonts w:ascii="Times New Roman" w:eastAsia="Times New Roman" w:hAnsi="Times New Roman"/>
                <w:lang w:val="es-ES" w:eastAsia="ru-RU"/>
              </w:rPr>
            </w:pPr>
            <w:r w:rsidRPr="0060721D">
              <w:rPr>
                <w:rFonts w:ascii="Times New Roman" w:eastAsia="Times New Roman" w:hAnsi="Times New Roman"/>
                <w:lang w:val="es-ES" w:eastAsia="ru-RU"/>
              </w:rPr>
              <w:t>Plantarea culturilor silvice energetice</w:t>
            </w:r>
          </w:p>
        </w:tc>
        <w:tc>
          <w:tcPr>
            <w:tcW w:w="2211" w:type="dxa"/>
            <w:gridSpan w:val="2"/>
            <w:hideMark/>
          </w:tcPr>
          <w:p w14:paraId="2205D5EA" w14:textId="77777777" w:rsidR="0060721D" w:rsidRPr="0060721D" w:rsidRDefault="0060721D" w:rsidP="0060721D">
            <w:pPr>
              <w:rPr>
                <w:rFonts w:ascii="Times New Roman" w:eastAsia="Times New Roman" w:hAnsi="Times New Roman"/>
                <w:lang w:val="es-ES" w:eastAsia="ru-RU"/>
              </w:rPr>
            </w:pPr>
            <w:r w:rsidRPr="0060721D">
              <w:rPr>
                <w:rFonts w:ascii="Times New Roman" w:eastAsia="Times New Roman" w:hAnsi="Times New Roman"/>
                <w:lang w:val="es-ES" w:eastAsia="ru-RU"/>
              </w:rPr>
              <w:t>Plantarea unor culturi silvice din specii repede crescătoare, gospodărite la cicluri mici de producţie (10-15 ani)</w:t>
            </w:r>
          </w:p>
        </w:tc>
        <w:tc>
          <w:tcPr>
            <w:tcW w:w="1620" w:type="dxa"/>
            <w:gridSpan w:val="2"/>
            <w:noWrap/>
            <w:hideMark/>
          </w:tcPr>
          <w:p w14:paraId="54EC3598" w14:textId="77777777" w:rsidR="0060721D" w:rsidRPr="0060721D" w:rsidRDefault="0060721D" w:rsidP="0060721D">
            <w:pPr>
              <w:jc w:val="center"/>
              <w:rPr>
                <w:rFonts w:ascii="Times New Roman" w:eastAsia="Times New Roman" w:hAnsi="Times New Roman"/>
                <w:lang w:val="es-ES" w:eastAsia="ru-RU"/>
              </w:rPr>
            </w:pPr>
            <w:r w:rsidRPr="0060721D">
              <w:rPr>
                <w:rFonts w:ascii="Times New Roman" w:eastAsia="Times New Roman" w:hAnsi="Times New Roman"/>
                <w:lang w:val="es-ES" w:eastAsia="ru-RU"/>
              </w:rPr>
              <w:t> </w:t>
            </w:r>
          </w:p>
        </w:tc>
        <w:tc>
          <w:tcPr>
            <w:tcW w:w="1440" w:type="dxa"/>
            <w:gridSpan w:val="2"/>
            <w:hideMark/>
          </w:tcPr>
          <w:p w14:paraId="04D0E76B" w14:textId="77777777" w:rsidR="0060721D" w:rsidRPr="0060721D" w:rsidRDefault="0060721D" w:rsidP="0060721D">
            <w:pPr>
              <w:jc w:val="center"/>
              <w:rPr>
                <w:rFonts w:ascii="Times New Roman" w:eastAsia="Times New Roman" w:hAnsi="Times New Roman"/>
                <w:lang w:val="es-ES" w:eastAsia="ru-RU"/>
              </w:rPr>
            </w:pPr>
            <w:r w:rsidRPr="0060721D">
              <w:rPr>
                <w:rFonts w:ascii="Times New Roman" w:eastAsia="Times New Roman" w:hAnsi="Times New Roman"/>
                <w:lang w:val="es-ES" w:eastAsia="ru-RU"/>
              </w:rPr>
              <w:t>5 mii ha</w:t>
            </w:r>
          </w:p>
        </w:tc>
        <w:tc>
          <w:tcPr>
            <w:tcW w:w="3429" w:type="dxa"/>
            <w:gridSpan w:val="2"/>
            <w:noWrap/>
            <w:hideMark/>
          </w:tcPr>
          <w:p w14:paraId="5D4AB1E9" w14:textId="77777777" w:rsidR="0060721D" w:rsidRPr="0060721D" w:rsidRDefault="0060721D" w:rsidP="0060721D">
            <w:pPr>
              <w:jc w:val="center"/>
              <w:rPr>
                <w:rFonts w:ascii="Times New Roman" w:eastAsia="Times New Roman" w:hAnsi="Times New Roman"/>
                <w:lang w:eastAsia="ru-RU"/>
              </w:rPr>
            </w:pPr>
            <w:r w:rsidRPr="0060721D">
              <w:rPr>
                <w:rFonts w:ascii="Times New Roman" w:eastAsia="Times New Roman" w:hAnsi="Times New Roman"/>
                <w:lang w:eastAsia="ru-RU"/>
              </w:rPr>
              <w:t> </w:t>
            </w:r>
          </w:p>
        </w:tc>
        <w:tc>
          <w:tcPr>
            <w:tcW w:w="1502" w:type="dxa"/>
            <w:gridSpan w:val="2"/>
            <w:hideMark/>
          </w:tcPr>
          <w:p w14:paraId="159820C6" w14:textId="77777777" w:rsidR="0060721D" w:rsidRPr="0060721D" w:rsidRDefault="0060721D" w:rsidP="0060721D">
            <w:pPr>
              <w:jc w:val="center"/>
              <w:rPr>
                <w:rFonts w:ascii="Times New Roman" w:hAnsi="Times New Roman"/>
              </w:rPr>
            </w:pPr>
            <w:proofErr w:type="spellStart"/>
            <w:r w:rsidRPr="0060721D">
              <w:rPr>
                <w:rFonts w:ascii="Times New Roman" w:eastAsia="Times New Roman" w:hAnsi="Times New Roman"/>
                <w:lang w:eastAsia="ru-RU"/>
              </w:rPr>
              <w:t>Către</w:t>
            </w:r>
            <w:proofErr w:type="spellEnd"/>
            <w:r w:rsidRPr="0060721D">
              <w:rPr>
                <w:rFonts w:ascii="Times New Roman" w:eastAsia="Times New Roman" w:hAnsi="Times New Roman"/>
                <w:lang w:eastAsia="ru-RU"/>
              </w:rPr>
              <w:t xml:space="preserve"> 2030: </w:t>
            </w:r>
            <w:proofErr w:type="spellStart"/>
            <w:r w:rsidRPr="0060721D">
              <w:rPr>
                <w:rFonts w:ascii="Times New Roman" w:eastAsia="Times New Roman" w:hAnsi="Times New Roman"/>
                <w:lang w:eastAsia="ru-RU"/>
              </w:rPr>
              <w:t>cca</w:t>
            </w:r>
            <w:proofErr w:type="spellEnd"/>
            <w:r w:rsidRPr="0060721D">
              <w:rPr>
                <w:rFonts w:ascii="Times New Roman" w:eastAsia="Times New Roman" w:hAnsi="Times New Roman"/>
                <w:lang w:eastAsia="ru-RU"/>
              </w:rPr>
              <w:t xml:space="preserve"> 210 Kt </w:t>
            </w:r>
            <w:r w:rsidRPr="0060721D">
              <w:rPr>
                <w:rFonts w:ascii="Times New Roman" w:eastAsia="Times New Roman" w:hAnsi="Times New Roman"/>
                <w:lang w:val="ro-RO" w:eastAsia="ru-RU"/>
              </w:rPr>
              <w:t>CO2eq.</w:t>
            </w:r>
          </w:p>
        </w:tc>
      </w:tr>
      <w:tr w:rsidR="0060721D" w:rsidRPr="0060721D" w14:paraId="462F1835" w14:textId="77777777" w:rsidTr="00F11CCD">
        <w:trPr>
          <w:divId w:val="546725049"/>
          <w:trHeight w:val="1156"/>
        </w:trPr>
        <w:tc>
          <w:tcPr>
            <w:tcW w:w="500" w:type="dxa"/>
            <w:hideMark/>
          </w:tcPr>
          <w:p w14:paraId="66C334ED" w14:textId="77777777" w:rsidR="0060721D" w:rsidRPr="0060721D" w:rsidRDefault="0060721D" w:rsidP="0060721D">
            <w:pPr>
              <w:jc w:val="center"/>
              <w:rPr>
                <w:rFonts w:ascii="Times New Roman" w:eastAsia="Times New Roman" w:hAnsi="Times New Roman"/>
                <w:lang w:val="ro-RO" w:eastAsia="ru-RU"/>
              </w:rPr>
            </w:pPr>
            <w:r w:rsidRPr="0060721D">
              <w:rPr>
                <w:rFonts w:ascii="Times New Roman" w:eastAsia="Times New Roman" w:hAnsi="Times New Roman"/>
                <w:lang w:eastAsia="ru-RU"/>
              </w:rPr>
              <w:t>7</w:t>
            </w:r>
          </w:p>
        </w:tc>
        <w:tc>
          <w:tcPr>
            <w:tcW w:w="13639" w:type="dxa"/>
            <w:gridSpan w:val="12"/>
            <w:hideMark/>
          </w:tcPr>
          <w:p w14:paraId="69D25C62" w14:textId="77777777" w:rsidR="0060721D" w:rsidRPr="0060721D" w:rsidRDefault="0060721D" w:rsidP="0060721D">
            <w:pPr>
              <w:rPr>
                <w:rFonts w:ascii="Times New Roman" w:hAnsi="Times New Roman"/>
                <w:b/>
                <w:bCs/>
              </w:rPr>
            </w:pPr>
            <w:r w:rsidRPr="0060721D">
              <w:rPr>
                <w:rFonts w:ascii="Times New Roman" w:eastAsia="Times New Roman" w:hAnsi="Times New Roman"/>
                <w:lang w:val="es-ES" w:eastAsia="ru-RU"/>
              </w:rPr>
              <w:t xml:space="preserve">Obiectivul specific 7. Reducerea necondiţionată, pînă în  anul 2030, a emisiilor de gaze cu efect de seră provenite din </w:t>
            </w:r>
            <w:r w:rsidRPr="0060721D">
              <w:rPr>
                <w:rFonts w:ascii="Times New Roman" w:hAnsi="Times New Roman"/>
                <w:lang w:val="ro-RO"/>
              </w:rPr>
              <w:t>sectorul</w:t>
            </w:r>
            <w:r w:rsidRPr="0060721D">
              <w:rPr>
                <w:rFonts w:ascii="Times New Roman" w:hAnsi="Times New Roman"/>
                <w:b/>
                <w:bCs/>
              </w:rPr>
              <w:t xml:space="preserve"> </w:t>
            </w:r>
            <w:proofErr w:type="spellStart"/>
            <w:r w:rsidRPr="0060721D">
              <w:rPr>
                <w:rFonts w:ascii="Times New Roman" w:hAnsi="Times New Roman"/>
                <w:b/>
                <w:bCs/>
              </w:rPr>
              <w:t>deşeurilor</w:t>
            </w:r>
            <w:proofErr w:type="spellEnd"/>
            <w:r w:rsidRPr="0060721D">
              <w:rPr>
                <w:rFonts w:ascii="Times New Roman" w:hAnsi="Times New Roman"/>
                <w:b/>
                <w:bCs/>
              </w:rPr>
              <w:t xml:space="preserve"> </w:t>
            </w:r>
            <w:r w:rsidRPr="0060721D">
              <w:rPr>
                <w:rFonts w:ascii="Times New Roman" w:hAnsi="Times New Roman"/>
              </w:rPr>
              <w:t xml:space="preserve">cu 14% </w:t>
            </w:r>
            <w:proofErr w:type="spellStart"/>
            <w:r w:rsidRPr="0060721D">
              <w:rPr>
                <w:rFonts w:ascii="Times New Roman" w:hAnsi="Times New Roman"/>
              </w:rPr>
              <w:t>şi</w:t>
            </w:r>
            <w:proofErr w:type="spellEnd"/>
            <w:r w:rsidRPr="0060721D">
              <w:rPr>
                <w:rFonts w:ascii="Times New Roman" w:hAnsi="Times New Roman"/>
              </w:rPr>
              <w:t xml:space="preserve"> </w:t>
            </w:r>
            <w:proofErr w:type="spellStart"/>
            <w:r w:rsidRPr="0060721D">
              <w:rPr>
                <w:rFonts w:ascii="Times New Roman" w:hAnsi="Times New Roman"/>
              </w:rPr>
              <w:t>reducerea</w:t>
            </w:r>
            <w:proofErr w:type="spellEnd"/>
            <w:r w:rsidRPr="0060721D">
              <w:rPr>
                <w:rFonts w:ascii="Times New Roman" w:hAnsi="Times New Roman"/>
              </w:rPr>
              <w:t xml:space="preserve"> de gaze cu </w:t>
            </w:r>
            <w:proofErr w:type="spellStart"/>
            <w:r w:rsidRPr="0060721D">
              <w:rPr>
                <w:rFonts w:ascii="Times New Roman" w:hAnsi="Times New Roman"/>
              </w:rPr>
              <w:t>efect</w:t>
            </w:r>
            <w:proofErr w:type="spellEnd"/>
            <w:r w:rsidRPr="0060721D">
              <w:rPr>
                <w:rFonts w:ascii="Times New Roman" w:hAnsi="Times New Roman"/>
              </w:rPr>
              <w:t xml:space="preserve"> de </w:t>
            </w:r>
            <w:proofErr w:type="spellStart"/>
            <w:r w:rsidRPr="0060721D">
              <w:rPr>
                <w:rFonts w:ascii="Times New Roman" w:hAnsi="Times New Roman"/>
              </w:rPr>
              <w:t>seră</w:t>
            </w:r>
            <w:proofErr w:type="spellEnd"/>
            <w:r w:rsidRPr="0060721D">
              <w:rPr>
                <w:rFonts w:ascii="Times New Roman" w:hAnsi="Times New Roman"/>
              </w:rPr>
              <w:t xml:space="preserve"> </w:t>
            </w:r>
            <w:proofErr w:type="spellStart"/>
            <w:r w:rsidRPr="0060721D">
              <w:rPr>
                <w:rFonts w:ascii="Times New Roman" w:hAnsi="Times New Roman"/>
              </w:rPr>
              <w:t>condiţionată</w:t>
            </w:r>
            <w:proofErr w:type="spellEnd"/>
            <w:r w:rsidRPr="0060721D">
              <w:rPr>
                <w:rFonts w:ascii="Times New Roman" w:hAnsi="Times New Roman"/>
              </w:rPr>
              <w:t xml:space="preserve"> </w:t>
            </w:r>
            <w:proofErr w:type="spellStart"/>
            <w:r w:rsidRPr="0060721D">
              <w:rPr>
                <w:rFonts w:ascii="Times New Roman" w:hAnsi="Times New Roman"/>
              </w:rPr>
              <w:t>pînă</w:t>
            </w:r>
            <w:proofErr w:type="spellEnd"/>
            <w:r w:rsidRPr="0060721D">
              <w:rPr>
                <w:rFonts w:ascii="Times New Roman" w:hAnsi="Times New Roman"/>
              </w:rPr>
              <w:t xml:space="preserve"> la 18%  </w:t>
            </w:r>
            <w:proofErr w:type="spellStart"/>
            <w:r w:rsidRPr="0060721D">
              <w:rPr>
                <w:rFonts w:ascii="Times New Roman" w:hAnsi="Times New Roman"/>
              </w:rPr>
              <w:t>comparativ</w:t>
            </w:r>
            <w:proofErr w:type="spellEnd"/>
            <w:r w:rsidRPr="0060721D">
              <w:rPr>
                <w:rFonts w:ascii="Times New Roman" w:hAnsi="Times New Roman"/>
              </w:rPr>
              <w:t xml:space="preserve"> cu </w:t>
            </w:r>
            <w:proofErr w:type="spellStart"/>
            <w:r w:rsidRPr="0060721D">
              <w:rPr>
                <w:rFonts w:ascii="Times New Roman" w:hAnsi="Times New Roman"/>
              </w:rPr>
              <w:t>anul</w:t>
            </w:r>
            <w:proofErr w:type="spellEnd"/>
            <w:r w:rsidRPr="0060721D">
              <w:rPr>
                <w:rFonts w:ascii="Times New Roman" w:hAnsi="Times New Roman"/>
              </w:rPr>
              <w:t xml:space="preserve"> 1990</w:t>
            </w:r>
          </w:p>
        </w:tc>
      </w:tr>
      <w:tr w:rsidR="00F11CCD" w:rsidRPr="0060721D" w14:paraId="5FA04AE2" w14:textId="77777777" w:rsidTr="00F11CCD">
        <w:trPr>
          <w:divId w:val="546725049"/>
          <w:trHeight w:val="4290"/>
        </w:trPr>
        <w:tc>
          <w:tcPr>
            <w:tcW w:w="500" w:type="dxa"/>
            <w:hideMark/>
          </w:tcPr>
          <w:p w14:paraId="17C085B8" w14:textId="77777777" w:rsidR="0060721D" w:rsidRPr="0060721D" w:rsidRDefault="0060721D" w:rsidP="0060721D">
            <w:pPr>
              <w:jc w:val="center"/>
              <w:rPr>
                <w:rFonts w:ascii="Times New Roman" w:eastAsia="Times New Roman" w:hAnsi="Times New Roman"/>
                <w:lang w:eastAsia="ru-RU"/>
              </w:rPr>
            </w:pPr>
            <w:r w:rsidRPr="0060721D">
              <w:rPr>
                <w:rFonts w:ascii="Times New Roman" w:eastAsia="Times New Roman" w:hAnsi="Times New Roman"/>
                <w:lang w:eastAsia="ru-RU"/>
              </w:rPr>
              <w:lastRenderedPageBreak/>
              <w:t>7,1</w:t>
            </w:r>
          </w:p>
        </w:tc>
        <w:tc>
          <w:tcPr>
            <w:tcW w:w="3437" w:type="dxa"/>
            <w:gridSpan w:val="2"/>
            <w:hideMark/>
          </w:tcPr>
          <w:p w14:paraId="4FD69CDD" w14:textId="77777777" w:rsidR="0060721D" w:rsidRPr="0060721D" w:rsidRDefault="0060721D" w:rsidP="0060721D">
            <w:pPr>
              <w:rPr>
                <w:rFonts w:ascii="Times New Roman" w:hAnsi="Times New Roman"/>
              </w:rPr>
            </w:pPr>
            <w:r w:rsidRPr="0060721D">
              <w:rPr>
                <w:rFonts w:ascii="Times New Roman" w:eastAsia="Times New Roman" w:hAnsi="Times New Roman"/>
                <w:lang w:val="es-ES" w:eastAsia="ru-RU"/>
              </w:rPr>
              <w:t>Construcţia  depozitului pentru deşeurile menajere solide regional şi a staţiilor de transfer  în Regiunea 1 – Cahul, Cantemir, Taraclia</w:t>
            </w:r>
            <w:r w:rsidRPr="0060721D">
              <w:rPr>
                <w:rFonts w:ascii="Times New Roman" w:eastAsia="Times New Roman" w:hAnsi="Times New Roman"/>
                <w:lang w:val="ro-RO" w:eastAsia="ru-RU"/>
              </w:rPr>
              <w:t>,</w:t>
            </w:r>
            <w:r w:rsidRPr="0060721D">
              <w:rPr>
                <w:rFonts w:ascii="Times New Roman" w:hAnsi="Times New Roman"/>
              </w:rPr>
              <w:t xml:space="preserve"> </w:t>
            </w:r>
            <w:proofErr w:type="spellStart"/>
            <w:r w:rsidRPr="0060721D">
              <w:rPr>
                <w:rFonts w:ascii="Times New Roman" w:hAnsi="Times New Roman"/>
              </w:rPr>
              <w:t>Ceadîr-lunga</w:t>
            </w:r>
            <w:proofErr w:type="spellEnd"/>
            <w:r w:rsidRPr="0060721D">
              <w:rPr>
                <w:rFonts w:ascii="Times New Roman" w:hAnsi="Times New Roman"/>
              </w:rPr>
              <w:t xml:space="preserve"> </w:t>
            </w:r>
            <w:proofErr w:type="spellStart"/>
            <w:r w:rsidRPr="0060721D">
              <w:rPr>
                <w:rFonts w:ascii="Times New Roman" w:hAnsi="Times New Roman"/>
              </w:rPr>
              <w:t>și</w:t>
            </w:r>
            <w:proofErr w:type="spellEnd"/>
            <w:r w:rsidRPr="0060721D">
              <w:rPr>
                <w:rFonts w:ascii="Times New Roman" w:hAnsi="Times New Roman"/>
              </w:rPr>
              <w:t xml:space="preserve"> </w:t>
            </w:r>
            <w:proofErr w:type="spellStart"/>
            <w:r w:rsidRPr="0060721D">
              <w:rPr>
                <w:rFonts w:ascii="Times New Roman" w:hAnsi="Times New Roman"/>
              </w:rPr>
              <w:t>Vulcănești</w:t>
            </w:r>
            <w:proofErr w:type="spellEnd"/>
            <w:r w:rsidRPr="0060721D">
              <w:rPr>
                <w:rFonts w:ascii="Times New Roman" w:hAnsi="Times New Roman"/>
              </w:rPr>
              <w:t>.</w:t>
            </w:r>
          </w:p>
        </w:tc>
        <w:tc>
          <w:tcPr>
            <w:tcW w:w="2211" w:type="dxa"/>
            <w:gridSpan w:val="2"/>
            <w:hideMark/>
          </w:tcPr>
          <w:p w14:paraId="774CACE3" w14:textId="77777777" w:rsidR="0060721D" w:rsidRPr="0060721D" w:rsidRDefault="0060721D" w:rsidP="0060721D">
            <w:pPr>
              <w:rPr>
                <w:rFonts w:ascii="Times New Roman" w:eastAsia="Times New Roman" w:hAnsi="Times New Roman"/>
                <w:lang w:val="es-ES" w:eastAsia="ru-RU"/>
              </w:rPr>
            </w:pPr>
            <w:r w:rsidRPr="0060721D">
              <w:rPr>
                <w:rFonts w:ascii="Times New Roman" w:eastAsia="Times New Roman" w:hAnsi="Times New Roman"/>
                <w:lang w:val="es-ES" w:eastAsia="ru-RU"/>
              </w:rPr>
              <w:t>Măsura constă în dezvoltarea infrastructurii regionale de eliminare a deşeurilor prin construcţia unui  depozit regional pentru deşeurile menajere solide în or. Cahul,  a 2 staţii de transfer la Cania, Taraclia și Cantermir, trei instalații de compostare - la Cahul, Taraclia și Cania şi activarea a 28 de  unităţi de transport cu capacitatea de  16 m3 pentru transferul deşeurilor la depozite.</w:t>
            </w:r>
          </w:p>
        </w:tc>
        <w:tc>
          <w:tcPr>
            <w:tcW w:w="1620" w:type="dxa"/>
            <w:gridSpan w:val="2"/>
            <w:hideMark/>
          </w:tcPr>
          <w:p w14:paraId="5391822A" w14:textId="77777777" w:rsidR="0060721D" w:rsidRPr="0060721D" w:rsidRDefault="0060721D" w:rsidP="0060721D">
            <w:pPr>
              <w:jc w:val="center"/>
              <w:rPr>
                <w:rFonts w:ascii="Times New Roman" w:eastAsia="Times New Roman" w:hAnsi="Times New Roman"/>
                <w:lang w:val="es-ES" w:eastAsia="ru-RU"/>
              </w:rPr>
            </w:pPr>
            <w:r w:rsidRPr="0060721D">
              <w:rPr>
                <w:rFonts w:ascii="Times New Roman" w:eastAsia="Times New Roman" w:hAnsi="Times New Roman"/>
                <w:lang w:val="es-ES" w:eastAsia="ru-RU"/>
              </w:rPr>
              <w:t>Cota deşeurilor din hîrtie și carton colectată  şi reciclată anual se va menține la nivelul de 5 % în localitățile urbane și 2% în cele rurale.Cantitatea de deșeuri  biodegradabile supusă compostării va crește gradual de la 3%  la 5% pe parcursul anilor 2021-2035.</w:t>
            </w:r>
          </w:p>
        </w:tc>
        <w:tc>
          <w:tcPr>
            <w:tcW w:w="1440" w:type="dxa"/>
            <w:gridSpan w:val="2"/>
            <w:hideMark/>
          </w:tcPr>
          <w:p w14:paraId="103B6F49" w14:textId="77777777" w:rsidR="0060721D" w:rsidRPr="0060721D" w:rsidRDefault="0060721D" w:rsidP="0060721D">
            <w:pPr>
              <w:jc w:val="center"/>
              <w:rPr>
                <w:rFonts w:ascii="Times New Roman" w:eastAsia="Times New Roman" w:hAnsi="Times New Roman"/>
                <w:lang w:val="es-ES" w:eastAsia="ru-RU"/>
              </w:rPr>
            </w:pPr>
            <w:r w:rsidRPr="0060721D">
              <w:rPr>
                <w:rFonts w:ascii="Times New Roman" w:eastAsia="Times New Roman" w:hAnsi="Times New Roman"/>
                <w:lang w:val="es-ES" w:eastAsia="ru-RU"/>
              </w:rPr>
              <w:t xml:space="preserve">Toate deşeurile recilabile  de plastic, metal, sticlă şi hîrtie vor fi colectate şi reciclate la nivelul de circa 7 % din total de deșeuri generate, începînd  anul 2025 cînd va fi contruită infrastructura de gestinare a deșerilor la nivel regional; Cota deşeurilor biodegradabile supuse compostări de atinge apromitativ 5% din greutatea totală a deşeurilor generate. </w:t>
            </w:r>
          </w:p>
        </w:tc>
        <w:tc>
          <w:tcPr>
            <w:tcW w:w="3429" w:type="dxa"/>
            <w:gridSpan w:val="2"/>
            <w:hideMark/>
          </w:tcPr>
          <w:p w14:paraId="5328F7D2" w14:textId="77777777" w:rsidR="0060721D" w:rsidRPr="0060721D" w:rsidRDefault="0060721D" w:rsidP="0060721D">
            <w:pPr>
              <w:jc w:val="center"/>
              <w:rPr>
                <w:rFonts w:ascii="Times New Roman" w:eastAsia="Times New Roman" w:hAnsi="Times New Roman"/>
                <w:lang w:eastAsia="ru-RU"/>
              </w:rPr>
            </w:pPr>
            <w:r w:rsidRPr="0060721D">
              <w:rPr>
                <w:rFonts w:ascii="Times New Roman" w:eastAsia="Times New Roman" w:hAnsi="Times New Roman"/>
                <w:lang w:eastAsia="ru-RU"/>
              </w:rPr>
              <w:t xml:space="preserve">11390 tone CO2 </w:t>
            </w:r>
            <w:proofErr w:type="spellStart"/>
            <w:r w:rsidRPr="0060721D">
              <w:rPr>
                <w:rFonts w:ascii="Times New Roman" w:eastAsia="Times New Roman" w:hAnsi="Times New Roman"/>
                <w:lang w:eastAsia="ru-RU"/>
              </w:rPr>
              <w:t>echivalent</w:t>
            </w:r>
            <w:proofErr w:type="spellEnd"/>
            <w:r w:rsidRPr="0060721D">
              <w:rPr>
                <w:rFonts w:ascii="Times New Roman" w:eastAsia="Times New Roman" w:hAnsi="Times New Roman"/>
                <w:lang w:eastAsia="ru-RU"/>
              </w:rPr>
              <w:t xml:space="preserve">/an </w:t>
            </w:r>
          </w:p>
        </w:tc>
        <w:tc>
          <w:tcPr>
            <w:tcW w:w="1502" w:type="dxa"/>
            <w:gridSpan w:val="2"/>
            <w:hideMark/>
          </w:tcPr>
          <w:p w14:paraId="65B804E2" w14:textId="77777777" w:rsidR="0060721D" w:rsidRPr="0060721D" w:rsidRDefault="0060721D" w:rsidP="0060721D">
            <w:pPr>
              <w:jc w:val="center"/>
              <w:rPr>
                <w:rFonts w:ascii="Times New Roman" w:eastAsia="Times New Roman" w:hAnsi="Times New Roman"/>
                <w:lang w:eastAsia="ru-RU"/>
              </w:rPr>
            </w:pPr>
            <w:r w:rsidRPr="0060721D">
              <w:rPr>
                <w:rFonts w:ascii="Times New Roman" w:eastAsia="Times New Roman" w:hAnsi="Times New Roman"/>
                <w:lang w:eastAsia="ru-RU"/>
              </w:rPr>
              <w:t xml:space="preserve">11390 tone CO2 </w:t>
            </w:r>
            <w:proofErr w:type="spellStart"/>
            <w:r w:rsidRPr="0060721D">
              <w:rPr>
                <w:rFonts w:ascii="Times New Roman" w:eastAsia="Times New Roman" w:hAnsi="Times New Roman"/>
                <w:lang w:eastAsia="ru-RU"/>
              </w:rPr>
              <w:t>echivalent</w:t>
            </w:r>
            <w:proofErr w:type="spellEnd"/>
            <w:r w:rsidRPr="0060721D">
              <w:rPr>
                <w:rFonts w:ascii="Times New Roman" w:eastAsia="Times New Roman" w:hAnsi="Times New Roman"/>
                <w:lang w:eastAsia="ru-RU"/>
              </w:rPr>
              <w:t xml:space="preserve">/an </w:t>
            </w:r>
          </w:p>
        </w:tc>
      </w:tr>
      <w:tr w:rsidR="00F11CCD" w:rsidRPr="0060721D" w14:paraId="7A81797E" w14:textId="77777777" w:rsidTr="00F11CCD">
        <w:trPr>
          <w:divId w:val="546725049"/>
          <w:trHeight w:val="3645"/>
        </w:trPr>
        <w:tc>
          <w:tcPr>
            <w:tcW w:w="500" w:type="dxa"/>
            <w:hideMark/>
          </w:tcPr>
          <w:p w14:paraId="2365B8D0" w14:textId="77777777" w:rsidR="0060721D" w:rsidRPr="0060721D" w:rsidRDefault="0060721D" w:rsidP="0060721D">
            <w:pPr>
              <w:jc w:val="center"/>
              <w:rPr>
                <w:rFonts w:ascii="Times New Roman" w:eastAsia="Times New Roman" w:hAnsi="Times New Roman"/>
                <w:lang w:val="ro-RO" w:eastAsia="ru-RU"/>
              </w:rPr>
            </w:pPr>
            <w:r w:rsidRPr="0060721D">
              <w:rPr>
                <w:rFonts w:ascii="Times New Roman" w:eastAsia="Times New Roman" w:hAnsi="Times New Roman"/>
                <w:lang w:eastAsia="ru-RU"/>
              </w:rPr>
              <w:lastRenderedPageBreak/>
              <w:t>7,2</w:t>
            </w:r>
          </w:p>
        </w:tc>
        <w:tc>
          <w:tcPr>
            <w:tcW w:w="3437" w:type="dxa"/>
            <w:gridSpan w:val="2"/>
            <w:hideMark/>
          </w:tcPr>
          <w:p w14:paraId="106FCEF2" w14:textId="77777777" w:rsidR="0060721D" w:rsidRPr="0060721D" w:rsidRDefault="0060721D" w:rsidP="0060721D">
            <w:pPr>
              <w:rPr>
                <w:rFonts w:ascii="Times New Roman" w:hAnsi="Times New Roman"/>
              </w:rPr>
            </w:pPr>
            <w:r w:rsidRPr="0060721D">
              <w:rPr>
                <w:rFonts w:ascii="Times New Roman" w:eastAsia="Times New Roman" w:hAnsi="Times New Roman"/>
                <w:lang w:val="es-ES" w:eastAsia="ru-RU"/>
              </w:rPr>
              <w:t xml:space="preserve">Construcţia  depozitului pentru deşeurile menajere solide regionale şi a staţiilor de transfer  în regiunea 2 – Leova, Cimişlia, Basarabeasca și </w:t>
            </w:r>
            <w:r w:rsidRPr="0060721D">
              <w:rPr>
                <w:rFonts w:ascii="Times New Roman" w:eastAsia="Times New Roman" w:hAnsi="Times New Roman"/>
                <w:lang w:val="ro-RO" w:eastAsia="ru-RU"/>
              </w:rPr>
              <w:t>Comrat</w:t>
            </w:r>
          </w:p>
        </w:tc>
        <w:tc>
          <w:tcPr>
            <w:tcW w:w="2211" w:type="dxa"/>
            <w:gridSpan w:val="2"/>
            <w:hideMark/>
          </w:tcPr>
          <w:p w14:paraId="2C62C30D" w14:textId="77777777" w:rsidR="0060721D" w:rsidRPr="0060721D" w:rsidRDefault="0060721D" w:rsidP="0060721D">
            <w:pPr>
              <w:rPr>
                <w:rFonts w:ascii="Times New Roman" w:hAnsi="Times New Roman"/>
              </w:rPr>
            </w:pPr>
            <w:r w:rsidRPr="0060721D">
              <w:rPr>
                <w:rFonts w:ascii="Times New Roman" w:eastAsia="Times New Roman" w:hAnsi="Times New Roman"/>
                <w:lang w:val="es-ES" w:eastAsia="ru-RU"/>
              </w:rPr>
              <w:t xml:space="preserve">Măsura constă în dezvoltarea infrastructurii regionale de eliminare a deşeurilor prin construcţia unui depozit regional pentru deşeurile menajere solide (s. Mihailovca), a 2 staţii de transfer (Sărata Nouă și Comrat) şi activarea a 11 unităţi de transport cu </w:t>
            </w:r>
            <w:proofErr w:type="spellStart"/>
            <w:r w:rsidRPr="0060721D">
              <w:rPr>
                <w:rFonts w:ascii="Times New Roman" w:eastAsia="Times New Roman" w:hAnsi="Times New Roman"/>
                <w:lang w:eastAsia="ru-RU"/>
              </w:rPr>
              <w:t>capacitatea</w:t>
            </w:r>
            <w:proofErr w:type="spellEnd"/>
            <w:r w:rsidRPr="0060721D">
              <w:rPr>
                <w:rFonts w:ascii="Times New Roman" w:hAnsi="Times New Roman"/>
              </w:rPr>
              <w:t xml:space="preserve"> de 16 m3 </w:t>
            </w:r>
            <w:proofErr w:type="spellStart"/>
            <w:r w:rsidRPr="0060721D">
              <w:rPr>
                <w:rFonts w:ascii="Times New Roman" w:hAnsi="Times New Roman"/>
              </w:rPr>
              <w:t>pentru</w:t>
            </w:r>
            <w:proofErr w:type="spellEnd"/>
            <w:r w:rsidRPr="0060721D">
              <w:rPr>
                <w:rFonts w:ascii="Times New Roman" w:hAnsi="Times New Roman"/>
              </w:rPr>
              <w:t xml:space="preserve"> </w:t>
            </w:r>
            <w:proofErr w:type="spellStart"/>
            <w:r w:rsidRPr="0060721D">
              <w:rPr>
                <w:rFonts w:ascii="Times New Roman" w:hAnsi="Times New Roman"/>
              </w:rPr>
              <w:t>transferul</w:t>
            </w:r>
            <w:proofErr w:type="spellEnd"/>
            <w:r w:rsidRPr="0060721D">
              <w:rPr>
                <w:rFonts w:ascii="Times New Roman" w:hAnsi="Times New Roman"/>
              </w:rPr>
              <w:t xml:space="preserve"> </w:t>
            </w:r>
            <w:proofErr w:type="spellStart"/>
            <w:r w:rsidRPr="0060721D">
              <w:rPr>
                <w:rFonts w:ascii="Times New Roman" w:hAnsi="Times New Roman"/>
              </w:rPr>
              <w:t>deşeurilor</w:t>
            </w:r>
            <w:proofErr w:type="spellEnd"/>
            <w:r w:rsidRPr="0060721D">
              <w:rPr>
                <w:rFonts w:ascii="Times New Roman" w:hAnsi="Times New Roman"/>
              </w:rPr>
              <w:t xml:space="preserve"> la </w:t>
            </w:r>
            <w:proofErr w:type="spellStart"/>
            <w:r w:rsidRPr="0060721D">
              <w:rPr>
                <w:rFonts w:ascii="Times New Roman" w:hAnsi="Times New Roman"/>
              </w:rPr>
              <w:t>depozite</w:t>
            </w:r>
            <w:proofErr w:type="spellEnd"/>
            <w:r w:rsidRPr="0060721D">
              <w:rPr>
                <w:rFonts w:ascii="Times New Roman" w:hAnsi="Times New Roman"/>
              </w:rPr>
              <w:t>.</w:t>
            </w:r>
          </w:p>
        </w:tc>
        <w:tc>
          <w:tcPr>
            <w:tcW w:w="1620" w:type="dxa"/>
            <w:gridSpan w:val="2"/>
            <w:hideMark/>
          </w:tcPr>
          <w:p w14:paraId="63E198D8" w14:textId="77777777" w:rsidR="0060721D" w:rsidRPr="0060721D" w:rsidRDefault="0060721D" w:rsidP="0060721D">
            <w:pPr>
              <w:jc w:val="center"/>
              <w:rPr>
                <w:rFonts w:ascii="Times New Roman" w:eastAsia="Times New Roman" w:hAnsi="Times New Roman"/>
                <w:lang w:val="es-ES" w:eastAsia="ru-RU"/>
              </w:rPr>
            </w:pPr>
            <w:r w:rsidRPr="0060721D">
              <w:rPr>
                <w:rFonts w:ascii="Times New Roman" w:eastAsia="Times New Roman" w:hAnsi="Times New Roman"/>
                <w:lang w:val="es-ES" w:eastAsia="ru-RU"/>
              </w:rPr>
              <w:t>Cota deşeurilor din hîrtie și carton colectată  şi reciclată anual se va menține la nivelul de 5 % în localitățile urbane și 2% în cele rurale.  Cantitatea de deșeuri  biodegradabile supuse compostării va crește gradual de la 3%  la 5% pe parcursul anilor 2021-2035.</w:t>
            </w:r>
          </w:p>
        </w:tc>
        <w:tc>
          <w:tcPr>
            <w:tcW w:w="1440" w:type="dxa"/>
            <w:gridSpan w:val="2"/>
            <w:hideMark/>
          </w:tcPr>
          <w:p w14:paraId="60B18F7A" w14:textId="77777777" w:rsidR="0060721D" w:rsidRPr="0060721D" w:rsidRDefault="0060721D" w:rsidP="0060721D">
            <w:pPr>
              <w:jc w:val="center"/>
              <w:rPr>
                <w:rFonts w:ascii="Times New Roman" w:hAnsi="Times New Roman"/>
              </w:rPr>
            </w:pPr>
            <w:r w:rsidRPr="0060721D">
              <w:rPr>
                <w:rFonts w:ascii="Times New Roman" w:eastAsia="Times New Roman" w:hAnsi="Times New Roman"/>
                <w:lang w:val="es-ES" w:eastAsia="ru-RU"/>
              </w:rPr>
              <w:t>Toate deşeurile reciclabile  de plastic, metal, sticlă şi hîrtie vor fi colectate şi reciclate la nivelul de circa 8 % din totalul de deșeuri generate, începînd cu anul 2030 cînd va fi construită infrastructura de gestinare a deșeurilor la nivel regional; Cota deşeurilor biodegradabile supuse compostări va atinge apromitativ 3% din greutatea totală a deşeurilor generate</w:t>
            </w:r>
            <w:r w:rsidRPr="0060721D">
              <w:rPr>
                <w:rFonts w:ascii="Times New Roman" w:hAnsi="Times New Roman"/>
                <w:lang w:val="ro-RO"/>
              </w:rPr>
              <w:t>.</w:t>
            </w:r>
            <w:r w:rsidRPr="0060721D">
              <w:rPr>
                <w:rFonts w:ascii="Times New Roman" w:hAnsi="Times New Roman"/>
              </w:rPr>
              <w:t xml:space="preserve"> </w:t>
            </w:r>
          </w:p>
        </w:tc>
        <w:tc>
          <w:tcPr>
            <w:tcW w:w="3429" w:type="dxa"/>
            <w:gridSpan w:val="2"/>
            <w:hideMark/>
          </w:tcPr>
          <w:p w14:paraId="16DA2293" w14:textId="77777777" w:rsidR="0060721D" w:rsidRPr="0060721D" w:rsidRDefault="0060721D" w:rsidP="0060721D">
            <w:pPr>
              <w:jc w:val="center"/>
              <w:rPr>
                <w:rFonts w:ascii="Times New Roman" w:eastAsia="Times New Roman" w:hAnsi="Times New Roman"/>
                <w:lang w:eastAsia="ru-RU"/>
              </w:rPr>
            </w:pPr>
            <w:r w:rsidRPr="0060721D">
              <w:rPr>
                <w:rFonts w:ascii="Times New Roman" w:eastAsia="Times New Roman" w:hAnsi="Times New Roman"/>
                <w:lang w:eastAsia="ru-RU"/>
              </w:rPr>
              <w:t xml:space="preserve">8 100 CO2 </w:t>
            </w:r>
            <w:proofErr w:type="spellStart"/>
            <w:r w:rsidRPr="0060721D">
              <w:rPr>
                <w:rFonts w:ascii="Times New Roman" w:eastAsia="Times New Roman" w:hAnsi="Times New Roman"/>
                <w:lang w:eastAsia="ru-RU"/>
              </w:rPr>
              <w:t>echivalent</w:t>
            </w:r>
            <w:proofErr w:type="spellEnd"/>
            <w:r w:rsidRPr="0060721D">
              <w:rPr>
                <w:rFonts w:ascii="Times New Roman" w:eastAsia="Times New Roman" w:hAnsi="Times New Roman"/>
                <w:lang w:eastAsia="ru-RU"/>
              </w:rPr>
              <w:t>/an</w:t>
            </w:r>
          </w:p>
        </w:tc>
        <w:tc>
          <w:tcPr>
            <w:tcW w:w="1502" w:type="dxa"/>
            <w:gridSpan w:val="2"/>
            <w:hideMark/>
          </w:tcPr>
          <w:p w14:paraId="496D206B" w14:textId="77777777" w:rsidR="0060721D" w:rsidRPr="0060721D" w:rsidRDefault="0060721D" w:rsidP="0060721D">
            <w:pPr>
              <w:jc w:val="center"/>
              <w:rPr>
                <w:rFonts w:ascii="Times New Roman" w:eastAsia="Times New Roman" w:hAnsi="Times New Roman"/>
                <w:lang w:eastAsia="ru-RU"/>
              </w:rPr>
            </w:pPr>
            <w:r w:rsidRPr="0060721D">
              <w:rPr>
                <w:rFonts w:ascii="Times New Roman" w:eastAsia="Times New Roman" w:hAnsi="Times New Roman"/>
                <w:lang w:eastAsia="ru-RU"/>
              </w:rPr>
              <w:t xml:space="preserve">8 100 tone CO2 </w:t>
            </w:r>
            <w:proofErr w:type="spellStart"/>
            <w:r w:rsidRPr="0060721D">
              <w:rPr>
                <w:rFonts w:ascii="Times New Roman" w:eastAsia="Times New Roman" w:hAnsi="Times New Roman"/>
                <w:lang w:eastAsia="ru-RU"/>
              </w:rPr>
              <w:t>echivalent</w:t>
            </w:r>
            <w:proofErr w:type="spellEnd"/>
            <w:r w:rsidRPr="0060721D">
              <w:rPr>
                <w:rFonts w:ascii="Times New Roman" w:eastAsia="Times New Roman" w:hAnsi="Times New Roman"/>
                <w:lang w:eastAsia="ru-RU"/>
              </w:rPr>
              <w:t>/an</w:t>
            </w:r>
          </w:p>
        </w:tc>
      </w:tr>
      <w:tr w:rsidR="00F11CCD" w:rsidRPr="0060721D" w14:paraId="017FDFE9" w14:textId="77777777" w:rsidTr="00F11CCD">
        <w:trPr>
          <w:divId w:val="546725049"/>
          <w:trHeight w:val="3735"/>
        </w:trPr>
        <w:tc>
          <w:tcPr>
            <w:tcW w:w="500" w:type="dxa"/>
            <w:hideMark/>
          </w:tcPr>
          <w:p w14:paraId="541EC1B2" w14:textId="77777777" w:rsidR="0060721D" w:rsidRPr="0060721D" w:rsidRDefault="0060721D" w:rsidP="0060721D">
            <w:pPr>
              <w:jc w:val="center"/>
              <w:rPr>
                <w:rFonts w:ascii="Times New Roman" w:eastAsia="Times New Roman" w:hAnsi="Times New Roman"/>
                <w:lang w:val="ro-RO" w:eastAsia="ru-RU"/>
              </w:rPr>
            </w:pPr>
            <w:r w:rsidRPr="0060721D">
              <w:rPr>
                <w:rFonts w:ascii="Times New Roman" w:eastAsia="Times New Roman" w:hAnsi="Times New Roman"/>
                <w:lang w:eastAsia="ru-RU"/>
              </w:rPr>
              <w:lastRenderedPageBreak/>
              <w:t>7,3</w:t>
            </w:r>
          </w:p>
        </w:tc>
        <w:tc>
          <w:tcPr>
            <w:tcW w:w="3437" w:type="dxa"/>
            <w:gridSpan w:val="2"/>
            <w:hideMark/>
          </w:tcPr>
          <w:p w14:paraId="3AF9AB4C" w14:textId="77777777" w:rsidR="0060721D" w:rsidRPr="0060721D" w:rsidRDefault="0060721D" w:rsidP="0060721D">
            <w:pPr>
              <w:rPr>
                <w:rFonts w:ascii="Times New Roman" w:eastAsia="Times New Roman" w:hAnsi="Times New Roman"/>
                <w:lang w:val="es-ES" w:eastAsia="ru-RU"/>
              </w:rPr>
            </w:pPr>
            <w:r w:rsidRPr="0060721D">
              <w:rPr>
                <w:rFonts w:ascii="Times New Roman" w:eastAsia="Times New Roman" w:hAnsi="Times New Roman"/>
                <w:lang w:val="es-ES" w:eastAsia="ru-RU"/>
              </w:rPr>
              <w:t xml:space="preserve">Construcţia  depozitului pentru deşeurile menajere solide regional şi a staţiilor de transfer  în regiunea 3 – Căuşeni, Ştefan Vodă </w:t>
            </w:r>
          </w:p>
        </w:tc>
        <w:tc>
          <w:tcPr>
            <w:tcW w:w="2211" w:type="dxa"/>
            <w:gridSpan w:val="2"/>
            <w:hideMark/>
          </w:tcPr>
          <w:p w14:paraId="172D5017" w14:textId="77777777" w:rsidR="0060721D" w:rsidRPr="0060721D" w:rsidRDefault="0060721D" w:rsidP="0060721D">
            <w:pPr>
              <w:rPr>
                <w:rFonts w:ascii="Times New Roman" w:eastAsia="Times New Roman" w:hAnsi="Times New Roman"/>
                <w:lang w:val="es-ES" w:eastAsia="ru-RU"/>
              </w:rPr>
            </w:pPr>
            <w:r w:rsidRPr="0060721D">
              <w:rPr>
                <w:rFonts w:ascii="Times New Roman" w:eastAsia="Times New Roman" w:hAnsi="Times New Roman"/>
                <w:lang w:val="es-ES" w:eastAsia="ru-RU"/>
              </w:rPr>
              <w:t>Măsura constă în dezvoltarea infrastructurii regionale de eliminare a deşeurilor prin construcţia unui depozit regional pentru deşeurile menajere solide la Căușeni, a 2 staţii de transfer la Olănești și Sălcuța şi dotarea cu 11 unităţi de transport cu capacitatea de  16 m3 pentru transferul deşeurilor la depozite.</w:t>
            </w:r>
          </w:p>
        </w:tc>
        <w:tc>
          <w:tcPr>
            <w:tcW w:w="1620" w:type="dxa"/>
            <w:gridSpan w:val="2"/>
            <w:hideMark/>
          </w:tcPr>
          <w:p w14:paraId="40662ECA" w14:textId="77777777" w:rsidR="0060721D" w:rsidRPr="0060721D" w:rsidRDefault="0060721D" w:rsidP="0060721D">
            <w:pPr>
              <w:jc w:val="center"/>
              <w:rPr>
                <w:rFonts w:ascii="Times New Roman" w:hAnsi="Times New Roman"/>
              </w:rPr>
            </w:pPr>
            <w:r w:rsidRPr="0060721D">
              <w:rPr>
                <w:rFonts w:ascii="Times New Roman" w:eastAsia="Times New Roman" w:hAnsi="Times New Roman"/>
                <w:lang w:val="es-ES" w:eastAsia="ru-RU"/>
              </w:rPr>
              <w:t>Cota deşeurilor din hîrtie și carton colectată  şi reciclată anual se va menține la nivelul de 5 % în localitățile urbane și 2% în cele rurale.  Cantitatea de deșeuri  biodegradabile supusă compostării va crește gradual de la 3%  la 5% pe parcursul anilor 2021-2035.</w:t>
            </w:r>
            <w:r w:rsidRPr="0060721D">
              <w:rPr>
                <w:rFonts w:ascii="Times New Roman" w:eastAsia="Times New Roman" w:hAnsi="Times New Roman"/>
                <w:lang w:eastAsia="ru-RU"/>
              </w:rPr>
              <w:t xml:space="preserve"> </w:t>
            </w:r>
            <w:proofErr w:type="spellStart"/>
            <w:r w:rsidRPr="0060721D">
              <w:rPr>
                <w:rFonts w:ascii="Times New Roman" w:hAnsi="Times New Roman"/>
              </w:rPr>
              <w:t>Cantitatea</w:t>
            </w:r>
            <w:proofErr w:type="spellEnd"/>
            <w:r w:rsidRPr="0060721D">
              <w:rPr>
                <w:rFonts w:ascii="Times New Roman" w:hAnsi="Times New Roman"/>
              </w:rPr>
              <w:t xml:space="preserve"> de </w:t>
            </w:r>
            <w:proofErr w:type="spellStart"/>
            <w:r w:rsidRPr="0060721D">
              <w:rPr>
                <w:rFonts w:ascii="Times New Roman" w:hAnsi="Times New Roman"/>
              </w:rPr>
              <w:t>deșeuri</w:t>
            </w:r>
            <w:proofErr w:type="spellEnd"/>
            <w:r w:rsidRPr="0060721D">
              <w:rPr>
                <w:rFonts w:ascii="Times New Roman" w:hAnsi="Times New Roman"/>
              </w:rPr>
              <w:t xml:space="preserve">  </w:t>
            </w:r>
            <w:proofErr w:type="spellStart"/>
            <w:r w:rsidRPr="0060721D">
              <w:rPr>
                <w:rFonts w:ascii="Times New Roman" w:hAnsi="Times New Roman"/>
              </w:rPr>
              <w:t>biodegradabile</w:t>
            </w:r>
            <w:proofErr w:type="spellEnd"/>
            <w:r w:rsidRPr="0060721D">
              <w:rPr>
                <w:rFonts w:ascii="Times New Roman" w:hAnsi="Times New Roman"/>
              </w:rPr>
              <w:t xml:space="preserve"> </w:t>
            </w:r>
            <w:proofErr w:type="spellStart"/>
            <w:r w:rsidRPr="0060721D">
              <w:rPr>
                <w:rFonts w:ascii="Times New Roman" w:hAnsi="Times New Roman"/>
              </w:rPr>
              <w:t>supusă</w:t>
            </w:r>
            <w:proofErr w:type="spellEnd"/>
            <w:r w:rsidRPr="0060721D">
              <w:rPr>
                <w:rFonts w:ascii="Times New Roman" w:hAnsi="Times New Roman"/>
              </w:rPr>
              <w:t xml:space="preserve"> </w:t>
            </w:r>
            <w:proofErr w:type="spellStart"/>
            <w:r w:rsidRPr="0060721D">
              <w:rPr>
                <w:rFonts w:ascii="Times New Roman" w:hAnsi="Times New Roman"/>
              </w:rPr>
              <w:t>compostării</w:t>
            </w:r>
            <w:proofErr w:type="spellEnd"/>
            <w:r w:rsidRPr="0060721D">
              <w:rPr>
                <w:rFonts w:ascii="Times New Roman" w:hAnsi="Times New Roman"/>
              </w:rPr>
              <w:t xml:space="preserve"> </w:t>
            </w:r>
            <w:proofErr w:type="spellStart"/>
            <w:r w:rsidRPr="0060721D">
              <w:rPr>
                <w:rFonts w:ascii="Times New Roman" w:hAnsi="Times New Roman"/>
              </w:rPr>
              <w:t>va</w:t>
            </w:r>
            <w:proofErr w:type="spellEnd"/>
            <w:r w:rsidRPr="0060721D">
              <w:rPr>
                <w:rFonts w:ascii="Times New Roman" w:hAnsi="Times New Roman"/>
              </w:rPr>
              <w:t xml:space="preserve"> </w:t>
            </w:r>
            <w:proofErr w:type="spellStart"/>
            <w:r w:rsidRPr="0060721D">
              <w:rPr>
                <w:rFonts w:ascii="Times New Roman" w:hAnsi="Times New Roman"/>
              </w:rPr>
              <w:t>crește</w:t>
            </w:r>
            <w:proofErr w:type="spellEnd"/>
            <w:r w:rsidRPr="0060721D">
              <w:rPr>
                <w:rFonts w:ascii="Times New Roman" w:hAnsi="Times New Roman"/>
              </w:rPr>
              <w:t xml:space="preserve"> gradual de la 3%  la 5% pe </w:t>
            </w:r>
            <w:proofErr w:type="spellStart"/>
            <w:r w:rsidRPr="0060721D">
              <w:rPr>
                <w:rFonts w:ascii="Times New Roman" w:hAnsi="Times New Roman"/>
              </w:rPr>
              <w:t>parcursul</w:t>
            </w:r>
            <w:proofErr w:type="spellEnd"/>
            <w:r w:rsidRPr="0060721D">
              <w:rPr>
                <w:rFonts w:ascii="Times New Roman" w:hAnsi="Times New Roman"/>
              </w:rPr>
              <w:t xml:space="preserve"> </w:t>
            </w:r>
            <w:proofErr w:type="spellStart"/>
            <w:r w:rsidRPr="0060721D">
              <w:rPr>
                <w:rFonts w:ascii="Times New Roman" w:hAnsi="Times New Roman"/>
              </w:rPr>
              <w:t>anilor</w:t>
            </w:r>
            <w:proofErr w:type="spellEnd"/>
            <w:r w:rsidRPr="0060721D">
              <w:rPr>
                <w:rFonts w:ascii="Times New Roman" w:hAnsi="Times New Roman"/>
              </w:rPr>
              <w:t xml:space="preserve"> 2021-2035.</w:t>
            </w:r>
          </w:p>
        </w:tc>
        <w:tc>
          <w:tcPr>
            <w:tcW w:w="1440" w:type="dxa"/>
            <w:gridSpan w:val="2"/>
            <w:hideMark/>
          </w:tcPr>
          <w:p w14:paraId="2B1DCA35" w14:textId="77777777" w:rsidR="0060721D" w:rsidRPr="0060721D" w:rsidRDefault="0060721D" w:rsidP="0060721D">
            <w:pPr>
              <w:jc w:val="center"/>
              <w:rPr>
                <w:rFonts w:ascii="Times New Roman" w:hAnsi="Times New Roman"/>
              </w:rPr>
            </w:pPr>
            <w:r w:rsidRPr="0060721D">
              <w:rPr>
                <w:rFonts w:ascii="Times New Roman" w:eastAsia="Times New Roman" w:hAnsi="Times New Roman"/>
                <w:lang w:val="es-ES" w:eastAsia="ru-RU"/>
              </w:rPr>
              <w:t>Toate deşeurile reciclabile  de plastic, metal, sticlă şi hîrtie vor fi colectate şi reciclate la nivelul de circa 8 % din totalul de deșeuri generate, începînd  cu anul 2030 cînd va fi construită infrastructura de gestionare a deșerilor la nivel regional. Cota deşeurilor biodegradabile supuse compostări va atinge apromitativ 3% din greutatea totală a deşeurilor generate.</w:t>
            </w:r>
            <w:r w:rsidRPr="0060721D">
              <w:rPr>
                <w:rFonts w:ascii="Times New Roman" w:hAnsi="Times New Roman"/>
                <w:lang w:val="ro-RO"/>
              </w:rPr>
              <w:t xml:space="preserve"> </w:t>
            </w:r>
          </w:p>
        </w:tc>
        <w:tc>
          <w:tcPr>
            <w:tcW w:w="3429" w:type="dxa"/>
            <w:gridSpan w:val="2"/>
            <w:hideMark/>
          </w:tcPr>
          <w:p w14:paraId="30E33064" w14:textId="77777777" w:rsidR="0060721D" w:rsidRPr="0060721D" w:rsidRDefault="0060721D" w:rsidP="0060721D">
            <w:pPr>
              <w:jc w:val="center"/>
              <w:rPr>
                <w:rFonts w:ascii="Times New Roman" w:eastAsia="Times New Roman" w:hAnsi="Times New Roman"/>
                <w:lang w:val="ro-RO" w:eastAsia="ru-RU"/>
              </w:rPr>
            </w:pPr>
            <w:r w:rsidRPr="0060721D">
              <w:rPr>
                <w:rFonts w:ascii="Times New Roman" w:eastAsia="Times New Roman" w:hAnsi="Times New Roman"/>
                <w:lang w:eastAsia="ru-RU"/>
              </w:rPr>
              <w:t xml:space="preserve">5 660  CO2 </w:t>
            </w:r>
            <w:proofErr w:type="spellStart"/>
            <w:r w:rsidRPr="0060721D">
              <w:rPr>
                <w:rFonts w:ascii="Times New Roman" w:eastAsia="Times New Roman" w:hAnsi="Times New Roman"/>
                <w:lang w:eastAsia="ru-RU"/>
              </w:rPr>
              <w:t>echivalent</w:t>
            </w:r>
            <w:proofErr w:type="spellEnd"/>
            <w:r w:rsidRPr="0060721D">
              <w:rPr>
                <w:rFonts w:ascii="Times New Roman" w:eastAsia="Times New Roman" w:hAnsi="Times New Roman"/>
                <w:lang w:eastAsia="ru-RU"/>
              </w:rPr>
              <w:t>/an  </w:t>
            </w:r>
          </w:p>
        </w:tc>
        <w:tc>
          <w:tcPr>
            <w:tcW w:w="1502" w:type="dxa"/>
            <w:gridSpan w:val="2"/>
            <w:hideMark/>
          </w:tcPr>
          <w:p w14:paraId="16C43DB4" w14:textId="77777777" w:rsidR="0060721D" w:rsidRPr="0060721D" w:rsidRDefault="0060721D" w:rsidP="0060721D">
            <w:pPr>
              <w:jc w:val="center"/>
              <w:rPr>
                <w:rFonts w:ascii="Times New Roman" w:eastAsia="Times New Roman" w:hAnsi="Times New Roman"/>
                <w:lang w:val="ro-RO" w:eastAsia="ru-RU"/>
              </w:rPr>
            </w:pPr>
            <w:r w:rsidRPr="0060721D">
              <w:rPr>
                <w:rFonts w:ascii="Times New Roman" w:eastAsia="Times New Roman" w:hAnsi="Times New Roman"/>
                <w:lang w:eastAsia="ru-RU"/>
              </w:rPr>
              <w:t xml:space="preserve">5 660  CO2 </w:t>
            </w:r>
            <w:proofErr w:type="spellStart"/>
            <w:r w:rsidRPr="0060721D">
              <w:rPr>
                <w:rFonts w:ascii="Times New Roman" w:eastAsia="Times New Roman" w:hAnsi="Times New Roman"/>
                <w:lang w:eastAsia="ru-RU"/>
              </w:rPr>
              <w:t>echivalent</w:t>
            </w:r>
            <w:proofErr w:type="spellEnd"/>
            <w:r w:rsidRPr="0060721D">
              <w:rPr>
                <w:rFonts w:ascii="Times New Roman" w:eastAsia="Times New Roman" w:hAnsi="Times New Roman"/>
                <w:lang w:eastAsia="ru-RU"/>
              </w:rPr>
              <w:t>/an  </w:t>
            </w:r>
          </w:p>
        </w:tc>
      </w:tr>
      <w:tr w:rsidR="00F11CCD" w:rsidRPr="0060721D" w14:paraId="6ADFC724" w14:textId="77777777" w:rsidTr="00F11CCD">
        <w:trPr>
          <w:divId w:val="546725049"/>
          <w:trHeight w:val="3810"/>
        </w:trPr>
        <w:tc>
          <w:tcPr>
            <w:tcW w:w="500" w:type="dxa"/>
            <w:hideMark/>
          </w:tcPr>
          <w:p w14:paraId="21BDA5FE" w14:textId="77777777" w:rsidR="0060721D" w:rsidRPr="0060721D" w:rsidRDefault="0060721D" w:rsidP="0060721D">
            <w:pPr>
              <w:jc w:val="center"/>
              <w:rPr>
                <w:rFonts w:ascii="Times New Roman" w:eastAsia="Times New Roman" w:hAnsi="Times New Roman"/>
                <w:lang w:val="ro-RO" w:eastAsia="ru-RU"/>
              </w:rPr>
            </w:pPr>
            <w:r w:rsidRPr="0060721D">
              <w:rPr>
                <w:rFonts w:ascii="Times New Roman" w:eastAsia="Times New Roman" w:hAnsi="Times New Roman"/>
                <w:lang w:eastAsia="ru-RU"/>
              </w:rPr>
              <w:lastRenderedPageBreak/>
              <w:t>7,4</w:t>
            </w:r>
          </w:p>
        </w:tc>
        <w:tc>
          <w:tcPr>
            <w:tcW w:w="3437" w:type="dxa"/>
            <w:gridSpan w:val="2"/>
            <w:hideMark/>
          </w:tcPr>
          <w:p w14:paraId="0395CB88" w14:textId="77777777" w:rsidR="0060721D" w:rsidRPr="0060721D" w:rsidRDefault="0060721D" w:rsidP="0060721D">
            <w:pPr>
              <w:rPr>
                <w:rFonts w:ascii="Times New Roman" w:eastAsia="Times New Roman" w:hAnsi="Times New Roman"/>
                <w:lang w:eastAsia="ru-RU"/>
              </w:rPr>
            </w:pPr>
            <w:r w:rsidRPr="0060721D">
              <w:rPr>
                <w:rFonts w:ascii="Times New Roman" w:eastAsia="Times New Roman" w:hAnsi="Times New Roman"/>
                <w:lang w:val="es-ES" w:eastAsia="ru-RU"/>
              </w:rPr>
              <w:t>Construcţia  depozitului pentru deşeurile menajere solide regional şi a staţiilor de</w:t>
            </w:r>
            <w:r w:rsidRPr="0060721D">
              <w:rPr>
                <w:rFonts w:ascii="Times New Roman" w:eastAsia="Times New Roman" w:hAnsi="Times New Roman"/>
                <w:lang w:eastAsia="ru-RU"/>
              </w:rPr>
              <w:t xml:space="preserve"> transfer  </w:t>
            </w:r>
            <w:proofErr w:type="spellStart"/>
            <w:r w:rsidRPr="0060721D">
              <w:rPr>
                <w:rFonts w:ascii="Times New Roman" w:eastAsia="Times New Roman" w:hAnsi="Times New Roman"/>
                <w:lang w:eastAsia="ru-RU"/>
              </w:rPr>
              <w:t>în</w:t>
            </w:r>
            <w:proofErr w:type="spellEnd"/>
            <w:r w:rsidRPr="0060721D">
              <w:rPr>
                <w:rFonts w:ascii="Times New Roman" w:eastAsia="Times New Roman" w:hAnsi="Times New Roman"/>
                <w:lang w:eastAsia="ru-RU"/>
              </w:rPr>
              <w:t xml:space="preserve"> </w:t>
            </w:r>
            <w:proofErr w:type="spellStart"/>
            <w:r w:rsidRPr="0060721D">
              <w:rPr>
                <w:rFonts w:ascii="Times New Roman" w:eastAsia="Times New Roman" w:hAnsi="Times New Roman"/>
                <w:lang w:eastAsia="ru-RU"/>
              </w:rPr>
              <w:t>regiunea</w:t>
            </w:r>
            <w:proofErr w:type="spellEnd"/>
            <w:r w:rsidRPr="0060721D">
              <w:rPr>
                <w:rFonts w:ascii="Times New Roman" w:eastAsia="Times New Roman" w:hAnsi="Times New Roman"/>
                <w:lang w:eastAsia="ru-RU"/>
              </w:rPr>
              <w:t xml:space="preserve"> 5 – Ungheni, </w:t>
            </w:r>
            <w:proofErr w:type="spellStart"/>
            <w:r w:rsidRPr="0060721D">
              <w:rPr>
                <w:rFonts w:ascii="Times New Roman" w:eastAsia="Times New Roman" w:hAnsi="Times New Roman"/>
                <w:lang w:eastAsia="ru-RU"/>
              </w:rPr>
              <w:t>Nisporeni</w:t>
            </w:r>
            <w:proofErr w:type="spellEnd"/>
            <w:r w:rsidRPr="0060721D">
              <w:rPr>
                <w:rFonts w:ascii="Times New Roman" w:eastAsia="Times New Roman" w:hAnsi="Times New Roman"/>
                <w:lang w:eastAsia="ru-RU"/>
              </w:rPr>
              <w:t xml:space="preserve">, </w:t>
            </w:r>
            <w:proofErr w:type="spellStart"/>
            <w:r w:rsidRPr="0060721D">
              <w:rPr>
                <w:rFonts w:ascii="Times New Roman" w:eastAsia="Times New Roman" w:hAnsi="Times New Roman"/>
                <w:lang w:eastAsia="ru-RU"/>
              </w:rPr>
              <w:t>Călăraşi</w:t>
            </w:r>
            <w:proofErr w:type="spellEnd"/>
          </w:p>
        </w:tc>
        <w:tc>
          <w:tcPr>
            <w:tcW w:w="2211" w:type="dxa"/>
            <w:gridSpan w:val="2"/>
            <w:hideMark/>
          </w:tcPr>
          <w:p w14:paraId="24ADDF9C" w14:textId="77777777" w:rsidR="0060721D" w:rsidRPr="0060721D" w:rsidRDefault="0060721D" w:rsidP="0060721D">
            <w:pPr>
              <w:rPr>
                <w:rFonts w:ascii="Times New Roman" w:hAnsi="Times New Roman"/>
              </w:rPr>
            </w:pPr>
            <w:r w:rsidRPr="0060721D">
              <w:rPr>
                <w:rFonts w:ascii="Times New Roman" w:eastAsia="Times New Roman" w:hAnsi="Times New Roman"/>
                <w:lang w:val="es-ES" w:eastAsia="ru-RU"/>
              </w:rPr>
              <w:t>Măsura constă în dezvoltarea infrastructurii regionale de eliminare a deşeurilor prin construcţia unui depozit regional pentru deşeurile menajere solide și o stație de compostare cu o</w:t>
            </w:r>
            <w:r w:rsidRPr="0060721D">
              <w:rPr>
                <w:rFonts w:ascii="Times New Roman" w:eastAsia="Times New Roman" w:hAnsi="Times New Roman"/>
                <w:lang w:val="es-ES" w:eastAsia="ru-RU"/>
              </w:rPr>
              <w:br/>
              <w:t>capacitate de 1000 t/an. (Florițoaia Veche)  și a două stații de sortare vor fi create la Nisporeni (cu o capacitate de 1000</w:t>
            </w:r>
            <w:r w:rsidRPr="0060721D">
              <w:rPr>
                <w:rFonts w:ascii="Times New Roman" w:eastAsia="Times New Roman" w:hAnsi="Times New Roman"/>
                <w:lang w:eastAsia="ru-RU"/>
              </w:rPr>
              <w:t xml:space="preserve"> </w:t>
            </w:r>
            <w:r w:rsidRPr="0060721D">
              <w:rPr>
                <w:rFonts w:ascii="Times New Roman" w:hAnsi="Times New Roman"/>
              </w:rPr>
              <w:t xml:space="preserve">t/an) </w:t>
            </w:r>
            <w:proofErr w:type="spellStart"/>
            <w:r w:rsidRPr="0060721D">
              <w:rPr>
                <w:rFonts w:ascii="Times New Roman" w:hAnsi="Times New Roman"/>
              </w:rPr>
              <w:t>și</w:t>
            </w:r>
            <w:proofErr w:type="spellEnd"/>
            <w:r w:rsidRPr="0060721D">
              <w:rPr>
                <w:rFonts w:ascii="Times New Roman" w:hAnsi="Times New Roman"/>
              </w:rPr>
              <w:t xml:space="preserve"> la </w:t>
            </w:r>
            <w:proofErr w:type="spellStart"/>
            <w:r w:rsidRPr="0060721D">
              <w:rPr>
                <w:rFonts w:ascii="Times New Roman" w:hAnsi="Times New Roman"/>
              </w:rPr>
              <w:t>Florițoaia</w:t>
            </w:r>
            <w:proofErr w:type="spellEnd"/>
            <w:r w:rsidRPr="0060721D">
              <w:rPr>
                <w:rFonts w:ascii="Times New Roman" w:hAnsi="Times New Roman"/>
              </w:rPr>
              <w:br/>
            </w:r>
            <w:proofErr w:type="spellStart"/>
            <w:r w:rsidRPr="0060721D">
              <w:rPr>
                <w:rFonts w:ascii="Times New Roman" w:hAnsi="Times New Roman"/>
              </w:rPr>
              <w:t>Veche</w:t>
            </w:r>
            <w:proofErr w:type="spellEnd"/>
            <w:r w:rsidRPr="0060721D">
              <w:rPr>
                <w:rFonts w:ascii="Times New Roman" w:hAnsi="Times New Roman"/>
              </w:rPr>
              <w:t xml:space="preserve"> (3500 t/an), o </w:t>
            </w:r>
            <w:proofErr w:type="spellStart"/>
            <w:r w:rsidRPr="0060721D">
              <w:rPr>
                <w:rFonts w:ascii="Times New Roman" w:hAnsi="Times New Roman"/>
              </w:rPr>
              <w:t>stație</w:t>
            </w:r>
            <w:proofErr w:type="spellEnd"/>
            <w:r w:rsidRPr="0060721D">
              <w:rPr>
                <w:rFonts w:ascii="Times New Roman" w:hAnsi="Times New Roman"/>
              </w:rPr>
              <w:t xml:space="preserve"> de transfer  </w:t>
            </w:r>
            <w:proofErr w:type="spellStart"/>
            <w:r w:rsidRPr="0060721D">
              <w:rPr>
                <w:rFonts w:ascii="Times New Roman" w:hAnsi="Times New Roman"/>
              </w:rPr>
              <w:t>va</w:t>
            </w:r>
            <w:proofErr w:type="spellEnd"/>
            <w:r w:rsidRPr="0060721D">
              <w:rPr>
                <w:rFonts w:ascii="Times New Roman" w:hAnsi="Times New Roman"/>
              </w:rPr>
              <w:t xml:space="preserve"> fi </w:t>
            </w:r>
            <w:proofErr w:type="spellStart"/>
            <w:r w:rsidRPr="0060721D">
              <w:rPr>
                <w:rFonts w:ascii="Times New Roman" w:hAnsi="Times New Roman"/>
              </w:rPr>
              <w:t>creată</w:t>
            </w:r>
            <w:proofErr w:type="spellEnd"/>
            <w:r w:rsidRPr="0060721D">
              <w:rPr>
                <w:rFonts w:ascii="Times New Roman" w:hAnsi="Times New Roman"/>
              </w:rPr>
              <w:t xml:space="preserve"> la </w:t>
            </w:r>
            <w:proofErr w:type="spellStart"/>
            <w:r w:rsidRPr="0060721D">
              <w:rPr>
                <w:rFonts w:ascii="Times New Roman" w:hAnsi="Times New Roman"/>
              </w:rPr>
              <w:t>depozitul</w:t>
            </w:r>
            <w:proofErr w:type="spellEnd"/>
            <w:r w:rsidRPr="0060721D">
              <w:rPr>
                <w:rFonts w:ascii="Times New Roman" w:hAnsi="Times New Roman"/>
              </w:rPr>
              <w:t xml:space="preserve"> de </w:t>
            </w:r>
            <w:proofErr w:type="spellStart"/>
            <w:r w:rsidRPr="0060721D">
              <w:rPr>
                <w:rFonts w:ascii="Times New Roman" w:hAnsi="Times New Roman"/>
              </w:rPr>
              <w:t>deșeuri</w:t>
            </w:r>
            <w:proofErr w:type="spellEnd"/>
            <w:r w:rsidRPr="0060721D">
              <w:rPr>
                <w:rFonts w:ascii="Times New Roman" w:hAnsi="Times New Roman"/>
              </w:rPr>
              <w:t xml:space="preserve"> existent de la </w:t>
            </w:r>
            <w:proofErr w:type="spellStart"/>
            <w:r w:rsidRPr="0060721D">
              <w:rPr>
                <w:rFonts w:ascii="Times New Roman" w:hAnsi="Times New Roman"/>
              </w:rPr>
              <w:t>Nişcani</w:t>
            </w:r>
            <w:proofErr w:type="spellEnd"/>
            <w:r w:rsidRPr="0060721D">
              <w:rPr>
                <w:rFonts w:ascii="Times New Roman" w:hAnsi="Times New Roman"/>
              </w:rPr>
              <w:t xml:space="preserve"> </w:t>
            </w:r>
            <w:proofErr w:type="spellStart"/>
            <w:r w:rsidRPr="0060721D">
              <w:rPr>
                <w:rFonts w:ascii="Times New Roman" w:hAnsi="Times New Roman"/>
              </w:rPr>
              <w:t>pentru</w:t>
            </w:r>
            <w:proofErr w:type="spellEnd"/>
            <w:r w:rsidRPr="0060721D">
              <w:rPr>
                <w:rFonts w:ascii="Times New Roman" w:hAnsi="Times New Roman"/>
              </w:rPr>
              <w:t xml:space="preserve"> a </w:t>
            </w:r>
            <w:proofErr w:type="spellStart"/>
            <w:r w:rsidRPr="0060721D">
              <w:rPr>
                <w:rFonts w:ascii="Times New Roman" w:hAnsi="Times New Roman"/>
              </w:rPr>
              <w:t>deservi</w:t>
            </w:r>
            <w:proofErr w:type="spellEnd"/>
            <w:r w:rsidRPr="0060721D">
              <w:rPr>
                <w:rFonts w:ascii="Times New Roman" w:hAnsi="Times New Roman"/>
              </w:rPr>
              <w:t xml:space="preserve"> </w:t>
            </w:r>
            <w:proofErr w:type="spellStart"/>
            <w:r w:rsidRPr="0060721D">
              <w:rPr>
                <w:rFonts w:ascii="Times New Roman" w:hAnsi="Times New Roman"/>
              </w:rPr>
              <w:t>toate</w:t>
            </w:r>
            <w:proofErr w:type="spellEnd"/>
            <w:r w:rsidRPr="0060721D">
              <w:rPr>
                <w:rFonts w:ascii="Times New Roman" w:hAnsi="Times New Roman"/>
              </w:rPr>
              <w:t xml:space="preserve"> </w:t>
            </w:r>
            <w:proofErr w:type="spellStart"/>
            <w:r w:rsidRPr="0060721D">
              <w:rPr>
                <w:rFonts w:ascii="Times New Roman" w:hAnsi="Times New Roman"/>
              </w:rPr>
              <w:t>localitățile</w:t>
            </w:r>
            <w:proofErr w:type="spellEnd"/>
            <w:r w:rsidRPr="0060721D">
              <w:rPr>
                <w:rFonts w:ascii="Times New Roman" w:hAnsi="Times New Roman"/>
              </w:rPr>
              <w:t xml:space="preserve"> din </w:t>
            </w:r>
            <w:proofErr w:type="spellStart"/>
            <w:r w:rsidRPr="0060721D">
              <w:rPr>
                <w:rFonts w:ascii="Times New Roman" w:hAnsi="Times New Roman"/>
              </w:rPr>
              <w:t>raionul</w:t>
            </w:r>
            <w:proofErr w:type="spellEnd"/>
            <w:r w:rsidRPr="0060721D">
              <w:rPr>
                <w:rFonts w:ascii="Times New Roman" w:hAnsi="Times New Roman"/>
              </w:rPr>
              <w:t xml:space="preserve"> </w:t>
            </w:r>
            <w:proofErr w:type="spellStart"/>
            <w:r w:rsidRPr="0060721D">
              <w:rPr>
                <w:rFonts w:ascii="Times New Roman" w:hAnsi="Times New Roman"/>
              </w:rPr>
              <w:t>Călăraș</w:t>
            </w:r>
            <w:proofErr w:type="spellEnd"/>
            <w:r w:rsidRPr="0060721D">
              <w:rPr>
                <w:rFonts w:ascii="Times New Roman" w:hAnsi="Times New Roman"/>
              </w:rPr>
              <w:t xml:space="preserve"> </w:t>
            </w:r>
            <w:proofErr w:type="spellStart"/>
            <w:r w:rsidRPr="0060721D">
              <w:rPr>
                <w:rFonts w:ascii="Times New Roman" w:hAnsi="Times New Roman"/>
              </w:rPr>
              <w:t>şi</w:t>
            </w:r>
            <w:proofErr w:type="spellEnd"/>
            <w:r w:rsidRPr="0060721D">
              <w:rPr>
                <w:rFonts w:ascii="Times New Roman" w:hAnsi="Times New Roman"/>
              </w:rPr>
              <w:t xml:space="preserve"> </w:t>
            </w:r>
            <w:proofErr w:type="spellStart"/>
            <w:r w:rsidRPr="0060721D">
              <w:rPr>
                <w:rFonts w:ascii="Times New Roman" w:hAnsi="Times New Roman"/>
              </w:rPr>
              <w:t>dotarea</w:t>
            </w:r>
            <w:proofErr w:type="spellEnd"/>
            <w:r w:rsidRPr="0060721D">
              <w:rPr>
                <w:rFonts w:ascii="Times New Roman" w:hAnsi="Times New Roman"/>
              </w:rPr>
              <w:t xml:space="preserve"> cu 7 </w:t>
            </w:r>
            <w:proofErr w:type="spellStart"/>
            <w:r w:rsidRPr="0060721D">
              <w:rPr>
                <w:rFonts w:ascii="Times New Roman" w:hAnsi="Times New Roman"/>
              </w:rPr>
              <w:t>unităţi</w:t>
            </w:r>
            <w:proofErr w:type="spellEnd"/>
            <w:r w:rsidRPr="0060721D">
              <w:rPr>
                <w:rFonts w:ascii="Times New Roman" w:hAnsi="Times New Roman"/>
              </w:rPr>
              <w:t xml:space="preserve"> de transport cu </w:t>
            </w:r>
            <w:proofErr w:type="spellStart"/>
            <w:r w:rsidRPr="0060721D">
              <w:rPr>
                <w:rFonts w:ascii="Times New Roman" w:hAnsi="Times New Roman"/>
              </w:rPr>
              <w:t>capacitatea</w:t>
            </w:r>
            <w:proofErr w:type="spellEnd"/>
            <w:r w:rsidRPr="0060721D">
              <w:rPr>
                <w:rFonts w:ascii="Times New Roman" w:hAnsi="Times New Roman"/>
              </w:rPr>
              <w:t xml:space="preserve"> de16 m3 </w:t>
            </w:r>
            <w:proofErr w:type="spellStart"/>
            <w:r w:rsidRPr="0060721D">
              <w:rPr>
                <w:rFonts w:ascii="Times New Roman" w:hAnsi="Times New Roman"/>
              </w:rPr>
              <w:t>și</w:t>
            </w:r>
            <w:proofErr w:type="spellEnd"/>
            <w:r w:rsidRPr="0060721D">
              <w:rPr>
                <w:rFonts w:ascii="Times New Roman" w:hAnsi="Times New Roman"/>
              </w:rPr>
              <w:t xml:space="preserve">  11 </w:t>
            </w:r>
            <w:proofErr w:type="spellStart"/>
            <w:r w:rsidRPr="0060721D">
              <w:rPr>
                <w:rFonts w:ascii="Times New Roman" w:hAnsi="Times New Roman"/>
              </w:rPr>
              <w:t>unităţi</w:t>
            </w:r>
            <w:proofErr w:type="spellEnd"/>
            <w:r w:rsidRPr="0060721D">
              <w:rPr>
                <w:rFonts w:ascii="Times New Roman" w:hAnsi="Times New Roman"/>
              </w:rPr>
              <w:t xml:space="preserve"> de transport cu </w:t>
            </w:r>
            <w:proofErr w:type="spellStart"/>
            <w:r w:rsidRPr="0060721D">
              <w:rPr>
                <w:rFonts w:ascii="Times New Roman" w:hAnsi="Times New Roman"/>
              </w:rPr>
              <w:t>capacitatea</w:t>
            </w:r>
            <w:proofErr w:type="spellEnd"/>
            <w:r w:rsidRPr="0060721D">
              <w:rPr>
                <w:rFonts w:ascii="Times New Roman" w:hAnsi="Times New Roman"/>
              </w:rPr>
              <w:t xml:space="preserve"> de 10 m3 </w:t>
            </w:r>
            <w:proofErr w:type="spellStart"/>
            <w:r w:rsidRPr="0060721D">
              <w:rPr>
                <w:rFonts w:ascii="Times New Roman" w:hAnsi="Times New Roman"/>
              </w:rPr>
              <w:t>pentru</w:t>
            </w:r>
            <w:proofErr w:type="spellEnd"/>
            <w:r w:rsidRPr="0060721D">
              <w:rPr>
                <w:rFonts w:ascii="Times New Roman" w:hAnsi="Times New Roman"/>
              </w:rPr>
              <w:t xml:space="preserve"> </w:t>
            </w:r>
            <w:proofErr w:type="spellStart"/>
            <w:r w:rsidRPr="0060721D">
              <w:rPr>
                <w:rFonts w:ascii="Times New Roman" w:hAnsi="Times New Roman"/>
              </w:rPr>
              <w:t>transferul</w:t>
            </w:r>
            <w:proofErr w:type="spellEnd"/>
            <w:r w:rsidRPr="0060721D">
              <w:rPr>
                <w:rFonts w:ascii="Times New Roman" w:hAnsi="Times New Roman"/>
              </w:rPr>
              <w:t xml:space="preserve"> </w:t>
            </w:r>
            <w:proofErr w:type="spellStart"/>
            <w:r w:rsidRPr="0060721D">
              <w:rPr>
                <w:rFonts w:ascii="Times New Roman" w:hAnsi="Times New Roman"/>
              </w:rPr>
              <w:t>deşeurilor</w:t>
            </w:r>
            <w:proofErr w:type="spellEnd"/>
            <w:r w:rsidRPr="0060721D">
              <w:rPr>
                <w:rFonts w:ascii="Times New Roman" w:hAnsi="Times New Roman"/>
              </w:rPr>
              <w:t xml:space="preserve"> la </w:t>
            </w:r>
            <w:proofErr w:type="spellStart"/>
            <w:r w:rsidRPr="0060721D">
              <w:rPr>
                <w:rFonts w:ascii="Times New Roman" w:hAnsi="Times New Roman"/>
              </w:rPr>
              <w:t>depozite</w:t>
            </w:r>
            <w:proofErr w:type="spellEnd"/>
            <w:r w:rsidRPr="0060721D">
              <w:rPr>
                <w:rFonts w:ascii="Times New Roman" w:hAnsi="Times New Roman"/>
              </w:rPr>
              <w:t>.</w:t>
            </w:r>
          </w:p>
        </w:tc>
        <w:tc>
          <w:tcPr>
            <w:tcW w:w="1620" w:type="dxa"/>
            <w:gridSpan w:val="2"/>
            <w:hideMark/>
          </w:tcPr>
          <w:p w14:paraId="3D683289" w14:textId="77777777" w:rsidR="0060721D" w:rsidRPr="0060721D" w:rsidRDefault="0060721D" w:rsidP="0060721D">
            <w:pPr>
              <w:jc w:val="center"/>
              <w:rPr>
                <w:rFonts w:ascii="Times New Roman" w:eastAsia="Times New Roman" w:hAnsi="Times New Roman"/>
                <w:lang w:eastAsia="ru-RU"/>
              </w:rPr>
            </w:pPr>
            <w:r w:rsidRPr="0060721D">
              <w:rPr>
                <w:rFonts w:ascii="Times New Roman" w:eastAsia="Times New Roman" w:hAnsi="Times New Roman"/>
                <w:lang w:val="es-ES" w:eastAsia="ru-RU"/>
              </w:rPr>
              <w:t>Cota deşeurilor din hîrtie și carton colectată  şi reciclată anual se va menține la nivelul de 5 % în localitățile urbane și 2% în cele rurale.  Cantitatea de deșeuri  biodegradabile supusă compostării va crește gradual de la 3%  la 5% pe parcursul anilor 2021-2035.</w:t>
            </w:r>
          </w:p>
        </w:tc>
        <w:tc>
          <w:tcPr>
            <w:tcW w:w="1440" w:type="dxa"/>
            <w:gridSpan w:val="2"/>
            <w:hideMark/>
          </w:tcPr>
          <w:p w14:paraId="61677F35" w14:textId="77777777" w:rsidR="0060721D" w:rsidRPr="0060721D" w:rsidRDefault="0060721D" w:rsidP="0060721D">
            <w:pPr>
              <w:jc w:val="center"/>
              <w:rPr>
                <w:rFonts w:ascii="Times New Roman" w:hAnsi="Times New Roman"/>
              </w:rPr>
            </w:pPr>
            <w:r w:rsidRPr="0060721D">
              <w:rPr>
                <w:rFonts w:ascii="Times New Roman" w:eastAsia="Times New Roman" w:hAnsi="Times New Roman"/>
                <w:lang w:val="es-ES" w:eastAsia="ru-RU"/>
              </w:rPr>
              <w:t>Toate deşeurile recilabile  de plastic, metal, sticlă şi hîrtie vor fi colectate şi reciclate la nivelul de circa 9,2 % din totalul de deșeuri generate, începînd cu anul 2025 cînd va fi construită infrastructura de gestionare a deșeurilor la nivel regional; Cota deşeurilor biodegradabile supuse compostări va atinge aproximativ 2,24% din greutatea totală a deşeurilor generate</w:t>
            </w:r>
            <w:r w:rsidRPr="0060721D">
              <w:rPr>
                <w:rFonts w:ascii="Times New Roman" w:hAnsi="Times New Roman"/>
                <w:lang w:val="ro-RO"/>
              </w:rPr>
              <w:t>.</w:t>
            </w:r>
            <w:r w:rsidRPr="0060721D">
              <w:rPr>
                <w:rFonts w:ascii="Times New Roman" w:hAnsi="Times New Roman"/>
              </w:rPr>
              <w:t xml:space="preserve"> </w:t>
            </w:r>
          </w:p>
        </w:tc>
        <w:tc>
          <w:tcPr>
            <w:tcW w:w="3429" w:type="dxa"/>
            <w:gridSpan w:val="2"/>
            <w:hideMark/>
          </w:tcPr>
          <w:p w14:paraId="5A87F6B5" w14:textId="77777777" w:rsidR="0060721D" w:rsidRPr="0060721D" w:rsidRDefault="0060721D" w:rsidP="0060721D">
            <w:pPr>
              <w:jc w:val="center"/>
              <w:rPr>
                <w:rFonts w:ascii="Times New Roman" w:hAnsi="Times New Roman"/>
              </w:rPr>
            </w:pPr>
            <w:r w:rsidRPr="0060721D">
              <w:rPr>
                <w:rFonts w:ascii="Times New Roman" w:eastAsia="Times New Roman" w:hAnsi="Times New Roman"/>
                <w:lang w:eastAsia="ru-RU"/>
              </w:rPr>
              <w:t xml:space="preserve">7 045 tone CO2 </w:t>
            </w:r>
            <w:proofErr w:type="spellStart"/>
            <w:r w:rsidRPr="0060721D">
              <w:rPr>
                <w:rFonts w:ascii="Times New Roman" w:eastAsia="Times New Roman" w:hAnsi="Times New Roman"/>
                <w:lang w:eastAsia="ru-RU"/>
              </w:rPr>
              <w:t>echivalent</w:t>
            </w:r>
            <w:proofErr w:type="spellEnd"/>
            <w:r w:rsidRPr="0060721D">
              <w:rPr>
                <w:rFonts w:ascii="Times New Roman" w:eastAsia="Times New Roman" w:hAnsi="Times New Roman"/>
                <w:lang w:eastAsia="ru-RU"/>
              </w:rPr>
              <w:t>/an</w:t>
            </w:r>
            <w:r w:rsidRPr="0060721D">
              <w:rPr>
                <w:rFonts w:ascii="Times New Roman" w:eastAsia="Times New Roman" w:hAnsi="Times New Roman"/>
                <w:lang w:val="ro-RO" w:eastAsia="ru-RU"/>
              </w:rPr>
              <w:t xml:space="preserve"> </w:t>
            </w:r>
          </w:p>
        </w:tc>
        <w:tc>
          <w:tcPr>
            <w:tcW w:w="1502" w:type="dxa"/>
            <w:gridSpan w:val="2"/>
            <w:hideMark/>
          </w:tcPr>
          <w:p w14:paraId="2D107185" w14:textId="77777777" w:rsidR="0060721D" w:rsidRPr="0060721D" w:rsidRDefault="0060721D" w:rsidP="0060721D">
            <w:pPr>
              <w:jc w:val="center"/>
              <w:rPr>
                <w:rFonts w:ascii="Times New Roman" w:hAnsi="Times New Roman"/>
              </w:rPr>
            </w:pPr>
            <w:r w:rsidRPr="0060721D">
              <w:rPr>
                <w:rFonts w:ascii="Times New Roman" w:eastAsia="Times New Roman" w:hAnsi="Times New Roman"/>
                <w:lang w:eastAsia="ru-RU"/>
              </w:rPr>
              <w:t>7 045 tone CO2</w:t>
            </w:r>
            <w:r w:rsidRPr="0060721D">
              <w:rPr>
                <w:rFonts w:ascii="Times New Roman" w:eastAsia="Times New Roman" w:hAnsi="Times New Roman"/>
                <w:vertAlign w:val="subscript"/>
                <w:lang w:eastAsia="ru-RU"/>
              </w:rPr>
              <w:t xml:space="preserve"> </w:t>
            </w:r>
            <w:proofErr w:type="spellStart"/>
            <w:r w:rsidRPr="0060721D">
              <w:rPr>
                <w:rFonts w:ascii="Times New Roman" w:eastAsia="Times New Roman" w:hAnsi="Times New Roman"/>
                <w:lang w:eastAsia="ru-RU"/>
              </w:rPr>
              <w:t>echivalent</w:t>
            </w:r>
            <w:proofErr w:type="spellEnd"/>
            <w:r w:rsidRPr="0060721D">
              <w:rPr>
                <w:rFonts w:ascii="Times New Roman" w:eastAsia="Times New Roman" w:hAnsi="Times New Roman"/>
                <w:lang w:eastAsia="ru-RU"/>
              </w:rPr>
              <w:t>/an</w:t>
            </w:r>
            <w:r w:rsidRPr="0060721D">
              <w:rPr>
                <w:rFonts w:ascii="Times New Roman" w:eastAsia="Times New Roman" w:hAnsi="Times New Roman"/>
                <w:lang w:val="ro-RO" w:eastAsia="ru-RU"/>
              </w:rPr>
              <w:t xml:space="preserve"> </w:t>
            </w:r>
          </w:p>
        </w:tc>
      </w:tr>
      <w:tr w:rsidR="00F11CCD" w:rsidRPr="0060721D" w14:paraId="145D30A3" w14:textId="77777777" w:rsidTr="00F11CCD">
        <w:trPr>
          <w:divId w:val="546725049"/>
          <w:trHeight w:val="3720"/>
        </w:trPr>
        <w:tc>
          <w:tcPr>
            <w:tcW w:w="500" w:type="dxa"/>
            <w:hideMark/>
          </w:tcPr>
          <w:p w14:paraId="25E7A964" w14:textId="77777777" w:rsidR="0060721D" w:rsidRPr="0060721D" w:rsidRDefault="0060721D" w:rsidP="0060721D">
            <w:pPr>
              <w:jc w:val="center"/>
              <w:rPr>
                <w:rFonts w:ascii="Times New Roman" w:eastAsia="Times New Roman" w:hAnsi="Times New Roman"/>
                <w:lang w:val="ro-RO" w:eastAsia="ru-RU"/>
              </w:rPr>
            </w:pPr>
            <w:r w:rsidRPr="0060721D">
              <w:rPr>
                <w:rFonts w:ascii="Times New Roman" w:eastAsia="Times New Roman" w:hAnsi="Times New Roman"/>
                <w:lang w:eastAsia="ru-RU"/>
              </w:rPr>
              <w:lastRenderedPageBreak/>
              <w:t>7,5</w:t>
            </w:r>
          </w:p>
        </w:tc>
        <w:tc>
          <w:tcPr>
            <w:tcW w:w="3437" w:type="dxa"/>
            <w:gridSpan w:val="2"/>
            <w:hideMark/>
          </w:tcPr>
          <w:p w14:paraId="435A17CD" w14:textId="77777777" w:rsidR="0060721D" w:rsidRPr="0060721D" w:rsidRDefault="0060721D" w:rsidP="0060721D">
            <w:pPr>
              <w:rPr>
                <w:rFonts w:ascii="Times New Roman" w:eastAsia="Times New Roman" w:hAnsi="Times New Roman"/>
                <w:lang w:val="ro-RO" w:eastAsia="ru-RU"/>
              </w:rPr>
            </w:pPr>
            <w:r w:rsidRPr="0060721D">
              <w:rPr>
                <w:rFonts w:ascii="Times New Roman" w:eastAsia="Times New Roman" w:hAnsi="Times New Roman"/>
                <w:lang w:val="es-ES" w:eastAsia="ru-RU"/>
              </w:rPr>
              <w:t xml:space="preserve">Construcţia  depozitului pentru deşeurile menajere solide regional şi a staţiilor </w:t>
            </w:r>
            <w:r w:rsidRPr="0060721D">
              <w:rPr>
                <w:rFonts w:ascii="Times New Roman" w:eastAsia="Times New Roman" w:hAnsi="Times New Roman"/>
                <w:lang w:eastAsia="ru-RU"/>
              </w:rPr>
              <w:t>de transfer  </w:t>
            </w:r>
            <w:proofErr w:type="spellStart"/>
            <w:r w:rsidRPr="0060721D">
              <w:rPr>
                <w:rFonts w:ascii="Times New Roman" w:eastAsia="Times New Roman" w:hAnsi="Times New Roman"/>
                <w:lang w:eastAsia="ru-RU"/>
              </w:rPr>
              <w:t>în</w:t>
            </w:r>
            <w:proofErr w:type="spellEnd"/>
            <w:r w:rsidRPr="0060721D">
              <w:rPr>
                <w:rFonts w:ascii="Times New Roman" w:eastAsia="Times New Roman" w:hAnsi="Times New Roman"/>
                <w:lang w:eastAsia="ru-RU"/>
              </w:rPr>
              <w:t xml:space="preserve"> </w:t>
            </w:r>
            <w:proofErr w:type="spellStart"/>
            <w:r w:rsidRPr="0060721D">
              <w:rPr>
                <w:rFonts w:ascii="Times New Roman" w:eastAsia="Times New Roman" w:hAnsi="Times New Roman"/>
                <w:lang w:eastAsia="ru-RU"/>
              </w:rPr>
              <w:t>regiunea</w:t>
            </w:r>
            <w:proofErr w:type="spellEnd"/>
            <w:r w:rsidRPr="0060721D">
              <w:rPr>
                <w:rFonts w:ascii="Times New Roman" w:eastAsia="Times New Roman" w:hAnsi="Times New Roman"/>
                <w:lang w:eastAsia="ru-RU"/>
              </w:rPr>
              <w:t xml:space="preserve"> 6 – </w:t>
            </w:r>
            <w:proofErr w:type="spellStart"/>
            <w:r w:rsidRPr="0060721D">
              <w:rPr>
                <w:rFonts w:ascii="Times New Roman" w:eastAsia="Times New Roman" w:hAnsi="Times New Roman"/>
                <w:lang w:eastAsia="ru-RU"/>
              </w:rPr>
              <w:t>Şoldăneşti</w:t>
            </w:r>
            <w:proofErr w:type="spellEnd"/>
            <w:r w:rsidRPr="0060721D">
              <w:rPr>
                <w:rFonts w:ascii="Times New Roman" w:eastAsia="Times New Roman" w:hAnsi="Times New Roman"/>
                <w:lang w:eastAsia="ru-RU"/>
              </w:rPr>
              <w:t xml:space="preserve">, </w:t>
            </w:r>
            <w:proofErr w:type="spellStart"/>
            <w:r w:rsidRPr="0060721D">
              <w:rPr>
                <w:rFonts w:ascii="Times New Roman" w:eastAsia="Times New Roman" w:hAnsi="Times New Roman"/>
                <w:lang w:eastAsia="ru-RU"/>
              </w:rPr>
              <w:t>Rezina</w:t>
            </w:r>
            <w:proofErr w:type="spellEnd"/>
            <w:r w:rsidRPr="0060721D">
              <w:rPr>
                <w:rFonts w:ascii="Times New Roman" w:eastAsia="Times New Roman" w:hAnsi="Times New Roman"/>
                <w:lang w:eastAsia="ru-RU"/>
              </w:rPr>
              <w:t xml:space="preserve">, </w:t>
            </w:r>
            <w:proofErr w:type="spellStart"/>
            <w:r w:rsidRPr="0060721D">
              <w:rPr>
                <w:rFonts w:ascii="Times New Roman" w:eastAsia="Times New Roman" w:hAnsi="Times New Roman"/>
                <w:lang w:eastAsia="ru-RU"/>
              </w:rPr>
              <w:t>Teleneşti</w:t>
            </w:r>
            <w:proofErr w:type="spellEnd"/>
            <w:r w:rsidRPr="0060721D">
              <w:rPr>
                <w:rFonts w:ascii="Times New Roman" w:eastAsia="Times New Roman" w:hAnsi="Times New Roman"/>
                <w:lang w:eastAsia="ru-RU"/>
              </w:rPr>
              <w:t>, Orhei</w:t>
            </w:r>
          </w:p>
        </w:tc>
        <w:tc>
          <w:tcPr>
            <w:tcW w:w="2211" w:type="dxa"/>
            <w:gridSpan w:val="2"/>
            <w:hideMark/>
          </w:tcPr>
          <w:p w14:paraId="724FEF55" w14:textId="77777777" w:rsidR="0060721D" w:rsidRPr="0060721D" w:rsidRDefault="0060721D" w:rsidP="0060721D">
            <w:pPr>
              <w:rPr>
                <w:rFonts w:ascii="Times New Roman" w:eastAsia="Times New Roman" w:hAnsi="Times New Roman"/>
                <w:lang w:val="es-ES" w:eastAsia="ru-RU"/>
              </w:rPr>
            </w:pPr>
            <w:r w:rsidRPr="0060721D">
              <w:rPr>
                <w:rFonts w:ascii="Times New Roman" w:eastAsia="Times New Roman" w:hAnsi="Times New Roman"/>
                <w:lang w:val="es-ES" w:eastAsia="ru-RU"/>
              </w:rPr>
              <w:t>Măsura constă în dezvoltarea infrastructurii regionale de eliminare a deşeurilor prin construcţia unui depozit regionale pentru deşeurile menajere solide, a 4 staţii de transfer şi dotarea cu 19 unităţi de transport cu capacitatea de  13 m3 pentru transferul deşeurilor la depozite</w:t>
            </w:r>
          </w:p>
        </w:tc>
        <w:tc>
          <w:tcPr>
            <w:tcW w:w="1620" w:type="dxa"/>
            <w:gridSpan w:val="2"/>
            <w:hideMark/>
          </w:tcPr>
          <w:p w14:paraId="7F9D843D" w14:textId="77777777" w:rsidR="0060721D" w:rsidRPr="0060721D" w:rsidRDefault="0060721D" w:rsidP="0060721D">
            <w:pPr>
              <w:jc w:val="center"/>
              <w:rPr>
                <w:rFonts w:ascii="Times New Roman" w:eastAsia="Times New Roman" w:hAnsi="Times New Roman"/>
                <w:lang w:eastAsia="ru-RU"/>
              </w:rPr>
            </w:pPr>
            <w:r w:rsidRPr="0060721D">
              <w:rPr>
                <w:rFonts w:ascii="Times New Roman" w:eastAsia="Times New Roman" w:hAnsi="Times New Roman"/>
                <w:lang w:val="es-ES" w:eastAsia="ru-RU"/>
              </w:rPr>
              <w:t>Cota deşeurilor din hîrtie și carton colectată  şi reciclată anual se va menține la nivelul de 5 % în localitățile urbane și 2% în cele rurale. Cantitatea de deșeuri  biodegradabile supusă compostării va crește gradual de la 3%  la 5% pe parcursul anilor 2021-2035;</w:t>
            </w:r>
          </w:p>
        </w:tc>
        <w:tc>
          <w:tcPr>
            <w:tcW w:w="1440" w:type="dxa"/>
            <w:gridSpan w:val="2"/>
            <w:hideMark/>
          </w:tcPr>
          <w:p w14:paraId="58E71BCF" w14:textId="77777777" w:rsidR="0060721D" w:rsidRPr="0060721D" w:rsidRDefault="0060721D" w:rsidP="0060721D">
            <w:pPr>
              <w:jc w:val="center"/>
              <w:rPr>
                <w:rFonts w:ascii="Times New Roman" w:hAnsi="Times New Roman"/>
                <w:lang w:val="ro-RO"/>
              </w:rPr>
            </w:pPr>
            <w:r w:rsidRPr="0060721D">
              <w:rPr>
                <w:rFonts w:ascii="Times New Roman" w:eastAsia="Times New Roman" w:hAnsi="Times New Roman"/>
                <w:lang w:val="es-ES" w:eastAsia="ru-RU"/>
              </w:rPr>
              <w:t xml:space="preserve">Toate deşeurile recilabile  de plastic, metal, sticlă şi hîrtie vor fi colectate şi reciclate la nivelul de circa 8 % din total de deșeuri generate, începînd  anul 2030 cînd va fi contruită infrastructura de gestinare a deșerilor la nivel regional. Cota deşeurilor biodegradabile supuse compostări de atinge apromitativ 3% din greutatea totală a deşeurilor generate. </w:t>
            </w:r>
          </w:p>
        </w:tc>
        <w:tc>
          <w:tcPr>
            <w:tcW w:w="3429" w:type="dxa"/>
            <w:gridSpan w:val="2"/>
            <w:hideMark/>
          </w:tcPr>
          <w:p w14:paraId="3522B395" w14:textId="77777777" w:rsidR="0060721D" w:rsidRPr="0060721D" w:rsidRDefault="0060721D" w:rsidP="0060721D">
            <w:pPr>
              <w:jc w:val="center"/>
              <w:rPr>
                <w:rFonts w:ascii="Times New Roman" w:hAnsi="Times New Roman"/>
              </w:rPr>
            </w:pPr>
            <w:r w:rsidRPr="0060721D">
              <w:rPr>
                <w:rFonts w:ascii="Times New Roman" w:eastAsia="Times New Roman" w:hAnsi="Times New Roman"/>
                <w:lang w:eastAsia="ru-RU"/>
              </w:rPr>
              <w:t xml:space="preserve">9 132,5 tone CO2 </w:t>
            </w:r>
            <w:proofErr w:type="spellStart"/>
            <w:r w:rsidRPr="0060721D">
              <w:rPr>
                <w:rFonts w:ascii="Times New Roman" w:eastAsia="Times New Roman" w:hAnsi="Times New Roman"/>
                <w:lang w:eastAsia="ru-RU"/>
              </w:rPr>
              <w:t>echivalent</w:t>
            </w:r>
            <w:proofErr w:type="spellEnd"/>
            <w:r w:rsidRPr="0060721D">
              <w:rPr>
                <w:rFonts w:ascii="Times New Roman" w:eastAsia="Times New Roman" w:hAnsi="Times New Roman"/>
                <w:lang w:eastAsia="ru-RU"/>
              </w:rPr>
              <w:t>/an</w:t>
            </w:r>
            <w:r w:rsidRPr="0060721D">
              <w:rPr>
                <w:rFonts w:ascii="Times New Roman" w:eastAsia="Times New Roman" w:hAnsi="Times New Roman"/>
                <w:lang w:val="ro-RO" w:eastAsia="ru-RU"/>
              </w:rPr>
              <w:t xml:space="preserve"> </w:t>
            </w:r>
          </w:p>
        </w:tc>
        <w:tc>
          <w:tcPr>
            <w:tcW w:w="1502" w:type="dxa"/>
            <w:gridSpan w:val="2"/>
            <w:hideMark/>
          </w:tcPr>
          <w:p w14:paraId="0F503DBD" w14:textId="77777777" w:rsidR="0060721D" w:rsidRPr="0060721D" w:rsidRDefault="0060721D" w:rsidP="0060721D">
            <w:pPr>
              <w:jc w:val="center"/>
              <w:rPr>
                <w:rFonts w:ascii="Times New Roman" w:hAnsi="Times New Roman"/>
              </w:rPr>
            </w:pPr>
            <w:r w:rsidRPr="0060721D">
              <w:rPr>
                <w:rFonts w:ascii="Times New Roman" w:eastAsia="Times New Roman" w:hAnsi="Times New Roman"/>
                <w:lang w:eastAsia="ru-RU"/>
              </w:rPr>
              <w:t xml:space="preserve">9 132,5 tone CO2 </w:t>
            </w:r>
            <w:proofErr w:type="spellStart"/>
            <w:r w:rsidRPr="0060721D">
              <w:rPr>
                <w:rFonts w:ascii="Times New Roman" w:eastAsia="Times New Roman" w:hAnsi="Times New Roman"/>
                <w:lang w:eastAsia="ru-RU"/>
              </w:rPr>
              <w:t>echivalent</w:t>
            </w:r>
            <w:proofErr w:type="spellEnd"/>
            <w:r w:rsidRPr="0060721D">
              <w:rPr>
                <w:rFonts w:ascii="Times New Roman" w:eastAsia="Times New Roman" w:hAnsi="Times New Roman"/>
                <w:lang w:eastAsia="ru-RU"/>
              </w:rPr>
              <w:t>/an</w:t>
            </w:r>
            <w:r w:rsidRPr="0060721D">
              <w:rPr>
                <w:rFonts w:ascii="Times New Roman" w:eastAsia="Times New Roman" w:hAnsi="Times New Roman"/>
                <w:lang w:val="ro-RO" w:eastAsia="ru-RU"/>
              </w:rPr>
              <w:t xml:space="preserve"> </w:t>
            </w:r>
          </w:p>
        </w:tc>
      </w:tr>
      <w:tr w:rsidR="00F11CCD" w:rsidRPr="0060721D" w14:paraId="658FB19B" w14:textId="77777777" w:rsidTr="00F11CCD">
        <w:trPr>
          <w:divId w:val="546725049"/>
          <w:trHeight w:val="1515"/>
        </w:trPr>
        <w:tc>
          <w:tcPr>
            <w:tcW w:w="500" w:type="dxa"/>
            <w:hideMark/>
          </w:tcPr>
          <w:p w14:paraId="561FA0CD" w14:textId="77777777" w:rsidR="0060721D" w:rsidRPr="0060721D" w:rsidRDefault="0060721D" w:rsidP="0060721D">
            <w:pPr>
              <w:jc w:val="center"/>
              <w:rPr>
                <w:rFonts w:ascii="Times New Roman" w:eastAsia="Times New Roman" w:hAnsi="Times New Roman"/>
                <w:lang w:val="ro-RO" w:eastAsia="ru-RU"/>
              </w:rPr>
            </w:pPr>
            <w:r w:rsidRPr="0060721D">
              <w:rPr>
                <w:rFonts w:ascii="Times New Roman" w:eastAsia="Times New Roman" w:hAnsi="Times New Roman"/>
                <w:lang w:eastAsia="ru-RU"/>
              </w:rPr>
              <w:t>7,6</w:t>
            </w:r>
          </w:p>
        </w:tc>
        <w:tc>
          <w:tcPr>
            <w:tcW w:w="3437" w:type="dxa"/>
            <w:gridSpan w:val="2"/>
            <w:hideMark/>
          </w:tcPr>
          <w:p w14:paraId="1668AC2C" w14:textId="77777777" w:rsidR="0060721D" w:rsidRPr="0060721D" w:rsidRDefault="0060721D" w:rsidP="0060721D">
            <w:pPr>
              <w:rPr>
                <w:rFonts w:ascii="Times New Roman" w:hAnsi="Times New Roman"/>
              </w:rPr>
            </w:pPr>
            <w:r w:rsidRPr="0060721D">
              <w:rPr>
                <w:rFonts w:ascii="Times New Roman" w:eastAsia="Times New Roman" w:hAnsi="Times New Roman"/>
                <w:lang w:val="es-ES" w:eastAsia="ru-RU"/>
              </w:rPr>
              <w:t>Construcţia  depozitului pentru deşeurile menajere solide regional şi a staţiilor de</w:t>
            </w:r>
            <w:r w:rsidRPr="0060721D">
              <w:rPr>
                <w:rFonts w:ascii="Times New Roman" w:eastAsia="Times New Roman" w:hAnsi="Times New Roman"/>
                <w:lang w:val="ro-RO" w:eastAsia="ru-RU"/>
              </w:rPr>
              <w:t xml:space="preserve"> </w:t>
            </w:r>
            <w:r w:rsidRPr="0060721D">
              <w:rPr>
                <w:rFonts w:ascii="Times New Roman" w:hAnsi="Times New Roman"/>
              </w:rPr>
              <w:t>transfer  </w:t>
            </w:r>
            <w:proofErr w:type="spellStart"/>
            <w:r w:rsidRPr="0060721D">
              <w:rPr>
                <w:rFonts w:ascii="Times New Roman" w:hAnsi="Times New Roman"/>
              </w:rPr>
              <w:t>în</w:t>
            </w:r>
            <w:proofErr w:type="spellEnd"/>
            <w:r w:rsidRPr="0060721D">
              <w:rPr>
                <w:rFonts w:ascii="Times New Roman" w:hAnsi="Times New Roman"/>
              </w:rPr>
              <w:t xml:space="preserve"> </w:t>
            </w:r>
            <w:proofErr w:type="spellStart"/>
            <w:r w:rsidRPr="0060721D">
              <w:rPr>
                <w:rFonts w:ascii="Times New Roman" w:hAnsi="Times New Roman"/>
              </w:rPr>
              <w:t>regiunea</w:t>
            </w:r>
            <w:proofErr w:type="spellEnd"/>
            <w:r w:rsidRPr="0060721D">
              <w:rPr>
                <w:rFonts w:ascii="Times New Roman" w:hAnsi="Times New Roman"/>
              </w:rPr>
              <w:t xml:space="preserve"> 8 – </w:t>
            </w:r>
            <w:proofErr w:type="spellStart"/>
            <w:r w:rsidRPr="0060721D">
              <w:rPr>
                <w:rFonts w:ascii="Times New Roman" w:hAnsi="Times New Roman"/>
              </w:rPr>
              <w:t>Briceni</w:t>
            </w:r>
            <w:proofErr w:type="spellEnd"/>
            <w:r w:rsidRPr="0060721D">
              <w:rPr>
                <w:rFonts w:ascii="Times New Roman" w:hAnsi="Times New Roman"/>
              </w:rPr>
              <w:t xml:space="preserve">, </w:t>
            </w:r>
            <w:proofErr w:type="spellStart"/>
            <w:r w:rsidRPr="0060721D">
              <w:rPr>
                <w:rFonts w:ascii="Times New Roman" w:hAnsi="Times New Roman"/>
              </w:rPr>
              <w:t>Ocniţa</w:t>
            </w:r>
            <w:proofErr w:type="spellEnd"/>
            <w:r w:rsidRPr="0060721D">
              <w:rPr>
                <w:rFonts w:ascii="Times New Roman" w:hAnsi="Times New Roman"/>
              </w:rPr>
              <w:t xml:space="preserve">, </w:t>
            </w:r>
            <w:proofErr w:type="spellStart"/>
            <w:r w:rsidRPr="0060721D">
              <w:rPr>
                <w:rFonts w:ascii="Times New Roman" w:hAnsi="Times New Roman"/>
              </w:rPr>
              <w:t>Edineţ</w:t>
            </w:r>
            <w:proofErr w:type="spellEnd"/>
            <w:r w:rsidRPr="0060721D">
              <w:rPr>
                <w:rFonts w:ascii="Times New Roman" w:hAnsi="Times New Roman"/>
              </w:rPr>
              <w:t xml:space="preserve">, </w:t>
            </w:r>
            <w:proofErr w:type="spellStart"/>
            <w:r w:rsidRPr="0060721D">
              <w:rPr>
                <w:rFonts w:ascii="Times New Roman" w:hAnsi="Times New Roman"/>
              </w:rPr>
              <w:t>Donduşeni</w:t>
            </w:r>
            <w:proofErr w:type="spellEnd"/>
          </w:p>
        </w:tc>
        <w:tc>
          <w:tcPr>
            <w:tcW w:w="2211" w:type="dxa"/>
            <w:gridSpan w:val="2"/>
            <w:hideMark/>
          </w:tcPr>
          <w:p w14:paraId="48A1C357" w14:textId="77777777" w:rsidR="0060721D" w:rsidRPr="0060721D" w:rsidRDefault="0060721D" w:rsidP="0060721D">
            <w:pPr>
              <w:rPr>
                <w:rFonts w:ascii="Times New Roman" w:hAnsi="Times New Roman"/>
              </w:rPr>
            </w:pPr>
            <w:r w:rsidRPr="0060721D">
              <w:rPr>
                <w:rFonts w:ascii="Times New Roman" w:eastAsia="Times New Roman" w:hAnsi="Times New Roman"/>
                <w:lang w:val="es-ES" w:eastAsia="ru-RU"/>
              </w:rPr>
              <w:t>Măsura constă în dezvoltarea infrastructurii regionale de eliminare a deşeurilor prin construcţia unui depozit regional pentru deşeurile menajere solide în</w:t>
            </w:r>
            <w:r w:rsidRPr="0060721D">
              <w:rPr>
                <w:rFonts w:ascii="Times New Roman" w:eastAsia="Times New Roman" w:hAnsi="Times New Roman"/>
                <w:lang w:eastAsia="ru-RU"/>
              </w:rPr>
              <w:t xml:space="preserve"> </w:t>
            </w:r>
            <w:r w:rsidRPr="0060721D">
              <w:rPr>
                <w:rFonts w:ascii="Times New Roman" w:hAnsi="Times New Roman"/>
              </w:rPr>
              <w:t xml:space="preserve">or. </w:t>
            </w:r>
            <w:proofErr w:type="spellStart"/>
            <w:r w:rsidRPr="0060721D">
              <w:rPr>
                <w:rFonts w:ascii="Times New Roman" w:hAnsi="Times New Roman"/>
              </w:rPr>
              <w:t>Dondușeni</w:t>
            </w:r>
            <w:proofErr w:type="spellEnd"/>
            <w:r w:rsidRPr="0060721D">
              <w:rPr>
                <w:rFonts w:ascii="Times New Roman" w:hAnsi="Times New Roman"/>
              </w:rPr>
              <w:t xml:space="preserve">, </w:t>
            </w:r>
            <w:r w:rsidRPr="0060721D">
              <w:rPr>
                <w:rFonts w:ascii="Times New Roman" w:hAnsi="Times New Roman"/>
              </w:rPr>
              <w:lastRenderedPageBreak/>
              <w:t xml:space="preserve">a </w:t>
            </w:r>
            <w:proofErr w:type="spellStart"/>
            <w:r w:rsidRPr="0060721D">
              <w:rPr>
                <w:rFonts w:ascii="Times New Roman" w:hAnsi="Times New Roman"/>
              </w:rPr>
              <w:t>două</w:t>
            </w:r>
            <w:proofErr w:type="spellEnd"/>
            <w:r w:rsidRPr="0060721D">
              <w:rPr>
                <w:rFonts w:ascii="Times New Roman" w:hAnsi="Times New Roman"/>
              </w:rPr>
              <w:t xml:space="preserve"> </w:t>
            </w:r>
            <w:proofErr w:type="spellStart"/>
            <w:r w:rsidRPr="0060721D">
              <w:rPr>
                <w:rFonts w:ascii="Times New Roman" w:hAnsi="Times New Roman"/>
              </w:rPr>
              <w:t>stații</w:t>
            </w:r>
            <w:proofErr w:type="spellEnd"/>
            <w:r w:rsidRPr="0060721D">
              <w:rPr>
                <w:rFonts w:ascii="Times New Roman" w:hAnsi="Times New Roman"/>
              </w:rPr>
              <w:br/>
              <w:t xml:space="preserve">de transfer – </w:t>
            </w:r>
            <w:proofErr w:type="spellStart"/>
            <w:r w:rsidRPr="0060721D">
              <w:rPr>
                <w:rFonts w:ascii="Times New Roman" w:hAnsi="Times New Roman"/>
              </w:rPr>
              <w:t>câte</w:t>
            </w:r>
            <w:proofErr w:type="spellEnd"/>
            <w:r w:rsidRPr="0060721D">
              <w:rPr>
                <w:rFonts w:ascii="Times New Roman" w:hAnsi="Times New Roman"/>
              </w:rPr>
              <w:t xml:space="preserve"> </w:t>
            </w:r>
            <w:proofErr w:type="spellStart"/>
            <w:r w:rsidRPr="0060721D">
              <w:rPr>
                <w:rFonts w:ascii="Times New Roman" w:hAnsi="Times New Roman"/>
              </w:rPr>
              <w:t>una</w:t>
            </w:r>
            <w:proofErr w:type="spellEnd"/>
            <w:r w:rsidRPr="0060721D">
              <w:rPr>
                <w:rFonts w:ascii="Times New Roman" w:hAnsi="Times New Roman"/>
              </w:rPr>
              <w:t xml:space="preserve"> </w:t>
            </w:r>
            <w:proofErr w:type="spellStart"/>
            <w:r w:rsidRPr="0060721D">
              <w:rPr>
                <w:rFonts w:ascii="Times New Roman" w:hAnsi="Times New Roman"/>
              </w:rPr>
              <w:t>în</w:t>
            </w:r>
            <w:proofErr w:type="spellEnd"/>
            <w:r w:rsidRPr="0060721D">
              <w:rPr>
                <w:rFonts w:ascii="Times New Roman" w:hAnsi="Times New Roman"/>
              </w:rPr>
              <w:t xml:space="preserve"> </w:t>
            </w:r>
            <w:proofErr w:type="spellStart"/>
            <w:r w:rsidRPr="0060721D">
              <w:rPr>
                <w:rFonts w:ascii="Times New Roman" w:hAnsi="Times New Roman"/>
              </w:rPr>
              <w:t>raioanele</w:t>
            </w:r>
            <w:proofErr w:type="spellEnd"/>
            <w:r w:rsidRPr="0060721D">
              <w:rPr>
                <w:rFonts w:ascii="Times New Roman" w:hAnsi="Times New Roman"/>
              </w:rPr>
              <w:t xml:space="preserve"> </w:t>
            </w:r>
            <w:proofErr w:type="spellStart"/>
            <w:r w:rsidRPr="0060721D">
              <w:rPr>
                <w:rFonts w:ascii="Times New Roman" w:hAnsi="Times New Roman"/>
              </w:rPr>
              <w:t>Briceni</w:t>
            </w:r>
            <w:proofErr w:type="spellEnd"/>
            <w:r w:rsidRPr="0060721D">
              <w:rPr>
                <w:rFonts w:ascii="Times New Roman" w:hAnsi="Times New Roman"/>
              </w:rPr>
              <w:t xml:space="preserve"> </w:t>
            </w:r>
            <w:proofErr w:type="spellStart"/>
            <w:r w:rsidRPr="0060721D">
              <w:rPr>
                <w:rFonts w:ascii="Times New Roman" w:hAnsi="Times New Roman"/>
              </w:rPr>
              <w:t>și</w:t>
            </w:r>
            <w:proofErr w:type="spellEnd"/>
            <w:r w:rsidRPr="0060721D">
              <w:rPr>
                <w:rFonts w:ascii="Times New Roman" w:hAnsi="Times New Roman"/>
              </w:rPr>
              <w:t xml:space="preserve"> </w:t>
            </w:r>
            <w:proofErr w:type="spellStart"/>
            <w:r w:rsidRPr="0060721D">
              <w:rPr>
                <w:rFonts w:ascii="Times New Roman" w:hAnsi="Times New Roman"/>
              </w:rPr>
              <w:t>Edineț</w:t>
            </w:r>
            <w:proofErr w:type="spellEnd"/>
            <w:r w:rsidRPr="0060721D">
              <w:rPr>
                <w:rFonts w:ascii="Times New Roman" w:hAnsi="Times New Roman"/>
              </w:rPr>
              <w:t xml:space="preserve">,  o </w:t>
            </w:r>
            <w:proofErr w:type="spellStart"/>
            <w:r w:rsidRPr="0060721D">
              <w:rPr>
                <w:rFonts w:ascii="Times New Roman" w:hAnsi="Times New Roman"/>
              </w:rPr>
              <w:t>stație</w:t>
            </w:r>
            <w:proofErr w:type="spellEnd"/>
            <w:r w:rsidRPr="0060721D">
              <w:rPr>
                <w:rFonts w:ascii="Times New Roman" w:hAnsi="Times New Roman"/>
              </w:rPr>
              <w:t xml:space="preserve"> de </w:t>
            </w:r>
            <w:proofErr w:type="spellStart"/>
            <w:r w:rsidRPr="0060721D">
              <w:rPr>
                <w:rFonts w:ascii="Times New Roman" w:hAnsi="Times New Roman"/>
              </w:rPr>
              <w:t>sortare</w:t>
            </w:r>
            <w:proofErr w:type="spellEnd"/>
            <w:r w:rsidRPr="0060721D">
              <w:rPr>
                <w:rFonts w:ascii="Times New Roman" w:hAnsi="Times New Roman"/>
              </w:rPr>
              <w:t xml:space="preserve">, </w:t>
            </w:r>
            <w:proofErr w:type="spellStart"/>
            <w:r w:rsidRPr="0060721D">
              <w:rPr>
                <w:rFonts w:ascii="Times New Roman" w:hAnsi="Times New Roman"/>
              </w:rPr>
              <w:t>dotarea</w:t>
            </w:r>
            <w:proofErr w:type="spellEnd"/>
            <w:r w:rsidRPr="0060721D">
              <w:rPr>
                <w:rFonts w:ascii="Times New Roman" w:hAnsi="Times New Roman"/>
              </w:rPr>
              <w:t xml:space="preserve"> cu 8   </w:t>
            </w:r>
            <w:proofErr w:type="spellStart"/>
            <w:r w:rsidRPr="0060721D">
              <w:rPr>
                <w:rFonts w:ascii="Times New Roman" w:hAnsi="Times New Roman"/>
              </w:rPr>
              <w:t>unităţi</w:t>
            </w:r>
            <w:proofErr w:type="spellEnd"/>
            <w:r w:rsidRPr="0060721D">
              <w:rPr>
                <w:rFonts w:ascii="Times New Roman" w:hAnsi="Times New Roman"/>
              </w:rPr>
              <w:t xml:space="preserve"> de transport cu </w:t>
            </w:r>
            <w:proofErr w:type="spellStart"/>
            <w:r w:rsidRPr="0060721D">
              <w:rPr>
                <w:rFonts w:ascii="Times New Roman" w:hAnsi="Times New Roman"/>
              </w:rPr>
              <w:t>capacitatea</w:t>
            </w:r>
            <w:proofErr w:type="spellEnd"/>
            <w:r w:rsidRPr="0060721D">
              <w:rPr>
                <w:rFonts w:ascii="Times New Roman" w:hAnsi="Times New Roman"/>
              </w:rPr>
              <w:t xml:space="preserve"> 16 m3 </w:t>
            </w:r>
            <w:proofErr w:type="spellStart"/>
            <w:r w:rsidRPr="0060721D">
              <w:rPr>
                <w:rFonts w:ascii="Times New Roman" w:hAnsi="Times New Roman"/>
              </w:rPr>
              <w:t>și</w:t>
            </w:r>
            <w:proofErr w:type="spellEnd"/>
            <w:r w:rsidRPr="0060721D">
              <w:rPr>
                <w:rFonts w:ascii="Times New Roman" w:hAnsi="Times New Roman"/>
              </w:rPr>
              <w:t xml:space="preserve">  8 </w:t>
            </w:r>
            <w:proofErr w:type="spellStart"/>
            <w:r w:rsidRPr="0060721D">
              <w:rPr>
                <w:rFonts w:ascii="Times New Roman" w:hAnsi="Times New Roman"/>
              </w:rPr>
              <w:t>unităţi</w:t>
            </w:r>
            <w:proofErr w:type="spellEnd"/>
            <w:r w:rsidRPr="0060721D">
              <w:rPr>
                <w:rFonts w:ascii="Times New Roman" w:hAnsi="Times New Roman"/>
              </w:rPr>
              <w:t xml:space="preserve"> de transport cu </w:t>
            </w:r>
            <w:proofErr w:type="spellStart"/>
            <w:r w:rsidRPr="0060721D">
              <w:rPr>
                <w:rFonts w:ascii="Times New Roman" w:hAnsi="Times New Roman"/>
              </w:rPr>
              <w:t>capacitatea</w:t>
            </w:r>
            <w:proofErr w:type="spellEnd"/>
            <w:r w:rsidRPr="0060721D">
              <w:rPr>
                <w:rFonts w:ascii="Times New Roman" w:hAnsi="Times New Roman"/>
              </w:rPr>
              <w:t xml:space="preserve"> 10 m3 </w:t>
            </w:r>
            <w:proofErr w:type="spellStart"/>
            <w:r w:rsidRPr="0060721D">
              <w:rPr>
                <w:rFonts w:ascii="Times New Roman" w:hAnsi="Times New Roman"/>
              </w:rPr>
              <w:t>pentru</w:t>
            </w:r>
            <w:proofErr w:type="spellEnd"/>
            <w:r w:rsidRPr="0060721D">
              <w:rPr>
                <w:rFonts w:ascii="Times New Roman" w:hAnsi="Times New Roman"/>
              </w:rPr>
              <w:t xml:space="preserve"> </w:t>
            </w:r>
            <w:proofErr w:type="spellStart"/>
            <w:r w:rsidRPr="0060721D">
              <w:rPr>
                <w:rFonts w:ascii="Times New Roman" w:hAnsi="Times New Roman"/>
              </w:rPr>
              <w:t>transferul</w:t>
            </w:r>
            <w:proofErr w:type="spellEnd"/>
            <w:r w:rsidRPr="0060721D">
              <w:rPr>
                <w:rFonts w:ascii="Times New Roman" w:hAnsi="Times New Roman"/>
              </w:rPr>
              <w:t xml:space="preserve"> </w:t>
            </w:r>
            <w:proofErr w:type="spellStart"/>
            <w:r w:rsidRPr="0060721D">
              <w:rPr>
                <w:rFonts w:ascii="Times New Roman" w:hAnsi="Times New Roman"/>
              </w:rPr>
              <w:t>deşeurilor</w:t>
            </w:r>
            <w:proofErr w:type="spellEnd"/>
            <w:r w:rsidRPr="0060721D">
              <w:rPr>
                <w:rFonts w:ascii="Times New Roman" w:hAnsi="Times New Roman"/>
              </w:rPr>
              <w:t xml:space="preserve"> la </w:t>
            </w:r>
            <w:proofErr w:type="spellStart"/>
            <w:r w:rsidRPr="0060721D">
              <w:rPr>
                <w:rFonts w:ascii="Times New Roman" w:hAnsi="Times New Roman"/>
              </w:rPr>
              <w:t>depozite</w:t>
            </w:r>
            <w:proofErr w:type="spellEnd"/>
            <w:r w:rsidRPr="0060721D">
              <w:rPr>
                <w:rFonts w:ascii="Times New Roman" w:hAnsi="Times New Roman"/>
              </w:rPr>
              <w:t>.</w:t>
            </w:r>
          </w:p>
        </w:tc>
        <w:tc>
          <w:tcPr>
            <w:tcW w:w="1620" w:type="dxa"/>
            <w:gridSpan w:val="2"/>
            <w:hideMark/>
          </w:tcPr>
          <w:p w14:paraId="00CFB2A8" w14:textId="77777777" w:rsidR="0060721D" w:rsidRPr="0060721D" w:rsidRDefault="0060721D" w:rsidP="0060721D">
            <w:pPr>
              <w:jc w:val="center"/>
              <w:rPr>
                <w:rFonts w:ascii="Times New Roman" w:hAnsi="Times New Roman"/>
              </w:rPr>
            </w:pPr>
            <w:r w:rsidRPr="0060721D">
              <w:rPr>
                <w:rFonts w:ascii="Times New Roman" w:eastAsia="Times New Roman" w:hAnsi="Times New Roman"/>
                <w:lang w:eastAsia="ru-RU"/>
              </w:rPr>
              <w:lastRenderedPageBreak/>
              <w:t xml:space="preserve">Cota </w:t>
            </w:r>
            <w:proofErr w:type="spellStart"/>
            <w:r w:rsidRPr="0060721D">
              <w:rPr>
                <w:rFonts w:ascii="Times New Roman" w:eastAsia="Times New Roman" w:hAnsi="Times New Roman"/>
                <w:lang w:eastAsia="ru-RU"/>
              </w:rPr>
              <w:t>deşeurilor</w:t>
            </w:r>
            <w:proofErr w:type="spellEnd"/>
            <w:r w:rsidRPr="0060721D">
              <w:rPr>
                <w:rFonts w:ascii="Times New Roman" w:eastAsia="Times New Roman" w:hAnsi="Times New Roman"/>
                <w:lang w:eastAsia="ru-RU"/>
              </w:rPr>
              <w:t xml:space="preserve"> din </w:t>
            </w:r>
            <w:proofErr w:type="spellStart"/>
            <w:r w:rsidRPr="0060721D">
              <w:rPr>
                <w:rFonts w:ascii="Times New Roman" w:eastAsia="Times New Roman" w:hAnsi="Times New Roman"/>
                <w:lang w:eastAsia="ru-RU"/>
              </w:rPr>
              <w:t>hîrtie</w:t>
            </w:r>
            <w:proofErr w:type="spellEnd"/>
            <w:r w:rsidRPr="0060721D">
              <w:rPr>
                <w:rFonts w:ascii="Times New Roman" w:eastAsia="Times New Roman" w:hAnsi="Times New Roman"/>
                <w:lang w:eastAsia="ru-RU"/>
              </w:rPr>
              <w:t xml:space="preserve"> </w:t>
            </w:r>
            <w:proofErr w:type="spellStart"/>
            <w:r w:rsidRPr="0060721D">
              <w:rPr>
                <w:rFonts w:ascii="Times New Roman" w:eastAsia="Times New Roman" w:hAnsi="Times New Roman"/>
                <w:lang w:eastAsia="ru-RU"/>
              </w:rPr>
              <w:t>și</w:t>
            </w:r>
            <w:proofErr w:type="spellEnd"/>
            <w:r w:rsidRPr="0060721D">
              <w:rPr>
                <w:rFonts w:ascii="Times New Roman" w:eastAsia="Times New Roman" w:hAnsi="Times New Roman"/>
                <w:lang w:eastAsia="ru-RU"/>
              </w:rPr>
              <w:t xml:space="preserve"> carton </w:t>
            </w:r>
            <w:proofErr w:type="spellStart"/>
            <w:r w:rsidRPr="0060721D">
              <w:rPr>
                <w:rFonts w:ascii="Times New Roman" w:eastAsia="Times New Roman" w:hAnsi="Times New Roman"/>
                <w:lang w:eastAsia="ru-RU"/>
              </w:rPr>
              <w:t>colectată</w:t>
            </w:r>
            <w:proofErr w:type="spellEnd"/>
            <w:r w:rsidRPr="0060721D">
              <w:rPr>
                <w:rFonts w:ascii="Times New Roman" w:eastAsia="Times New Roman" w:hAnsi="Times New Roman"/>
                <w:lang w:eastAsia="ru-RU"/>
              </w:rPr>
              <w:t xml:space="preserve">  </w:t>
            </w:r>
            <w:proofErr w:type="spellStart"/>
            <w:r w:rsidRPr="0060721D">
              <w:rPr>
                <w:rFonts w:ascii="Times New Roman" w:eastAsia="Times New Roman" w:hAnsi="Times New Roman"/>
                <w:lang w:eastAsia="ru-RU"/>
              </w:rPr>
              <w:t>şi</w:t>
            </w:r>
            <w:proofErr w:type="spellEnd"/>
            <w:r w:rsidRPr="0060721D">
              <w:rPr>
                <w:rFonts w:ascii="Times New Roman" w:eastAsia="Times New Roman" w:hAnsi="Times New Roman"/>
                <w:lang w:eastAsia="ru-RU"/>
              </w:rPr>
              <w:t xml:space="preserve"> </w:t>
            </w:r>
            <w:proofErr w:type="spellStart"/>
            <w:r w:rsidRPr="0060721D">
              <w:rPr>
                <w:rFonts w:ascii="Times New Roman" w:eastAsia="Times New Roman" w:hAnsi="Times New Roman"/>
                <w:lang w:eastAsia="ru-RU"/>
              </w:rPr>
              <w:t>reciclată</w:t>
            </w:r>
            <w:proofErr w:type="spellEnd"/>
            <w:r w:rsidRPr="0060721D">
              <w:rPr>
                <w:rFonts w:ascii="Times New Roman" w:eastAsia="Times New Roman" w:hAnsi="Times New Roman"/>
                <w:lang w:eastAsia="ru-RU"/>
              </w:rPr>
              <w:t xml:space="preserve"> </w:t>
            </w:r>
            <w:proofErr w:type="spellStart"/>
            <w:r w:rsidRPr="0060721D">
              <w:rPr>
                <w:rFonts w:ascii="Times New Roman" w:eastAsia="Times New Roman" w:hAnsi="Times New Roman"/>
                <w:lang w:eastAsia="ru-RU"/>
              </w:rPr>
              <w:t>anual</w:t>
            </w:r>
            <w:proofErr w:type="spellEnd"/>
            <w:r w:rsidRPr="0060721D">
              <w:rPr>
                <w:rFonts w:ascii="Times New Roman" w:eastAsia="Times New Roman" w:hAnsi="Times New Roman"/>
                <w:lang w:eastAsia="ru-RU"/>
              </w:rPr>
              <w:t xml:space="preserve"> se </w:t>
            </w:r>
            <w:proofErr w:type="spellStart"/>
            <w:r w:rsidRPr="0060721D">
              <w:rPr>
                <w:rFonts w:ascii="Times New Roman" w:eastAsia="Times New Roman" w:hAnsi="Times New Roman"/>
                <w:lang w:eastAsia="ru-RU"/>
              </w:rPr>
              <w:t>va</w:t>
            </w:r>
            <w:proofErr w:type="spellEnd"/>
            <w:r w:rsidRPr="0060721D">
              <w:rPr>
                <w:rFonts w:ascii="Times New Roman" w:eastAsia="Times New Roman" w:hAnsi="Times New Roman"/>
                <w:lang w:eastAsia="ru-RU"/>
              </w:rPr>
              <w:t xml:space="preserve"> </w:t>
            </w:r>
            <w:proofErr w:type="spellStart"/>
            <w:r w:rsidRPr="0060721D">
              <w:rPr>
                <w:rFonts w:ascii="Times New Roman" w:eastAsia="Times New Roman" w:hAnsi="Times New Roman"/>
                <w:lang w:eastAsia="ru-RU"/>
              </w:rPr>
              <w:t>menține</w:t>
            </w:r>
            <w:proofErr w:type="spellEnd"/>
            <w:r w:rsidRPr="0060721D">
              <w:rPr>
                <w:rFonts w:ascii="Times New Roman" w:eastAsia="Times New Roman" w:hAnsi="Times New Roman"/>
                <w:lang w:eastAsia="ru-RU"/>
              </w:rPr>
              <w:t xml:space="preserve"> la </w:t>
            </w:r>
            <w:proofErr w:type="spellStart"/>
            <w:r w:rsidRPr="0060721D">
              <w:rPr>
                <w:rFonts w:ascii="Times New Roman" w:eastAsia="Times New Roman" w:hAnsi="Times New Roman"/>
                <w:lang w:eastAsia="ru-RU"/>
              </w:rPr>
              <w:t>nivelul</w:t>
            </w:r>
            <w:proofErr w:type="spellEnd"/>
            <w:r w:rsidRPr="0060721D">
              <w:rPr>
                <w:rFonts w:ascii="Times New Roman" w:eastAsia="Times New Roman" w:hAnsi="Times New Roman"/>
                <w:lang w:eastAsia="ru-RU"/>
              </w:rPr>
              <w:t xml:space="preserve"> de 5 %</w:t>
            </w:r>
            <w:r w:rsidRPr="0060721D">
              <w:rPr>
                <w:rFonts w:ascii="Times New Roman" w:hAnsi="Times New Roman"/>
              </w:rPr>
              <w:t xml:space="preserve"> </w:t>
            </w:r>
            <w:proofErr w:type="spellStart"/>
            <w:r w:rsidRPr="0060721D">
              <w:rPr>
                <w:rFonts w:ascii="Times New Roman" w:hAnsi="Times New Roman"/>
              </w:rPr>
              <w:t>în</w:t>
            </w:r>
            <w:proofErr w:type="spellEnd"/>
            <w:r w:rsidRPr="0060721D">
              <w:rPr>
                <w:rFonts w:ascii="Times New Roman" w:hAnsi="Times New Roman"/>
              </w:rPr>
              <w:t xml:space="preserve"> </w:t>
            </w:r>
            <w:proofErr w:type="spellStart"/>
            <w:r w:rsidRPr="0060721D">
              <w:rPr>
                <w:rFonts w:ascii="Times New Roman" w:hAnsi="Times New Roman"/>
              </w:rPr>
              <w:t>localitățile</w:t>
            </w:r>
            <w:proofErr w:type="spellEnd"/>
            <w:r w:rsidRPr="0060721D">
              <w:rPr>
                <w:rFonts w:ascii="Times New Roman" w:hAnsi="Times New Roman"/>
              </w:rPr>
              <w:t xml:space="preserve"> urbane </w:t>
            </w:r>
            <w:proofErr w:type="spellStart"/>
            <w:r w:rsidRPr="0060721D">
              <w:rPr>
                <w:rFonts w:ascii="Times New Roman" w:hAnsi="Times New Roman"/>
              </w:rPr>
              <w:t>și</w:t>
            </w:r>
            <w:proofErr w:type="spellEnd"/>
            <w:r w:rsidRPr="0060721D">
              <w:rPr>
                <w:rFonts w:ascii="Times New Roman" w:hAnsi="Times New Roman"/>
              </w:rPr>
              <w:t xml:space="preserve"> 2% </w:t>
            </w:r>
            <w:proofErr w:type="spellStart"/>
            <w:r w:rsidRPr="0060721D">
              <w:rPr>
                <w:rFonts w:ascii="Times New Roman" w:hAnsi="Times New Roman"/>
              </w:rPr>
              <w:t>în</w:t>
            </w:r>
            <w:proofErr w:type="spellEnd"/>
            <w:r w:rsidRPr="0060721D">
              <w:rPr>
                <w:rFonts w:ascii="Times New Roman" w:hAnsi="Times New Roman"/>
              </w:rPr>
              <w:t xml:space="preserve"> </w:t>
            </w:r>
            <w:proofErr w:type="spellStart"/>
            <w:r w:rsidRPr="0060721D">
              <w:rPr>
                <w:rFonts w:ascii="Times New Roman" w:hAnsi="Times New Roman"/>
              </w:rPr>
              <w:lastRenderedPageBreak/>
              <w:t>cele</w:t>
            </w:r>
            <w:proofErr w:type="spellEnd"/>
            <w:r w:rsidRPr="0060721D">
              <w:rPr>
                <w:rFonts w:ascii="Times New Roman" w:hAnsi="Times New Roman"/>
              </w:rPr>
              <w:t xml:space="preserve"> </w:t>
            </w:r>
            <w:proofErr w:type="spellStart"/>
            <w:r w:rsidRPr="0060721D">
              <w:rPr>
                <w:rFonts w:ascii="Times New Roman" w:hAnsi="Times New Roman"/>
              </w:rPr>
              <w:t>rurale</w:t>
            </w:r>
            <w:proofErr w:type="spellEnd"/>
            <w:r w:rsidRPr="0060721D">
              <w:rPr>
                <w:rFonts w:ascii="Times New Roman" w:hAnsi="Times New Roman"/>
              </w:rPr>
              <w:t xml:space="preserve">.  </w:t>
            </w:r>
            <w:proofErr w:type="spellStart"/>
            <w:r w:rsidRPr="0060721D">
              <w:rPr>
                <w:rFonts w:ascii="Times New Roman" w:hAnsi="Times New Roman"/>
              </w:rPr>
              <w:t>Cantitatea</w:t>
            </w:r>
            <w:proofErr w:type="spellEnd"/>
            <w:r w:rsidRPr="0060721D">
              <w:rPr>
                <w:rFonts w:ascii="Times New Roman" w:hAnsi="Times New Roman"/>
              </w:rPr>
              <w:t xml:space="preserve"> de </w:t>
            </w:r>
            <w:proofErr w:type="spellStart"/>
            <w:r w:rsidRPr="0060721D">
              <w:rPr>
                <w:rFonts w:ascii="Times New Roman" w:hAnsi="Times New Roman"/>
              </w:rPr>
              <w:t>deșeuri</w:t>
            </w:r>
            <w:proofErr w:type="spellEnd"/>
            <w:r w:rsidRPr="0060721D">
              <w:rPr>
                <w:rFonts w:ascii="Times New Roman" w:hAnsi="Times New Roman"/>
              </w:rPr>
              <w:t xml:space="preserve">  </w:t>
            </w:r>
            <w:proofErr w:type="spellStart"/>
            <w:r w:rsidRPr="0060721D">
              <w:rPr>
                <w:rFonts w:ascii="Times New Roman" w:hAnsi="Times New Roman"/>
              </w:rPr>
              <w:t>biodegradabile</w:t>
            </w:r>
            <w:proofErr w:type="spellEnd"/>
            <w:r w:rsidRPr="0060721D">
              <w:rPr>
                <w:rFonts w:ascii="Times New Roman" w:hAnsi="Times New Roman"/>
              </w:rPr>
              <w:t xml:space="preserve"> </w:t>
            </w:r>
            <w:proofErr w:type="spellStart"/>
            <w:r w:rsidRPr="0060721D">
              <w:rPr>
                <w:rFonts w:ascii="Times New Roman" w:hAnsi="Times New Roman"/>
              </w:rPr>
              <w:t>supusă</w:t>
            </w:r>
            <w:proofErr w:type="spellEnd"/>
            <w:r w:rsidRPr="0060721D">
              <w:rPr>
                <w:rFonts w:ascii="Times New Roman" w:hAnsi="Times New Roman"/>
              </w:rPr>
              <w:t xml:space="preserve"> </w:t>
            </w:r>
            <w:proofErr w:type="spellStart"/>
            <w:r w:rsidRPr="0060721D">
              <w:rPr>
                <w:rFonts w:ascii="Times New Roman" w:hAnsi="Times New Roman"/>
              </w:rPr>
              <w:t>compostării</w:t>
            </w:r>
            <w:proofErr w:type="spellEnd"/>
            <w:r w:rsidRPr="0060721D">
              <w:rPr>
                <w:rFonts w:ascii="Times New Roman" w:hAnsi="Times New Roman"/>
              </w:rPr>
              <w:t xml:space="preserve"> </w:t>
            </w:r>
            <w:proofErr w:type="spellStart"/>
            <w:r w:rsidRPr="0060721D">
              <w:rPr>
                <w:rFonts w:ascii="Times New Roman" w:hAnsi="Times New Roman"/>
              </w:rPr>
              <w:t>va</w:t>
            </w:r>
            <w:proofErr w:type="spellEnd"/>
            <w:r w:rsidRPr="0060721D">
              <w:rPr>
                <w:rFonts w:ascii="Times New Roman" w:hAnsi="Times New Roman"/>
              </w:rPr>
              <w:t xml:space="preserve"> </w:t>
            </w:r>
            <w:proofErr w:type="spellStart"/>
            <w:r w:rsidRPr="0060721D">
              <w:rPr>
                <w:rFonts w:ascii="Times New Roman" w:hAnsi="Times New Roman"/>
              </w:rPr>
              <w:t>crește</w:t>
            </w:r>
            <w:proofErr w:type="spellEnd"/>
            <w:r w:rsidRPr="0060721D">
              <w:rPr>
                <w:rFonts w:ascii="Times New Roman" w:hAnsi="Times New Roman"/>
              </w:rPr>
              <w:t xml:space="preserve"> gradual de la 3%  la 5% pe </w:t>
            </w:r>
            <w:proofErr w:type="spellStart"/>
            <w:r w:rsidRPr="0060721D">
              <w:rPr>
                <w:rFonts w:ascii="Times New Roman" w:hAnsi="Times New Roman"/>
              </w:rPr>
              <w:t>parcursul</w:t>
            </w:r>
            <w:proofErr w:type="spellEnd"/>
            <w:r w:rsidRPr="0060721D">
              <w:rPr>
                <w:rFonts w:ascii="Times New Roman" w:hAnsi="Times New Roman"/>
              </w:rPr>
              <w:t xml:space="preserve"> </w:t>
            </w:r>
            <w:proofErr w:type="spellStart"/>
            <w:r w:rsidRPr="0060721D">
              <w:rPr>
                <w:rFonts w:ascii="Times New Roman" w:hAnsi="Times New Roman"/>
              </w:rPr>
              <w:t>anilor</w:t>
            </w:r>
            <w:proofErr w:type="spellEnd"/>
            <w:r w:rsidRPr="0060721D">
              <w:rPr>
                <w:rFonts w:ascii="Times New Roman" w:hAnsi="Times New Roman"/>
              </w:rPr>
              <w:t xml:space="preserve"> 2021-2035.</w:t>
            </w:r>
          </w:p>
        </w:tc>
        <w:tc>
          <w:tcPr>
            <w:tcW w:w="1440" w:type="dxa"/>
            <w:gridSpan w:val="2"/>
            <w:hideMark/>
          </w:tcPr>
          <w:p w14:paraId="3B058689" w14:textId="77777777" w:rsidR="0060721D" w:rsidRPr="0060721D" w:rsidRDefault="0060721D" w:rsidP="0060721D">
            <w:pPr>
              <w:jc w:val="center"/>
              <w:rPr>
                <w:rFonts w:ascii="Times New Roman" w:hAnsi="Times New Roman"/>
              </w:rPr>
            </w:pPr>
            <w:proofErr w:type="spellStart"/>
            <w:r w:rsidRPr="0060721D">
              <w:rPr>
                <w:rFonts w:ascii="Times New Roman" w:eastAsia="Times New Roman" w:hAnsi="Times New Roman"/>
                <w:lang w:eastAsia="ru-RU"/>
              </w:rPr>
              <w:lastRenderedPageBreak/>
              <w:t>Toate</w:t>
            </w:r>
            <w:proofErr w:type="spellEnd"/>
            <w:r w:rsidRPr="0060721D">
              <w:rPr>
                <w:rFonts w:ascii="Times New Roman" w:hAnsi="Times New Roman"/>
                <w:lang w:val="ro-RO"/>
              </w:rPr>
              <w:t xml:space="preserve"> </w:t>
            </w:r>
            <w:proofErr w:type="spellStart"/>
            <w:r w:rsidRPr="0060721D">
              <w:rPr>
                <w:rFonts w:ascii="Times New Roman" w:hAnsi="Times New Roman"/>
              </w:rPr>
              <w:t>deşeurile</w:t>
            </w:r>
            <w:proofErr w:type="spellEnd"/>
            <w:r w:rsidRPr="0060721D">
              <w:rPr>
                <w:rFonts w:ascii="Times New Roman" w:hAnsi="Times New Roman"/>
              </w:rPr>
              <w:t xml:space="preserve"> </w:t>
            </w:r>
            <w:proofErr w:type="spellStart"/>
            <w:r w:rsidRPr="0060721D">
              <w:rPr>
                <w:rFonts w:ascii="Times New Roman" w:hAnsi="Times New Roman"/>
              </w:rPr>
              <w:t>recilabile</w:t>
            </w:r>
            <w:proofErr w:type="spellEnd"/>
            <w:r w:rsidRPr="0060721D">
              <w:rPr>
                <w:rFonts w:ascii="Times New Roman" w:hAnsi="Times New Roman"/>
              </w:rPr>
              <w:t xml:space="preserve">  de plastic, metal, </w:t>
            </w:r>
            <w:proofErr w:type="spellStart"/>
            <w:r w:rsidRPr="0060721D">
              <w:rPr>
                <w:rFonts w:ascii="Times New Roman" w:hAnsi="Times New Roman"/>
              </w:rPr>
              <w:t>sticlă</w:t>
            </w:r>
            <w:proofErr w:type="spellEnd"/>
            <w:r w:rsidRPr="0060721D">
              <w:rPr>
                <w:rFonts w:ascii="Times New Roman" w:hAnsi="Times New Roman"/>
              </w:rPr>
              <w:t xml:space="preserve"> </w:t>
            </w:r>
            <w:proofErr w:type="spellStart"/>
            <w:r w:rsidRPr="0060721D">
              <w:rPr>
                <w:rFonts w:ascii="Times New Roman" w:hAnsi="Times New Roman"/>
              </w:rPr>
              <w:t>şi</w:t>
            </w:r>
            <w:proofErr w:type="spellEnd"/>
            <w:r w:rsidRPr="0060721D">
              <w:rPr>
                <w:rFonts w:ascii="Times New Roman" w:hAnsi="Times New Roman"/>
              </w:rPr>
              <w:t xml:space="preserve"> </w:t>
            </w:r>
            <w:proofErr w:type="spellStart"/>
            <w:r w:rsidRPr="0060721D">
              <w:rPr>
                <w:rFonts w:ascii="Times New Roman" w:hAnsi="Times New Roman"/>
              </w:rPr>
              <w:t>hîrtie</w:t>
            </w:r>
            <w:proofErr w:type="spellEnd"/>
            <w:r w:rsidRPr="0060721D">
              <w:rPr>
                <w:rFonts w:ascii="Times New Roman" w:hAnsi="Times New Roman"/>
              </w:rPr>
              <w:t xml:space="preserve"> </w:t>
            </w:r>
            <w:proofErr w:type="spellStart"/>
            <w:r w:rsidRPr="0060721D">
              <w:rPr>
                <w:rFonts w:ascii="Times New Roman" w:hAnsi="Times New Roman"/>
              </w:rPr>
              <w:t>vor</w:t>
            </w:r>
            <w:proofErr w:type="spellEnd"/>
            <w:r w:rsidRPr="0060721D">
              <w:rPr>
                <w:rFonts w:ascii="Times New Roman" w:hAnsi="Times New Roman"/>
              </w:rPr>
              <w:t xml:space="preserve"> fi </w:t>
            </w:r>
            <w:proofErr w:type="spellStart"/>
            <w:r w:rsidRPr="0060721D">
              <w:rPr>
                <w:rFonts w:ascii="Times New Roman" w:hAnsi="Times New Roman"/>
              </w:rPr>
              <w:t>colectate</w:t>
            </w:r>
            <w:proofErr w:type="spellEnd"/>
            <w:r w:rsidRPr="0060721D">
              <w:rPr>
                <w:rFonts w:ascii="Times New Roman" w:hAnsi="Times New Roman"/>
              </w:rPr>
              <w:t xml:space="preserve"> </w:t>
            </w:r>
            <w:proofErr w:type="spellStart"/>
            <w:r w:rsidRPr="0060721D">
              <w:rPr>
                <w:rFonts w:ascii="Times New Roman" w:hAnsi="Times New Roman"/>
              </w:rPr>
              <w:t>şi</w:t>
            </w:r>
            <w:proofErr w:type="spellEnd"/>
            <w:r w:rsidRPr="0060721D">
              <w:rPr>
                <w:rFonts w:ascii="Times New Roman" w:hAnsi="Times New Roman"/>
              </w:rPr>
              <w:t xml:space="preserve"> </w:t>
            </w:r>
            <w:proofErr w:type="spellStart"/>
            <w:r w:rsidRPr="0060721D">
              <w:rPr>
                <w:rFonts w:ascii="Times New Roman" w:hAnsi="Times New Roman"/>
              </w:rPr>
              <w:t>reciclate</w:t>
            </w:r>
            <w:proofErr w:type="spellEnd"/>
            <w:r w:rsidRPr="0060721D">
              <w:rPr>
                <w:rFonts w:ascii="Times New Roman" w:hAnsi="Times New Roman"/>
              </w:rPr>
              <w:t xml:space="preserve"> la </w:t>
            </w:r>
            <w:proofErr w:type="spellStart"/>
            <w:r w:rsidRPr="0060721D">
              <w:rPr>
                <w:rFonts w:ascii="Times New Roman" w:hAnsi="Times New Roman"/>
              </w:rPr>
              <w:t>nivelul</w:t>
            </w:r>
            <w:proofErr w:type="spellEnd"/>
            <w:r w:rsidRPr="0060721D">
              <w:rPr>
                <w:rFonts w:ascii="Times New Roman" w:hAnsi="Times New Roman"/>
              </w:rPr>
              <w:t xml:space="preserve"> de </w:t>
            </w:r>
            <w:r w:rsidRPr="0060721D">
              <w:rPr>
                <w:rFonts w:ascii="Times New Roman" w:hAnsi="Times New Roman"/>
              </w:rPr>
              <w:lastRenderedPageBreak/>
              <w:t xml:space="preserve">circa 8 % din total de </w:t>
            </w:r>
            <w:proofErr w:type="spellStart"/>
            <w:r w:rsidRPr="0060721D">
              <w:rPr>
                <w:rFonts w:ascii="Times New Roman" w:hAnsi="Times New Roman"/>
              </w:rPr>
              <w:t>deșeuri</w:t>
            </w:r>
            <w:proofErr w:type="spellEnd"/>
            <w:r w:rsidRPr="0060721D">
              <w:rPr>
                <w:rFonts w:ascii="Times New Roman" w:hAnsi="Times New Roman"/>
              </w:rPr>
              <w:t xml:space="preserve"> generate, </w:t>
            </w:r>
            <w:proofErr w:type="spellStart"/>
            <w:r w:rsidRPr="0060721D">
              <w:rPr>
                <w:rFonts w:ascii="Times New Roman" w:hAnsi="Times New Roman"/>
              </w:rPr>
              <w:t>începînd</w:t>
            </w:r>
            <w:proofErr w:type="spellEnd"/>
            <w:r w:rsidRPr="0060721D">
              <w:rPr>
                <w:rFonts w:ascii="Times New Roman" w:hAnsi="Times New Roman"/>
              </w:rPr>
              <w:t xml:space="preserve">  </w:t>
            </w:r>
            <w:proofErr w:type="spellStart"/>
            <w:r w:rsidRPr="0060721D">
              <w:rPr>
                <w:rFonts w:ascii="Times New Roman" w:hAnsi="Times New Roman"/>
              </w:rPr>
              <w:t>anul</w:t>
            </w:r>
            <w:proofErr w:type="spellEnd"/>
            <w:r w:rsidRPr="0060721D">
              <w:rPr>
                <w:rFonts w:ascii="Times New Roman" w:hAnsi="Times New Roman"/>
              </w:rPr>
              <w:t xml:space="preserve"> 2030 </w:t>
            </w:r>
            <w:proofErr w:type="spellStart"/>
            <w:r w:rsidRPr="0060721D">
              <w:rPr>
                <w:rFonts w:ascii="Times New Roman" w:hAnsi="Times New Roman"/>
              </w:rPr>
              <w:t>cînd</w:t>
            </w:r>
            <w:proofErr w:type="spellEnd"/>
            <w:r w:rsidRPr="0060721D">
              <w:rPr>
                <w:rFonts w:ascii="Times New Roman" w:hAnsi="Times New Roman"/>
              </w:rPr>
              <w:t xml:space="preserve"> </w:t>
            </w:r>
            <w:proofErr w:type="spellStart"/>
            <w:r w:rsidRPr="0060721D">
              <w:rPr>
                <w:rFonts w:ascii="Times New Roman" w:hAnsi="Times New Roman"/>
              </w:rPr>
              <w:t>va</w:t>
            </w:r>
            <w:proofErr w:type="spellEnd"/>
            <w:r w:rsidRPr="0060721D">
              <w:rPr>
                <w:rFonts w:ascii="Times New Roman" w:hAnsi="Times New Roman"/>
              </w:rPr>
              <w:t xml:space="preserve"> fi </w:t>
            </w:r>
            <w:proofErr w:type="spellStart"/>
            <w:r w:rsidRPr="0060721D">
              <w:rPr>
                <w:rFonts w:ascii="Times New Roman" w:hAnsi="Times New Roman"/>
              </w:rPr>
              <w:t>contruită</w:t>
            </w:r>
            <w:proofErr w:type="spellEnd"/>
            <w:r w:rsidRPr="0060721D">
              <w:rPr>
                <w:rFonts w:ascii="Times New Roman" w:hAnsi="Times New Roman"/>
              </w:rPr>
              <w:t xml:space="preserve"> </w:t>
            </w:r>
            <w:proofErr w:type="spellStart"/>
            <w:r w:rsidRPr="0060721D">
              <w:rPr>
                <w:rFonts w:ascii="Times New Roman" w:hAnsi="Times New Roman"/>
              </w:rPr>
              <w:t>infrastructura</w:t>
            </w:r>
            <w:proofErr w:type="spellEnd"/>
            <w:r w:rsidRPr="0060721D">
              <w:rPr>
                <w:rFonts w:ascii="Times New Roman" w:hAnsi="Times New Roman"/>
              </w:rPr>
              <w:t xml:space="preserve"> de </w:t>
            </w:r>
            <w:proofErr w:type="spellStart"/>
            <w:r w:rsidRPr="0060721D">
              <w:rPr>
                <w:rFonts w:ascii="Times New Roman" w:hAnsi="Times New Roman"/>
              </w:rPr>
              <w:t>gestinare</w:t>
            </w:r>
            <w:proofErr w:type="spellEnd"/>
            <w:r w:rsidRPr="0060721D">
              <w:rPr>
                <w:rFonts w:ascii="Times New Roman" w:hAnsi="Times New Roman"/>
              </w:rPr>
              <w:t xml:space="preserve"> a </w:t>
            </w:r>
            <w:proofErr w:type="spellStart"/>
            <w:r w:rsidRPr="0060721D">
              <w:rPr>
                <w:rFonts w:ascii="Times New Roman" w:hAnsi="Times New Roman"/>
              </w:rPr>
              <w:t>deșerilor</w:t>
            </w:r>
            <w:proofErr w:type="spellEnd"/>
            <w:r w:rsidRPr="0060721D">
              <w:rPr>
                <w:rFonts w:ascii="Times New Roman" w:hAnsi="Times New Roman"/>
              </w:rPr>
              <w:t xml:space="preserve"> la </w:t>
            </w:r>
            <w:proofErr w:type="spellStart"/>
            <w:r w:rsidRPr="0060721D">
              <w:rPr>
                <w:rFonts w:ascii="Times New Roman" w:hAnsi="Times New Roman"/>
              </w:rPr>
              <w:t>nivel</w:t>
            </w:r>
            <w:proofErr w:type="spellEnd"/>
            <w:r w:rsidRPr="0060721D">
              <w:rPr>
                <w:rFonts w:ascii="Times New Roman" w:hAnsi="Times New Roman"/>
              </w:rPr>
              <w:t xml:space="preserve"> regional. Cota </w:t>
            </w:r>
            <w:proofErr w:type="spellStart"/>
            <w:r w:rsidRPr="0060721D">
              <w:rPr>
                <w:rFonts w:ascii="Times New Roman" w:hAnsi="Times New Roman"/>
              </w:rPr>
              <w:t>deşeurilor</w:t>
            </w:r>
            <w:proofErr w:type="spellEnd"/>
            <w:r w:rsidRPr="0060721D">
              <w:rPr>
                <w:rFonts w:ascii="Times New Roman" w:hAnsi="Times New Roman"/>
              </w:rPr>
              <w:t xml:space="preserve"> </w:t>
            </w:r>
            <w:proofErr w:type="spellStart"/>
            <w:r w:rsidRPr="0060721D">
              <w:rPr>
                <w:rFonts w:ascii="Times New Roman" w:hAnsi="Times New Roman"/>
              </w:rPr>
              <w:t>biodegradabile</w:t>
            </w:r>
            <w:proofErr w:type="spellEnd"/>
            <w:r w:rsidRPr="0060721D">
              <w:rPr>
                <w:rFonts w:ascii="Times New Roman" w:hAnsi="Times New Roman"/>
              </w:rPr>
              <w:t xml:space="preserve"> </w:t>
            </w:r>
            <w:proofErr w:type="spellStart"/>
            <w:r w:rsidRPr="0060721D">
              <w:rPr>
                <w:rFonts w:ascii="Times New Roman" w:hAnsi="Times New Roman"/>
              </w:rPr>
              <w:t>supuse</w:t>
            </w:r>
            <w:proofErr w:type="spellEnd"/>
            <w:r w:rsidRPr="0060721D">
              <w:rPr>
                <w:rFonts w:ascii="Times New Roman" w:hAnsi="Times New Roman"/>
              </w:rPr>
              <w:t xml:space="preserve"> </w:t>
            </w:r>
            <w:proofErr w:type="spellStart"/>
            <w:r w:rsidRPr="0060721D">
              <w:rPr>
                <w:rFonts w:ascii="Times New Roman" w:hAnsi="Times New Roman"/>
              </w:rPr>
              <w:t>compostări</w:t>
            </w:r>
            <w:proofErr w:type="spellEnd"/>
            <w:r w:rsidRPr="0060721D">
              <w:rPr>
                <w:rFonts w:ascii="Times New Roman" w:hAnsi="Times New Roman"/>
              </w:rPr>
              <w:t xml:space="preserve"> de </w:t>
            </w:r>
            <w:proofErr w:type="spellStart"/>
            <w:r w:rsidRPr="0060721D">
              <w:rPr>
                <w:rFonts w:ascii="Times New Roman" w:hAnsi="Times New Roman"/>
              </w:rPr>
              <w:t>atinge</w:t>
            </w:r>
            <w:proofErr w:type="spellEnd"/>
            <w:r w:rsidRPr="0060721D">
              <w:rPr>
                <w:rFonts w:ascii="Times New Roman" w:hAnsi="Times New Roman"/>
              </w:rPr>
              <w:t xml:space="preserve"> </w:t>
            </w:r>
            <w:proofErr w:type="spellStart"/>
            <w:r w:rsidRPr="0060721D">
              <w:rPr>
                <w:rFonts w:ascii="Times New Roman" w:hAnsi="Times New Roman"/>
              </w:rPr>
              <w:t>apromitativ</w:t>
            </w:r>
            <w:proofErr w:type="spellEnd"/>
            <w:r w:rsidRPr="0060721D">
              <w:rPr>
                <w:rFonts w:ascii="Times New Roman" w:hAnsi="Times New Roman"/>
              </w:rPr>
              <w:t xml:space="preserve"> 2 % din </w:t>
            </w:r>
            <w:proofErr w:type="spellStart"/>
            <w:r w:rsidRPr="0060721D">
              <w:rPr>
                <w:rFonts w:ascii="Times New Roman" w:hAnsi="Times New Roman"/>
              </w:rPr>
              <w:t>greutatea</w:t>
            </w:r>
            <w:proofErr w:type="spellEnd"/>
            <w:r w:rsidRPr="0060721D">
              <w:rPr>
                <w:rFonts w:ascii="Times New Roman" w:hAnsi="Times New Roman"/>
              </w:rPr>
              <w:t xml:space="preserve"> </w:t>
            </w:r>
            <w:proofErr w:type="spellStart"/>
            <w:r w:rsidRPr="0060721D">
              <w:rPr>
                <w:rFonts w:ascii="Times New Roman" w:hAnsi="Times New Roman"/>
              </w:rPr>
              <w:t>totală</w:t>
            </w:r>
            <w:proofErr w:type="spellEnd"/>
            <w:r w:rsidRPr="0060721D">
              <w:rPr>
                <w:rFonts w:ascii="Times New Roman" w:hAnsi="Times New Roman"/>
              </w:rPr>
              <w:t xml:space="preserve"> a </w:t>
            </w:r>
            <w:proofErr w:type="spellStart"/>
            <w:r w:rsidRPr="0060721D">
              <w:rPr>
                <w:rFonts w:ascii="Times New Roman" w:hAnsi="Times New Roman"/>
              </w:rPr>
              <w:t>deşeurilor</w:t>
            </w:r>
            <w:proofErr w:type="spellEnd"/>
            <w:r w:rsidRPr="0060721D">
              <w:rPr>
                <w:rFonts w:ascii="Times New Roman" w:hAnsi="Times New Roman"/>
              </w:rPr>
              <w:t xml:space="preserve"> generate. </w:t>
            </w:r>
          </w:p>
        </w:tc>
        <w:tc>
          <w:tcPr>
            <w:tcW w:w="3429" w:type="dxa"/>
            <w:gridSpan w:val="2"/>
            <w:hideMark/>
          </w:tcPr>
          <w:p w14:paraId="5E0715C1" w14:textId="77777777" w:rsidR="0060721D" w:rsidRPr="0060721D" w:rsidRDefault="0060721D" w:rsidP="0060721D">
            <w:pPr>
              <w:jc w:val="center"/>
              <w:rPr>
                <w:rFonts w:ascii="Times New Roman" w:eastAsia="Times New Roman" w:hAnsi="Times New Roman"/>
                <w:lang w:val="ro-RO" w:eastAsia="ru-RU"/>
              </w:rPr>
            </w:pPr>
            <w:r w:rsidRPr="0060721D">
              <w:rPr>
                <w:rFonts w:ascii="Times New Roman" w:eastAsia="Times New Roman" w:hAnsi="Times New Roman"/>
                <w:lang w:eastAsia="ru-RU"/>
              </w:rPr>
              <w:lastRenderedPageBreak/>
              <w:t xml:space="preserve">6 800 tone CO2 </w:t>
            </w:r>
            <w:proofErr w:type="spellStart"/>
            <w:r w:rsidRPr="0060721D">
              <w:rPr>
                <w:rFonts w:ascii="Times New Roman" w:eastAsia="Times New Roman" w:hAnsi="Times New Roman"/>
                <w:lang w:eastAsia="ru-RU"/>
              </w:rPr>
              <w:t>echivalent</w:t>
            </w:r>
            <w:proofErr w:type="spellEnd"/>
            <w:r w:rsidRPr="0060721D">
              <w:rPr>
                <w:rFonts w:ascii="Times New Roman" w:eastAsia="Times New Roman" w:hAnsi="Times New Roman"/>
                <w:lang w:eastAsia="ru-RU"/>
              </w:rPr>
              <w:t>/an</w:t>
            </w:r>
          </w:p>
        </w:tc>
        <w:tc>
          <w:tcPr>
            <w:tcW w:w="1502" w:type="dxa"/>
            <w:gridSpan w:val="2"/>
            <w:hideMark/>
          </w:tcPr>
          <w:p w14:paraId="50DA6634" w14:textId="77777777" w:rsidR="0060721D" w:rsidRPr="0060721D" w:rsidRDefault="0060721D" w:rsidP="0060721D">
            <w:pPr>
              <w:jc w:val="center"/>
              <w:rPr>
                <w:rFonts w:ascii="Times New Roman" w:hAnsi="Times New Roman"/>
              </w:rPr>
            </w:pPr>
            <w:r w:rsidRPr="0060721D">
              <w:rPr>
                <w:rFonts w:ascii="Times New Roman" w:eastAsia="Times New Roman" w:hAnsi="Times New Roman"/>
                <w:lang w:eastAsia="ru-RU"/>
              </w:rPr>
              <w:t>6</w:t>
            </w:r>
            <w:r w:rsidRPr="0060721D">
              <w:rPr>
                <w:rFonts w:ascii="Times New Roman" w:hAnsi="Times New Roman"/>
                <w:lang w:val="ro-RO"/>
              </w:rPr>
              <w:t xml:space="preserve"> </w:t>
            </w:r>
            <w:r w:rsidRPr="0060721D">
              <w:rPr>
                <w:rFonts w:ascii="Times New Roman" w:hAnsi="Times New Roman"/>
              </w:rPr>
              <w:t xml:space="preserve">800 tone CO2 </w:t>
            </w:r>
            <w:proofErr w:type="spellStart"/>
            <w:r w:rsidRPr="0060721D">
              <w:rPr>
                <w:rFonts w:ascii="Times New Roman" w:hAnsi="Times New Roman"/>
              </w:rPr>
              <w:t>echivalent</w:t>
            </w:r>
            <w:proofErr w:type="spellEnd"/>
            <w:r w:rsidRPr="0060721D">
              <w:rPr>
                <w:rFonts w:ascii="Times New Roman" w:hAnsi="Times New Roman"/>
              </w:rPr>
              <w:t>/an</w:t>
            </w:r>
          </w:p>
        </w:tc>
      </w:tr>
      <w:tr w:rsidR="00F11CCD" w:rsidRPr="0060721D" w14:paraId="66C97D10" w14:textId="77777777" w:rsidTr="00F11CCD">
        <w:trPr>
          <w:divId w:val="546725049"/>
          <w:trHeight w:val="2100"/>
        </w:trPr>
        <w:tc>
          <w:tcPr>
            <w:tcW w:w="500" w:type="dxa"/>
            <w:hideMark/>
          </w:tcPr>
          <w:p w14:paraId="549D638B" w14:textId="77777777" w:rsidR="0060721D" w:rsidRPr="0060721D" w:rsidRDefault="0060721D" w:rsidP="0060721D">
            <w:pPr>
              <w:jc w:val="center"/>
              <w:rPr>
                <w:rFonts w:ascii="Times New Roman" w:eastAsia="Times New Roman" w:hAnsi="Times New Roman"/>
                <w:lang w:val="ro-RO" w:eastAsia="ru-RU"/>
              </w:rPr>
            </w:pPr>
            <w:r w:rsidRPr="0060721D">
              <w:rPr>
                <w:rFonts w:ascii="Times New Roman" w:eastAsia="Times New Roman" w:hAnsi="Times New Roman"/>
                <w:lang w:eastAsia="ru-RU"/>
              </w:rPr>
              <w:t>7,7</w:t>
            </w:r>
          </w:p>
        </w:tc>
        <w:tc>
          <w:tcPr>
            <w:tcW w:w="3437" w:type="dxa"/>
            <w:gridSpan w:val="2"/>
            <w:hideMark/>
          </w:tcPr>
          <w:p w14:paraId="3500BC57" w14:textId="77777777" w:rsidR="0060721D" w:rsidRPr="0060721D" w:rsidRDefault="0060721D" w:rsidP="0060721D">
            <w:pPr>
              <w:rPr>
                <w:rFonts w:ascii="Times New Roman" w:eastAsia="Times New Roman" w:hAnsi="Times New Roman"/>
                <w:lang w:val="es-ES" w:eastAsia="ru-RU"/>
              </w:rPr>
            </w:pPr>
            <w:r w:rsidRPr="0060721D">
              <w:rPr>
                <w:rFonts w:ascii="Times New Roman" w:eastAsia="Times New Roman" w:hAnsi="Times New Roman"/>
                <w:lang w:val="es-ES" w:eastAsia="ru-RU"/>
              </w:rPr>
              <w:t>Construcţia  centrului de tratare mecanico-biologică în regiunea 4 – mun. Chişinău, Străşeni, Ialoveni, Hînceşti, Criuleni, Cocieri, Anenii Noi</w:t>
            </w:r>
          </w:p>
        </w:tc>
        <w:tc>
          <w:tcPr>
            <w:tcW w:w="2211" w:type="dxa"/>
            <w:gridSpan w:val="2"/>
            <w:hideMark/>
          </w:tcPr>
          <w:p w14:paraId="78461E35" w14:textId="77777777" w:rsidR="0060721D" w:rsidRPr="0060721D" w:rsidRDefault="0060721D" w:rsidP="0060721D">
            <w:pPr>
              <w:rPr>
                <w:rFonts w:ascii="Times New Roman" w:hAnsi="Times New Roman"/>
              </w:rPr>
            </w:pPr>
            <w:r w:rsidRPr="0060721D">
              <w:rPr>
                <w:rFonts w:ascii="Times New Roman" w:eastAsia="Times New Roman" w:hAnsi="Times New Roman"/>
                <w:lang w:val="es-ES" w:eastAsia="ru-RU"/>
              </w:rPr>
              <w:t>Măsura constă în dezvoltarea infrastructurii regionale de eliminare a deşeurilor în mun. Chişinău prin construcţia  unei staţii de tratare mecanico-biologică, construcţia a 1-3 depozite regionale pentru deşeurile menajere solide, a 4 staţii de</w:t>
            </w:r>
            <w:r w:rsidRPr="0060721D">
              <w:rPr>
                <w:rFonts w:ascii="Times New Roman" w:eastAsia="Times New Roman" w:hAnsi="Times New Roman"/>
                <w:lang w:eastAsia="ru-RU"/>
              </w:rPr>
              <w:t xml:space="preserve"> </w:t>
            </w:r>
            <w:r w:rsidRPr="0060721D">
              <w:rPr>
                <w:rFonts w:ascii="Times New Roman" w:hAnsi="Times New Roman"/>
              </w:rPr>
              <w:t xml:space="preserve">transfer, </w:t>
            </w:r>
            <w:proofErr w:type="spellStart"/>
            <w:r w:rsidRPr="0060721D">
              <w:rPr>
                <w:rFonts w:ascii="Times New Roman" w:hAnsi="Times New Roman"/>
              </w:rPr>
              <w:t>dotarea</w:t>
            </w:r>
            <w:proofErr w:type="spellEnd"/>
            <w:r w:rsidRPr="0060721D">
              <w:rPr>
                <w:rFonts w:ascii="Times New Roman" w:hAnsi="Times New Roman"/>
              </w:rPr>
              <w:t xml:space="preserve"> cu 48 de </w:t>
            </w:r>
            <w:proofErr w:type="spellStart"/>
            <w:r w:rsidRPr="0060721D">
              <w:rPr>
                <w:rFonts w:ascii="Times New Roman" w:hAnsi="Times New Roman"/>
              </w:rPr>
              <w:t>unităţi</w:t>
            </w:r>
            <w:proofErr w:type="spellEnd"/>
            <w:r w:rsidRPr="0060721D">
              <w:rPr>
                <w:rFonts w:ascii="Times New Roman" w:hAnsi="Times New Roman"/>
              </w:rPr>
              <w:t xml:space="preserve"> de transport cu </w:t>
            </w:r>
            <w:proofErr w:type="spellStart"/>
            <w:r w:rsidRPr="0060721D">
              <w:rPr>
                <w:rFonts w:ascii="Times New Roman" w:hAnsi="Times New Roman"/>
              </w:rPr>
              <w:t>capacitatea</w:t>
            </w:r>
            <w:proofErr w:type="spellEnd"/>
            <w:r w:rsidRPr="0060721D">
              <w:rPr>
                <w:rFonts w:ascii="Times New Roman" w:hAnsi="Times New Roman"/>
              </w:rPr>
              <w:t xml:space="preserve"> de  16 m3 </w:t>
            </w:r>
            <w:proofErr w:type="spellStart"/>
            <w:r w:rsidRPr="0060721D">
              <w:rPr>
                <w:rFonts w:ascii="Times New Roman" w:hAnsi="Times New Roman"/>
              </w:rPr>
              <w:t>pentru</w:t>
            </w:r>
            <w:proofErr w:type="spellEnd"/>
            <w:r w:rsidRPr="0060721D">
              <w:rPr>
                <w:rFonts w:ascii="Times New Roman" w:hAnsi="Times New Roman"/>
              </w:rPr>
              <w:t xml:space="preserve"> </w:t>
            </w:r>
            <w:proofErr w:type="spellStart"/>
            <w:r w:rsidRPr="0060721D">
              <w:rPr>
                <w:rFonts w:ascii="Times New Roman" w:hAnsi="Times New Roman"/>
              </w:rPr>
              <w:t>transferul</w:t>
            </w:r>
            <w:proofErr w:type="spellEnd"/>
            <w:r w:rsidRPr="0060721D">
              <w:rPr>
                <w:rFonts w:ascii="Times New Roman" w:hAnsi="Times New Roman"/>
              </w:rPr>
              <w:t xml:space="preserve"> </w:t>
            </w:r>
            <w:proofErr w:type="spellStart"/>
            <w:r w:rsidRPr="0060721D">
              <w:rPr>
                <w:rFonts w:ascii="Times New Roman" w:hAnsi="Times New Roman"/>
              </w:rPr>
              <w:t>deşeurilor</w:t>
            </w:r>
            <w:proofErr w:type="spellEnd"/>
          </w:p>
        </w:tc>
        <w:tc>
          <w:tcPr>
            <w:tcW w:w="1620" w:type="dxa"/>
            <w:gridSpan w:val="2"/>
            <w:hideMark/>
          </w:tcPr>
          <w:p w14:paraId="3501D7D5" w14:textId="77777777" w:rsidR="0060721D" w:rsidRPr="0060721D" w:rsidRDefault="0060721D" w:rsidP="0060721D">
            <w:pPr>
              <w:jc w:val="center"/>
              <w:rPr>
                <w:rFonts w:ascii="Times New Roman" w:hAnsi="Times New Roman"/>
              </w:rPr>
            </w:pPr>
            <w:r w:rsidRPr="0060721D">
              <w:rPr>
                <w:rFonts w:ascii="Times New Roman" w:eastAsia="Times New Roman" w:hAnsi="Times New Roman"/>
                <w:lang w:val="es-ES" w:eastAsia="ru-RU"/>
              </w:rPr>
              <w:t>Cota deşeurilor din hîrtie și carton colectată  şi reciclată anual se va menține la nivelul de 5 % în localitățile urbane și 2% în cele rurale.</w:t>
            </w:r>
            <w:r w:rsidRPr="0060721D">
              <w:rPr>
                <w:rFonts w:ascii="Times New Roman" w:hAnsi="Times New Roman"/>
              </w:rPr>
              <w:t xml:space="preserve">  </w:t>
            </w:r>
            <w:proofErr w:type="spellStart"/>
            <w:r w:rsidRPr="0060721D">
              <w:rPr>
                <w:rFonts w:ascii="Times New Roman" w:hAnsi="Times New Roman"/>
              </w:rPr>
              <w:t>Cantitatea</w:t>
            </w:r>
            <w:proofErr w:type="spellEnd"/>
            <w:r w:rsidRPr="0060721D">
              <w:rPr>
                <w:rFonts w:ascii="Times New Roman" w:hAnsi="Times New Roman"/>
              </w:rPr>
              <w:t xml:space="preserve"> de </w:t>
            </w:r>
            <w:proofErr w:type="spellStart"/>
            <w:r w:rsidRPr="0060721D">
              <w:rPr>
                <w:rFonts w:ascii="Times New Roman" w:hAnsi="Times New Roman"/>
              </w:rPr>
              <w:t>deșeuri</w:t>
            </w:r>
            <w:proofErr w:type="spellEnd"/>
            <w:r w:rsidRPr="0060721D">
              <w:rPr>
                <w:rFonts w:ascii="Times New Roman" w:hAnsi="Times New Roman"/>
              </w:rPr>
              <w:t xml:space="preserve">  </w:t>
            </w:r>
            <w:proofErr w:type="spellStart"/>
            <w:r w:rsidRPr="0060721D">
              <w:rPr>
                <w:rFonts w:ascii="Times New Roman" w:hAnsi="Times New Roman"/>
              </w:rPr>
              <w:t>biodegradabile</w:t>
            </w:r>
            <w:proofErr w:type="spellEnd"/>
            <w:r w:rsidRPr="0060721D">
              <w:rPr>
                <w:rFonts w:ascii="Times New Roman" w:hAnsi="Times New Roman"/>
              </w:rPr>
              <w:t xml:space="preserve"> </w:t>
            </w:r>
            <w:proofErr w:type="spellStart"/>
            <w:r w:rsidRPr="0060721D">
              <w:rPr>
                <w:rFonts w:ascii="Times New Roman" w:hAnsi="Times New Roman"/>
              </w:rPr>
              <w:t>supusă</w:t>
            </w:r>
            <w:proofErr w:type="spellEnd"/>
            <w:r w:rsidRPr="0060721D">
              <w:rPr>
                <w:rFonts w:ascii="Times New Roman" w:hAnsi="Times New Roman"/>
              </w:rPr>
              <w:t xml:space="preserve"> </w:t>
            </w:r>
            <w:proofErr w:type="spellStart"/>
            <w:r w:rsidRPr="0060721D">
              <w:rPr>
                <w:rFonts w:ascii="Times New Roman" w:hAnsi="Times New Roman"/>
              </w:rPr>
              <w:t>compostării</w:t>
            </w:r>
            <w:proofErr w:type="spellEnd"/>
            <w:r w:rsidRPr="0060721D">
              <w:rPr>
                <w:rFonts w:ascii="Times New Roman" w:hAnsi="Times New Roman"/>
              </w:rPr>
              <w:t xml:space="preserve"> </w:t>
            </w:r>
            <w:proofErr w:type="spellStart"/>
            <w:r w:rsidRPr="0060721D">
              <w:rPr>
                <w:rFonts w:ascii="Times New Roman" w:hAnsi="Times New Roman"/>
              </w:rPr>
              <w:t>va</w:t>
            </w:r>
            <w:proofErr w:type="spellEnd"/>
            <w:r w:rsidRPr="0060721D">
              <w:rPr>
                <w:rFonts w:ascii="Times New Roman" w:hAnsi="Times New Roman"/>
              </w:rPr>
              <w:t xml:space="preserve"> </w:t>
            </w:r>
            <w:proofErr w:type="spellStart"/>
            <w:r w:rsidRPr="0060721D">
              <w:rPr>
                <w:rFonts w:ascii="Times New Roman" w:hAnsi="Times New Roman"/>
              </w:rPr>
              <w:t>crește</w:t>
            </w:r>
            <w:proofErr w:type="spellEnd"/>
            <w:r w:rsidRPr="0060721D">
              <w:rPr>
                <w:rFonts w:ascii="Times New Roman" w:hAnsi="Times New Roman"/>
              </w:rPr>
              <w:t xml:space="preserve"> gradual de la 3%  la 5% pe </w:t>
            </w:r>
            <w:proofErr w:type="spellStart"/>
            <w:r w:rsidRPr="0060721D">
              <w:rPr>
                <w:rFonts w:ascii="Times New Roman" w:hAnsi="Times New Roman"/>
              </w:rPr>
              <w:lastRenderedPageBreak/>
              <w:t>parcursul</w:t>
            </w:r>
            <w:proofErr w:type="spellEnd"/>
            <w:r w:rsidRPr="0060721D">
              <w:rPr>
                <w:rFonts w:ascii="Times New Roman" w:hAnsi="Times New Roman"/>
              </w:rPr>
              <w:t xml:space="preserve"> </w:t>
            </w:r>
            <w:proofErr w:type="spellStart"/>
            <w:r w:rsidRPr="0060721D">
              <w:rPr>
                <w:rFonts w:ascii="Times New Roman" w:hAnsi="Times New Roman"/>
              </w:rPr>
              <w:t>anilor</w:t>
            </w:r>
            <w:proofErr w:type="spellEnd"/>
            <w:r w:rsidRPr="0060721D">
              <w:rPr>
                <w:rFonts w:ascii="Times New Roman" w:hAnsi="Times New Roman"/>
              </w:rPr>
              <w:t xml:space="preserve"> 2021-2035.</w:t>
            </w:r>
          </w:p>
        </w:tc>
        <w:tc>
          <w:tcPr>
            <w:tcW w:w="1440" w:type="dxa"/>
            <w:gridSpan w:val="2"/>
            <w:hideMark/>
          </w:tcPr>
          <w:p w14:paraId="22C1D488" w14:textId="77777777" w:rsidR="0060721D" w:rsidRPr="0060721D" w:rsidRDefault="0060721D" w:rsidP="0060721D">
            <w:pPr>
              <w:jc w:val="center"/>
              <w:rPr>
                <w:rFonts w:ascii="Times New Roman" w:hAnsi="Times New Roman"/>
              </w:rPr>
            </w:pPr>
            <w:r w:rsidRPr="0060721D">
              <w:rPr>
                <w:rFonts w:ascii="Times New Roman" w:eastAsia="Times New Roman" w:hAnsi="Times New Roman"/>
                <w:lang w:val="es-ES" w:eastAsia="ru-RU"/>
              </w:rPr>
              <w:lastRenderedPageBreak/>
              <w:t>Toate</w:t>
            </w:r>
            <w:r w:rsidRPr="0060721D">
              <w:rPr>
                <w:rFonts w:ascii="Times New Roman" w:hAnsi="Times New Roman"/>
                <w:lang w:val="ro-RO"/>
              </w:rPr>
              <w:t xml:space="preserve"> </w:t>
            </w:r>
            <w:proofErr w:type="spellStart"/>
            <w:r w:rsidRPr="0060721D">
              <w:rPr>
                <w:rFonts w:ascii="Times New Roman" w:hAnsi="Times New Roman"/>
              </w:rPr>
              <w:t>deşeurile</w:t>
            </w:r>
            <w:proofErr w:type="spellEnd"/>
            <w:r w:rsidRPr="0060721D">
              <w:rPr>
                <w:rFonts w:ascii="Times New Roman" w:hAnsi="Times New Roman"/>
              </w:rPr>
              <w:t xml:space="preserve"> </w:t>
            </w:r>
            <w:proofErr w:type="spellStart"/>
            <w:r w:rsidRPr="0060721D">
              <w:rPr>
                <w:rFonts w:ascii="Times New Roman" w:hAnsi="Times New Roman"/>
              </w:rPr>
              <w:t>recilabile</w:t>
            </w:r>
            <w:proofErr w:type="spellEnd"/>
            <w:r w:rsidRPr="0060721D">
              <w:rPr>
                <w:rFonts w:ascii="Times New Roman" w:hAnsi="Times New Roman"/>
              </w:rPr>
              <w:t xml:space="preserve">  de plastic, metal, </w:t>
            </w:r>
            <w:proofErr w:type="spellStart"/>
            <w:r w:rsidRPr="0060721D">
              <w:rPr>
                <w:rFonts w:ascii="Times New Roman" w:hAnsi="Times New Roman"/>
              </w:rPr>
              <w:t>sticlă</w:t>
            </w:r>
            <w:proofErr w:type="spellEnd"/>
            <w:r w:rsidRPr="0060721D">
              <w:rPr>
                <w:rFonts w:ascii="Times New Roman" w:hAnsi="Times New Roman"/>
              </w:rPr>
              <w:t xml:space="preserve"> </w:t>
            </w:r>
            <w:proofErr w:type="spellStart"/>
            <w:r w:rsidRPr="0060721D">
              <w:rPr>
                <w:rFonts w:ascii="Times New Roman" w:hAnsi="Times New Roman"/>
              </w:rPr>
              <w:t>şi</w:t>
            </w:r>
            <w:proofErr w:type="spellEnd"/>
            <w:r w:rsidRPr="0060721D">
              <w:rPr>
                <w:rFonts w:ascii="Times New Roman" w:hAnsi="Times New Roman"/>
              </w:rPr>
              <w:t xml:space="preserve"> </w:t>
            </w:r>
            <w:proofErr w:type="spellStart"/>
            <w:r w:rsidRPr="0060721D">
              <w:rPr>
                <w:rFonts w:ascii="Times New Roman" w:hAnsi="Times New Roman"/>
              </w:rPr>
              <w:t>hîrtie</w:t>
            </w:r>
            <w:proofErr w:type="spellEnd"/>
            <w:r w:rsidRPr="0060721D">
              <w:rPr>
                <w:rFonts w:ascii="Times New Roman" w:hAnsi="Times New Roman"/>
              </w:rPr>
              <w:t xml:space="preserve"> </w:t>
            </w:r>
            <w:proofErr w:type="spellStart"/>
            <w:r w:rsidRPr="0060721D">
              <w:rPr>
                <w:rFonts w:ascii="Times New Roman" w:hAnsi="Times New Roman"/>
              </w:rPr>
              <w:t>vor</w:t>
            </w:r>
            <w:proofErr w:type="spellEnd"/>
            <w:r w:rsidRPr="0060721D">
              <w:rPr>
                <w:rFonts w:ascii="Times New Roman" w:hAnsi="Times New Roman"/>
              </w:rPr>
              <w:t xml:space="preserve"> fi </w:t>
            </w:r>
            <w:proofErr w:type="spellStart"/>
            <w:r w:rsidRPr="0060721D">
              <w:rPr>
                <w:rFonts w:ascii="Times New Roman" w:hAnsi="Times New Roman"/>
              </w:rPr>
              <w:t>colectate</w:t>
            </w:r>
            <w:proofErr w:type="spellEnd"/>
            <w:r w:rsidRPr="0060721D">
              <w:rPr>
                <w:rFonts w:ascii="Times New Roman" w:hAnsi="Times New Roman"/>
              </w:rPr>
              <w:t xml:space="preserve"> </w:t>
            </w:r>
            <w:proofErr w:type="spellStart"/>
            <w:r w:rsidRPr="0060721D">
              <w:rPr>
                <w:rFonts w:ascii="Times New Roman" w:hAnsi="Times New Roman"/>
              </w:rPr>
              <w:t>şi</w:t>
            </w:r>
            <w:proofErr w:type="spellEnd"/>
            <w:r w:rsidRPr="0060721D">
              <w:rPr>
                <w:rFonts w:ascii="Times New Roman" w:hAnsi="Times New Roman"/>
              </w:rPr>
              <w:t xml:space="preserve"> </w:t>
            </w:r>
            <w:proofErr w:type="spellStart"/>
            <w:r w:rsidRPr="0060721D">
              <w:rPr>
                <w:rFonts w:ascii="Times New Roman" w:hAnsi="Times New Roman"/>
              </w:rPr>
              <w:t>reciclate</w:t>
            </w:r>
            <w:proofErr w:type="spellEnd"/>
            <w:r w:rsidRPr="0060721D">
              <w:rPr>
                <w:rFonts w:ascii="Times New Roman" w:hAnsi="Times New Roman"/>
              </w:rPr>
              <w:t xml:space="preserve"> la </w:t>
            </w:r>
            <w:proofErr w:type="spellStart"/>
            <w:r w:rsidRPr="0060721D">
              <w:rPr>
                <w:rFonts w:ascii="Times New Roman" w:hAnsi="Times New Roman"/>
              </w:rPr>
              <w:t>nivelul</w:t>
            </w:r>
            <w:proofErr w:type="spellEnd"/>
            <w:r w:rsidRPr="0060721D">
              <w:rPr>
                <w:rFonts w:ascii="Times New Roman" w:hAnsi="Times New Roman"/>
              </w:rPr>
              <w:t xml:space="preserve"> de circa 7 % din total de </w:t>
            </w:r>
            <w:proofErr w:type="spellStart"/>
            <w:r w:rsidRPr="0060721D">
              <w:rPr>
                <w:rFonts w:ascii="Times New Roman" w:hAnsi="Times New Roman"/>
              </w:rPr>
              <w:t>deșeuri</w:t>
            </w:r>
            <w:proofErr w:type="spellEnd"/>
            <w:r w:rsidRPr="0060721D">
              <w:rPr>
                <w:rFonts w:ascii="Times New Roman" w:hAnsi="Times New Roman"/>
              </w:rPr>
              <w:t xml:space="preserve"> generate, </w:t>
            </w:r>
            <w:proofErr w:type="spellStart"/>
            <w:r w:rsidRPr="0060721D">
              <w:rPr>
                <w:rFonts w:ascii="Times New Roman" w:hAnsi="Times New Roman"/>
              </w:rPr>
              <w:t>începînd</w:t>
            </w:r>
            <w:proofErr w:type="spellEnd"/>
            <w:r w:rsidRPr="0060721D">
              <w:rPr>
                <w:rFonts w:ascii="Times New Roman" w:hAnsi="Times New Roman"/>
              </w:rPr>
              <w:t xml:space="preserve">  </w:t>
            </w:r>
            <w:proofErr w:type="spellStart"/>
            <w:r w:rsidRPr="0060721D">
              <w:rPr>
                <w:rFonts w:ascii="Times New Roman" w:hAnsi="Times New Roman"/>
              </w:rPr>
              <w:t>anul</w:t>
            </w:r>
            <w:proofErr w:type="spellEnd"/>
            <w:r w:rsidRPr="0060721D">
              <w:rPr>
                <w:rFonts w:ascii="Times New Roman" w:hAnsi="Times New Roman"/>
              </w:rPr>
              <w:t xml:space="preserve"> 2025 </w:t>
            </w:r>
            <w:proofErr w:type="spellStart"/>
            <w:r w:rsidRPr="0060721D">
              <w:rPr>
                <w:rFonts w:ascii="Times New Roman" w:hAnsi="Times New Roman"/>
              </w:rPr>
              <w:t>cînd</w:t>
            </w:r>
            <w:proofErr w:type="spellEnd"/>
            <w:r w:rsidRPr="0060721D">
              <w:rPr>
                <w:rFonts w:ascii="Times New Roman" w:hAnsi="Times New Roman"/>
              </w:rPr>
              <w:t xml:space="preserve"> </w:t>
            </w:r>
            <w:proofErr w:type="spellStart"/>
            <w:r w:rsidRPr="0060721D">
              <w:rPr>
                <w:rFonts w:ascii="Times New Roman" w:hAnsi="Times New Roman"/>
              </w:rPr>
              <w:t>va</w:t>
            </w:r>
            <w:proofErr w:type="spellEnd"/>
            <w:r w:rsidRPr="0060721D">
              <w:rPr>
                <w:rFonts w:ascii="Times New Roman" w:hAnsi="Times New Roman"/>
              </w:rPr>
              <w:t xml:space="preserve"> fi </w:t>
            </w:r>
            <w:proofErr w:type="spellStart"/>
            <w:r w:rsidRPr="0060721D">
              <w:rPr>
                <w:rFonts w:ascii="Times New Roman" w:hAnsi="Times New Roman"/>
              </w:rPr>
              <w:t>contruită</w:t>
            </w:r>
            <w:proofErr w:type="spellEnd"/>
            <w:r w:rsidRPr="0060721D">
              <w:rPr>
                <w:rFonts w:ascii="Times New Roman" w:hAnsi="Times New Roman"/>
              </w:rPr>
              <w:t xml:space="preserve"> </w:t>
            </w:r>
            <w:proofErr w:type="spellStart"/>
            <w:r w:rsidRPr="0060721D">
              <w:rPr>
                <w:rFonts w:ascii="Times New Roman" w:hAnsi="Times New Roman"/>
              </w:rPr>
              <w:t>infrastructura</w:t>
            </w:r>
            <w:proofErr w:type="spellEnd"/>
            <w:r w:rsidRPr="0060721D">
              <w:rPr>
                <w:rFonts w:ascii="Times New Roman" w:hAnsi="Times New Roman"/>
              </w:rPr>
              <w:t xml:space="preserve"> de </w:t>
            </w:r>
            <w:proofErr w:type="spellStart"/>
            <w:r w:rsidRPr="0060721D">
              <w:rPr>
                <w:rFonts w:ascii="Times New Roman" w:hAnsi="Times New Roman"/>
              </w:rPr>
              <w:t>gestinare</w:t>
            </w:r>
            <w:proofErr w:type="spellEnd"/>
            <w:r w:rsidRPr="0060721D">
              <w:rPr>
                <w:rFonts w:ascii="Times New Roman" w:hAnsi="Times New Roman"/>
              </w:rPr>
              <w:t xml:space="preserve"> a </w:t>
            </w:r>
            <w:proofErr w:type="spellStart"/>
            <w:r w:rsidRPr="0060721D">
              <w:rPr>
                <w:rFonts w:ascii="Times New Roman" w:hAnsi="Times New Roman"/>
              </w:rPr>
              <w:lastRenderedPageBreak/>
              <w:t>deșerilor</w:t>
            </w:r>
            <w:proofErr w:type="spellEnd"/>
            <w:r w:rsidRPr="0060721D">
              <w:rPr>
                <w:rFonts w:ascii="Times New Roman" w:hAnsi="Times New Roman"/>
              </w:rPr>
              <w:t xml:space="preserve"> la </w:t>
            </w:r>
            <w:proofErr w:type="spellStart"/>
            <w:r w:rsidRPr="0060721D">
              <w:rPr>
                <w:rFonts w:ascii="Times New Roman" w:hAnsi="Times New Roman"/>
              </w:rPr>
              <w:t>nivel</w:t>
            </w:r>
            <w:proofErr w:type="spellEnd"/>
            <w:r w:rsidRPr="0060721D">
              <w:rPr>
                <w:rFonts w:ascii="Times New Roman" w:hAnsi="Times New Roman"/>
              </w:rPr>
              <w:t xml:space="preserve"> regional. Cota </w:t>
            </w:r>
            <w:proofErr w:type="spellStart"/>
            <w:r w:rsidRPr="0060721D">
              <w:rPr>
                <w:rFonts w:ascii="Times New Roman" w:hAnsi="Times New Roman"/>
              </w:rPr>
              <w:t>deşeurilor</w:t>
            </w:r>
            <w:proofErr w:type="spellEnd"/>
            <w:r w:rsidRPr="0060721D">
              <w:rPr>
                <w:rFonts w:ascii="Times New Roman" w:hAnsi="Times New Roman"/>
              </w:rPr>
              <w:t xml:space="preserve"> </w:t>
            </w:r>
            <w:proofErr w:type="spellStart"/>
            <w:r w:rsidRPr="0060721D">
              <w:rPr>
                <w:rFonts w:ascii="Times New Roman" w:hAnsi="Times New Roman"/>
              </w:rPr>
              <w:t>biodegradabile</w:t>
            </w:r>
            <w:proofErr w:type="spellEnd"/>
            <w:r w:rsidRPr="0060721D">
              <w:rPr>
                <w:rFonts w:ascii="Times New Roman" w:hAnsi="Times New Roman"/>
              </w:rPr>
              <w:t xml:space="preserve"> </w:t>
            </w:r>
            <w:proofErr w:type="spellStart"/>
            <w:r w:rsidRPr="0060721D">
              <w:rPr>
                <w:rFonts w:ascii="Times New Roman" w:hAnsi="Times New Roman"/>
              </w:rPr>
              <w:t>supuse</w:t>
            </w:r>
            <w:proofErr w:type="spellEnd"/>
            <w:r w:rsidRPr="0060721D">
              <w:rPr>
                <w:rFonts w:ascii="Times New Roman" w:hAnsi="Times New Roman"/>
              </w:rPr>
              <w:t xml:space="preserve"> </w:t>
            </w:r>
            <w:proofErr w:type="spellStart"/>
            <w:r w:rsidRPr="0060721D">
              <w:rPr>
                <w:rFonts w:ascii="Times New Roman" w:hAnsi="Times New Roman"/>
              </w:rPr>
              <w:t>compostări</w:t>
            </w:r>
            <w:proofErr w:type="spellEnd"/>
            <w:r w:rsidRPr="0060721D">
              <w:rPr>
                <w:rFonts w:ascii="Times New Roman" w:hAnsi="Times New Roman"/>
              </w:rPr>
              <w:t xml:space="preserve"> de </w:t>
            </w:r>
            <w:proofErr w:type="spellStart"/>
            <w:r w:rsidRPr="0060721D">
              <w:rPr>
                <w:rFonts w:ascii="Times New Roman" w:hAnsi="Times New Roman"/>
              </w:rPr>
              <w:t>atinge</w:t>
            </w:r>
            <w:proofErr w:type="spellEnd"/>
            <w:r w:rsidRPr="0060721D">
              <w:rPr>
                <w:rFonts w:ascii="Times New Roman" w:hAnsi="Times New Roman"/>
              </w:rPr>
              <w:t xml:space="preserve"> </w:t>
            </w:r>
            <w:proofErr w:type="spellStart"/>
            <w:r w:rsidRPr="0060721D">
              <w:rPr>
                <w:rFonts w:ascii="Times New Roman" w:hAnsi="Times New Roman"/>
              </w:rPr>
              <w:t>apromitativ</w:t>
            </w:r>
            <w:proofErr w:type="spellEnd"/>
            <w:r w:rsidRPr="0060721D">
              <w:rPr>
                <w:rFonts w:ascii="Times New Roman" w:hAnsi="Times New Roman"/>
              </w:rPr>
              <w:t xml:space="preserve"> 2,4% din </w:t>
            </w:r>
            <w:proofErr w:type="spellStart"/>
            <w:r w:rsidRPr="0060721D">
              <w:rPr>
                <w:rFonts w:ascii="Times New Roman" w:hAnsi="Times New Roman"/>
              </w:rPr>
              <w:t>greutatea</w:t>
            </w:r>
            <w:proofErr w:type="spellEnd"/>
            <w:r w:rsidRPr="0060721D">
              <w:rPr>
                <w:rFonts w:ascii="Times New Roman" w:hAnsi="Times New Roman"/>
              </w:rPr>
              <w:t xml:space="preserve"> </w:t>
            </w:r>
            <w:proofErr w:type="spellStart"/>
            <w:r w:rsidRPr="0060721D">
              <w:rPr>
                <w:rFonts w:ascii="Times New Roman" w:hAnsi="Times New Roman"/>
              </w:rPr>
              <w:t>totală</w:t>
            </w:r>
            <w:proofErr w:type="spellEnd"/>
            <w:r w:rsidRPr="0060721D">
              <w:rPr>
                <w:rFonts w:ascii="Times New Roman" w:hAnsi="Times New Roman"/>
              </w:rPr>
              <w:t xml:space="preserve"> a </w:t>
            </w:r>
            <w:proofErr w:type="spellStart"/>
            <w:r w:rsidRPr="0060721D">
              <w:rPr>
                <w:rFonts w:ascii="Times New Roman" w:hAnsi="Times New Roman"/>
              </w:rPr>
              <w:t>deşeurilor</w:t>
            </w:r>
            <w:proofErr w:type="spellEnd"/>
            <w:r w:rsidRPr="0060721D">
              <w:rPr>
                <w:rFonts w:ascii="Times New Roman" w:hAnsi="Times New Roman"/>
              </w:rPr>
              <w:t xml:space="preserve"> generate. </w:t>
            </w:r>
          </w:p>
        </w:tc>
        <w:tc>
          <w:tcPr>
            <w:tcW w:w="3429" w:type="dxa"/>
            <w:gridSpan w:val="2"/>
            <w:hideMark/>
          </w:tcPr>
          <w:p w14:paraId="01032A32" w14:textId="77777777" w:rsidR="0060721D" w:rsidRPr="0060721D" w:rsidRDefault="0060721D" w:rsidP="0060721D">
            <w:pPr>
              <w:jc w:val="center"/>
              <w:rPr>
                <w:rFonts w:ascii="Times New Roman" w:eastAsia="Times New Roman" w:hAnsi="Times New Roman"/>
                <w:lang w:val="ro-RO" w:eastAsia="ru-RU"/>
              </w:rPr>
            </w:pPr>
            <w:r w:rsidRPr="0060721D">
              <w:rPr>
                <w:rFonts w:ascii="Times New Roman" w:eastAsia="Times New Roman" w:hAnsi="Times New Roman"/>
                <w:lang w:eastAsia="ru-RU"/>
              </w:rPr>
              <w:lastRenderedPageBreak/>
              <w:t xml:space="preserve">109 310  tone CO2 </w:t>
            </w:r>
            <w:proofErr w:type="spellStart"/>
            <w:r w:rsidRPr="0060721D">
              <w:rPr>
                <w:rFonts w:ascii="Times New Roman" w:eastAsia="Times New Roman" w:hAnsi="Times New Roman"/>
                <w:lang w:eastAsia="ru-RU"/>
              </w:rPr>
              <w:t>echivalent</w:t>
            </w:r>
            <w:proofErr w:type="spellEnd"/>
            <w:r w:rsidRPr="0060721D">
              <w:rPr>
                <w:rFonts w:ascii="Times New Roman" w:eastAsia="Times New Roman" w:hAnsi="Times New Roman"/>
                <w:lang w:eastAsia="ru-RU"/>
              </w:rPr>
              <w:t>/an</w:t>
            </w:r>
          </w:p>
        </w:tc>
        <w:tc>
          <w:tcPr>
            <w:tcW w:w="1502" w:type="dxa"/>
            <w:gridSpan w:val="2"/>
            <w:noWrap/>
            <w:hideMark/>
          </w:tcPr>
          <w:p w14:paraId="717669E5" w14:textId="77777777" w:rsidR="0060721D" w:rsidRPr="0060721D" w:rsidRDefault="0060721D" w:rsidP="0060721D">
            <w:pPr>
              <w:jc w:val="center"/>
              <w:rPr>
                <w:rFonts w:ascii="Times New Roman" w:hAnsi="Times New Roman"/>
              </w:rPr>
            </w:pPr>
            <w:r w:rsidRPr="0060721D">
              <w:rPr>
                <w:rFonts w:ascii="Times New Roman" w:eastAsia="Times New Roman" w:hAnsi="Times New Roman"/>
                <w:lang w:eastAsia="ru-RU"/>
              </w:rPr>
              <w:t>109</w:t>
            </w:r>
            <w:r w:rsidRPr="0060721D">
              <w:rPr>
                <w:rFonts w:ascii="Times New Roman" w:hAnsi="Times New Roman"/>
                <w:lang w:val="ro-RO"/>
              </w:rPr>
              <w:t xml:space="preserve"> </w:t>
            </w:r>
            <w:r w:rsidRPr="0060721D">
              <w:rPr>
                <w:rFonts w:ascii="Times New Roman" w:hAnsi="Times New Roman"/>
              </w:rPr>
              <w:t xml:space="preserve">310  tone CO2 </w:t>
            </w:r>
            <w:proofErr w:type="spellStart"/>
            <w:r w:rsidRPr="0060721D">
              <w:rPr>
                <w:rFonts w:ascii="Times New Roman" w:hAnsi="Times New Roman"/>
              </w:rPr>
              <w:t>echivalent</w:t>
            </w:r>
            <w:proofErr w:type="spellEnd"/>
            <w:r w:rsidRPr="0060721D">
              <w:rPr>
                <w:rFonts w:ascii="Times New Roman" w:hAnsi="Times New Roman"/>
              </w:rPr>
              <w:t>/an</w:t>
            </w:r>
          </w:p>
        </w:tc>
      </w:tr>
      <w:tr w:rsidR="00F11CCD" w:rsidRPr="0060721D" w14:paraId="191B337B" w14:textId="77777777" w:rsidTr="00F11CCD">
        <w:trPr>
          <w:gridAfter w:val="1"/>
          <w:divId w:val="546725049"/>
          <w:wAfter w:w="219" w:type="dxa"/>
          <w:trHeight w:val="3720"/>
        </w:trPr>
        <w:tc>
          <w:tcPr>
            <w:tcW w:w="644" w:type="dxa"/>
            <w:gridSpan w:val="2"/>
            <w:hideMark/>
          </w:tcPr>
          <w:p w14:paraId="5ACFB264" w14:textId="77777777" w:rsidR="0060721D" w:rsidRPr="0060721D" w:rsidRDefault="0060721D" w:rsidP="0060721D">
            <w:pPr>
              <w:jc w:val="center"/>
              <w:rPr>
                <w:rFonts w:ascii="Times New Roman" w:hAnsi="Times New Roman"/>
              </w:rPr>
            </w:pPr>
            <w:r w:rsidRPr="0060721D">
              <w:rPr>
                <w:rFonts w:ascii="Times New Roman" w:hAnsi="Times New Roman"/>
              </w:rPr>
              <w:t>7,8</w:t>
            </w:r>
          </w:p>
        </w:tc>
        <w:tc>
          <w:tcPr>
            <w:tcW w:w="3293" w:type="dxa"/>
            <w:hideMark/>
          </w:tcPr>
          <w:p w14:paraId="6CFB8F86" w14:textId="77777777" w:rsidR="0060721D" w:rsidRPr="0060721D" w:rsidRDefault="0060721D" w:rsidP="0060721D">
            <w:pPr>
              <w:jc w:val="center"/>
              <w:rPr>
                <w:rFonts w:ascii="Times New Roman" w:hAnsi="Times New Roman"/>
              </w:rPr>
            </w:pPr>
            <w:proofErr w:type="spellStart"/>
            <w:r w:rsidRPr="0060721D">
              <w:rPr>
                <w:rFonts w:ascii="Times New Roman" w:hAnsi="Times New Roman"/>
              </w:rPr>
              <w:t>Construcţia</w:t>
            </w:r>
            <w:proofErr w:type="spellEnd"/>
            <w:r w:rsidRPr="0060721D">
              <w:rPr>
                <w:rFonts w:ascii="Times New Roman" w:hAnsi="Times New Roman"/>
              </w:rPr>
              <w:t xml:space="preserve">  </w:t>
            </w:r>
            <w:proofErr w:type="spellStart"/>
            <w:r w:rsidRPr="0060721D">
              <w:rPr>
                <w:rFonts w:ascii="Times New Roman" w:hAnsi="Times New Roman"/>
              </w:rPr>
              <w:t>centrului</w:t>
            </w:r>
            <w:proofErr w:type="spellEnd"/>
            <w:r w:rsidRPr="0060721D">
              <w:rPr>
                <w:rFonts w:ascii="Times New Roman" w:hAnsi="Times New Roman"/>
              </w:rPr>
              <w:t xml:space="preserve"> de </w:t>
            </w:r>
            <w:proofErr w:type="spellStart"/>
            <w:r w:rsidRPr="0060721D">
              <w:rPr>
                <w:rFonts w:ascii="Times New Roman" w:hAnsi="Times New Roman"/>
              </w:rPr>
              <w:t>tratare</w:t>
            </w:r>
            <w:proofErr w:type="spellEnd"/>
            <w:r w:rsidRPr="0060721D">
              <w:rPr>
                <w:rFonts w:ascii="Times New Roman" w:hAnsi="Times New Roman"/>
              </w:rPr>
              <w:t xml:space="preserve"> </w:t>
            </w:r>
            <w:proofErr w:type="spellStart"/>
            <w:r w:rsidRPr="0060721D">
              <w:rPr>
                <w:rFonts w:ascii="Times New Roman" w:hAnsi="Times New Roman"/>
              </w:rPr>
              <w:t>mecanico-biologică</w:t>
            </w:r>
            <w:proofErr w:type="spellEnd"/>
            <w:r w:rsidRPr="0060721D">
              <w:rPr>
                <w:rFonts w:ascii="Times New Roman" w:hAnsi="Times New Roman"/>
              </w:rPr>
              <w:t xml:space="preserve"> </w:t>
            </w:r>
            <w:proofErr w:type="spellStart"/>
            <w:r w:rsidRPr="0060721D">
              <w:rPr>
                <w:rFonts w:ascii="Times New Roman" w:hAnsi="Times New Roman"/>
              </w:rPr>
              <w:t>în</w:t>
            </w:r>
            <w:proofErr w:type="spellEnd"/>
            <w:r w:rsidRPr="0060721D">
              <w:rPr>
                <w:rFonts w:ascii="Times New Roman" w:hAnsi="Times New Roman"/>
              </w:rPr>
              <w:t xml:space="preserve"> </w:t>
            </w:r>
            <w:proofErr w:type="spellStart"/>
            <w:r w:rsidRPr="0060721D">
              <w:rPr>
                <w:rFonts w:ascii="Times New Roman" w:hAnsi="Times New Roman"/>
              </w:rPr>
              <w:t>regiunea</w:t>
            </w:r>
            <w:proofErr w:type="spellEnd"/>
            <w:r w:rsidRPr="0060721D">
              <w:rPr>
                <w:rFonts w:ascii="Times New Roman" w:hAnsi="Times New Roman"/>
              </w:rPr>
              <w:t xml:space="preserve"> 7 –</w:t>
            </w:r>
            <w:proofErr w:type="spellStart"/>
            <w:r w:rsidRPr="0060721D">
              <w:rPr>
                <w:rFonts w:ascii="Times New Roman" w:hAnsi="Times New Roman"/>
              </w:rPr>
              <w:t>mun</w:t>
            </w:r>
            <w:proofErr w:type="spellEnd"/>
            <w:r w:rsidRPr="0060721D">
              <w:rPr>
                <w:rFonts w:ascii="Times New Roman" w:hAnsi="Times New Roman"/>
              </w:rPr>
              <w:t xml:space="preserve">. </w:t>
            </w:r>
            <w:proofErr w:type="spellStart"/>
            <w:r w:rsidRPr="0060721D">
              <w:rPr>
                <w:rFonts w:ascii="Times New Roman" w:hAnsi="Times New Roman"/>
              </w:rPr>
              <w:t>Bălţi</w:t>
            </w:r>
            <w:proofErr w:type="spellEnd"/>
            <w:r w:rsidRPr="0060721D">
              <w:rPr>
                <w:rFonts w:ascii="Times New Roman" w:hAnsi="Times New Roman"/>
              </w:rPr>
              <w:t xml:space="preserve">, </w:t>
            </w:r>
            <w:proofErr w:type="spellStart"/>
            <w:r w:rsidRPr="0060721D">
              <w:rPr>
                <w:rFonts w:ascii="Times New Roman" w:hAnsi="Times New Roman"/>
              </w:rPr>
              <w:t>Drochia</w:t>
            </w:r>
            <w:proofErr w:type="spellEnd"/>
            <w:r w:rsidRPr="0060721D">
              <w:rPr>
                <w:rFonts w:ascii="Times New Roman" w:hAnsi="Times New Roman"/>
              </w:rPr>
              <w:t xml:space="preserve">, </w:t>
            </w:r>
            <w:proofErr w:type="spellStart"/>
            <w:r w:rsidRPr="0060721D">
              <w:rPr>
                <w:rFonts w:ascii="Times New Roman" w:hAnsi="Times New Roman"/>
              </w:rPr>
              <w:t>Rîşcani</w:t>
            </w:r>
            <w:proofErr w:type="spellEnd"/>
            <w:r w:rsidRPr="0060721D">
              <w:rPr>
                <w:rFonts w:ascii="Times New Roman" w:hAnsi="Times New Roman"/>
              </w:rPr>
              <w:t xml:space="preserve">, </w:t>
            </w:r>
            <w:proofErr w:type="spellStart"/>
            <w:r w:rsidRPr="0060721D">
              <w:rPr>
                <w:rFonts w:ascii="Times New Roman" w:hAnsi="Times New Roman"/>
              </w:rPr>
              <w:t>Glodeni</w:t>
            </w:r>
            <w:proofErr w:type="spellEnd"/>
            <w:r w:rsidRPr="0060721D">
              <w:rPr>
                <w:rFonts w:ascii="Times New Roman" w:hAnsi="Times New Roman"/>
              </w:rPr>
              <w:t xml:space="preserve">, </w:t>
            </w:r>
            <w:proofErr w:type="spellStart"/>
            <w:r w:rsidRPr="0060721D">
              <w:rPr>
                <w:rFonts w:ascii="Times New Roman" w:hAnsi="Times New Roman"/>
              </w:rPr>
              <w:t>Floreşti</w:t>
            </w:r>
            <w:proofErr w:type="spellEnd"/>
            <w:r w:rsidRPr="0060721D">
              <w:rPr>
                <w:rFonts w:ascii="Times New Roman" w:hAnsi="Times New Roman"/>
              </w:rPr>
              <w:t xml:space="preserve">, </w:t>
            </w:r>
            <w:proofErr w:type="spellStart"/>
            <w:r w:rsidRPr="0060721D">
              <w:rPr>
                <w:rFonts w:ascii="Times New Roman" w:hAnsi="Times New Roman"/>
              </w:rPr>
              <w:t>Făleşti</w:t>
            </w:r>
            <w:proofErr w:type="spellEnd"/>
            <w:r w:rsidRPr="0060721D">
              <w:rPr>
                <w:rFonts w:ascii="Times New Roman" w:hAnsi="Times New Roman"/>
              </w:rPr>
              <w:t xml:space="preserve">, </w:t>
            </w:r>
            <w:proofErr w:type="spellStart"/>
            <w:r w:rsidRPr="0060721D">
              <w:rPr>
                <w:rFonts w:ascii="Times New Roman" w:hAnsi="Times New Roman"/>
              </w:rPr>
              <w:t>Sîngerei</w:t>
            </w:r>
            <w:proofErr w:type="spellEnd"/>
            <w:r w:rsidRPr="0060721D">
              <w:rPr>
                <w:rFonts w:ascii="Times New Roman" w:hAnsi="Times New Roman"/>
              </w:rPr>
              <w:t>, Soroca</w:t>
            </w:r>
          </w:p>
        </w:tc>
        <w:tc>
          <w:tcPr>
            <w:tcW w:w="2220" w:type="dxa"/>
            <w:gridSpan w:val="3"/>
            <w:hideMark/>
          </w:tcPr>
          <w:p w14:paraId="09BE08C9" w14:textId="77777777" w:rsidR="0060721D" w:rsidRPr="0060721D" w:rsidRDefault="0060721D" w:rsidP="0060721D">
            <w:pPr>
              <w:jc w:val="center"/>
              <w:rPr>
                <w:rFonts w:ascii="Times New Roman" w:hAnsi="Times New Roman"/>
              </w:rPr>
            </w:pPr>
            <w:proofErr w:type="spellStart"/>
            <w:r w:rsidRPr="0060721D">
              <w:rPr>
                <w:rFonts w:ascii="Times New Roman" w:hAnsi="Times New Roman"/>
              </w:rPr>
              <w:t>Măsura</w:t>
            </w:r>
            <w:proofErr w:type="spellEnd"/>
            <w:r w:rsidRPr="0060721D">
              <w:rPr>
                <w:rFonts w:ascii="Times New Roman" w:hAnsi="Times New Roman"/>
              </w:rPr>
              <w:t xml:space="preserve"> </w:t>
            </w:r>
            <w:proofErr w:type="spellStart"/>
            <w:r w:rsidRPr="0060721D">
              <w:rPr>
                <w:rFonts w:ascii="Times New Roman" w:hAnsi="Times New Roman"/>
              </w:rPr>
              <w:t>constă</w:t>
            </w:r>
            <w:proofErr w:type="spellEnd"/>
            <w:r w:rsidRPr="0060721D">
              <w:rPr>
                <w:rFonts w:ascii="Times New Roman" w:hAnsi="Times New Roman"/>
              </w:rPr>
              <w:t xml:space="preserve"> </w:t>
            </w:r>
            <w:proofErr w:type="spellStart"/>
            <w:r w:rsidRPr="0060721D">
              <w:rPr>
                <w:rFonts w:ascii="Times New Roman" w:hAnsi="Times New Roman"/>
              </w:rPr>
              <w:t>în</w:t>
            </w:r>
            <w:proofErr w:type="spellEnd"/>
            <w:r w:rsidRPr="0060721D">
              <w:rPr>
                <w:rFonts w:ascii="Times New Roman" w:hAnsi="Times New Roman"/>
              </w:rPr>
              <w:t xml:space="preserve"> </w:t>
            </w:r>
            <w:proofErr w:type="spellStart"/>
            <w:r w:rsidRPr="0060721D">
              <w:rPr>
                <w:rFonts w:ascii="Times New Roman" w:hAnsi="Times New Roman"/>
              </w:rPr>
              <w:t>dezvoltarea</w:t>
            </w:r>
            <w:proofErr w:type="spellEnd"/>
            <w:r w:rsidRPr="0060721D">
              <w:rPr>
                <w:rFonts w:ascii="Times New Roman" w:hAnsi="Times New Roman"/>
              </w:rPr>
              <w:t xml:space="preserve"> </w:t>
            </w:r>
            <w:proofErr w:type="spellStart"/>
            <w:r w:rsidRPr="0060721D">
              <w:rPr>
                <w:rFonts w:ascii="Times New Roman" w:hAnsi="Times New Roman"/>
              </w:rPr>
              <w:t>infrastructurii</w:t>
            </w:r>
            <w:proofErr w:type="spellEnd"/>
            <w:r w:rsidRPr="0060721D">
              <w:rPr>
                <w:rFonts w:ascii="Times New Roman" w:hAnsi="Times New Roman"/>
              </w:rPr>
              <w:t xml:space="preserve"> </w:t>
            </w:r>
            <w:proofErr w:type="spellStart"/>
            <w:r w:rsidRPr="0060721D">
              <w:rPr>
                <w:rFonts w:ascii="Times New Roman" w:hAnsi="Times New Roman"/>
              </w:rPr>
              <w:t>regionale</w:t>
            </w:r>
            <w:proofErr w:type="spellEnd"/>
            <w:r w:rsidRPr="0060721D">
              <w:rPr>
                <w:rFonts w:ascii="Times New Roman" w:hAnsi="Times New Roman"/>
              </w:rPr>
              <w:t xml:space="preserve"> de </w:t>
            </w:r>
            <w:proofErr w:type="spellStart"/>
            <w:r w:rsidRPr="0060721D">
              <w:rPr>
                <w:rFonts w:ascii="Times New Roman" w:hAnsi="Times New Roman"/>
              </w:rPr>
              <w:t>eliminare</w:t>
            </w:r>
            <w:proofErr w:type="spellEnd"/>
            <w:r w:rsidRPr="0060721D">
              <w:rPr>
                <w:rFonts w:ascii="Times New Roman" w:hAnsi="Times New Roman"/>
              </w:rPr>
              <w:t xml:space="preserve"> a </w:t>
            </w:r>
            <w:proofErr w:type="spellStart"/>
            <w:r w:rsidRPr="0060721D">
              <w:rPr>
                <w:rFonts w:ascii="Times New Roman" w:hAnsi="Times New Roman"/>
              </w:rPr>
              <w:t>deşeurilor</w:t>
            </w:r>
            <w:proofErr w:type="spellEnd"/>
            <w:r w:rsidRPr="0060721D">
              <w:rPr>
                <w:rFonts w:ascii="Times New Roman" w:hAnsi="Times New Roman"/>
              </w:rPr>
              <w:t xml:space="preserve"> </w:t>
            </w:r>
            <w:proofErr w:type="spellStart"/>
            <w:r w:rsidRPr="0060721D">
              <w:rPr>
                <w:rFonts w:ascii="Times New Roman" w:hAnsi="Times New Roman"/>
              </w:rPr>
              <w:t>în</w:t>
            </w:r>
            <w:proofErr w:type="spellEnd"/>
            <w:r w:rsidRPr="0060721D">
              <w:rPr>
                <w:rFonts w:ascii="Times New Roman" w:hAnsi="Times New Roman"/>
              </w:rPr>
              <w:t xml:space="preserve"> </w:t>
            </w:r>
            <w:proofErr w:type="spellStart"/>
            <w:r w:rsidRPr="0060721D">
              <w:rPr>
                <w:rFonts w:ascii="Times New Roman" w:hAnsi="Times New Roman"/>
              </w:rPr>
              <w:t>mun</w:t>
            </w:r>
            <w:proofErr w:type="spellEnd"/>
            <w:r w:rsidRPr="0060721D">
              <w:rPr>
                <w:rFonts w:ascii="Times New Roman" w:hAnsi="Times New Roman"/>
              </w:rPr>
              <w:t xml:space="preserve">. </w:t>
            </w:r>
            <w:proofErr w:type="spellStart"/>
            <w:r w:rsidRPr="0060721D">
              <w:rPr>
                <w:rFonts w:ascii="Times New Roman" w:hAnsi="Times New Roman"/>
              </w:rPr>
              <w:t>Bălţi</w:t>
            </w:r>
            <w:proofErr w:type="spellEnd"/>
            <w:r w:rsidRPr="0060721D">
              <w:rPr>
                <w:rFonts w:ascii="Times New Roman" w:hAnsi="Times New Roman"/>
              </w:rPr>
              <w:t xml:space="preserve"> </w:t>
            </w:r>
            <w:proofErr w:type="spellStart"/>
            <w:r w:rsidRPr="0060721D">
              <w:rPr>
                <w:rFonts w:ascii="Times New Roman" w:hAnsi="Times New Roman"/>
              </w:rPr>
              <w:t>prin</w:t>
            </w:r>
            <w:proofErr w:type="spellEnd"/>
            <w:r w:rsidRPr="0060721D">
              <w:rPr>
                <w:rFonts w:ascii="Times New Roman" w:hAnsi="Times New Roman"/>
              </w:rPr>
              <w:t xml:space="preserve"> </w:t>
            </w:r>
            <w:proofErr w:type="spellStart"/>
            <w:r w:rsidRPr="0060721D">
              <w:rPr>
                <w:rFonts w:ascii="Times New Roman" w:hAnsi="Times New Roman"/>
              </w:rPr>
              <w:t>construcţia</w:t>
            </w:r>
            <w:proofErr w:type="spellEnd"/>
            <w:r w:rsidRPr="0060721D">
              <w:rPr>
                <w:rFonts w:ascii="Times New Roman" w:hAnsi="Times New Roman"/>
              </w:rPr>
              <w:t xml:space="preserve">  </w:t>
            </w:r>
            <w:proofErr w:type="spellStart"/>
            <w:r w:rsidRPr="0060721D">
              <w:rPr>
                <w:rFonts w:ascii="Times New Roman" w:hAnsi="Times New Roman"/>
              </w:rPr>
              <w:t>unei</w:t>
            </w:r>
            <w:proofErr w:type="spellEnd"/>
            <w:r w:rsidRPr="0060721D">
              <w:rPr>
                <w:rFonts w:ascii="Times New Roman" w:hAnsi="Times New Roman"/>
              </w:rPr>
              <w:t xml:space="preserve"> </w:t>
            </w:r>
            <w:proofErr w:type="spellStart"/>
            <w:r w:rsidRPr="0060721D">
              <w:rPr>
                <w:rFonts w:ascii="Times New Roman" w:hAnsi="Times New Roman"/>
              </w:rPr>
              <w:t>staţii</w:t>
            </w:r>
            <w:proofErr w:type="spellEnd"/>
            <w:r w:rsidRPr="0060721D">
              <w:rPr>
                <w:rFonts w:ascii="Times New Roman" w:hAnsi="Times New Roman"/>
              </w:rPr>
              <w:t xml:space="preserve"> de </w:t>
            </w:r>
            <w:proofErr w:type="spellStart"/>
            <w:r w:rsidRPr="0060721D">
              <w:rPr>
                <w:rFonts w:ascii="Times New Roman" w:hAnsi="Times New Roman"/>
              </w:rPr>
              <w:t>tratare</w:t>
            </w:r>
            <w:proofErr w:type="spellEnd"/>
            <w:r w:rsidRPr="0060721D">
              <w:rPr>
                <w:rFonts w:ascii="Times New Roman" w:hAnsi="Times New Roman"/>
              </w:rPr>
              <w:t xml:space="preserve"> </w:t>
            </w:r>
            <w:proofErr w:type="spellStart"/>
            <w:r w:rsidRPr="0060721D">
              <w:rPr>
                <w:rFonts w:ascii="Times New Roman" w:hAnsi="Times New Roman"/>
              </w:rPr>
              <w:t>mecanico-biologică</w:t>
            </w:r>
            <w:proofErr w:type="spellEnd"/>
            <w:r w:rsidRPr="0060721D">
              <w:rPr>
                <w:rFonts w:ascii="Times New Roman" w:hAnsi="Times New Roman"/>
              </w:rPr>
              <w:t xml:space="preserve">, </w:t>
            </w:r>
            <w:proofErr w:type="spellStart"/>
            <w:r w:rsidRPr="0060721D">
              <w:rPr>
                <w:rFonts w:ascii="Times New Roman" w:hAnsi="Times New Roman"/>
              </w:rPr>
              <w:t>construcţia</w:t>
            </w:r>
            <w:proofErr w:type="spellEnd"/>
            <w:r w:rsidRPr="0060721D">
              <w:rPr>
                <w:rFonts w:ascii="Times New Roman" w:hAnsi="Times New Roman"/>
              </w:rPr>
              <w:t xml:space="preserve"> a 1-2 </w:t>
            </w:r>
            <w:proofErr w:type="spellStart"/>
            <w:r w:rsidRPr="0060721D">
              <w:rPr>
                <w:rFonts w:ascii="Times New Roman" w:hAnsi="Times New Roman"/>
              </w:rPr>
              <w:t>depozite</w:t>
            </w:r>
            <w:proofErr w:type="spellEnd"/>
            <w:r w:rsidRPr="0060721D">
              <w:rPr>
                <w:rFonts w:ascii="Times New Roman" w:hAnsi="Times New Roman"/>
              </w:rPr>
              <w:t xml:space="preserve"> </w:t>
            </w:r>
            <w:proofErr w:type="spellStart"/>
            <w:r w:rsidRPr="0060721D">
              <w:rPr>
                <w:rFonts w:ascii="Times New Roman" w:hAnsi="Times New Roman"/>
              </w:rPr>
              <w:t>regionale</w:t>
            </w:r>
            <w:proofErr w:type="spellEnd"/>
            <w:r w:rsidRPr="0060721D">
              <w:rPr>
                <w:rFonts w:ascii="Times New Roman" w:hAnsi="Times New Roman"/>
              </w:rPr>
              <w:t xml:space="preserve"> </w:t>
            </w:r>
            <w:proofErr w:type="spellStart"/>
            <w:r w:rsidRPr="0060721D">
              <w:rPr>
                <w:rFonts w:ascii="Times New Roman" w:hAnsi="Times New Roman"/>
              </w:rPr>
              <w:t>pentru</w:t>
            </w:r>
            <w:proofErr w:type="spellEnd"/>
            <w:r w:rsidRPr="0060721D">
              <w:rPr>
                <w:rFonts w:ascii="Times New Roman" w:hAnsi="Times New Roman"/>
              </w:rPr>
              <w:t xml:space="preserve"> </w:t>
            </w:r>
            <w:proofErr w:type="spellStart"/>
            <w:r w:rsidRPr="0060721D">
              <w:rPr>
                <w:rFonts w:ascii="Times New Roman" w:hAnsi="Times New Roman"/>
              </w:rPr>
              <w:t>deşeurile</w:t>
            </w:r>
            <w:proofErr w:type="spellEnd"/>
            <w:r w:rsidRPr="0060721D">
              <w:rPr>
                <w:rFonts w:ascii="Times New Roman" w:hAnsi="Times New Roman"/>
              </w:rPr>
              <w:t xml:space="preserve"> </w:t>
            </w:r>
            <w:proofErr w:type="spellStart"/>
            <w:r w:rsidRPr="0060721D">
              <w:rPr>
                <w:rFonts w:ascii="Times New Roman" w:hAnsi="Times New Roman"/>
              </w:rPr>
              <w:t>menajere</w:t>
            </w:r>
            <w:proofErr w:type="spellEnd"/>
            <w:r w:rsidRPr="0060721D">
              <w:rPr>
                <w:rFonts w:ascii="Times New Roman" w:hAnsi="Times New Roman"/>
              </w:rPr>
              <w:t xml:space="preserve"> </w:t>
            </w:r>
            <w:proofErr w:type="spellStart"/>
            <w:r w:rsidRPr="0060721D">
              <w:rPr>
                <w:rFonts w:ascii="Times New Roman" w:hAnsi="Times New Roman"/>
              </w:rPr>
              <w:t>solide</w:t>
            </w:r>
            <w:proofErr w:type="spellEnd"/>
            <w:r w:rsidRPr="0060721D">
              <w:rPr>
                <w:rFonts w:ascii="Times New Roman" w:hAnsi="Times New Roman"/>
              </w:rPr>
              <w:t xml:space="preserve">, a 7 </w:t>
            </w:r>
            <w:proofErr w:type="spellStart"/>
            <w:r w:rsidRPr="0060721D">
              <w:rPr>
                <w:rFonts w:ascii="Times New Roman" w:hAnsi="Times New Roman"/>
              </w:rPr>
              <w:t>staţii</w:t>
            </w:r>
            <w:proofErr w:type="spellEnd"/>
            <w:r w:rsidRPr="0060721D">
              <w:rPr>
                <w:rFonts w:ascii="Times New Roman" w:hAnsi="Times New Roman"/>
              </w:rPr>
              <w:t xml:space="preserve"> de transfer,   </w:t>
            </w:r>
            <w:proofErr w:type="spellStart"/>
            <w:r w:rsidRPr="0060721D">
              <w:rPr>
                <w:rFonts w:ascii="Times New Roman" w:hAnsi="Times New Roman"/>
              </w:rPr>
              <w:t>dotarea</w:t>
            </w:r>
            <w:proofErr w:type="spellEnd"/>
            <w:r w:rsidRPr="0060721D">
              <w:rPr>
                <w:rFonts w:ascii="Times New Roman" w:hAnsi="Times New Roman"/>
              </w:rPr>
              <w:t xml:space="preserve"> cu 33 de </w:t>
            </w:r>
            <w:proofErr w:type="spellStart"/>
            <w:r w:rsidRPr="0060721D">
              <w:rPr>
                <w:rFonts w:ascii="Times New Roman" w:hAnsi="Times New Roman"/>
              </w:rPr>
              <w:t>unităţi</w:t>
            </w:r>
            <w:proofErr w:type="spellEnd"/>
            <w:r w:rsidRPr="0060721D">
              <w:rPr>
                <w:rFonts w:ascii="Times New Roman" w:hAnsi="Times New Roman"/>
              </w:rPr>
              <w:t xml:space="preserve"> de transport cu </w:t>
            </w:r>
            <w:proofErr w:type="spellStart"/>
            <w:r w:rsidRPr="0060721D">
              <w:rPr>
                <w:rFonts w:ascii="Times New Roman" w:hAnsi="Times New Roman"/>
              </w:rPr>
              <w:t>capacitatea</w:t>
            </w:r>
            <w:proofErr w:type="spellEnd"/>
            <w:r w:rsidRPr="0060721D">
              <w:rPr>
                <w:rFonts w:ascii="Times New Roman" w:hAnsi="Times New Roman"/>
              </w:rPr>
              <w:t xml:space="preserve"> de  16 m3 </w:t>
            </w:r>
            <w:proofErr w:type="spellStart"/>
            <w:r w:rsidRPr="0060721D">
              <w:rPr>
                <w:rFonts w:ascii="Times New Roman" w:hAnsi="Times New Roman"/>
              </w:rPr>
              <w:t>pentru</w:t>
            </w:r>
            <w:proofErr w:type="spellEnd"/>
            <w:r w:rsidRPr="0060721D">
              <w:rPr>
                <w:rFonts w:ascii="Times New Roman" w:hAnsi="Times New Roman"/>
              </w:rPr>
              <w:t xml:space="preserve"> </w:t>
            </w:r>
            <w:proofErr w:type="spellStart"/>
            <w:r w:rsidRPr="0060721D">
              <w:rPr>
                <w:rFonts w:ascii="Times New Roman" w:hAnsi="Times New Roman"/>
              </w:rPr>
              <w:t>transferul</w:t>
            </w:r>
            <w:proofErr w:type="spellEnd"/>
            <w:r w:rsidRPr="0060721D">
              <w:rPr>
                <w:rFonts w:ascii="Times New Roman" w:hAnsi="Times New Roman"/>
              </w:rPr>
              <w:t xml:space="preserve"> </w:t>
            </w:r>
            <w:proofErr w:type="spellStart"/>
            <w:r w:rsidRPr="0060721D">
              <w:rPr>
                <w:rFonts w:ascii="Times New Roman" w:hAnsi="Times New Roman"/>
              </w:rPr>
              <w:t>deşeurilor</w:t>
            </w:r>
            <w:proofErr w:type="spellEnd"/>
          </w:p>
        </w:tc>
        <w:tc>
          <w:tcPr>
            <w:tcW w:w="1980" w:type="dxa"/>
            <w:gridSpan w:val="2"/>
            <w:hideMark/>
          </w:tcPr>
          <w:p w14:paraId="5A63B94C" w14:textId="77777777" w:rsidR="0060721D" w:rsidRPr="0060721D" w:rsidRDefault="0060721D" w:rsidP="0060721D">
            <w:pPr>
              <w:jc w:val="center"/>
              <w:rPr>
                <w:rFonts w:ascii="Times New Roman" w:hAnsi="Times New Roman"/>
              </w:rPr>
            </w:pPr>
            <w:r w:rsidRPr="0060721D">
              <w:rPr>
                <w:rFonts w:ascii="Times New Roman" w:hAnsi="Times New Roman"/>
              </w:rPr>
              <w:t xml:space="preserve">Cota </w:t>
            </w:r>
            <w:proofErr w:type="spellStart"/>
            <w:r w:rsidRPr="0060721D">
              <w:rPr>
                <w:rFonts w:ascii="Times New Roman" w:hAnsi="Times New Roman"/>
              </w:rPr>
              <w:t>deşeurilor</w:t>
            </w:r>
            <w:proofErr w:type="spellEnd"/>
            <w:r w:rsidRPr="0060721D">
              <w:rPr>
                <w:rFonts w:ascii="Times New Roman" w:hAnsi="Times New Roman"/>
              </w:rPr>
              <w:t xml:space="preserve"> din </w:t>
            </w:r>
            <w:proofErr w:type="spellStart"/>
            <w:r w:rsidRPr="0060721D">
              <w:rPr>
                <w:rFonts w:ascii="Times New Roman" w:hAnsi="Times New Roman"/>
              </w:rPr>
              <w:t>hîrtie</w:t>
            </w:r>
            <w:proofErr w:type="spellEnd"/>
            <w:r w:rsidRPr="0060721D">
              <w:rPr>
                <w:rFonts w:ascii="Times New Roman" w:hAnsi="Times New Roman"/>
              </w:rPr>
              <w:t xml:space="preserve"> </w:t>
            </w:r>
            <w:proofErr w:type="spellStart"/>
            <w:r w:rsidRPr="0060721D">
              <w:rPr>
                <w:rFonts w:ascii="Times New Roman" w:hAnsi="Times New Roman"/>
              </w:rPr>
              <w:t>și</w:t>
            </w:r>
            <w:proofErr w:type="spellEnd"/>
            <w:r w:rsidRPr="0060721D">
              <w:rPr>
                <w:rFonts w:ascii="Times New Roman" w:hAnsi="Times New Roman"/>
              </w:rPr>
              <w:t xml:space="preserve"> carton </w:t>
            </w:r>
            <w:proofErr w:type="spellStart"/>
            <w:r w:rsidRPr="0060721D">
              <w:rPr>
                <w:rFonts w:ascii="Times New Roman" w:hAnsi="Times New Roman"/>
              </w:rPr>
              <w:t>colectată</w:t>
            </w:r>
            <w:proofErr w:type="spellEnd"/>
            <w:r w:rsidRPr="0060721D">
              <w:rPr>
                <w:rFonts w:ascii="Times New Roman" w:hAnsi="Times New Roman"/>
              </w:rPr>
              <w:t xml:space="preserve">  </w:t>
            </w:r>
            <w:proofErr w:type="spellStart"/>
            <w:r w:rsidRPr="0060721D">
              <w:rPr>
                <w:rFonts w:ascii="Times New Roman" w:hAnsi="Times New Roman"/>
              </w:rPr>
              <w:t>şi</w:t>
            </w:r>
            <w:proofErr w:type="spellEnd"/>
            <w:r w:rsidRPr="0060721D">
              <w:rPr>
                <w:rFonts w:ascii="Times New Roman" w:hAnsi="Times New Roman"/>
              </w:rPr>
              <w:t xml:space="preserve"> </w:t>
            </w:r>
            <w:proofErr w:type="spellStart"/>
            <w:r w:rsidRPr="0060721D">
              <w:rPr>
                <w:rFonts w:ascii="Times New Roman" w:hAnsi="Times New Roman"/>
              </w:rPr>
              <w:t>reciclată</w:t>
            </w:r>
            <w:proofErr w:type="spellEnd"/>
            <w:r w:rsidRPr="0060721D">
              <w:rPr>
                <w:rFonts w:ascii="Times New Roman" w:hAnsi="Times New Roman"/>
              </w:rPr>
              <w:t xml:space="preserve"> </w:t>
            </w:r>
            <w:proofErr w:type="spellStart"/>
            <w:r w:rsidRPr="0060721D">
              <w:rPr>
                <w:rFonts w:ascii="Times New Roman" w:hAnsi="Times New Roman"/>
              </w:rPr>
              <w:t>anual</w:t>
            </w:r>
            <w:proofErr w:type="spellEnd"/>
            <w:r w:rsidRPr="0060721D">
              <w:rPr>
                <w:rFonts w:ascii="Times New Roman" w:hAnsi="Times New Roman"/>
              </w:rPr>
              <w:t xml:space="preserve"> se </w:t>
            </w:r>
            <w:proofErr w:type="spellStart"/>
            <w:r w:rsidRPr="0060721D">
              <w:rPr>
                <w:rFonts w:ascii="Times New Roman" w:hAnsi="Times New Roman"/>
              </w:rPr>
              <w:t>va</w:t>
            </w:r>
            <w:proofErr w:type="spellEnd"/>
            <w:r w:rsidRPr="0060721D">
              <w:rPr>
                <w:rFonts w:ascii="Times New Roman" w:hAnsi="Times New Roman"/>
              </w:rPr>
              <w:t xml:space="preserve"> </w:t>
            </w:r>
            <w:proofErr w:type="spellStart"/>
            <w:r w:rsidRPr="0060721D">
              <w:rPr>
                <w:rFonts w:ascii="Times New Roman" w:hAnsi="Times New Roman"/>
              </w:rPr>
              <w:t>menține</w:t>
            </w:r>
            <w:proofErr w:type="spellEnd"/>
            <w:r w:rsidRPr="0060721D">
              <w:rPr>
                <w:rFonts w:ascii="Times New Roman" w:hAnsi="Times New Roman"/>
              </w:rPr>
              <w:t xml:space="preserve"> la </w:t>
            </w:r>
            <w:proofErr w:type="spellStart"/>
            <w:r w:rsidRPr="0060721D">
              <w:rPr>
                <w:rFonts w:ascii="Times New Roman" w:hAnsi="Times New Roman"/>
              </w:rPr>
              <w:t>nivelul</w:t>
            </w:r>
            <w:proofErr w:type="spellEnd"/>
            <w:r w:rsidRPr="0060721D">
              <w:rPr>
                <w:rFonts w:ascii="Times New Roman" w:hAnsi="Times New Roman"/>
              </w:rPr>
              <w:t xml:space="preserve"> de 5 % </w:t>
            </w:r>
            <w:proofErr w:type="spellStart"/>
            <w:r w:rsidRPr="0060721D">
              <w:rPr>
                <w:rFonts w:ascii="Times New Roman" w:hAnsi="Times New Roman"/>
              </w:rPr>
              <w:t>în</w:t>
            </w:r>
            <w:proofErr w:type="spellEnd"/>
            <w:r w:rsidRPr="0060721D">
              <w:rPr>
                <w:rFonts w:ascii="Times New Roman" w:hAnsi="Times New Roman"/>
              </w:rPr>
              <w:t xml:space="preserve"> </w:t>
            </w:r>
            <w:proofErr w:type="spellStart"/>
            <w:r w:rsidRPr="0060721D">
              <w:rPr>
                <w:rFonts w:ascii="Times New Roman" w:hAnsi="Times New Roman"/>
              </w:rPr>
              <w:t>localitățile</w:t>
            </w:r>
            <w:proofErr w:type="spellEnd"/>
            <w:r w:rsidRPr="0060721D">
              <w:rPr>
                <w:rFonts w:ascii="Times New Roman" w:hAnsi="Times New Roman"/>
              </w:rPr>
              <w:t xml:space="preserve"> urbane </w:t>
            </w:r>
            <w:proofErr w:type="spellStart"/>
            <w:r w:rsidRPr="0060721D">
              <w:rPr>
                <w:rFonts w:ascii="Times New Roman" w:hAnsi="Times New Roman"/>
              </w:rPr>
              <w:t>și</w:t>
            </w:r>
            <w:proofErr w:type="spellEnd"/>
            <w:r w:rsidRPr="0060721D">
              <w:rPr>
                <w:rFonts w:ascii="Times New Roman" w:hAnsi="Times New Roman"/>
              </w:rPr>
              <w:t xml:space="preserve"> 2% </w:t>
            </w:r>
            <w:proofErr w:type="spellStart"/>
            <w:r w:rsidRPr="0060721D">
              <w:rPr>
                <w:rFonts w:ascii="Times New Roman" w:hAnsi="Times New Roman"/>
              </w:rPr>
              <w:t>în</w:t>
            </w:r>
            <w:proofErr w:type="spellEnd"/>
            <w:r w:rsidRPr="0060721D">
              <w:rPr>
                <w:rFonts w:ascii="Times New Roman" w:hAnsi="Times New Roman"/>
              </w:rPr>
              <w:t xml:space="preserve"> </w:t>
            </w:r>
            <w:proofErr w:type="spellStart"/>
            <w:r w:rsidRPr="0060721D">
              <w:rPr>
                <w:rFonts w:ascii="Times New Roman" w:hAnsi="Times New Roman"/>
              </w:rPr>
              <w:t>cele</w:t>
            </w:r>
            <w:proofErr w:type="spellEnd"/>
            <w:r w:rsidRPr="0060721D">
              <w:rPr>
                <w:rFonts w:ascii="Times New Roman" w:hAnsi="Times New Roman"/>
              </w:rPr>
              <w:t xml:space="preserve"> </w:t>
            </w:r>
            <w:proofErr w:type="spellStart"/>
            <w:r w:rsidRPr="0060721D">
              <w:rPr>
                <w:rFonts w:ascii="Times New Roman" w:hAnsi="Times New Roman"/>
              </w:rPr>
              <w:t>rurale</w:t>
            </w:r>
            <w:proofErr w:type="spellEnd"/>
            <w:r w:rsidRPr="0060721D">
              <w:rPr>
                <w:rFonts w:ascii="Times New Roman" w:hAnsi="Times New Roman"/>
              </w:rPr>
              <w:t xml:space="preserve">. </w:t>
            </w:r>
            <w:proofErr w:type="spellStart"/>
            <w:r w:rsidRPr="0060721D">
              <w:rPr>
                <w:rFonts w:ascii="Times New Roman" w:hAnsi="Times New Roman"/>
              </w:rPr>
              <w:t>Cantitatea</w:t>
            </w:r>
            <w:proofErr w:type="spellEnd"/>
            <w:r w:rsidRPr="0060721D">
              <w:rPr>
                <w:rFonts w:ascii="Times New Roman" w:hAnsi="Times New Roman"/>
              </w:rPr>
              <w:t xml:space="preserve"> de </w:t>
            </w:r>
            <w:proofErr w:type="spellStart"/>
            <w:r w:rsidRPr="0060721D">
              <w:rPr>
                <w:rFonts w:ascii="Times New Roman" w:hAnsi="Times New Roman"/>
              </w:rPr>
              <w:t>deșeuri</w:t>
            </w:r>
            <w:proofErr w:type="spellEnd"/>
            <w:r w:rsidRPr="0060721D">
              <w:rPr>
                <w:rFonts w:ascii="Times New Roman" w:hAnsi="Times New Roman"/>
              </w:rPr>
              <w:t xml:space="preserve">  </w:t>
            </w:r>
            <w:proofErr w:type="spellStart"/>
            <w:r w:rsidRPr="0060721D">
              <w:rPr>
                <w:rFonts w:ascii="Times New Roman" w:hAnsi="Times New Roman"/>
              </w:rPr>
              <w:t>biodegradabile</w:t>
            </w:r>
            <w:proofErr w:type="spellEnd"/>
            <w:r w:rsidRPr="0060721D">
              <w:rPr>
                <w:rFonts w:ascii="Times New Roman" w:hAnsi="Times New Roman"/>
              </w:rPr>
              <w:t xml:space="preserve"> </w:t>
            </w:r>
            <w:proofErr w:type="spellStart"/>
            <w:r w:rsidRPr="0060721D">
              <w:rPr>
                <w:rFonts w:ascii="Times New Roman" w:hAnsi="Times New Roman"/>
              </w:rPr>
              <w:t>supusă</w:t>
            </w:r>
            <w:proofErr w:type="spellEnd"/>
            <w:r w:rsidRPr="0060721D">
              <w:rPr>
                <w:rFonts w:ascii="Times New Roman" w:hAnsi="Times New Roman"/>
              </w:rPr>
              <w:t xml:space="preserve"> </w:t>
            </w:r>
            <w:proofErr w:type="spellStart"/>
            <w:r w:rsidRPr="0060721D">
              <w:rPr>
                <w:rFonts w:ascii="Times New Roman" w:hAnsi="Times New Roman"/>
              </w:rPr>
              <w:t>compostării</w:t>
            </w:r>
            <w:proofErr w:type="spellEnd"/>
            <w:r w:rsidRPr="0060721D">
              <w:rPr>
                <w:rFonts w:ascii="Times New Roman" w:hAnsi="Times New Roman"/>
              </w:rPr>
              <w:t xml:space="preserve"> </w:t>
            </w:r>
            <w:proofErr w:type="spellStart"/>
            <w:r w:rsidRPr="0060721D">
              <w:rPr>
                <w:rFonts w:ascii="Times New Roman" w:hAnsi="Times New Roman"/>
              </w:rPr>
              <w:t>va</w:t>
            </w:r>
            <w:proofErr w:type="spellEnd"/>
            <w:r w:rsidRPr="0060721D">
              <w:rPr>
                <w:rFonts w:ascii="Times New Roman" w:hAnsi="Times New Roman"/>
              </w:rPr>
              <w:t xml:space="preserve"> </w:t>
            </w:r>
            <w:proofErr w:type="spellStart"/>
            <w:r w:rsidRPr="0060721D">
              <w:rPr>
                <w:rFonts w:ascii="Times New Roman" w:hAnsi="Times New Roman"/>
              </w:rPr>
              <w:t>crește</w:t>
            </w:r>
            <w:proofErr w:type="spellEnd"/>
            <w:r w:rsidRPr="0060721D">
              <w:rPr>
                <w:rFonts w:ascii="Times New Roman" w:hAnsi="Times New Roman"/>
              </w:rPr>
              <w:t xml:space="preserve"> gradual de la 3%  la 5% pe </w:t>
            </w:r>
            <w:proofErr w:type="spellStart"/>
            <w:r w:rsidRPr="0060721D">
              <w:rPr>
                <w:rFonts w:ascii="Times New Roman" w:hAnsi="Times New Roman"/>
              </w:rPr>
              <w:t>parcursul</w:t>
            </w:r>
            <w:proofErr w:type="spellEnd"/>
            <w:r w:rsidRPr="0060721D">
              <w:rPr>
                <w:rFonts w:ascii="Times New Roman" w:hAnsi="Times New Roman"/>
              </w:rPr>
              <w:t xml:space="preserve"> </w:t>
            </w:r>
            <w:proofErr w:type="spellStart"/>
            <w:r w:rsidRPr="0060721D">
              <w:rPr>
                <w:rFonts w:ascii="Times New Roman" w:hAnsi="Times New Roman"/>
              </w:rPr>
              <w:t>anilor</w:t>
            </w:r>
            <w:proofErr w:type="spellEnd"/>
            <w:r w:rsidRPr="0060721D">
              <w:rPr>
                <w:rFonts w:ascii="Times New Roman" w:hAnsi="Times New Roman"/>
              </w:rPr>
              <w:t xml:space="preserve"> 2021-2035;</w:t>
            </w:r>
          </w:p>
        </w:tc>
        <w:tc>
          <w:tcPr>
            <w:tcW w:w="1405" w:type="dxa"/>
            <w:gridSpan w:val="2"/>
            <w:hideMark/>
          </w:tcPr>
          <w:p w14:paraId="3EC86DE1" w14:textId="77777777" w:rsidR="0060721D" w:rsidRPr="0060721D" w:rsidRDefault="0060721D" w:rsidP="0060721D">
            <w:pPr>
              <w:jc w:val="center"/>
              <w:rPr>
                <w:rFonts w:ascii="Times New Roman" w:hAnsi="Times New Roman"/>
              </w:rPr>
            </w:pPr>
            <w:proofErr w:type="spellStart"/>
            <w:r w:rsidRPr="0060721D">
              <w:rPr>
                <w:rFonts w:ascii="Times New Roman" w:hAnsi="Times New Roman"/>
              </w:rPr>
              <w:t>Toate</w:t>
            </w:r>
            <w:proofErr w:type="spellEnd"/>
            <w:r w:rsidRPr="0060721D">
              <w:rPr>
                <w:rFonts w:ascii="Times New Roman" w:hAnsi="Times New Roman"/>
              </w:rPr>
              <w:t xml:space="preserve"> </w:t>
            </w:r>
            <w:proofErr w:type="spellStart"/>
            <w:r w:rsidRPr="0060721D">
              <w:rPr>
                <w:rFonts w:ascii="Times New Roman" w:hAnsi="Times New Roman"/>
              </w:rPr>
              <w:t>deşeurile</w:t>
            </w:r>
            <w:proofErr w:type="spellEnd"/>
            <w:r w:rsidRPr="0060721D">
              <w:rPr>
                <w:rFonts w:ascii="Times New Roman" w:hAnsi="Times New Roman"/>
              </w:rPr>
              <w:t xml:space="preserve"> </w:t>
            </w:r>
            <w:proofErr w:type="spellStart"/>
            <w:r w:rsidRPr="0060721D">
              <w:rPr>
                <w:rFonts w:ascii="Times New Roman" w:hAnsi="Times New Roman"/>
              </w:rPr>
              <w:t>recilabile</w:t>
            </w:r>
            <w:proofErr w:type="spellEnd"/>
            <w:r w:rsidRPr="0060721D">
              <w:rPr>
                <w:rFonts w:ascii="Times New Roman" w:hAnsi="Times New Roman"/>
              </w:rPr>
              <w:t xml:space="preserve">  de plastic, metal, </w:t>
            </w:r>
            <w:proofErr w:type="spellStart"/>
            <w:r w:rsidRPr="0060721D">
              <w:rPr>
                <w:rFonts w:ascii="Times New Roman" w:hAnsi="Times New Roman"/>
              </w:rPr>
              <w:t>sticlă</w:t>
            </w:r>
            <w:proofErr w:type="spellEnd"/>
            <w:r w:rsidRPr="0060721D">
              <w:rPr>
                <w:rFonts w:ascii="Times New Roman" w:hAnsi="Times New Roman"/>
              </w:rPr>
              <w:t xml:space="preserve"> </w:t>
            </w:r>
            <w:proofErr w:type="spellStart"/>
            <w:r w:rsidRPr="0060721D">
              <w:rPr>
                <w:rFonts w:ascii="Times New Roman" w:hAnsi="Times New Roman"/>
              </w:rPr>
              <w:t>şi</w:t>
            </w:r>
            <w:proofErr w:type="spellEnd"/>
            <w:r w:rsidRPr="0060721D">
              <w:rPr>
                <w:rFonts w:ascii="Times New Roman" w:hAnsi="Times New Roman"/>
              </w:rPr>
              <w:t xml:space="preserve"> </w:t>
            </w:r>
            <w:proofErr w:type="spellStart"/>
            <w:r w:rsidRPr="0060721D">
              <w:rPr>
                <w:rFonts w:ascii="Times New Roman" w:hAnsi="Times New Roman"/>
              </w:rPr>
              <w:t>hîrtie</w:t>
            </w:r>
            <w:proofErr w:type="spellEnd"/>
            <w:r w:rsidRPr="0060721D">
              <w:rPr>
                <w:rFonts w:ascii="Times New Roman" w:hAnsi="Times New Roman"/>
              </w:rPr>
              <w:t xml:space="preserve"> </w:t>
            </w:r>
            <w:proofErr w:type="spellStart"/>
            <w:r w:rsidRPr="0060721D">
              <w:rPr>
                <w:rFonts w:ascii="Times New Roman" w:hAnsi="Times New Roman"/>
              </w:rPr>
              <w:t>vor</w:t>
            </w:r>
            <w:proofErr w:type="spellEnd"/>
            <w:r w:rsidRPr="0060721D">
              <w:rPr>
                <w:rFonts w:ascii="Times New Roman" w:hAnsi="Times New Roman"/>
              </w:rPr>
              <w:t xml:space="preserve"> fi </w:t>
            </w:r>
            <w:proofErr w:type="spellStart"/>
            <w:r w:rsidRPr="0060721D">
              <w:rPr>
                <w:rFonts w:ascii="Times New Roman" w:hAnsi="Times New Roman"/>
              </w:rPr>
              <w:t>colectate</w:t>
            </w:r>
            <w:proofErr w:type="spellEnd"/>
            <w:r w:rsidRPr="0060721D">
              <w:rPr>
                <w:rFonts w:ascii="Times New Roman" w:hAnsi="Times New Roman"/>
              </w:rPr>
              <w:t xml:space="preserve"> </w:t>
            </w:r>
            <w:proofErr w:type="spellStart"/>
            <w:r w:rsidRPr="0060721D">
              <w:rPr>
                <w:rFonts w:ascii="Times New Roman" w:hAnsi="Times New Roman"/>
              </w:rPr>
              <w:t>şi</w:t>
            </w:r>
            <w:proofErr w:type="spellEnd"/>
            <w:r w:rsidRPr="0060721D">
              <w:rPr>
                <w:rFonts w:ascii="Times New Roman" w:hAnsi="Times New Roman"/>
              </w:rPr>
              <w:t xml:space="preserve"> </w:t>
            </w:r>
            <w:proofErr w:type="spellStart"/>
            <w:r w:rsidRPr="0060721D">
              <w:rPr>
                <w:rFonts w:ascii="Times New Roman" w:hAnsi="Times New Roman"/>
              </w:rPr>
              <w:t>reciclate</w:t>
            </w:r>
            <w:proofErr w:type="spellEnd"/>
            <w:r w:rsidRPr="0060721D">
              <w:rPr>
                <w:rFonts w:ascii="Times New Roman" w:hAnsi="Times New Roman"/>
              </w:rPr>
              <w:t xml:space="preserve"> la </w:t>
            </w:r>
            <w:proofErr w:type="spellStart"/>
            <w:r w:rsidRPr="0060721D">
              <w:rPr>
                <w:rFonts w:ascii="Times New Roman" w:hAnsi="Times New Roman"/>
              </w:rPr>
              <w:t>nivelul</w:t>
            </w:r>
            <w:proofErr w:type="spellEnd"/>
            <w:r w:rsidRPr="0060721D">
              <w:rPr>
                <w:rFonts w:ascii="Times New Roman" w:hAnsi="Times New Roman"/>
              </w:rPr>
              <w:t xml:space="preserve"> de circa 7,2 % din total de </w:t>
            </w:r>
            <w:proofErr w:type="spellStart"/>
            <w:r w:rsidRPr="0060721D">
              <w:rPr>
                <w:rFonts w:ascii="Times New Roman" w:hAnsi="Times New Roman"/>
              </w:rPr>
              <w:t>deșeuri</w:t>
            </w:r>
            <w:proofErr w:type="spellEnd"/>
            <w:r w:rsidRPr="0060721D">
              <w:rPr>
                <w:rFonts w:ascii="Times New Roman" w:hAnsi="Times New Roman"/>
              </w:rPr>
              <w:t xml:space="preserve"> generate, </w:t>
            </w:r>
            <w:proofErr w:type="spellStart"/>
            <w:r w:rsidRPr="0060721D">
              <w:rPr>
                <w:rFonts w:ascii="Times New Roman" w:hAnsi="Times New Roman"/>
              </w:rPr>
              <w:t>începînd</w:t>
            </w:r>
            <w:proofErr w:type="spellEnd"/>
            <w:r w:rsidRPr="0060721D">
              <w:rPr>
                <w:rFonts w:ascii="Times New Roman" w:hAnsi="Times New Roman"/>
              </w:rPr>
              <w:t xml:space="preserve">  </w:t>
            </w:r>
            <w:proofErr w:type="spellStart"/>
            <w:r w:rsidRPr="0060721D">
              <w:rPr>
                <w:rFonts w:ascii="Times New Roman" w:hAnsi="Times New Roman"/>
              </w:rPr>
              <w:t>anul</w:t>
            </w:r>
            <w:proofErr w:type="spellEnd"/>
            <w:r w:rsidRPr="0060721D">
              <w:rPr>
                <w:rFonts w:ascii="Times New Roman" w:hAnsi="Times New Roman"/>
              </w:rPr>
              <w:t xml:space="preserve"> 2030 </w:t>
            </w:r>
            <w:proofErr w:type="spellStart"/>
            <w:r w:rsidRPr="0060721D">
              <w:rPr>
                <w:rFonts w:ascii="Times New Roman" w:hAnsi="Times New Roman"/>
              </w:rPr>
              <w:t>cînd</w:t>
            </w:r>
            <w:proofErr w:type="spellEnd"/>
            <w:r w:rsidRPr="0060721D">
              <w:rPr>
                <w:rFonts w:ascii="Times New Roman" w:hAnsi="Times New Roman"/>
              </w:rPr>
              <w:t xml:space="preserve"> </w:t>
            </w:r>
            <w:proofErr w:type="spellStart"/>
            <w:r w:rsidRPr="0060721D">
              <w:rPr>
                <w:rFonts w:ascii="Times New Roman" w:hAnsi="Times New Roman"/>
              </w:rPr>
              <w:t>va</w:t>
            </w:r>
            <w:proofErr w:type="spellEnd"/>
            <w:r w:rsidRPr="0060721D">
              <w:rPr>
                <w:rFonts w:ascii="Times New Roman" w:hAnsi="Times New Roman"/>
              </w:rPr>
              <w:t xml:space="preserve"> fi </w:t>
            </w:r>
            <w:proofErr w:type="spellStart"/>
            <w:r w:rsidRPr="0060721D">
              <w:rPr>
                <w:rFonts w:ascii="Times New Roman" w:hAnsi="Times New Roman"/>
              </w:rPr>
              <w:t>contruită</w:t>
            </w:r>
            <w:proofErr w:type="spellEnd"/>
            <w:r w:rsidRPr="0060721D">
              <w:rPr>
                <w:rFonts w:ascii="Times New Roman" w:hAnsi="Times New Roman"/>
              </w:rPr>
              <w:t xml:space="preserve"> </w:t>
            </w:r>
            <w:proofErr w:type="spellStart"/>
            <w:r w:rsidRPr="0060721D">
              <w:rPr>
                <w:rFonts w:ascii="Times New Roman" w:hAnsi="Times New Roman"/>
              </w:rPr>
              <w:t>infrastructura</w:t>
            </w:r>
            <w:proofErr w:type="spellEnd"/>
            <w:r w:rsidRPr="0060721D">
              <w:rPr>
                <w:rFonts w:ascii="Times New Roman" w:hAnsi="Times New Roman"/>
              </w:rPr>
              <w:t xml:space="preserve"> de </w:t>
            </w:r>
            <w:proofErr w:type="spellStart"/>
            <w:r w:rsidRPr="0060721D">
              <w:rPr>
                <w:rFonts w:ascii="Times New Roman" w:hAnsi="Times New Roman"/>
              </w:rPr>
              <w:t>gestinare</w:t>
            </w:r>
            <w:proofErr w:type="spellEnd"/>
            <w:r w:rsidRPr="0060721D">
              <w:rPr>
                <w:rFonts w:ascii="Times New Roman" w:hAnsi="Times New Roman"/>
              </w:rPr>
              <w:t xml:space="preserve"> a </w:t>
            </w:r>
            <w:proofErr w:type="spellStart"/>
            <w:r w:rsidRPr="0060721D">
              <w:rPr>
                <w:rFonts w:ascii="Times New Roman" w:hAnsi="Times New Roman"/>
              </w:rPr>
              <w:t>deșerilor</w:t>
            </w:r>
            <w:proofErr w:type="spellEnd"/>
            <w:r w:rsidRPr="0060721D">
              <w:rPr>
                <w:rFonts w:ascii="Times New Roman" w:hAnsi="Times New Roman"/>
              </w:rPr>
              <w:t xml:space="preserve"> la </w:t>
            </w:r>
            <w:proofErr w:type="spellStart"/>
            <w:r w:rsidRPr="0060721D">
              <w:rPr>
                <w:rFonts w:ascii="Times New Roman" w:hAnsi="Times New Roman"/>
              </w:rPr>
              <w:t>nivel</w:t>
            </w:r>
            <w:proofErr w:type="spellEnd"/>
            <w:r w:rsidRPr="0060721D">
              <w:rPr>
                <w:rFonts w:ascii="Times New Roman" w:hAnsi="Times New Roman"/>
              </w:rPr>
              <w:t xml:space="preserve"> regional. Cota </w:t>
            </w:r>
            <w:proofErr w:type="spellStart"/>
            <w:r w:rsidRPr="0060721D">
              <w:rPr>
                <w:rFonts w:ascii="Times New Roman" w:hAnsi="Times New Roman"/>
              </w:rPr>
              <w:t>deşeurilor</w:t>
            </w:r>
            <w:proofErr w:type="spellEnd"/>
            <w:r w:rsidRPr="0060721D">
              <w:rPr>
                <w:rFonts w:ascii="Times New Roman" w:hAnsi="Times New Roman"/>
              </w:rPr>
              <w:t xml:space="preserve"> </w:t>
            </w:r>
            <w:proofErr w:type="spellStart"/>
            <w:r w:rsidRPr="0060721D">
              <w:rPr>
                <w:rFonts w:ascii="Times New Roman" w:hAnsi="Times New Roman"/>
              </w:rPr>
              <w:t>biodegradabile</w:t>
            </w:r>
            <w:proofErr w:type="spellEnd"/>
            <w:r w:rsidRPr="0060721D">
              <w:rPr>
                <w:rFonts w:ascii="Times New Roman" w:hAnsi="Times New Roman"/>
              </w:rPr>
              <w:t xml:space="preserve"> </w:t>
            </w:r>
            <w:proofErr w:type="spellStart"/>
            <w:r w:rsidRPr="0060721D">
              <w:rPr>
                <w:rFonts w:ascii="Times New Roman" w:hAnsi="Times New Roman"/>
              </w:rPr>
              <w:t>supuse</w:t>
            </w:r>
            <w:proofErr w:type="spellEnd"/>
            <w:r w:rsidRPr="0060721D">
              <w:rPr>
                <w:rFonts w:ascii="Times New Roman" w:hAnsi="Times New Roman"/>
              </w:rPr>
              <w:t xml:space="preserve"> </w:t>
            </w:r>
            <w:proofErr w:type="spellStart"/>
            <w:r w:rsidRPr="0060721D">
              <w:rPr>
                <w:rFonts w:ascii="Times New Roman" w:hAnsi="Times New Roman"/>
              </w:rPr>
              <w:lastRenderedPageBreak/>
              <w:t>compostări</w:t>
            </w:r>
            <w:proofErr w:type="spellEnd"/>
            <w:r w:rsidRPr="0060721D">
              <w:rPr>
                <w:rFonts w:ascii="Times New Roman" w:hAnsi="Times New Roman"/>
              </w:rPr>
              <w:t xml:space="preserve"> de </w:t>
            </w:r>
            <w:proofErr w:type="spellStart"/>
            <w:r w:rsidRPr="0060721D">
              <w:rPr>
                <w:rFonts w:ascii="Times New Roman" w:hAnsi="Times New Roman"/>
              </w:rPr>
              <w:t>atinge</w:t>
            </w:r>
            <w:proofErr w:type="spellEnd"/>
            <w:r w:rsidRPr="0060721D">
              <w:rPr>
                <w:rFonts w:ascii="Times New Roman" w:hAnsi="Times New Roman"/>
              </w:rPr>
              <w:t xml:space="preserve"> </w:t>
            </w:r>
            <w:proofErr w:type="spellStart"/>
            <w:r w:rsidRPr="0060721D">
              <w:rPr>
                <w:rFonts w:ascii="Times New Roman" w:hAnsi="Times New Roman"/>
              </w:rPr>
              <w:t>apromitativ</w:t>
            </w:r>
            <w:proofErr w:type="spellEnd"/>
            <w:r w:rsidRPr="0060721D">
              <w:rPr>
                <w:rFonts w:ascii="Times New Roman" w:hAnsi="Times New Roman"/>
              </w:rPr>
              <w:t xml:space="preserve"> 3% din </w:t>
            </w:r>
            <w:proofErr w:type="spellStart"/>
            <w:r w:rsidRPr="0060721D">
              <w:rPr>
                <w:rFonts w:ascii="Times New Roman" w:hAnsi="Times New Roman"/>
              </w:rPr>
              <w:t>greutatea</w:t>
            </w:r>
            <w:proofErr w:type="spellEnd"/>
            <w:r w:rsidRPr="0060721D">
              <w:rPr>
                <w:rFonts w:ascii="Times New Roman" w:hAnsi="Times New Roman"/>
              </w:rPr>
              <w:t xml:space="preserve"> </w:t>
            </w:r>
            <w:proofErr w:type="spellStart"/>
            <w:r w:rsidRPr="0060721D">
              <w:rPr>
                <w:rFonts w:ascii="Times New Roman" w:hAnsi="Times New Roman"/>
              </w:rPr>
              <w:t>totală</w:t>
            </w:r>
            <w:proofErr w:type="spellEnd"/>
            <w:r w:rsidRPr="0060721D">
              <w:rPr>
                <w:rFonts w:ascii="Times New Roman" w:hAnsi="Times New Roman"/>
              </w:rPr>
              <w:t xml:space="preserve"> a </w:t>
            </w:r>
            <w:proofErr w:type="spellStart"/>
            <w:r w:rsidRPr="0060721D">
              <w:rPr>
                <w:rFonts w:ascii="Times New Roman" w:hAnsi="Times New Roman"/>
              </w:rPr>
              <w:t>deşeurilor</w:t>
            </w:r>
            <w:proofErr w:type="spellEnd"/>
            <w:r w:rsidRPr="0060721D">
              <w:rPr>
                <w:rFonts w:ascii="Times New Roman" w:hAnsi="Times New Roman"/>
              </w:rPr>
              <w:t xml:space="preserve"> generate. </w:t>
            </w:r>
          </w:p>
        </w:tc>
        <w:tc>
          <w:tcPr>
            <w:tcW w:w="3095" w:type="dxa"/>
            <w:hideMark/>
          </w:tcPr>
          <w:p w14:paraId="2A2C1F57" w14:textId="77777777" w:rsidR="0060721D" w:rsidRPr="0060721D" w:rsidRDefault="0060721D" w:rsidP="0060721D">
            <w:pPr>
              <w:jc w:val="center"/>
              <w:rPr>
                <w:rFonts w:ascii="Times New Roman" w:hAnsi="Times New Roman"/>
              </w:rPr>
            </w:pPr>
            <w:r w:rsidRPr="0060721D">
              <w:rPr>
                <w:rFonts w:ascii="Times New Roman" w:hAnsi="Times New Roman"/>
              </w:rPr>
              <w:lastRenderedPageBreak/>
              <w:t xml:space="preserve">156 530 tone CO2 </w:t>
            </w:r>
            <w:proofErr w:type="spellStart"/>
            <w:r w:rsidRPr="0060721D">
              <w:rPr>
                <w:rFonts w:ascii="Times New Roman" w:hAnsi="Times New Roman"/>
              </w:rPr>
              <w:t>echivalent</w:t>
            </w:r>
            <w:proofErr w:type="spellEnd"/>
            <w:r w:rsidRPr="0060721D">
              <w:rPr>
                <w:rFonts w:ascii="Times New Roman" w:hAnsi="Times New Roman"/>
              </w:rPr>
              <w:t>/an</w:t>
            </w:r>
          </w:p>
        </w:tc>
        <w:tc>
          <w:tcPr>
            <w:tcW w:w="1283" w:type="dxa"/>
            <w:noWrap/>
            <w:hideMark/>
          </w:tcPr>
          <w:p w14:paraId="79BB14D5" w14:textId="77777777" w:rsidR="0060721D" w:rsidRPr="0060721D" w:rsidRDefault="0060721D" w:rsidP="0060721D">
            <w:pPr>
              <w:jc w:val="center"/>
              <w:rPr>
                <w:rFonts w:ascii="Times New Roman" w:hAnsi="Times New Roman"/>
              </w:rPr>
            </w:pPr>
            <w:r w:rsidRPr="0060721D">
              <w:rPr>
                <w:rFonts w:ascii="Times New Roman" w:hAnsi="Times New Roman"/>
              </w:rPr>
              <w:t xml:space="preserve">156 530 tone CO2 </w:t>
            </w:r>
            <w:proofErr w:type="spellStart"/>
            <w:r w:rsidRPr="0060721D">
              <w:rPr>
                <w:rFonts w:ascii="Times New Roman" w:hAnsi="Times New Roman"/>
              </w:rPr>
              <w:t>echivalent</w:t>
            </w:r>
            <w:proofErr w:type="spellEnd"/>
            <w:r w:rsidRPr="0060721D">
              <w:rPr>
                <w:rFonts w:ascii="Times New Roman" w:hAnsi="Times New Roman"/>
              </w:rPr>
              <w:t>/an</w:t>
            </w:r>
          </w:p>
        </w:tc>
      </w:tr>
      <w:tr w:rsidR="00F11CCD" w:rsidRPr="0060721D" w14:paraId="02A87AC9" w14:textId="77777777" w:rsidTr="00F11CCD">
        <w:trPr>
          <w:gridAfter w:val="1"/>
          <w:divId w:val="546725049"/>
          <w:wAfter w:w="219" w:type="dxa"/>
          <w:trHeight w:val="1392"/>
        </w:trPr>
        <w:tc>
          <w:tcPr>
            <w:tcW w:w="644" w:type="dxa"/>
            <w:gridSpan w:val="2"/>
            <w:hideMark/>
          </w:tcPr>
          <w:p w14:paraId="4392B227" w14:textId="77777777" w:rsidR="0060721D" w:rsidRPr="0060721D" w:rsidRDefault="0060721D" w:rsidP="0060721D">
            <w:pPr>
              <w:jc w:val="center"/>
              <w:rPr>
                <w:rFonts w:ascii="Times New Roman" w:hAnsi="Times New Roman"/>
              </w:rPr>
            </w:pPr>
            <w:r w:rsidRPr="0060721D">
              <w:rPr>
                <w:rFonts w:ascii="Times New Roman" w:hAnsi="Times New Roman"/>
              </w:rPr>
              <w:t>7,9</w:t>
            </w:r>
          </w:p>
        </w:tc>
        <w:tc>
          <w:tcPr>
            <w:tcW w:w="3293" w:type="dxa"/>
            <w:hideMark/>
          </w:tcPr>
          <w:p w14:paraId="6DC94C0B" w14:textId="77777777" w:rsidR="0060721D" w:rsidRPr="0060721D" w:rsidRDefault="0060721D" w:rsidP="0060721D">
            <w:pPr>
              <w:jc w:val="center"/>
              <w:rPr>
                <w:rFonts w:ascii="Times New Roman" w:hAnsi="Times New Roman"/>
              </w:rPr>
            </w:pPr>
            <w:proofErr w:type="spellStart"/>
            <w:r w:rsidRPr="0060721D">
              <w:rPr>
                <w:rFonts w:ascii="Times New Roman" w:hAnsi="Times New Roman"/>
              </w:rPr>
              <w:t>Recuperarea</w:t>
            </w:r>
            <w:proofErr w:type="spellEnd"/>
            <w:r w:rsidRPr="0060721D">
              <w:rPr>
                <w:rFonts w:ascii="Times New Roman" w:hAnsi="Times New Roman"/>
              </w:rPr>
              <w:t xml:space="preserve"> </w:t>
            </w:r>
            <w:proofErr w:type="spellStart"/>
            <w:r w:rsidRPr="0060721D">
              <w:rPr>
                <w:rFonts w:ascii="Times New Roman" w:hAnsi="Times New Roman"/>
              </w:rPr>
              <w:t>biogazului</w:t>
            </w:r>
            <w:proofErr w:type="spellEnd"/>
            <w:r w:rsidRPr="0060721D">
              <w:rPr>
                <w:rFonts w:ascii="Times New Roman" w:hAnsi="Times New Roman"/>
              </w:rPr>
              <w:t xml:space="preserve"> de la </w:t>
            </w:r>
            <w:proofErr w:type="spellStart"/>
            <w:r w:rsidRPr="0060721D">
              <w:rPr>
                <w:rFonts w:ascii="Times New Roman" w:hAnsi="Times New Roman"/>
              </w:rPr>
              <w:t>depozitul</w:t>
            </w:r>
            <w:proofErr w:type="spellEnd"/>
            <w:r w:rsidRPr="0060721D">
              <w:rPr>
                <w:rFonts w:ascii="Times New Roman" w:hAnsi="Times New Roman"/>
              </w:rPr>
              <w:t xml:space="preserve"> </w:t>
            </w:r>
            <w:proofErr w:type="spellStart"/>
            <w:r w:rsidRPr="0060721D">
              <w:rPr>
                <w:rFonts w:ascii="Times New Roman" w:hAnsi="Times New Roman"/>
              </w:rPr>
              <w:t>pentru</w:t>
            </w:r>
            <w:proofErr w:type="spellEnd"/>
            <w:r w:rsidRPr="0060721D">
              <w:rPr>
                <w:rFonts w:ascii="Times New Roman" w:hAnsi="Times New Roman"/>
              </w:rPr>
              <w:t xml:space="preserve"> </w:t>
            </w:r>
            <w:proofErr w:type="spellStart"/>
            <w:r w:rsidRPr="0060721D">
              <w:rPr>
                <w:rFonts w:ascii="Times New Roman" w:hAnsi="Times New Roman"/>
              </w:rPr>
              <w:t>deşeurile</w:t>
            </w:r>
            <w:proofErr w:type="spellEnd"/>
            <w:r w:rsidRPr="0060721D">
              <w:rPr>
                <w:rFonts w:ascii="Times New Roman" w:hAnsi="Times New Roman"/>
              </w:rPr>
              <w:t xml:space="preserve"> </w:t>
            </w:r>
            <w:proofErr w:type="spellStart"/>
            <w:r w:rsidRPr="0060721D">
              <w:rPr>
                <w:rFonts w:ascii="Times New Roman" w:hAnsi="Times New Roman"/>
              </w:rPr>
              <w:t>menajere</w:t>
            </w:r>
            <w:proofErr w:type="spellEnd"/>
            <w:r w:rsidRPr="0060721D">
              <w:rPr>
                <w:rFonts w:ascii="Times New Roman" w:hAnsi="Times New Roman"/>
              </w:rPr>
              <w:t xml:space="preserve"> </w:t>
            </w:r>
            <w:proofErr w:type="spellStart"/>
            <w:r w:rsidRPr="0060721D">
              <w:rPr>
                <w:rFonts w:ascii="Times New Roman" w:hAnsi="Times New Roman"/>
              </w:rPr>
              <w:t>solide</w:t>
            </w:r>
            <w:proofErr w:type="spellEnd"/>
            <w:r w:rsidRPr="0060721D">
              <w:rPr>
                <w:rFonts w:ascii="Times New Roman" w:hAnsi="Times New Roman"/>
              </w:rPr>
              <w:t xml:space="preserve"> din </w:t>
            </w:r>
            <w:proofErr w:type="spellStart"/>
            <w:r w:rsidRPr="0060721D">
              <w:rPr>
                <w:rFonts w:ascii="Times New Roman" w:hAnsi="Times New Roman"/>
              </w:rPr>
              <w:t>Ţînţăreni</w:t>
            </w:r>
            <w:proofErr w:type="spellEnd"/>
          </w:p>
        </w:tc>
        <w:tc>
          <w:tcPr>
            <w:tcW w:w="2220" w:type="dxa"/>
            <w:gridSpan w:val="3"/>
            <w:hideMark/>
          </w:tcPr>
          <w:p w14:paraId="5E7745F1" w14:textId="77777777" w:rsidR="0060721D" w:rsidRPr="0060721D" w:rsidRDefault="0060721D" w:rsidP="0060721D">
            <w:pPr>
              <w:jc w:val="center"/>
              <w:rPr>
                <w:rFonts w:ascii="Times New Roman" w:hAnsi="Times New Roman"/>
              </w:rPr>
            </w:pPr>
            <w:proofErr w:type="spellStart"/>
            <w:r w:rsidRPr="0060721D">
              <w:rPr>
                <w:rFonts w:ascii="Times New Roman" w:hAnsi="Times New Roman"/>
              </w:rPr>
              <w:t>Dotarea</w:t>
            </w:r>
            <w:proofErr w:type="spellEnd"/>
            <w:r w:rsidRPr="0060721D">
              <w:rPr>
                <w:rFonts w:ascii="Times New Roman" w:hAnsi="Times New Roman"/>
              </w:rPr>
              <w:t xml:space="preserve"> </w:t>
            </w:r>
            <w:proofErr w:type="spellStart"/>
            <w:r w:rsidRPr="0060721D">
              <w:rPr>
                <w:rFonts w:ascii="Times New Roman" w:hAnsi="Times New Roman"/>
              </w:rPr>
              <w:t>şi</w:t>
            </w:r>
            <w:proofErr w:type="spellEnd"/>
            <w:r w:rsidRPr="0060721D">
              <w:rPr>
                <w:rFonts w:ascii="Times New Roman" w:hAnsi="Times New Roman"/>
              </w:rPr>
              <w:t xml:space="preserve"> </w:t>
            </w:r>
            <w:proofErr w:type="spellStart"/>
            <w:r w:rsidRPr="0060721D">
              <w:rPr>
                <w:rFonts w:ascii="Times New Roman" w:hAnsi="Times New Roman"/>
              </w:rPr>
              <w:t>punerea</w:t>
            </w:r>
            <w:proofErr w:type="spellEnd"/>
            <w:r w:rsidRPr="0060721D">
              <w:rPr>
                <w:rFonts w:ascii="Times New Roman" w:hAnsi="Times New Roman"/>
              </w:rPr>
              <w:t xml:space="preserve"> </w:t>
            </w:r>
            <w:proofErr w:type="spellStart"/>
            <w:r w:rsidRPr="0060721D">
              <w:rPr>
                <w:rFonts w:ascii="Times New Roman" w:hAnsi="Times New Roman"/>
              </w:rPr>
              <w:t>în</w:t>
            </w:r>
            <w:proofErr w:type="spellEnd"/>
            <w:r w:rsidRPr="0060721D">
              <w:rPr>
                <w:rFonts w:ascii="Times New Roman" w:hAnsi="Times New Roman"/>
              </w:rPr>
              <w:t xml:space="preserve"> </w:t>
            </w:r>
            <w:proofErr w:type="spellStart"/>
            <w:r w:rsidRPr="0060721D">
              <w:rPr>
                <w:rFonts w:ascii="Times New Roman" w:hAnsi="Times New Roman"/>
              </w:rPr>
              <w:t>funcţiune</w:t>
            </w:r>
            <w:proofErr w:type="spellEnd"/>
            <w:r w:rsidRPr="0060721D">
              <w:rPr>
                <w:rFonts w:ascii="Times New Roman" w:hAnsi="Times New Roman"/>
              </w:rPr>
              <w:t xml:space="preserve"> a </w:t>
            </w:r>
            <w:proofErr w:type="spellStart"/>
            <w:r w:rsidRPr="0060721D">
              <w:rPr>
                <w:rFonts w:ascii="Times New Roman" w:hAnsi="Times New Roman"/>
              </w:rPr>
              <w:t>instalaţiei</w:t>
            </w:r>
            <w:proofErr w:type="spellEnd"/>
            <w:r w:rsidRPr="0060721D">
              <w:rPr>
                <w:rFonts w:ascii="Times New Roman" w:hAnsi="Times New Roman"/>
              </w:rPr>
              <w:t xml:space="preserve"> de </w:t>
            </w:r>
            <w:proofErr w:type="spellStart"/>
            <w:r w:rsidRPr="0060721D">
              <w:rPr>
                <w:rFonts w:ascii="Times New Roman" w:hAnsi="Times New Roman"/>
              </w:rPr>
              <w:t>recuperare</w:t>
            </w:r>
            <w:proofErr w:type="spellEnd"/>
            <w:r w:rsidRPr="0060721D">
              <w:rPr>
                <w:rFonts w:ascii="Times New Roman" w:hAnsi="Times New Roman"/>
              </w:rPr>
              <w:t xml:space="preserve"> a </w:t>
            </w:r>
            <w:proofErr w:type="spellStart"/>
            <w:r w:rsidRPr="0060721D">
              <w:rPr>
                <w:rFonts w:ascii="Times New Roman" w:hAnsi="Times New Roman"/>
              </w:rPr>
              <w:t>biogazului</w:t>
            </w:r>
            <w:proofErr w:type="spellEnd"/>
            <w:r w:rsidRPr="0060721D">
              <w:rPr>
                <w:rFonts w:ascii="Times New Roman" w:hAnsi="Times New Roman"/>
              </w:rPr>
              <w:t xml:space="preserve"> de la </w:t>
            </w:r>
            <w:proofErr w:type="spellStart"/>
            <w:r w:rsidRPr="0060721D">
              <w:rPr>
                <w:rFonts w:ascii="Times New Roman" w:hAnsi="Times New Roman"/>
              </w:rPr>
              <w:t>depozitul</w:t>
            </w:r>
            <w:proofErr w:type="spellEnd"/>
            <w:r w:rsidRPr="0060721D">
              <w:rPr>
                <w:rFonts w:ascii="Times New Roman" w:hAnsi="Times New Roman"/>
              </w:rPr>
              <w:t xml:space="preserve"> </w:t>
            </w:r>
            <w:proofErr w:type="spellStart"/>
            <w:r w:rsidRPr="0060721D">
              <w:rPr>
                <w:rFonts w:ascii="Times New Roman" w:hAnsi="Times New Roman"/>
              </w:rPr>
              <w:t>pentru</w:t>
            </w:r>
            <w:proofErr w:type="spellEnd"/>
            <w:r w:rsidRPr="0060721D">
              <w:rPr>
                <w:rFonts w:ascii="Times New Roman" w:hAnsi="Times New Roman"/>
              </w:rPr>
              <w:t xml:space="preserve"> </w:t>
            </w:r>
            <w:proofErr w:type="spellStart"/>
            <w:r w:rsidRPr="0060721D">
              <w:rPr>
                <w:rFonts w:ascii="Times New Roman" w:hAnsi="Times New Roman"/>
              </w:rPr>
              <w:t>deşeurile</w:t>
            </w:r>
            <w:proofErr w:type="spellEnd"/>
            <w:r w:rsidRPr="0060721D">
              <w:rPr>
                <w:rFonts w:ascii="Times New Roman" w:hAnsi="Times New Roman"/>
              </w:rPr>
              <w:t xml:space="preserve"> </w:t>
            </w:r>
            <w:proofErr w:type="spellStart"/>
            <w:r w:rsidRPr="0060721D">
              <w:rPr>
                <w:rFonts w:ascii="Times New Roman" w:hAnsi="Times New Roman"/>
              </w:rPr>
              <w:t>menajere</w:t>
            </w:r>
            <w:proofErr w:type="spellEnd"/>
            <w:r w:rsidRPr="0060721D">
              <w:rPr>
                <w:rFonts w:ascii="Times New Roman" w:hAnsi="Times New Roman"/>
              </w:rPr>
              <w:t xml:space="preserve"> </w:t>
            </w:r>
            <w:proofErr w:type="spellStart"/>
            <w:r w:rsidRPr="0060721D">
              <w:rPr>
                <w:rFonts w:ascii="Times New Roman" w:hAnsi="Times New Roman"/>
              </w:rPr>
              <w:t>solide</w:t>
            </w:r>
            <w:proofErr w:type="spellEnd"/>
            <w:r w:rsidRPr="0060721D">
              <w:rPr>
                <w:rFonts w:ascii="Times New Roman" w:hAnsi="Times New Roman"/>
              </w:rPr>
              <w:t xml:space="preserve"> din </w:t>
            </w:r>
            <w:proofErr w:type="spellStart"/>
            <w:r w:rsidRPr="0060721D">
              <w:rPr>
                <w:rFonts w:ascii="Times New Roman" w:hAnsi="Times New Roman"/>
              </w:rPr>
              <w:t>Ţînţăreni</w:t>
            </w:r>
            <w:proofErr w:type="spellEnd"/>
          </w:p>
        </w:tc>
        <w:tc>
          <w:tcPr>
            <w:tcW w:w="1980" w:type="dxa"/>
            <w:gridSpan w:val="2"/>
            <w:hideMark/>
          </w:tcPr>
          <w:p w14:paraId="20C329CF" w14:textId="77777777" w:rsidR="0060721D" w:rsidRPr="0060721D" w:rsidRDefault="0060721D" w:rsidP="0060721D">
            <w:pPr>
              <w:jc w:val="center"/>
              <w:rPr>
                <w:rFonts w:ascii="Times New Roman" w:hAnsi="Times New Roman"/>
              </w:rPr>
            </w:pPr>
            <w:proofErr w:type="spellStart"/>
            <w:r w:rsidRPr="0060721D">
              <w:rPr>
                <w:rFonts w:ascii="Times New Roman" w:hAnsi="Times New Roman"/>
              </w:rPr>
              <w:t>Alături</w:t>
            </w:r>
            <w:proofErr w:type="spellEnd"/>
            <w:r w:rsidRPr="0060721D">
              <w:rPr>
                <w:rFonts w:ascii="Times New Roman" w:hAnsi="Times New Roman"/>
              </w:rPr>
              <w:t xml:space="preserve"> de 325 kW </w:t>
            </w:r>
            <w:proofErr w:type="spellStart"/>
            <w:r w:rsidRPr="0060721D">
              <w:rPr>
                <w:rFonts w:ascii="Times New Roman" w:hAnsi="Times New Roman"/>
              </w:rPr>
              <w:t>putere</w:t>
            </w:r>
            <w:proofErr w:type="spellEnd"/>
            <w:r w:rsidRPr="0060721D">
              <w:rPr>
                <w:rFonts w:ascii="Times New Roman" w:hAnsi="Times New Roman"/>
              </w:rPr>
              <w:t xml:space="preserve"> </w:t>
            </w:r>
            <w:proofErr w:type="spellStart"/>
            <w:r w:rsidRPr="0060721D">
              <w:rPr>
                <w:rFonts w:ascii="Times New Roman" w:hAnsi="Times New Roman"/>
              </w:rPr>
              <w:t>electrică</w:t>
            </w:r>
            <w:proofErr w:type="spellEnd"/>
            <w:r w:rsidRPr="0060721D">
              <w:rPr>
                <w:rFonts w:ascii="Times New Roman" w:hAnsi="Times New Roman"/>
              </w:rPr>
              <w:t xml:space="preserve"> </w:t>
            </w:r>
            <w:proofErr w:type="spellStart"/>
            <w:r w:rsidRPr="0060721D">
              <w:rPr>
                <w:rFonts w:ascii="Times New Roman" w:hAnsi="Times New Roman"/>
              </w:rPr>
              <w:t>generatoare</w:t>
            </w:r>
            <w:proofErr w:type="spellEnd"/>
            <w:r w:rsidRPr="0060721D">
              <w:rPr>
                <w:rFonts w:ascii="Times New Roman" w:hAnsi="Times New Roman"/>
              </w:rPr>
              <w:t xml:space="preserve"> </w:t>
            </w:r>
            <w:proofErr w:type="spellStart"/>
            <w:r w:rsidRPr="0060721D">
              <w:rPr>
                <w:rFonts w:ascii="Times New Roman" w:hAnsi="Times New Roman"/>
              </w:rPr>
              <w:t>existentă</w:t>
            </w:r>
            <w:proofErr w:type="spellEnd"/>
            <w:r w:rsidRPr="0060721D">
              <w:rPr>
                <w:rFonts w:ascii="Times New Roman" w:hAnsi="Times New Roman"/>
              </w:rPr>
              <w:t xml:space="preserve"> </w:t>
            </w:r>
            <w:proofErr w:type="spellStart"/>
            <w:r w:rsidRPr="0060721D">
              <w:rPr>
                <w:rFonts w:ascii="Times New Roman" w:hAnsi="Times New Roman"/>
              </w:rPr>
              <w:t>vor</w:t>
            </w:r>
            <w:proofErr w:type="spellEnd"/>
            <w:r w:rsidRPr="0060721D">
              <w:rPr>
                <w:rFonts w:ascii="Times New Roman" w:hAnsi="Times New Roman"/>
              </w:rPr>
              <w:t xml:space="preserve"> fi </w:t>
            </w:r>
            <w:proofErr w:type="spellStart"/>
            <w:r w:rsidRPr="0060721D">
              <w:rPr>
                <w:rFonts w:ascii="Times New Roman" w:hAnsi="Times New Roman"/>
              </w:rPr>
              <w:t>construite</w:t>
            </w:r>
            <w:proofErr w:type="spellEnd"/>
            <w:r w:rsidRPr="0060721D">
              <w:rPr>
                <w:rFonts w:ascii="Times New Roman" w:hAnsi="Times New Roman"/>
              </w:rPr>
              <w:t xml:space="preserve"> </w:t>
            </w:r>
            <w:proofErr w:type="spellStart"/>
            <w:r w:rsidRPr="0060721D">
              <w:rPr>
                <w:rFonts w:ascii="Times New Roman" w:hAnsi="Times New Roman"/>
              </w:rPr>
              <w:t>adiţional</w:t>
            </w:r>
            <w:proofErr w:type="spellEnd"/>
            <w:r w:rsidRPr="0060721D">
              <w:rPr>
                <w:rFonts w:ascii="Times New Roman" w:hAnsi="Times New Roman"/>
              </w:rPr>
              <w:t xml:space="preserve"> 825 kW, </w:t>
            </w:r>
            <w:proofErr w:type="spellStart"/>
            <w:r w:rsidRPr="0060721D">
              <w:rPr>
                <w:rFonts w:ascii="Times New Roman" w:hAnsi="Times New Roman"/>
              </w:rPr>
              <w:t>începînd</w:t>
            </w:r>
            <w:proofErr w:type="spellEnd"/>
            <w:r w:rsidRPr="0060721D">
              <w:rPr>
                <w:rFonts w:ascii="Times New Roman" w:hAnsi="Times New Roman"/>
              </w:rPr>
              <w:t xml:space="preserve"> cu 2025</w:t>
            </w:r>
          </w:p>
        </w:tc>
        <w:tc>
          <w:tcPr>
            <w:tcW w:w="1405" w:type="dxa"/>
            <w:gridSpan w:val="2"/>
            <w:noWrap/>
            <w:hideMark/>
          </w:tcPr>
          <w:p w14:paraId="7A27BC51" w14:textId="77777777" w:rsidR="0060721D" w:rsidRPr="0060721D" w:rsidRDefault="0060721D" w:rsidP="0060721D">
            <w:pPr>
              <w:jc w:val="center"/>
              <w:rPr>
                <w:rFonts w:ascii="Times New Roman" w:hAnsi="Times New Roman"/>
              </w:rPr>
            </w:pPr>
            <w:r w:rsidRPr="0060721D">
              <w:rPr>
                <w:rFonts w:ascii="Times New Roman" w:hAnsi="Times New Roman"/>
              </w:rPr>
              <w:t> </w:t>
            </w:r>
          </w:p>
        </w:tc>
        <w:tc>
          <w:tcPr>
            <w:tcW w:w="3095" w:type="dxa"/>
            <w:hideMark/>
          </w:tcPr>
          <w:p w14:paraId="617072A0" w14:textId="77777777" w:rsidR="0060721D" w:rsidRPr="0060721D" w:rsidRDefault="0060721D" w:rsidP="0060721D">
            <w:pPr>
              <w:jc w:val="center"/>
              <w:rPr>
                <w:rFonts w:ascii="Times New Roman" w:hAnsi="Times New Roman"/>
              </w:rPr>
            </w:pPr>
            <w:r w:rsidRPr="0060721D">
              <w:rPr>
                <w:rFonts w:ascii="Times New Roman" w:hAnsi="Times New Roman"/>
              </w:rPr>
              <w:t xml:space="preserve">47 549 tone CO2 </w:t>
            </w:r>
            <w:proofErr w:type="spellStart"/>
            <w:r w:rsidRPr="0060721D">
              <w:rPr>
                <w:rFonts w:ascii="Times New Roman" w:hAnsi="Times New Roman"/>
              </w:rPr>
              <w:t>echivalent</w:t>
            </w:r>
            <w:proofErr w:type="spellEnd"/>
            <w:r w:rsidRPr="0060721D">
              <w:rPr>
                <w:rFonts w:ascii="Times New Roman" w:hAnsi="Times New Roman"/>
              </w:rPr>
              <w:t>/an</w:t>
            </w:r>
          </w:p>
        </w:tc>
        <w:tc>
          <w:tcPr>
            <w:tcW w:w="1283" w:type="dxa"/>
            <w:noWrap/>
            <w:hideMark/>
          </w:tcPr>
          <w:p w14:paraId="31EA4010" w14:textId="77777777" w:rsidR="0060721D" w:rsidRPr="0060721D" w:rsidRDefault="0060721D" w:rsidP="0060721D">
            <w:pPr>
              <w:jc w:val="center"/>
              <w:rPr>
                <w:rFonts w:ascii="Times New Roman" w:hAnsi="Times New Roman"/>
              </w:rPr>
            </w:pPr>
            <w:r w:rsidRPr="0060721D">
              <w:rPr>
                <w:rFonts w:ascii="Times New Roman" w:hAnsi="Times New Roman"/>
              </w:rPr>
              <w:t> </w:t>
            </w:r>
          </w:p>
        </w:tc>
      </w:tr>
      <w:tr w:rsidR="00F11CCD" w:rsidRPr="0060721D" w14:paraId="02D2D806" w14:textId="77777777" w:rsidTr="00F11CCD">
        <w:trPr>
          <w:gridAfter w:val="1"/>
          <w:divId w:val="546725049"/>
          <w:wAfter w:w="219" w:type="dxa"/>
          <w:trHeight w:val="1656"/>
        </w:trPr>
        <w:tc>
          <w:tcPr>
            <w:tcW w:w="644" w:type="dxa"/>
            <w:gridSpan w:val="2"/>
            <w:hideMark/>
          </w:tcPr>
          <w:p w14:paraId="147B23C0" w14:textId="77777777" w:rsidR="0060721D" w:rsidRPr="0060721D" w:rsidRDefault="0060721D" w:rsidP="0060721D">
            <w:pPr>
              <w:jc w:val="center"/>
              <w:rPr>
                <w:rFonts w:ascii="Times New Roman" w:hAnsi="Times New Roman"/>
              </w:rPr>
            </w:pPr>
            <w:r w:rsidRPr="0060721D">
              <w:rPr>
                <w:rFonts w:ascii="Times New Roman" w:hAnsi="Times New Roman"/>
              </w:rPr>
              <w:t>7.10</w:t>
            </w:r>
          </w:p>
        </w:tc>
        <w:tc>
          <w:tcPr>
            <w:tcW w:w="3293" w:type="dxa"/>
            <w:noWrap/>
            <w:hideMark/>
          </w:tcPr>
          <w:p w14:paraId="53172F1A" w14:textId="77777777" w:rsidR="0060721D" w:rsidRPr="0060721D" w:rsidRDefault="0060721D" w:rsidP="0060721D">
            <w:pPr>
              <w:jc w:val="center"/>
              <w:rPr>
                <w:rFonts w:ascii="Times New Roman" w:hAnsi="Times New Roman"/>
              </w:rPr>
            </w:pPr>
            <w:proofErr w:type="spellStart"/>
            <w:r w:rsidRPr="0060721D">
              <w:rPr>
                <w:rFonts w:ascii="Times New Roman" w:hAnsi="Times New Roman"/>
              </w:rPr>
              <w:t>Dotarea</w:t>
            </w:r>
            <w:proofErr w:type="spellEnd"/>
            <w:r w:rsidRPr="0060721D">
              <w:rPr>
                <w:rFonts w:ascii="Times New Roman" w:hAnsi="Times New Roman"/>
              </w:rPr>
              <w:t xml:space="preserve"> </w:t>
            </w:r>
            <w:proofErr w:type="spellStart"/>
            <w:r w:rsidRPr="0060721D">
              <w:rPr>
                <w:rFonts w:ascii="Times New Roman" w:hAnsi="Times New Roman"/>
              </w:rPr>
              <w:t>schemei</w:t>
            </w:r>
            <w:proofErr w:type="spellEnd"/>
            <w:r w:rsidRPr="0060721D">
              <w:rPr>
                <w:rFonts w:ascii="Times New Roman" w:hAnsi="Times New Roman"/>
              </w:rPr>
              <w:t xml:space="preserve"> </w:t>
            </w:r>
            <w:proofErr w:type="spellStart"/>
            <w:r w:rsidRPr="0060721D">
              <w:rPr>
                <w:rFonts w:ascii="Times New Roman" w:hAnsi="Times New Roman"/>
              </w:rPr>
              <w:t>tehnologice</w:t>
            </w:r>
            <w:proofErr w:type="spellEnd"/>
            <w:r w:rsidRPr="0060721D">
              <w:rPr>
                <w:rFonts w:ascii="Times New Roman" w:hAnsi="Times New Roman"/>
              </w:rPr>
              <w:t xml:space="preserve"> de </w:t>
            </w:r>
            <w:proofErr w:type="spellStart"/>
            <w:r w:rsidRPr="0060721D">
              <w:rPr>
                <w:rFonts w:ascii="Times New Roman" w:hAnsi="Times New Roman"/>
              </w:rPr>
              <w:t>epurare</w:t>
            </w:r>
            <w:proofErr w:type="spellEnd"/>
            <w:r w:rsidRPr="0060721D">
              <w:rPr>
                <w:rFonts w:ascii="Times New Roman" w:hAnsi="Times New Roman"/>
              </w:rPr>
              <w:t xml:space="preserve"> a </w:t>
            </w:r>
            <w:proofErr w:type="spellStart"/>
            <w:r w:rsidRPr="0060721D">
              <w:rPr>
                <w:rFonts w:ascii="Times New Roman" w:hAnsi="Times New Roman"/>
              </w:rPr>
              <w:t>apelor</w:t>
            </w:r>
            <w:proofErr w:type="spellEnd"/>
            <w:r w:rsidRPr="0060721D">
              <w:rPr>
                <w:rFonts w:ascii="Times New Roman" w:hAnsi="Times New Roman"/>
              </w:rPr>
              <w:t xml:space="preserve"> </w:t>
            </w:r>
            <w:proofErr w:type="spellStart"/>
            <w:r w:rsidRPr="0060721D">
              <w:rPr>
                <w:rFonts w:ascii="Times New Roman" w:hAnsi="Times New Roman"/>
              </w:rPr>
              <w:t>uzate</w:t>
            </w:r>
            <w:proofErr w:type="spellEnd"/>
            <w:r w:rsidRPr="0060721D">
              <w:rPr>
                <w:rFonts w:ascii="Times New Roman" w:hAnsi="Times New Roman"/>
              </w:rPr>
              <w:t xml:space="preserve"> </w:t>
            </w:r>
            <w:proofErr w:type="spellStart"/>
            <w:r w:rsidRPr="0060721D">
              <w:rPr>
                <w:rFonts w:ascii="Times New Roman" w:hAnsi="Times New Roman"/>
              </w:rPr>
              <w:t>aferente</w:t>
            </w:r>
            <w:proofErr w:type="spellEnd"/>
            <w:r w:rsidRPr="0060721D">
              <w:rPr>
                <w:rFonts w:ascii="Times New Roman" w:hAnsi="Times New Roman"/>
              </w:rPr>
              <w:t xml:space="preserve"> </w:t>
            </w:r>
            <w:proofErr w:type="spellStart"/>
            <w:r w:rsidRPr="0060721D">
              <w:rPr>
                <w:rFonts w:ascii="Times New Roman" w:hAnsi="Times New Roman"/>
              </w:rPr>
              <w:t>staţiilor</w:t>
            </w:r>
            <w:proofErr w:type="spellEnd"/>
            <w:r w:rsidRPr="0060721D">
              <w:rPr>
                <w:rFonts w:ascii="Times New Roman" w:hAnsi="Times New Roman"/>
              </w:rPr>
              <w:t xml:space="preserve"> </w:t>
            </w:r>
            <w:proofErr w:type="spellStart"/>
            <w:r w:rsidRPr="0060721D">
              <w:rPr>
                <w:rFonts w:ascii="Times New Roman" w:hAnsi="Times New Roman"/>
              </w:rPr>
              <w:t>apă</w:t>
            </w:r>
            <w:proofErr w:type="spellEnd"/>
            <w:r w:rsidRPr="0060721D">
              <w:rPr>
                <w:rFonts w:ascii="Times New Roman" w:hAnsi="Times New Roman"/>
              </w:rPr>
              <w:t xml:space="preserve">-canal din </w:t>
            </w:r>
            <w:proofErr w:type="spellStart"/>
            <w:r w:rsidRPr="0060721D">
              <w:rPr>
                <w:rFonts w:ascii="Times New Roman" w:hAnsi="Times New Roman"/>
              </w:rPr>
              <w:t>municipiile</w:t>
            </w:r>
            <w:proofErr w:type="spellEnd"/>
            <w:r w:rsidRPr="0060721D">
              <w:rPr>
                <w:rFonts w:ascii="Times New Roman" w:hAnsi="Times New Roman"/>
              </w:rPr>
              <w:t xml:space="preserve"> </w:t>
            </w:r>
            <w:proofErr w:type="spellStart"/>
            <w:r w:rsidRPr="0060721D">
              <w:rPr>
                <w:rFonts w:ascii="Times New Roman" w:hAnsi="Times New Roman"/>
              </w:rPr>
              <w:t>Chişinău</w:t>
            </w:r>
            <w:proofErr w:type="spellEnd"/>
            <w:r w:rsidRPr="0060721D">
              <w:rPr>
                <w:rFonts w:ascii="Times New Roman" w:hAnsi="Times New Roman"/>
              </w:rPr>
              <w:t xml:space="preserve">  cu </w:t>
            </w:r>
            <w:proofErr w:type="spellStart"/>
            <w:r w:rsidRPr="0060721D">
              <w:rPr>
                <w:rFonts w:ascii="Times New Roman" w:hAnsi="Times New Roman"/>
              </w:rPr>
              <w:t>tehnologii</w:t>
            </w:r>
            <w:proofErr w:type="spellEnd"/>
            <w:r w:rsidRPr="0060721D">
              <w:rPr>
                <w:rFonts w:ascii="Times New Roman" w:hAnsi="Times New Roman"/>
              </w:rPr>
              <w:t xml:space="preserve"> de </w:t>
            </w:r>
            <w:proofErr w:type="spellStart"/>
            <w:r w:rsidRPr="0060721D">
              <w:rPr>
                <w:rFonts w:ascii="Times New Roman" w:hAnsi="Times New Roman"/>
              </w:rPr>
              <w:t>tratare</w:t>
            </w:r>
            <w:proofErr w:type="spellEnd"/>
            <w:r w:rsidRPr="0060721D">
              <w:rPr>
                <w:rFonts w:ascii="Times New Roman" w:hAnsi="Times New Roman"/>
              </w:rPr>
              <w:t xml:space="preserve"> a </w:t>
            </w:r>
            <w:proofErr w:type="spellStart"/>
            <w:r w:rsidRPr="0060721D">
              <w:rPr>
                <w:rFonts w:ascii="Times New Roman" w:hAnsi="Times New Roman"/>
              </w:rPr>
              <w:t>nămolului</w:t>
            </w:r>
            <w:proofErr w:type="spellEnd"/>
            <w:r w:rsidRPr="0060721D">
              <w:rPr>
                <w:rFonts w:ascii="Times New Roman" w:hAnsi="Times New Roman"/>
              </w:rPr>
              <w:t xml:space="preserve"> </w:t>
            </w:r>
            <w:proofErr w:type="spellStart"/>
            <w:r w:rsidRPr="0060721D">
              <w:rPr>
                <w:rFonts w:ascii="Times New Roman" w:hAnsi="Times New Roman"/>
              </w:rPr>
              <w:t>în</w:t>
            </w:r>
            <w:proofErr w:type="spellEnd"/>
            <w:r w:rsidRPr="0060721D">
              <w:rPr>
                <w:rFonts w:ascii="Times New Roman" w:hAnsi="Times New Roman"/>
              </w:rPr>
              <w:t xml:space="preserve"> </w:t>
            </w:r>
            <w:proofErr w:type="spellStart"/>
            <w:r w:rsidRPr="0060721D">
              <w:rPr>
                <w:rFonts w:ascii="Times New Roman" w:hAnsi="Times New Roman"/>
              </w:rPr>
              <w:t>condiţii</w:t>
            </w:r>
            <w:proofErr w:type="spellEnd"/>
            <w:r w:rsidRPr="0060721D">
              <w:rPr>
                <w:rFonts w:ascii="Times New Roman" w:hAnsi="Times New Roman"/>
              </w:rPr>
              <w:t xml:space="preserve"> anaerobe.</w:t>
            </w:r>
          </w:p>
        </w:tc>
        <w:tc>
          <w:tcPr>
            <w:tcW w:w="2220" w:type="dxa"/>
            <w:gridSpan w:val="3"/>
            <w:hideMark/>
          </w:tcPr>
          <w:p w14:paraId="3B76EBB0" w14:textId="77777777" w:rsidR="0060721D" w:rsidRPr="0060721D" w:rsidRDefault="0060721D" w:rsidP="0060721D">
            <w:pPr>
              <w:jc w:val="center"/>
              <w:rPr>
                <w:rFonts w:ascii="Times New Roman" w:hAnsi="Times New Roman"/>
              </w:rPr>
            </w:pPr>
            <w:proofErr w:type="spellStart"/>
            <w:r w:rsidRPr="0060721D">
              <w:rPr>
                <w:rFonts w:ascii="Times New Roman" w:hAnsi="Times New Roman"/>
              </w:rPr>
              <w:t>Metan-tancul</w:t>
            </w:r>
            <w:proofErr w:type="spellEnd"/>
            <w:r w:rsidRPr="0060721D">
              <w:rPr>
                <w:rFonts w:ascii="Times New Roman" w:hAnsi="Times New Roman"/>
              </w:rPr>
              <w:t xml:space="preserve">, </w:t>
            </w:r>
            <w:proofErr w:type="spellStart"/>
            <w:r w:rsidRPr="0060721D">
              <w:rPr>
                <w:rFonts w:ascii="Times New Roman" w:hAnsi="Times New Roman"/>
              </w:rPr>
              <w:t>staţia</w:t>
            </w:r>
            <w:proofErr w:type="spellEnd"/>
            <w:r w:rsidRPr="0060721D">
              <w:rPr>
                <w:rFonts w:ascii="Times New Roman" w:hAnsi="Times New Roman"/>
              </w:rPr>
              <w:t xml:space="preserve"> de </w:t>
            </w:r>
            <w:proofErr w:type="spellStart"/>
            <w:r w:rsidRPr="0060721D">
              <w:rPr>
                <w:rFonts w:ascii="Times New Roman" w:hAnsi="Times New Roman"/>
              </w:rPr>
              <w:t>pompare</w:t>
            </w:r>
            <w:proofErr w:type="spellEnd"/>
            <w:r w:rsidRPr="0060721D">
              <w:rPr>
                <w:rFonts w:ascii="Times New Roman" w:hAnsi="Times New Roman"/>
              </w:rPr>
              <w:t xml:space="preserve">, </w:t>
            </w:r>
            <w:proofErr w:type="spellStart"/>
            <w:r w:rsidRPr="0060721D">
              <w:rPr>
                <w:rFonts w:ascii="Times New Roman" w:hAnsi="Times New Roman"/>
              </w:rPr>
              <w:t>concentratorul</w:t>
            </w:r>
            <w:proofErr w:type="spellEnd"/>
            <w:r w:rsidRPr="0060721D">
              <w:rPr>
                <w:rFonts w:ascii="Times New Roman" w:hAnsi="Times New Roman"/>
              </w:rPr>
              <w:t xml:space="preserve"> de </w:t>
            </w:r>
            <w:proofErr w:type="spellStart"/>
            <w:r w:rsidRPr="0060721D">
              <w:rPr>
                <w:rFonts w:ascii="Times New Roman" w:hAnsi="Times New Roman"/>
              </w:rPr>
              <w:t>nămol</w:t>
            </w:r>
            <w:proofErr w:type="spellEnd"/>
            <w:r w:rsidRPr="0060721D">
              <w:rPr>
                <w:rFonts w:ascii="Times New Roman" w:hAnsi="Times New Roman"/>
              </w:rPr>
              <w:t xml:space="preserve">, </w:t>
            </w:r>
            <w:proofErr w:type="spellStart"/>
            <w:r w:rsidRPr="0060721D">
              <w:rPr>
                <w:rFonts w:ascii="Times New Roman" w:hAnsi="Times New Roman"/>
              </w:rPr>
              <w:t>sistemele</w:t>
            </w:r>
            <w:proofErr w:type="spellEnd"/>
            <w:r w:rsidRPr="0060721D">
              <w:rPr>
                <w:rFonts w:ascii="Times New Roman" w:hAnsi="Times New Roman"/>
              </w:rPr>
              <w:t xml:space="preserve"> de </w:t>
            </w:r>
            <w:proofErr w:type="spellStart"/>
            <w:r w:rsidRPr="0060721D">
              <w:rPr>
                <w:rFonts w:ascii="Times New Roman" w:hAnsi="Times New Roman"/>
              </w:rPr>
              <w:t>depozitare</w:t>
            </w:r>
            <w:proofErr w:type="spellEnd"/>
            <w:r w:rsidRPr="0060721D">
              <w:rPr>
                <w:rFonts w:ascii="Times New Roman" w:hAnsi="Times New Roman"/>
              </w:rPr>
              <w:t xml:space="preserve"> </w:t>
            </w:r>
            <w:proofErr w:type="spellStart"/>
            <w:r w:rsidRPr="0060721D">
              <w:rPr>
                <w:rFonts w:ascii="Times New Roman" w:hAnsi="Times New Roman"/>
              </w:rPr>
              <w:t>şi</w:t>
            </w:r>
            <w:proofErr w:type="spellEnd"/>
            <w:r w:rsidRPr="0060721D">
              <w:rPr>
                <w:rFonts w:ascii="Times New Roman" w:hAnsi="Times New Roman"/>
              </w:rPr>
              <w:t xml:space="preserve"> </w:t>
            </w:r>
            <w:proofErr w:type="spellStart"/>
            <w:r w:rsidRPr="0060721D">
              <w:rPr>
                <w:rFonts w:ascii="Times New Roman" w:hAnsi="Times New Roman"/>
              </w:rPr>
              <w:t>arderea</w:t>
            </w:r>
            <w:proofErr w:type="spellEnd"/>
            <w:r w:rsidRPr="0060721D">
              <w:rPr>
                <w:rFonts w:ascii="Times New Roman" w:hAnsi="Times New Roman"/>
              </w:rPr>
              <w:t xml:space="preserve"> </w:t>
            </w:r>
            <w:proofErr w:type="spellStart"/>
            <w:r w:rsidRPr="0060721D">
              <w:rPr>
                <w:rFonts w:ascii="Times New Roman" w:hAnsi="Times New Roman"/>
              </w:rPr>
              <w:t>metanului</w:t>
            </w:r>
            <w:proofErr w:type="spellEnd"/>
            <w:r w:rsidRPr="0060721D">
              <w:rPr>
                <w:rFonts w:ascii="Times New Roman" w:hAnsi="Times New Roman"/>
              </w:rPr>
              <w:t xml:space="preserve">, </w:t>
            </w:r>
            <w:proofErr w:type="spellStart"/>
            <w:r w:rsidRPr="0060721D">
              <w:rPr>
                <w:rFonts w:ascii="Times New Roman" w:hAnsi="Times New Roman"/>
              </w:rPr>
              <w:t>rezervorul</w:t>
            </w:r>
            <w:proofErr w:type="spellEnd"/>
            <w:r w:rsidRPr="0060721D">
              <w:rPr>
                <w:rFonts w:ascii="Times New Roman" w:hAnsi="Times New Roman"/>
              </w:rPr>
              <w:t xml:space="preserve"> de </w:t>
            </w:r>
            <w:proofErr w:type="spellStart"/>
            <w:r w:rsidRPr="0060721D">
              <w:rPr>
                <w:rFonts w:ascii="Times New Roman" w:hAnsi="Times New Roman"/>
              </w:rPr>
              <w:t>deshidratare</w:t>
            </w:r>
            <w:proofErr w:type="spellEnd"/>
            <w:r w:rsidRPr="0060721D">
              <w:rPr>
                <w:rFonts w:ascii="Times New Roman" w:hAnsi="Times New Roman"/>
              </w:rPr>
              <w:t xml:space="preserve">, </w:t>
            </w:r>
            <w:proofErr w:type="spellStart"/>
            <w:r w:rsidRPr="0060721D">
              <w:rPr>
                <w:rFonts w:ascii="Times New Roman" w:hAnsi="Times New Roman"/>
              </w:rPr>
              <w:t>reţelele</w:t>
            </w:r>
            <w:proofErr w:type="spellEnd"/>
            <w:r w:rsidRPr="0060721D">
              <w:rPr>
                <w:rFonts w:ascii="Times New Roman" w:hAnsi="Times New Roman"/>
              </w:rPr>
              <w:t xml:space="preserve"> de </w:t>
            </w:r>
            <w:proofErr w:type="spellStart"/>
            <w:r w:rsidRPr="0060721D">
              <w:rPr>
                <w:rFonts w:ascii="Times New Roman" w:hAnsi="Times New Roman"/>
              </w:rPr>
              <w:t>distribuţie</w:t>
            </w:r>
            <w:proofErr w:type="spellEnd"/>
            <w:r w:rsidRPr="0060721D">
              <w:rPr>
                <w:rFonts w:ascii="Times New Roman" w:hAnsi="Times New Roman"/>
              </w:rPr>
              <w:t xml:space="preserve"> </w:t>
            </w:r>
            <w:proofErr w:type="spellStart"/>
            <w:r w:rsidRPr="0060721D">
              <w:rPr>
                <w:rFonts w:ascii="Times New Roman" w:hAnsi="Times New Roman"/>
              </w:rPr>
              <w:t>şi</w:t>
            </w:r>
            <w:proofErr w:type="spellEnd"/>
            <w:r w:rsidRPr="0060721D">
              <w:rPr>
                <w:rFonts w:ascii="Times New Roman" w:hAnsi="Times New Roman"/>
              </w:rPr>
              <w:t xml:space="preserve"> </w:t>
            </w:r>
            <w:proofErr w:type="spellStart"/>
            <w:r w:rsidRPr="0060721D">
              <w:rPr>
                <w:rFonts w:ascii="Times New Roman" w:hAnsi="Times New Roman"/>
              </w:rPr>
              <w:t>comunicaţii</w:t>
            </w:r>
            <w:proofErr w:type="spellEnd"/>
            <w:r w:rsidRPr="0060721D">
              <w:rPr>
                <w:rFonts w:ascii="Times New Roman" w:hAnsi="Times New Roman"/>
              </w:rPr>
              <w:t xml:space="preserve"> </w:t>
            </w:r>
            <w:proofErr w:type="spellStart"/>
            <w:r w:rsidRPr="0060721D">
              <w:rPr>
                <w:rFonts w:ascii="Times New Roman" w:hAnsi="Times New Roman"/>
              </w:rPr>
              <w:t>instalate</w:t>
            </w:r>
            <w:proofErr w:type="spellEnd"/>
            <w:r w:rsidRPr="0060721D">
              <w:rPr>
                <w:rFonts w:ascii="Times New Roman" w:hAnsi="Times New Roman"/>
              </w:rPr>
              <w:t xml:space="preserve"> la </w:t>
            </w:r>
            <w:proofErr w:type="spellStart"/>
            <w:r w:rsidRPr="0060721D">
              <w:rPr>
                <w:rFonts w:ascii="Times New Roman" w:hAnsi="Times New Roman"/>
              </w:rPr>
              <w:t>staţiile</w:t>
            </w:r>
            <w:proofErr w:type="spellEnd"/>
            <w:r w:rsidRPr="0060721D">
              <w:rPr>
                <w:rFonts w:ascii="Times New Roman" w:hAnsi="Times New Roman"/>
              </w:rPr>
              <w:t xml:space="preserve"> de </w:t>
            </w:r>
            <w:proofErr w:type="spellStart"/>
            <w:r w:rsidRPr="0060721D">
              <w:rPr>
                <w:rFonts w:ascii="Times New Roman" w:hAnsi="Times New Roman"/>
              </w:rPr>
              <w:t>epurare</w:t>
            </w:r>
            <w:proofErr w:type="spellEnd"/>
            <w:r w:rsidRPr="0060721D">
              <w:rPr>
                <w:rFonts w:ascii="Times New Roman" w:hAnsi="Times New Roman"/>
              </w:rPr>
              <w:t xml:space="preserve"> a </w:t>
            </w:r>
            <w:proofErr w:type="spellStart"/>
            <w:r w:rsidRPr="0060721D">
              <w:rPr>
                <w:rFonts w:ascii="Times New Roman" w:hAnsi="Times New Roman"/>
              </w:rPr>
              <w:t>apelor</w:t>
            </w:r>
            <w:proofErr w:type="spellEnd"/>
            <w:r w:rsidRPr="0060721D">
              <w:rPr>
                <w:rFonts w:ascii="Times New Roman" w:hAnsi="Times New Roman"/>
              </w:rPr>
              <w:t xml:space="preserve"> </w:t>
            </w:r>
            <w:proofErr w:type="spellStart"/>
            <w:r w:rsidRPr="0060721D">
              <w:rPr>
                <w:rFonts w:ascii="Times New Roman" w:hAnsi="Times New Roman"/>
              </w:rPr>
              <w:t>uzate</w:t>
            </w:r>
            <w:proofErr w:type="spellEnd"/>
            <w:r w:rsidRPr="0060721D">
              <w:rPr>
                <w:rFonts w:ascii="Times New Roman" w:hAnsi="Times New Roman"/>
              </w:rPr>
              <w:t xml:space="preserve"> din </w:t>
            </w:r>
            <w:proofErr w:type="spellStart"/>
            <w:r w:rsidRPr="0060721D">
              <w:rPr>
                <w:rFonts w:ascii="Times New Roman" w:hAnsi="Times New Roman"/>
              </w:rPr>
              <w:t>mun.Chişinău</w:t>
            </w:r>
            <w:proofErr w:type="spellEnd"/>
          </w:p>
        </w:tc>
        <w:tc>
          <w:tcPr>
            <w:tcW w:w="1980" w:type="dxa"/>
            <w:gridSpan w:val="2"/>
            <w:hideMark/>
          </w:tcPr>
          <w:p w14:paraId="5C3C8059" w14:textId="77777777" w:rsidR="0060721D" w:rsidRPr="0060721D" w:rsidRDefault="0060721D" w:rsidP="0060721D">
            <w:pPr>
              <w:jc w:val="center"/>
              <w:rPr>
                <w:rFonts w:ascii="Times New Roman" w:hAnsi="Times New Roman"/>
              </w:rPr>
            </w:pPr>
            <w:proofErr w:type="spellStart"/>
            <w:r w:rsidRPr="0060721D">
              <w:rPr>
                <w:rFonts w:ascii="Times New Roman" w:hAnsi="Times New Roman"/>
              </w:rPr>
              <w:t>Recuperarea</w:t>
            </w:r>
            <w:proofErr w:type="spellEnd"/>
            <w:r w:rsidRPr="0060721D">
              <w:rPr>
                <w:rFonts w:ascii="Times New Roman" w:hAnsi="Times New Roman"/>
              </w:rPr>
              <w:t xml:space="preserve"> CH4 </w:t>
            </w:r>
            <w:proofErr w:type="spellStart"/>
            <w:r w:rsidRPr="0060721D">
              <w:rPr>
                <w:rFonts w:ascii="Times New Roman" w:hAnsi="Times New Roman"/>
              </w:rPr>
              <w:t>prin</w:t>
            </w:r>
            <w:proofErr w:type="spellEnd"/>
            <w:r w:rsidRPr="0060721D">
              <w:rPr>
                <w:rFonts w:ascii="Times New Roman" w:hAnsi="Times New Roman"/>
              </w:rPr>
              <w:t xml:space="preserve"> </w:t>
            </w:r>
            <w:proofErr w:type="spellStart"/>
            <w:r w:rsidRPr="0060721D">
              <w:rPr>
                <w:rFonts w:ascii="Times New Roman" w:hAnsi="Times New Roman"/>
              </w:rPr>
              <w:t>biodigestie</w:t>
            </w:r>
            <w:proofErr w:type="spellEnd"/>
            <w:r w:rsidRPr="0060721D">
              <w:rPr>
                <w:rFonts w:ascii="Times New Roman" w:hAnsi="Times New Roman"/>
              </w:rPr>
              <w:t xml:space="preserve"> in </w:t>
            </w:r>
            <w:proofErr w:type="spellStart"/>
            <w:r w:rsidRPr="0060721D">
              <w:rPr>
                <w:rFonts w:ascii="Times New Roman" w:hAnsi="Times New Roman"/>
              </w:rPr>
              <w:t>metantanc</w:t>
            </w:r>
            <w:proofErr w:type="spellEnd"/>
            <w:r w:rsidRPr="0060721D">
              <w:rPr>
                <w:rFonts w:ascii="Times New Roman" w:hAnsi="Times New Roman"/>
              </w:rPr>
              <w:t xml:space="preserve">, </w:t>
            </w:r>
            <w:proofErr w:type="spellStart"/>
            <w:r w:rsidRPr="0060721D">
              <w:rPr>
                <w:rFonts w:ascii="Times New Roman" w:hAnsi="Times New Roman"/>
              </w:rPr>
              <w:t>ar</w:t>
            </w:r>
            <w:proofErr w:type="spellEnd"/>
            <w:r w:rsidRPr="0060721D">
              <w:rPr>
                <w:rFonts w:ascii="Times New Roman" w:hAnsi="Times New Roman"/>
              </w:rPr>
              <w:t xml:space="preserve"> </w:t>
            </w:r>
            <w:proofErr w:type="spellStart"/>
            <w:r w:rsidRPr="0060721D">
              <w:rPr>
                <w:rFonts w:ascii="Times New Roman" w:hAnsi="Times New Roman"/>
              </w:rPr>
              <w:t>conribuie</w:t>
            </w:r>
            <w:proofErr w:type="spellEnd"/>
            <w:r w:rsidRPr="0060721D">
              <w:rPr>
                <w:rFonts w:ascii="Times New Roman" w:hAnsi="Times New Roman"/>
              </w:rPr>
              <w:t xml:space="preserve"> la </w:t>
            </w:r>
            <w:proofErr w:type="spellStart"/>
            <w:r w:rsidRPr="0060721D">
              <w:rPr>
                <w:rFonts w:ascii="Times New Roman" w:hAnsi="Times New Roman"/>
              </w:rPr>
              <w:t>reducere</w:t>
            </w:r>
            <w:proofErr w:type="spellEnd"/>
            <w:r w:rsidRPr="0060721D">
              <w:rPr>
                <w:rFonts w:ascii="Times New Roman" w:hAnsi="Times New Roman"/>
              </w:rPr>
              <w:t xml:space="preserve"> </w:t>
            </w:r>
            <w:proofErr w:type="spellStart"/>
            <w:r w:rsidRPr="0060721D">
              <w:rPr>
                <w:rFonts w:ascii="Times New Roman" w:hAnsi="Times New Roman"/>
              </w:rPr>
              <w:t>anuala</w:t>
            </w:r>
            <w:proofErr w:type="spellEnd"/>
            <w:r w:rsidRPr="0060721D">
              <w:rPr>
                <w:rFonts w:ascii="Times New Roman" w:hAnsi="Times New Roman"/>
              </w:rPr>
              <w:t xml:space="preserve"> a </w:t>
            </w:r>
            <w:proofErr w:type="spellStart"/>
            <w:r w:rsidRPr="0060721D">
              <w:rPr>
                <w:rFonts w:ascii="Times New Roman" w:hAnsi="Times New Roman"/>
              </w:rPr>
              <w:t>emissilor</w:t>
            </w:r>
            <w:proofErr w:type="spellEnd"/>
            <w:r w:rsidRPr="0060721D">
              <w:rPr>
                <w:rFonts w:ascii="Times New Roman" w:hAnsi="Times New Roman"/>
              </w:rPr>
              <w:t xml:space="preserve"> GES  (15-25 %) </w:t>
            </w:r>
            <w:proofErr w:type="spellStart"/>
            <w:r w:rsidRPr="0060721D">
              <w:rPr>
                <w:rFonts w:ascii="Times New Roman" w:hAnsi="Times New Roman"/>
              </w:rPr>
              <w:t>în</w:t>
            </w:r>
            <w:proofErr w:type="spellEnd"/>
            <w:r w:rsidRPr="0060721D">
              <w:rPr>
                <w:rFonts w:ascii="Times New Roman" w:hAnsi="Times New Roman"/>
              </w:rPr>
              <w:t xml:space="preserve"> </w:t>
            </w:r>
            <w:proofErr w:type="spellStart"/>
            <w:r w:rsidRPr="0060721D">
              <w:rPr>
                <w:rFonts w:ascii="Times New Roman" w:hAnsi="Times New Roman"/>
              </w:rPr>
              <w:t>perioada</w:t>
            </w:r>
            <w:proofErr w:type="spellEnd"/>
            <w:r w:rsidRPr="0060721D">
              <w:rPr>
                <w:rFonts w:ascii="Times New Roman" w:hAnsi="Times New Roman"/>
              </w:rPr>
              <w:t xml:space="preserve"> 2022-2035 din </w:t>
            </w:r>
            <w:proofErr w:type="spellStart"/>
            <w:r w:rsidRPr="0060721D">
              <w:rPr>
                <w:rFonts w:ascii="Times New Roman" w:hAnsi="Times New Roman"/>
              </w:rPr>
              <w:t>emisiile</w:t>
            </w:r>
            <w:proofErr w:type="spellEnd"/>
            <w:r w:rsidRPr="0060721D">
              <w:rPr>
                <w:rFonts w:ascii="Times New Roman" w:hAnsi="Times New Roman"/>
              </w:rPr>
              <w:t xml:space="preserve"> </w:t>
            </w:r>
            <w:proofErr w:type="spellStart"/>
            <w:r w:rsidRPr="0060721D">
              <w:rPr>
                <w:rFonts w:ascii="Times New Roman" w:hAnsi="Times New Roman"/>
              </w:rPr>
              <w:t>actuale</w:t>
            </w:r>
            <w:proofErr w:type="spellEnd"/>
            <w:r w:rsidRPr="0060721D">
              <w:rPr>
                <w:rFonts w:ascii="Times New Roman" w:hAnsi="Times New Roman"/>
              </w:rPr>
              <w:t xml:space="preserve"> </w:t>
            </w:r>
            <w:proofErr w:type="spellStart"/>
            <w:r w:rsidRPr="0060721D">
              <w:rPr>
                <w:rFonts w:ascii="Times New Roman" w:hAnsi="Times New Roman"/>
              </w:rPr>
              <w:t>atribuite</w:t>
            </w:r>
            <w:proofErr w:type="spellEnd"/>
            <w:r w:rsidRPr="0060721D">
              <w:rPr>
                <w:rFonts w:ascii="Times New Roman" w:hAnsi="Times New Roman"/>
              </w:rPr>
              <w:t xml:space="preserve"> </w:t>
            </w:r>
            <w:proofErr w:type="spellStart"/>
            <w:r w:rsidRPr="0060721D">
              <w:rPr>
                <w:rFonts w:ascii="Times New Roman" w:hAnsi="Times New Roman"/>
              </w:rPr>
              <w:t>categorie</w:t>
            </w:r>
            <w:proofErr w:type="spellEnd"/>
            <w:r w:rsidRPr="0060721D">
              <w:rPr>
                <w:rFonts w:ascii="Times New Roman" w:hAnsi="Times New Roman"/>
              </w:rPr>
              <w:t xml:space="preserve"> 4D1. </w:t>
            </w:r>
          </w:p>
        </w:tc>
        <w:tc>
          <w:tcPr>
            <w:tcW w:w="1405" w:type="dxa"/>
            <w:gridSpan w:val="2"/>
            <w:noWrap/>
            <w:hideMark/>
          </w:tcPr>
          <w:p w14:paraId="1814C621" w14:textId="77777777" w:rsidR="0060721D" w:rsidRPr="0060721D" w:rsidRDefault="0060721D" w:rsidP="0060721D">
            <w:pPr>
              <w:jc w:val="center"/>
              <w:rPr>
                <w:rFonts w:ascii="Times New Roman" w:hAnsi="Times New Roman"/>
              </w:rPr>
            </w:pPr>
            <w:r w:rsidRPr="0060721D">
              <w:rPr>
                <w:rFonts w:ascii="Times New Roman" w:hAnsi="Times New Roman"/>
              </w:rPr>
              <w:t> </w:t>
            </w:r>
          </w:p>
        </w:tc>
        <w:tc>
          <w:tcPr>
            <w:tcW w:w="3095" w:type="dxa"/>
            <w:hideMark/>
          </w:tcPr>
          <w:p w14:paraId="700193C3" w14:textId="77777777" w:rsidR="0060721D" w:rsidRPr="0060721D" w:rsidRDefault="0060721D" w:rsidP="0060721D">
            <w:pPr>
              <w:jc w:val="center"/>
              <w:rPr>
                <w:rFonts w:ascii="Times New Roman" w:hAnsi="Times New Roman"/>
              </w:rPr>
            </w:pPr>
            <w:r w:rsidRPr="0060721D">
              <w:rPr>
                <w:rFonts w:ascii="Times New Roman" w:hAnsi="Times New Roman"/>
              </w:rPr>
              <w:t xml:space="preserve">38 790 tone CO2 </w:t>
            </w:r>
            <w:proofErr w:type="spellStart"/>
            <w:r w:rsidRPr="0060721D">
              <w:rPr>
                <w:rFonts w:ascii="Times New Roman" w:hAnsi="Times New Roman"/>
              </w:rPr>
              <w:t>echivalemt</w:t>
            </w:r>
            <w:proofErr w:type="spellEnd"/>
            <w:r w:rsidRPr="0060721D">
              <w:rPr>
                <w:rFonts w:ascii="Times New Roman" w:hAnsi="Times New Roman"/>
              </w:rPr>
              <w:t>/an</w:t>
            </w:r>
          </w:p>
        </w:tc>
        <w:tc>
          <w:tcPr>
            <w:tcW w:w="1283" w:type="dxa"/>
            <w:hideMark/>
          </w:tcPr>
          <w:p w14:paraId="078E8D64" w14:textId="77777777" w:rsidR="0060721D" w:rsidRPr="0060721D" w:rsidRDefault="0060721D" w:rsidP="0060721D">
            <w:pPr>
              <w:jc w:val="center"/>
              <w:rPr>
                <w:rFonts w:ascii="Times New Roman" w:hAnsi="Times New Roman"/>
              </w:rPr>
            </w:pPr>
            <w:r w:rsidRPr="0060721D">
              <w:rPr>
                <w:rFonts w:ascii="Times New Roman" w:hAnsi="Times New Roman"/>
              </w:rPr>
              <w:t> </w:t>
            </w:r>
          </w:p>
        </w:tc>
      </w:tr>
    </w:tbl>
    <w:p w14:paraId="6F38460F" w14:textId="77777777" w:rsidR="002D5884" w:rsidRDefault="002D5884" w:rsidP="001F2F2D">
      <w:pPr>
        <w:spacing w:after="0" w:line="240" w:lineRule="auto"/>
        <w:jc w:val="both"/>
        <w:rPr>
          <w:rFonts w:ascii="Times New Roman" w:eastAsia="Times New Roman" w:hAnsi="Times New Roman" w:cs="Times New Roman"/>
          <w:sz w:val="24"/>
          <w:szCs w:val="24"/>
          <w:lang w:eastAsia="ru-RU"/>
        </w:rPr>
      </w:pPr>
    </w:p>
    <w:p w14:paraId="22C81072" w14:textId="625B9A38" w:rsidR="002D5884" w:rsidRDefault="002D5884" w:rsidP="001F2F2D">
      <w:pPr>
        <w:spacing w:after="0" w:line="240" w:lineRule="auto"/>
        <w:jc w:val="both"/>
        <w:rPr>
          <w:rFonts w:ascii="Times New Roman" w:eastAsia="Times New Roman" w:hAnsi="Times New Roman" w:cs="Times New Roman"/>
          <w:sz w:val="24"/>
          <w:szCs w:val="24"/>
          <w:lang w:eastAsia="ru-RU"/>
        </w:rPr>
      </w:pPr>
    </w:p>
    <w:p w14:paraId="7A462379" w14:textId="0175E468" w:rsidR="002D5884" w:rsidRDefault="002D5884" w:rsidP="001F2F2D">
      <w:pPr>
        <w:spacing w:after="0" w:line="240" w:lineRule="auto"/>
        <w:jc w:val="both"/>
        <w:rPr>
          <w:rFonts w:ascii="Times New Roman" w:eastAsia="Times New Roman" w:hAnsi="Times New Roman" w:cs="Times New Roman"/>
          <w:sz w:val="24"/>
          <w:szCs w:val="24"/>
          <w:lang w:eastAsia="ru-RU"/>
        </w:rPr>
      </w:pPr>
    </w:p>
    <w:p w14:paraId="4870E8C0" w14:textId="2E9DE425" w:rsidR="002D5884" w:rsidRDefault="002D5884" w:rsidP="001F2F2D">
      <w:pPr>
        <w:spacing w:after="0" w:line="240" w:lineRule="auto"/>
        <w:jc w:val="both"/>
        <w:rPr>
          <w:rFonts w:ascii="Times New Roman" w:eastAsia="Times New Roman" w:hAnsi="Times New Roman" w:cs="Times New Roman"/>
          <w:sz w:val="24"/>
          <w:szCs w:val="24"/>
          <w:lang w:eastAsia="ru-RU"/>
        </w:rPr>
      </w:pPr>
    </w:p>
    <w:p w14:paraId="6D2930A6" w14:textId="1EBCB4CD" w:rsidR="006364B2" w:rsidRPr="00125FAF" w:rsidRDefault="009B637B" w:rsidP="001F2F2D">
      <w:pPr>
        <w:spacing w:after="0" w:line="240" w:lineRule="auto"/>
        <w:jc w:val="both"/>
        <w:rPr>
          <w:rFonts w:ascii="Times New Roman" w:eastAsia="Times New Roman" w:hAnsi="Times New Roman" w:cs="Times New Roman"/>
          <w:sz w:val="24"/>
          <w:szCs w:val="24"/>
          <w:lang w:eastAsia="ru-RU"/>
        </w:rPr>
      </w:pPr>
      <w:r w:rsidRPr="00125FAF">
        <w:rPr>
          <w:rFonts w:ascii="Times New Roman" w:eastAsia="Times New Roman" w:hAnsi="Times New Roman" w:cs="Times New Roman"/>
          <w:sz w:val="24"/>
          <w:szCs w:val="24"/>
          <w:lang w:eastAsia="ru-RU"/>
        </w:rPr>
        <w:fldChar w:fldCharType="end"/>
      </w:r>
    </w:p>
    <w:p w14:paraId="22C670E9" w14:textId="77777777" w:rsidR="006364B2" w:rsidRPr="00125FAF" w:rsidRDefault="006364B2">
      <w:pPr>
        <w:spacing w:after="0" w:line="240" w:lineRule="auto"/>
        <w:ind w:firstLine="720"/>
        <w:jc w:val="both"/>
        <w:rPr>
          <w:rFonts w:ascii="Times New Roman" w:eastAsia="Times New Roman" w:hAnsi="Times New Roman" w:cs="Times New Roman"/>
          <w:sz w:val="24"/>
          <w:szCs w:val="24"/>
        </w:rPr>
      </w:pPr>
    </w:p>
    <w:p w14:paraId="0C7A6AEB" w14:textId="5234E4B0" w:rsidR="006364B2" w:rsidRPr="00125FAF" w:rsidRDefault="006364B2">
      <w:pPr>
        <w:spacing w:after="0" w:line="240" w:lineRule="auto"/>
        <w:ind w:firstLine="720"/>
        <w:jc w:val="both"/>
        <w:rPr>
          <w:rFonts w:ascii="Times New Roman" w:eastAsia="Times New Roman" w:hAnsi="Times New Roman" w:cs="Times New Roman"/>
          <w:sz w:val="20"/>
          <w:szCs w:val="20"/>
        </w:rPr>
      </w:pPr>
    </w:p>
    <w:p w14:paraId="4B093CEF" w14:textId="04446563" w:rsidR="006364B2" w:rsidRPr="00125FAF" w:rsidRDefault="00F11CCD" w:rsidP="006364B2">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A</w:t>
      </w:r>
      <w:r w:rsidR="006364B2" w:rsidRPr="00125FAF">
        <w:rPr>
          <w:rFonts w:ascii="Times New Roman" w:eastAsia="Times New Roman" w:hAnsi="Times New Roman" w:cs="Times New Roman"/>
          <w:color w:val="000000"/>
          <w:lang w:eastAsia="ru-RU"/>
        </w:rPr>
        <w:t xml:space="preserve">nexa nr. </w:t>
      </w:r>
      <w:r w:rsidR="00453DA5" w:rsidRPr="00125FAF">
        <w:rPr>
          <w:rFonts w:ascii="Times New Roman" w:eastAsia="Times New Roman" w:hAnsi="Times New Roman" w:cs="Times New Roman"/>
          <w:color w:val="000000"/>
          <w:lang w:eastAsia="ru-RU"/>
        </w:rPr>
        <w:t>3</w:t>
      </w:r>
    </w:p>
    <w:p w14:paraId="3C738C51" w14:textId="1C48A1DB" w:rsidR="006364B2" w:rsidRPr="00125FAF" w:rsidRDefault="006364B2" w:rsidP="006364B2">
      <w:pPr>
        <w:spacing w:after="0" w:line="240" w:lineRule="auto"/>
        <w:jc w:val="right"/>
        <w:rPr>
          <w:rFonts w:ascii="Times New Roman" w:eastAsia="Times New Roman" w:hAnsi="Times New Roman" w:cs="Times New Roman"/>
          <w:color w:val="000000"/>
          <w:lang w:eastAsia="ru-RU"/>
        </w:rPr>
      </w:pPr>
      <w:r w:rsidRPr="00125FAF">
        <w:rPr>
          <w:rFonts w:ascii="Times New Roman" w:eastAsia="Times New Roman" w:hAnsi="Times New Roman" w:cs="Times New Roman"/>
          <w:color w:val="000000"/>
          <w:lang w:eastAsia="ru-RU"/>
        </w:rPr>
        <w:t xml:space="preserve">la </w:t>
      </w:r>
      <w:proofErr w:type="spellStart"/>
      <w:r w:rsidRPr="00125FAF">
        <w:rPr>
          <w:rFonts w:ascii="Times New Roman" w:eastAsia="Times New Roman" w:hAnsi="Times New Roman" w:cs="Times New Roman"/>
          <w:color w:val="000000"/>
          <w:lang w:eastAsia="ru-RU"/>
        </w:rPr>
        <w:t>Hotărîrea</w:t>
      </w:r>
      <w:proofErr w:type="spellEnd"/>
      <w:r w:rsidRPr="00125FAF">
        <w:rPr>
          <w:rFonts w:ascii="Times New Roman" w:eastAsia="Times New Roman" w:hAnsi="Times New Roman" w:cs="Times New Roman"/>
          <w:color w:val="000000"/>
          <w:lang w:eastAsia="ru-RU"/>
        </w:rPr>
        <w:t xml:space="preserve"> Guvernului nr.</w:t>
      </w:r>
    </w:p>
    <w:p w14:paraId="37DAE40E" w14:textId="6B130EB8" w:rsidR="006364B2" w:rsidRPr="00125FAF" w:rsidRDefault="006364B2" w:rsidP="006364B2">
      <w:pPr>
        <w:spacing w:after="0" w:line="240" w:lineRule="auto"/>
        <w:jc w:val="right"/>
        <w:rPr>
          <w:rFonts w:ascii="Times New Roman" w:eastAsia="Times New Roman" w:hAnsi="Times New Roman" w:cs="Times New Roman"/>
          <w:lang w:eastAsia="ru-RU"/>
        </w:rPr>
      </w:pPr>
      <w:r w:rsidRPr="00125FAF">
        <w:rPr>
          <w:rFonts w:ascii="Times New Roman" w:eastAsia="Times New Roman" w:hAnsi="Times New Roman" w:cs="Times New Roman"/>
          <w:color w:val="000000"/>
          <w:lang w:eastAsia="ru-RU"/>
        </w:rPr>
        <w:t xml:space="preserve">din </w:t>
      </w:r>
      <w:r w:rsidR="00D25293" w:rsidRPr="00125FAF">
        <w:rPr>
          <w:rFonts w:ascii="Times New Roman" w:eastAsia="Times New Roman" w:hAnsi="Times New Roman" w:cs="Times New Roman"/>
          <w:color w:val="000000"/>
          <w:lang w:eastAsia="ru-RU"/>
        </w:rPr>
        <w:t>..............................202</w:t>
      </w:r>
      <w:r w:rsidR="00E0052F">
        <w:rPr>
          <w:rFonts w:ascii="Times New Roman" w:eastAsia="Times New Roman" w:hAnsi="Times New Roman" w:cs="Times New Roman"/>
          <w:color w:val="000000"/>
          <w:lang w:eastAsia="ru-RU"/>
        </w:rPr>
        <w:t>3</w:t>
      </w:r>
    </w:p>
    <w:p w14:paraId="636BC4C0" w14:textId="77777777" w:rsidR="006364B2" w:rsidRPr="00125FAF" w:rsidRDefault="006364B2" w:rsidP="006364B2">
      <w:pPr>
        <w:spacing w:after="0" w:line="240" w:lineRule="auto"/>
        <w:rPr>
          <w:rFonts w:ascii="Times New Roman" w:eastAsia="Times New Roman" w:hAnsi="Times New Roman" w:cs="Times New Roman"/>
          <w:lang w:eastAsia="ru-RU"/>
        </w:rPr>
      </w:pPr>
    </w:p>
    <w:p w14:paraId="3867E785" w14:textId="566492BC" w:rsidR="006364B2" w:rsidRPr="00125FAF" w:rsidRDefault="006364B2" w:rsidP="006364B2">
      <w:pPr>
        <w:spacing w:after="0" w:line="240" w:lineRule="auto"/>
        <w:jc w:val="center"/>
        <w:rPr>
          <w:rFonts w:ascii="Times New Roman" w:eastAsia="Times New Roman" w:hAnsi="Times New Roman" w:cs="Times New Roman"/>
          <w:b/>
          <w:bCs/>
          <w:iCs/>
          <w:color w:val="000000"/>
          <w:lang w:eastAsia="ru-RU"/>
        </w:rPr>
      </w:pPr>
      <w:r w:rsidRPr="00125FAF">
        <w:rPr>
          <w:rFonts w:ascii="Times New Roman" w:eastAsia="Times New Roman" w:hAnsi="Times New Roman" w:cs="Times New Roman"/>
          <w:b/>
          <w:bCs/>
          <w:iCs/>
          <w:color w:val="000000"/>
          <w:lang w:eastAsia="ru-RU"/>
        </w:rPr>
        <w:t>PLANUL DE ACŢIUNI</w:t>
      </w:r>
    </w:p>
    <w:p w14:paraId="0529B721" w14:textId="6553E400" w:rsidR="006364B2" w:rsidRPr="00125FAF" w:rsidRDefault="006364B2" w:rsidP="006364B2">
      <w:pPr>
        <w:spacing w:after="0" w:line="240" w:lineRule="auto"/>
        <w:jc w:val="center"/>
        <w:rPr>
          <w:rFonts w:ascii="Times New Roman" w:eastAsia="Times New Roman" w:hAnsi="Times New Roman" w:cs="Times New Roman"/>
          <w:lang w:eastAsia="ru-RU"/>
        </w:rPr>
      </w:pPr>
      <w:bookmarkStart w:id="10" w:name="_Hlk69142213"/>
      <w:r w:rsidRPr="00125FAF">
        <w:rPr>
          <w:rFonts w:ascii="Times New Roman" w:eastAsia="Times New Roman" w:hAnsi="Times New Roman" w:cs="Times New Roman"/>
          <w:b/>
          <w:bCs/>
          <w:iCs/>
          <w:color w:val="000000"/>
          <w:lang w:eastAsia="ru-RU"/>
        </w:rPr>
        <w:t xml:space="preserve">pentru implementarea </w:t>
      </w:r>
      <w:r w:rsidR="00076C37" w:rsidRPr="00125FAF">
        <w:rPr>
          <w:rFonts w:ascii="Times New Roman" w:eastAsia="Times New Roman" w:hAnsi="Times New Roman" w:cs="Times New Roman"/>
          <w:b/>
          <w:bCs/>
          <w:iCs/>
          <w:color w:val="000000"/>
          <w:lang w:eastAsia="ru-RU"/>
        </w:rPr>
        <w:t>Programului</w:t>
      </w:r>
      <w:bookmarkEnd w:id="10"/>
      <w:r w:rsidRPr="00125FAF">
        <w:rPr>
          <w:rFonts w:ascii="Times New Roman" w:eastAsia="Times New Roman" w:hAnsi="Times New Roman" w:cs="Times New Roman"/>
          <w:b/>
          <w:bCs/>
          <w:iCs/>
          <w:color w:val="000000"/>
          <w:lang w:eastAsia="ru-RU"/>
        </w:rPr>
        <w:t xml:space="preserve"> de dezvoltare cu emisii reduse a Republicii Moldova </w:t>
      </w:r>
      <w:proofErr w:type="spellStart"/>
      <w:r w:rsidRPr="00125FAF">
        <w:rPr>
          <w:rFonts w:ascii="Times New Roman" w:eastAsia="Times New Roman" w:hAnsi="Times New Roman" w:cs="Times New Roman"/>
          <w:b/>
          <w:bCs/>
          <w:iCs/>
          <w:color w:val="000000"/>
          <w:lang w:eastAsia="ru-RU"/>
        </w:rPr>
        <w:t>pînă</w:t>
      </w:r>
      <w:proofErr w:type="spellEnd"/>
      <w:r w:rsidRPr="00125FAF">
        <w:rPr>
          <w:rFonts w:ascii="Times New Roman" w:eastAsia="Times New Roman" w:hAnsi="Times New Roman" w:cs="Times New Roman"/>
          <w:b/>
          <w:bCs/>
          <w:iCs/>
          <w:color w:val="000000"/>
          <w:lang w:eastAsia="ru-RU"/>
        </w:rPr>
        <w:t xml:space="preserve"> în anul 2030</w:t>
      </w:r>
    </w:p>
    <w:p w14:paraId="2C63305A" w14:textId="77777777" w:rsidR="006364B2" w:rsidRPr="00125FAF" w:rsidRDefault="006364B2" w:rsidP="006364B2">
      <w:pPr>
        <w:spacing w:after="0" w:line="240" w:lineRule="auto"/>
        <w:jc w:val="both"/>
        <w:rPr>
          <w:rFonts w:ascii="Times New Roman" w:eastAsia="Times New Roman" w:hAnsi="Times New Roman" w:cs="Times New Roman"/>
        </w:rPr>
      </w:pPr>
    </w:p>
    <w:tbl>
      <w:tblPr>
        <w:tblStyle w:val="Tabelgril"/>
        <w:tblW w:w="0" w:type="auto"/>
        <w:tblInd w:w="113" w:type="dxa"/>
        <w:tblLook w:val="04A0" w:firstRow="1" w:lastRow="0" w:firstColumn="1" w:lastColumn="0" w:noHBand="0" w:noVBand="1"/>
      </w:tblPr>
      <w:tblGrid>
        <w:gridCol w:w="626"/>
        <w:gridCol w:w="3251"/>
        <w:gridCol w:w="1060"/>
        <w:gridCol w:w="1977"/>
        <w:gridCol w:w="1724"/>
        <w:gridCol w:w="1734"/>
        <w:gridCol w:w="1382"/>
        <w:gridCol w:w="1448"/>
        <w:gridCol w:w="1237"/>
      </w:tblGrid>
      <w:tr w:rsidR="00DC3FD5" w:rsidRPr="00125FAF" w14:paraId="6007391A" w14:textId="77777777" w:rsidTr="00AC461F">
        <w:trPr>
          <w:trHeight w:val="645"/>
        </w:trPr>
        <w:tc>
          <w:tcPr>
            <w:tcW w:w="627" w:type="dxa"/>
            <w:vMerge w:val="restart"/>
            <w:hideMark/>
          </w:tcPr>
          <w:p w14:paraId="7D9752D4" w14:textId="77777777" w:rsidR="00D25293" w:rsidRPr="00125FAF" w:rsidRDefault="00D25293" w:rsidP="00D25293">
            <w:pPr>
              <w:jc w:val="both"/>
              <w:rPr>
                <w:rFonts w:ascii="Times New Roman" w:eastAsia="Times New Roman" w:hAnsi="Times New Roman"/>
                <w:b/>
                <w:bCs/>
                <w:lang w:val="ro-RO"/>
              </w:rPr>
            </w:pPr>
            <w:r w:rsidRPr="00125FAF">
              <w:rPr>
                <w:rFonts w:ascii="Times New Roman" w:eastAsia="Times New Roman" w:hAnsi="Times New Roman"/>
                <w:b/>
                <w:bCs/>
                <w:lang w:val="ro-RO"/>
              </w:rPr>
              <w:t>Nr.</w:t>
            </w:r>
          </w:p>
        </w:tc>
        <w:tc>
          <w:tcPr>
            <w:tcW w:w="3255" w:type="dxa"/>
            <w:vMerge w:val="restart"/>
            <w:hideMark/>
          </w:tcPr>
          <w:p w14:paraId="3151882D" w14:textId="77777777" w:rsidR="00D25293" w:rsidRPr="00125FAF" w:rsidRDefault="00D25293" w:rsidP="00D25293">
            <w:pPr>
              <w:jc w:val="both"/>
              <w:rPr>
                <w:rFonts w:ascii="Times New Roman" w:eastAsia="Times New Roman" w:hAnsi="Times New Roman"/>
                <w:b/>
                <w:bCs/>
                <w:lang w:val="ro-RO"/>
              </w:rPr>
            </w:pPr>
            <w:r w:rsidRPr="00125FAF">
              <w:rPr>
                <w:rFonts w:ascii="Times New Roman" w:eastAsia="Times New Roman" w:hAnsi="Times New Roman"/>
                <w:b/>
                <w:bCs/>
                <w:lang w:val="ro-RO"/>
              </w:rPr>
              <w:t xml:space="preserve">Denumirea </w:t>
            </w:r>
            <w:proofErr w:type="spellStart"/>
            <w:r w:rsidRPr="00125FAF">
              <w:rPr>
                <w:rFonts w:ascii="Times New Roman" w:eastAsia="Times New Roman" w:hAnsi="Times New Roman"/>
                <w:b/>
                <w:bCs/>
                <w:lang w:val="ro-RO"/>
              </w:rPr>
              <w:t>acţiunii</w:t>
            </w:r>
            <w:proofErr w:type="spellEnd"/>
            <w:r w:rsidRPr="00125FAF">
              <w:rPr>
                <w:rFonts w:ascii="Times New Roman" w:eastAsia="Times New Roman" w:hAnsi="Times New Roman"/>
                <w:b/>
                <w:bCs/>
                <w:lang w:val="ro-RO"/>
              </w:rPr>
              <w:t xml:space="preserve"> de atenuare  adecvate la nivel </w:t>
            </w:r>
            <w:proofErr w:type="spellStart"/>
            <w:r w:rsidRPr="00125FAF">
              <w:rPr>
                <w:rFonts w:ascii="Times New Roman" w:eastAsia="Times New Roman" w:hAnsi="Times New Roman"/>
                <w:b/>
                <w:bCs/>
                <w:lang w:val="ro-RO"/>
              </w:rPr>
              <w:t>naţional</w:t>
            </w:r>
            <w:proofErr w:type="spellEnd"/>
          </w:p>
        </w:tc>
        <w:tc>
          <w:tcPr>
            <w:tcW w:w="1057" w:type="dxa"/>
            <w:vMerge w:val="restart"/>
            <w:hideMark/>
          </w:tcPr>
          <w:p w14:paraId="1FE1F540" w14:textId="77777777" w:rsidR="00D25293" w:rsidRPr="00125FAF" w:rsidRDefault="00D25293" w:rsidP="00D25293">
            <w:pPr>
              <w:jc w:val="both"/>
              <w:rPr>
                <w:rFonts w:ascii="Times New Roman" w:eastAsia="Times New Roman" w:hAnsi="Times New Roman"/>
                <w:b/>
                <w:bCs/>
                <w:lang w:val="ro-RO"/>
              </w:rPr>
            </w:pPr>
            <w:r w:rsidRPr="00125FAF">
              <w:rPr>
                <w:rFonts w:ascii="Times New Roman" w:eastAsia="Times New Roman" w:hAnsi="Times New Roman"/>
                <w:b/>
                <w:bCs/>
                <w:lang w:val="ro-RO"/>
              </w:rPr>
              <w:t>Termenul de realizare</w:t>
            </w:r>
          </w:p>
        </w:tc>
        <w:tc>
          <w:tcPr>
            <w:tcW w:w="1979" w:type="dxa"/>
            <w:vMerge w:val="restart"/>
            <w:hideMark/>
          </w:tcPr>
          <w:p w14:paraId="3A8A55FE" w14:textId="77777777" w:rsidR="00D25293" w:rsidRPr="00125FAF" w:rsidRDefault="00D25293" w:rsidP="00D25293">
            <w:pPr>
              <w:jc w:val="both"/>
              <w:rPr>
                <w:rFonts w:ascii="Times New Roman" w:eastAsia="Times New Roman" w:hAnsi="Times New Roman"/>
                <w:b/>
                <w:bCs/>
                <w:lang w:val="ro-RO"/>
              </w:rPr>
            </w:pPr>
            <w:proofErr w:type="spellStart"/>
            <w:r w:rsidRPr="00125FAF">
              <w:rPr>
                <w:rFonts w:ascii="Times New Roman" w:eastAsia="Times New Roman" w:hAnsi="Times New Roman"/>
                <w:b/>
                <w:bCs/>
                <w:lang w:val="ro-RO"/>
              </w:rPr>
              <w:t>Instituţia</w:t>
            </w:r>
            <w:proofErr w:type="spellEnd"/>
            <w:r w:rsidRPr="00125FAF">
              <w:rPr>
                <w:rFonts w:ascii="Times New Roman" w:eastAsia="Times New Roman" w:hAnsi="Times New Roman"/>
                <w:b/>
                <w:bCs/>
                <w:lang w:val="ro-RO"/>
              </w:rPr>
              <w:t xml:space="preserve"> responsabilă</w:t>
            </w:r>
          </w:p>
        </w:tc>
        <w:tc>
          <w:tcPr>
            <w:tcW w:w="3462" w:type="dxa"/>
            <w:gridSpan w:val="2"/>
            <w:hideMark/>
          </w:tcPr>
          <w:p w14:paraId="6811BE86" w14:textId="77777777" w:rsidR="00D25293" w:rsidRPr="00125FAF" w:rsidRDefault="00D25293" w:rsidP="00D25293">
            <w:pPr>
              <w:jc w:val="both"/>
              <w:rPr>
                <w:rFonts w:ascii="Times New Roman" w:eastAsia="Times New Roman" w:hAnsi="Times New Roman"/>
                <w:b/>
                <w:bCs/>
                <w:lang w:val="ro-RO"/>
              </w:rPr>
            </w:pPr>
            <w:r w:rsidRPr="00125FAF">
              <w:rPr>
                <w:rFonts w:ascii="Times New Roman" w:eastAsia="Times New Roman" w:hAnsi="Times New Roman"/>
                <w:b/>
                <w:bCs/>
                <w:lang w:val="ro-RO"/>
              </w:rPr>
              <w:t>Indicatorii de progres pentru obiectivul:</w:t>
            </w:r>
          </w:p>
        </w:tc>
        <w:tc>
          <w:tcPr>
            <w:tcW w:w="2821" w:type="dxa"/>
            <w:gridSpan w:val="2"/>
            <w:hideMark/>
          </w:tcPr>
          <w:p w14:paraId="0BC6FEF0" w14:textId="77777777" w:rsidR="00D25293" w:rsidRPr="00125FAF" w:rsidRDefault="00D25293" w:rsidP="00D25293">
            <w:pPr>
              <w:jc w:val="both"/>
              <w:rPr>
                <w:rFonts w:ascii="Times New Roman" w:eastAsia="Times New Roman" w:hAnsi="Times New Roman"/>
                <w:b/>
                <w:bCs/>
                <w:lang w:val="ro-RO"/>
              </w:rPr>
            </w:pPr>
            <w:r w:rsidRPr="00125FAF">
              <w:rPr>
                <w:rFonts w:ascii="Times New Roman" w:eastAsia="Times New Roman" w:hAnsi="Times New Roman"/>
                <w:b/>
                <w:bCs/>
                <w:lang w:val="ro-RO"/>
              </w:rPr>
              <w:t>Costuri estimative pentru obiectivul:</w:t>
            </w:r>
          </w:p>
        </w:tc>
        <w:tc>
          <w:tcPr>
            <w:tcW w:w="1238" w:type="dxa"/>
            <w:vMerge w:val="restart"/>
            <w:hideMark/>
          </w:tcPr>
          <w:p w14:paraId="6C2EF202" w14:textId="77777777" w:rsidR="00D25293" w:rsidRPr="00125FAF" w:rsidRDefault="00D25293" w:rsidP="00D25293">
            <w:pPr>
              <w:jc w:val="both"/>
              <w:rPr>
                <w:rFonts w:ascii="Times New Roman" w:eastAsia="Times New Roman" w:hAnsi="Times New Roman"/>
                <w:b/>
                <w:bCs/>
                <w:lang w:val="ro-RO"/>
              </w:rPr>
            </w:pPr>
            <w:r w:rsidRPr="00125FAF">
              <w:rPr>
                <w:rFonts w:ascii="Times New Roman" w:eastAsia="Times New Roman" w:hAnsi="Times New Roman"/>
                <w:b/>
                <w:bCs/>
                <w:lang w:val="ro-RO"/>
              </w:rPr>
              <w:t xml:space="preserve">Surse de </w:t>
            </w:r>
            <w:proofErr w:type="spellStart"/>
            <w:r w:rsidRPr="00125FAF">
              <w:rPr>
                <w:rFonts w:ascii="Times New Roman" w:eastAsia="Times New Roman" w:hAnsi="Times New Roman"/>
                <w:b/>
                <w:bCs/>
                <w:lang w:val="ro-RO"/>
              </w:rPr>
              <w:t>finanţare</w:t>
            </w:r>
            <w:proofErr w:type="spellEnd"/>
          </w:p>
        </w:tc>
      </w:tr>
      <w:tr w:rsidR="00DC3FD5" w:rsidRPr="00125FAF" w14:paraId="48DDD1A2" w14:textId="77777777" w:rsidTr="00AC461F">
        <w:trPr>
          <w:trHeight w:val="1140"/>
        </w:trPr>
        <w:tc>
          <w:tcPr>
            <w:tcW w:w="627" w:type="dxa"/>
            <w:vMerge/>
            <w:hideMark/>
          </w:tcPr>
          <w:p w14:paraId="10267663" w14:textId="77777777" w:rsidR="00D25293" w:rsidRPr="00125FAF" w:rsidRDefault="00D25293" w:rsidP="00D25293">
            <w:pPr>
              <w:jc w:val="both"/>
              <w:rPr>
                <w:rFonts w:ascii="Times New Roman" w:eastAsia="Times New Roman" w:hAnsi="Times New Roman"/>
                <w:b/>
                <w:bCs/>
                <w:lang w:val="ro-RO"/>
              </w:rPr>
            </w:pPr>
          </w:p>
        </w:tc>
        <w:tc>
          <w:tcPr>
            <w:tcW w:w="3255" w:type="dxa"/>
            <w:vMerge/>
            <w:hideMark/>
          </w:tcPr>
          <w:p w14:paraId="2E986292" w14:textId="77777777" w:rsidR="00D25293" w:rsidRPr="00125FAF" w:rsidRDefault="00D25293" w:rsidP="00D25293">
            <w:pPr>
              <w:jc w:val="both"/>
              <w:rPr>
                <w:rFonts w:ascii="Times New Roman" w:eastAsia="Times New Roman" w:hAnsi="Times New Roman"/>
                <w:b/>
                <w:bCs/>
                <w:lang w:val="ro-RO"/>
              </w:rPr>
            </w:pPr>
          </w:p>
        </w:tc>
        <w:tc>
          <w:tcPr>
            <w:tcW w:w="1057" w:type="dxa"/>
            <w:vMerge/>
            <w:hideMark/>
          </w:tcPr>
          <w:p w14:paraId="270A5421" w14:textId="77777777" w:rsidR="00D25293" w:rsidRPr="00125FAF" w:rsidRDefault="00D25293" w:rsidP="00D25293">
            <w:pPr>
              <w:jc w:val="both"/>
              <w:rPr>
                <w:rFonts w:ascii="Times New Roman" w:eastAsia="Times New Roman" w:hAnsi="Times New Roman"/>
                <w:b/>
                <w:bCs/>
                <w:lang w:val="ro-RO"/>
              </w:rPr>
            </w:pPr>
          </w:p>
        </w:tc>
        <w:tc>
          <w:tcPr>
            <w:tcW w:w="1979" w:type="dxa"/>
            <w:vMerge/>
            <w:hideMark/>
          </w:tcPr>
          <w:p w14:paraId="524A4EB4" w14:textId="77777777" w:rsidR="00D25293" w:rsidRPr="00125FAF" w:rsidRDefault="00D25293" w:rsidP="00D25293">
            <w:pPr>
              <w:jc w:val="both"/>
              <w:rPr>
                <w:rFonts w:ascii="Times New Roman" w:eastAsia="Times New Roman" w:hAnsi="Times New Roman"/>
                <w:b/>
                <w:bCs/>
                <w:lang w:val="ro-RO"/>
              </w:rPr>
            </w:pPr>
          </w:p>
        </w:tc>
        <w:tc>
          <w:tcPr>
            <w:tcW w:w="1726" w:type="dxa"/>
            <w:hideMark/>
          </w:tcPr>
          <w:p w14:paraId="07BA2BA2" w14:textId="77777777" w:rsidR="00D25293" w:rsidRPr="00125FAF" w:rsidRDefault="00D25293" w:rsidP="00D25293">
            <w:pPr>
              <w:jc w:val="both"/>
              <w:rPr>
                <w:rFonts w:ascii="Times New Roman" w:eastAsia="Times New Roman" w:hAnsi="Times New Roman"/>
                <w:b/>
                <w:bCs/>
                <w:lang w:val="ro-RO"/>
              </w:rPr>
            </w:pPr>
            <w:proofErr w:type="spellStart"/>
            <w:r w:rsidRPr="00125FAF">
              <w:rPr>
                <w:rFonts w:ascii="Times New Roman" w:eastAsia="Times New Roman" w:hAnsi="Times New Roman"/>
                <w:b/>
                <w:bCs/>
                <w:lang w:val="ro-RO"/>
              </w:rPr>
              <w:t>necondiţionat</w:t>
            </w:r>
            <w:proofErr w:type="spellEnd"/>
          </w:p>
        </w:tc>
        <w:tc>
          <w:tcPr>
            <w:tcW w:w="1736" w:type="dxa"/>
            <w:hideMark/>
          </w:tcPr>
          <w:p w14:paraId="0C2889F8" w14:textId="77777777" w:rsidR="00D25293" w:rsidRPr="00125FAF" w:rsidRDefault="00D25293" w:rsidP="00D25293">
            <w:pPr>
              <w:jc w:val="both"/>
              <w:rPr>
                <w:rFonts w:ascii="Times New Roman" w:eastAsia="Times New Roman" w:hAnsi="Times New Roman"/>
                <w:b/>
                <w:bCs/>
                <w:lang w:val="ro-RO"/>
              </w:rPr>
            </w:pPr>
            <w:proofErr w:type="spellStart"/>
            <w:r w:rsidRPr="00125FAF">
              <w:rPr>
                <w:rFonts w:ascii="Times New Roman" w:eastAsia="Times New Roman" w:hAnsi="Times New Roman"/>
                <w:b/>
                <w:bCs/>
                <w:lang w:val="ro-RO"/>
              </w:rPr>
              <w:t>condiţionat</w:t>
            </w:r>
            <w:proofErr w:type="spellEnd"/>
            <w:r w:rsidRPr="00125FAF">
              <w:rPr>
                <w:rFonts w:ascii="Times New Roman" w:eastAsia="Times New Roman" w:hAnsi="Times New Roman"/>
                <w:b/>
                <w:bCs/>
                <w:lang w:val="ro-RO"/>
              </w:rPr>
              <w:t xml:space="preserve"> (</w:t>
            </w:r>
            <w:proofErr w:type="spellStart"/>
            <w:r w:rsidRPr="00125FAF">
              <w:rPr>
                <w:rFonts w:ascii="Times New Roman" w:eastAsia="Times New Roman" w:hAnsi="Times New Roman"/>
                <w:b/>
                <w:bCs/>
                <w:lang w:val="ro-RO"/>
              </w:rPr>
              <w:t>adiţional</w:t>
            </w:r>
            <w:proofErr w:type="spellEnd"/>
            <w:r w:rsidRPr="00125FAF">
              <w:rPr>
                <w:rFonts w:ascii="Times New Roman" w:eastAsia="Times New Roman" w:hAnsi="Times New Roman"/>
                <w:b/>
                <w:bCs/>
                <w:lang w:val="ro-RO"/>
              </w:rPr>
              <w:t xml:space="preserve"> la </w:t>
            </w:r>
            <w:proofErr w:type="spellStart"/>
            <w:r w:rsidRPr="00125FAF">
              <w:rPr>
                <w:rFonts w:ascii="Times New Roman" w:eastAsia="Times New Roman" w:hAnsi="Times New Roman"/>
                <w:b/>
                <w:bCs/>
                <w:lang w:val="ro-RO"/>
              </w:rPr>
              <w:t>necondiţionat</w:t>
            </w:r>
            <w:proofErr w:type="spellEnd"/>
            <w:r w:rsidRPr="00125FAF">
              <w:rPr>
                <w:rFonts w:ascii="Times New Roman" w:eastAsia="Times New Roman" w:hAnsi="Times New Roman"/>
                <w:b/>
                <w:bCs/>
                <w:lang w:val="ro-RO"/>
              </w:rPr>
              <w:t>)</w:t>
            </w:r>
          </w:p>
        </w:tc>
        <w:tc>
          <w:tcPr>
            <w:tcW w:w="1377" w:type="dxa"/>
            <w:hideMark/>
          </w:tcPr>
          <w:p w14:paraId="0A41B7B4" w14:textId="77777777" w:rsidR="00D25293" w:rsidRPr="00125FAF" w:rsidRDefault="00D25293" w:rsidP="00D25293">
            <w:pPr>
              <w:jc w:val="both"/>
              <w:rPr>
                <w:rFonts w:ascii="Times New Roman" w:eastAsia="Times New Roman" w:hAnsi="Times New Roman"/>
                <w:b/>
                <w:bCs/>
                <w:lang w:val="ro-RO"/>
              </w:rPr>
            </w:pPr>
            <w:proofErr w:type="spellStart"/>
            <w:r w:rsidRPr="00125FAF">
              <w:rPr>
                <w:rFonts w:ascii="Times New Roman" w:eastAsia="Times New Roman" w:hAnsi="Times New Roman"/>
                <w:b/>
                <w:bCs/>
                <w:lang w:val="ro-RO"/>
              </w:rPr>
              <w:t>necondiţionat</w:t>
            </w:r>
            <w:proofErr w:type="spellEnd"/>
            <w:r w:rsidRPr="00125FAF">
              <w:rPr>
                <w:rFonts w:ascii="Times New Roman" w:eastAsia="Times New Roman" w:hAnsi="Times New Roman"/>
                <w:b/>
                <w:bCs/>
                <w:lang w:val="ro-RO"/>
              </w:rPr>
              <w:t xml:space="preserve"> (mil. lei)</w:t>
            </w:r>
          </w:p>
        </w:tc>
        <w:tc>
          <w:tcPr>
            <w:tcW w:w="1444" w:type="dxa"/>
            <w:hideMark/>
          </w:tcPr>
          <w:p w14:paraId="1631283E" w14:textId="77777777" w:rsidR="00D25293" w:rsidRPr="00125FAF" w:rsidRDefault="00D25293" w:rsidP="00D25293">
            <w:pPr>
              <w:jc w:val="both"/>
              <w:rPr>
                <w:rFonts w:ascii="Times New Roman" w:eastAsia="Times New Roman" w:hAnsi="Times New Roman"/>
                <w:b/>
                <w:bCs/>
                <w:lang w:val="ro-RO"/>
              </w:rPr>
            </w:pPr>
            <w:proofErr w:type="spellStart"/>
            <w:r w:rsidRPr="00125FAF">
              <w:rPr>
                <w:rFonts w:ascii="Times New Roman" w:eastAsia="Times New Roman" w:hAnsi="Times New Roman"/>
                <w:b/>
                <w:bCs/>
                <w:lang w:val="ro-RO"/>
              </w:rPr>
              <w:t>condiţionat</w:t>
            </w:r>
            <w:proofErr w:type="spellEnd"/>
            <w:r w:rsidRPr="00125FAF">
              <w:rPr>
                <w:rFonts w:ascii="Times New Roman" w:eastAsia="Times New Roman" w:hAnsi="Times New Roman"/>
                <w:b/>
                <w:bCs/>
                <w:lang w:val="ro-RO"/>
              </w:rPr>
              <w:t xml:space="preserve"> (</w:t>
            </w:r>
            <w:proofErr w:type="spellStart"/>
            <w:r w:rsidRPr="00125FAF">
              <w:rPr>
                <w:rFonts w:ascii="Times New Roman" w:eastAsia="Times New Roman" w:hAnsi="Times New Roman"/>
                <w:b/>
                <w:bCs/>
                <w:lang w:val="ro-RO"/>
              </w:rPr>
              <w:t>adiţional</w:t>
            </w:r>
            <w:proofErr w:type="spellEnd"/>
            <w:r w:rsidRPr="00125FAF">
              <w:rPr>
                <w:rFonts w:ascii="Times New Roman" w:eastAsia="Times New Roman" w:hAnsi="Times New Roman"/>
                <w:b/>
                <w:bCs/>
                <w:lang w:val="ro-RO"/>
              </w:rPr>
              <w:t xml:space="preserve"> la </w:t>
            </w:r>
            <w:proofErr w:type="spellStart"/>
            <w:r w:rsidRPr="00125FAF">
              <w:rPr>
                <w:rFonts w:ascii="Times New Roman" w:eastAsia="Times New Roman" w:hAnsi="Times New Roman"/>
                <w:b/>
                <w:bCs/>
                <w:lang w:val="ro-RO"/>
              </w:rPr>
              <w:t>necondiţionat</w:t>
            </w:r>
            <w:proofErr w:type="spellEnd"/>
            <w:r w:rsidRPr="00125FAF">
              <w:rPr>
                <w:rFonts w:ascii="Times New Roman" w:eastAsia="Times New Roman" w:hAnsi="Times New Roman"/>
                <w:b/>
                <w:bCs/>
                <w:lang w:val="ro-RO"/>
              </w:rPr>
              <w:t>) (mil. lei)</w:t>
            </w:r>
          </w:p>
        </w:tc>
        <w:tc>
          <w:tcPr>
            <w:tcW w:w="1238" w:type="dxa"/>
            <w:vMerge/>
            <w:hideMark/>
          </w:tcPr>
          <w:p w14:paraId="76E1A0AC" w14:textId="77777777" w:rsidR="00D25293" w:rsidRPr="00125FAF" w:rsidRDefault="00D25293" w:rsidP="00D25293">
            <w:pPr>
              <w:jc w:val="both"/>
              <w:rPr>
                <w:rFonts w:ascii="Times New Roman" w:eastAsia="Times New Roman" w:hAnsi="Times New Roman"/>
                <w:b/>
                <w:bCs/>
                <w:lang w:val="ro-RO"/>
              </w:rPr>
            </w:pPr>
          </w:p>
        </w:tc>
      </w:tr>
      <w:tr w:rsidR="00DC3FD5" w:rsidRPr="00125FAF" w14:paraId="79E1B6E1" w14:textId="77777777" w:rsidTr="00AC461F">
        <w:trPr>
          <w:trHeight w:val="300"/>
        </w:trPr>
        <w:tc>
          <w:tcPr>
            <w:tcW w:w="627" w:type="dxa"/>
            <w:noWrap/>
            <w:hideMark/>
          </w:tcPr>
          <w:p w14:paraId="00C0041B" w14:textId="77777777" w:rsidR="00D25293" w:rsidRPr="00125FAF" w:rsidRDefault="00D25293" w:rsidP="00D25293">
            <w:pPr>
              <w:jc w:val="both"/>
              <w:rPr>
                <w:rFonts w:ascii="Times New Roman" w:eastAsia="Times New Roman" w:hAnsi="Times New Roman"/>
                <w:b/>
                <w:bCs/>
                <w:lang w:val="ro-RO"/>
              </w:rPr>
            </w:pPr>
            <w:r w:rsidRPr="00125FAF">
              <w:rPr>
                <w:rFonts w:ascii="Times New Roman" w:eastAsia="Times New Roman" w:hAnsi="Times New Roman"/>
                <w:b/>
                <w:bCs/>
                <w:lang w:val="ro-RO"/>
              </w:rPr>
              <w:t>1</w:t>
            </w:r>
          </w:p>
        </w:tc>
        <w:tc>
          <w:tcPr>
            <w:tcW w:w="3255" w:type="dxa"/>
            <w:noWrap/>
            <w:hideMark/>
          </w:tcPr>
          <w:p w14:paraId="616A2186" w14:textId="77777777" w:rsidR="00D25293" w:rsidRPr="00125FAF" w:rsidRDefault="00D25293" w:rsidP="00D25293">
            <w:pPr>
              <w:jc w:val="both"/>
              <w:rPr>
                <w:rFonts w:ascii="Times New Roman" w:eastAsia="Times New Roman" w:hAnsi="Times New Roman"/>
                <w:b/>
                <w:bCs/>
                <w:lang w:val="ro-RO"/>
              </w:rPr>
            </w:pPr>
            <w:r w:rsidRPr="00125FAF">
              <w:rPr>
                <w:rFonts w:ascii="Times New Roman" w:eastAsia="Times New Roman" w:hAnsi="Times New Roman"/>
                <w:b/>
                <w:bCs/>
                <w:lang w:val="ro-RO"/>
              </w:rPr>
              <w:t>2</w:t>
            </w:r>
          </w:p>
        </w:tc>
        <w:tc>
          <w:tcPr>
            <w:tcW w:w="1057" w:type="dxa"/>
            <w:noWrap/>
            <w:hideMark/>
          </w:tcPr>
          <w:p w14:paraId="3F9507D8" w14:textId="77777777" w:rsidR="00D25293" w:rsidRPr="00125FAF" w:rsidRDefault="00D25293" w:rsidP="00D25293">
            <w:pPr>
              <w:jc w:val="both"/>
              <w:rPr>
                <w:rFonts w:ascii="Times New Roman" w:eastAsia="Times New Roman" w:hAnsi="Times New Roman"/>
                <w:b/>
                <w:bCs/>
                <w:lang w:val="ro-RO"/>
              </w:rPr>
            </w:pPr>
            <w:r w:rsidRPr="00125FAF">
              <w:rPr>
                <w:rFonts w:ascii="Times New Roman" w:eastAsia="Times New Roman" w:hAnsi="Times New Roman"/>
                <w:b/>
                <w:bCs/>
                <w:lang w:val="ro-RO"/>
              </w:rPr>
              <w:t>3</w:t>
            </w:r>
          </w:p>
        </w:tc>
        <w:tc>
          <w:tcPr>
            <w:tcW w:w="1979" w:type="dxa"/>
            <w:noWrap/>
            <w:hideMark/>
          </w:tcPr>
          <w:p w14:paraId="535AB991" w14:textId="77777777" w:rsidR="00D25293" w:rsidRPr="00125FAF" w:rsidRDefault="00D25293" w:rsidP="00D25293">
            <w:pPr>
              <w:jc w:val="both"/>
              <w:rPr>
                <w:rFonts w:ascii="Times New Roman" w:eastAsia="Times New Roman" w:hAnsi="Times New Roman"/>
                <w:b/>
                <w:bCs/>
                <w:lang w:val="ro-RO"/>
              </w:rPr>
            </w:pPr>
            <w:r w:rsidRPr="00125FAF">
              <w:rPr>
                <w:rFonts w:ascii="Times New Roman" w:eastAsia="Times New Roman" w:hAnsi="Times New Roman"/>
                <w:b/>
                <w:bCs/>
                <w:lang w:val="ro-RO"/>
              </w:rPr>
              <w:t>4</w:t>
            </w:r>
          </w:p>
        </w:tc>
        <w:tc>
          <w:tcPr>
            <w:tcW w:w="1726" w:type="dxa"/>
            <w:noWrap/>
            <w:hideMark/>
          </w:tcPr>
          <w:p w14:paraId="5A8DD02F" w14:textId="77777777" w:rsidR="00D25293" w:rsidRPr="00125FAF" w:rsidRDefault="00D25293" w:rsidP="00D25293">
            <w:pPr>
              <w:jc w:val="both"/>
              <w:rPr>
                <w:rFonts w:ascii="Times New Roman" w:eastAsia="Times New Roman" w:hAnsi="Times New Roman"/>
                <w:b/>
                <w:bCs/>
                <w:lang w:val="ro-RO"/>
              </w:rPr>
            </w:pPr>
            <w:r w:rsidRPr="00125FAF">
              <w:rPr>
                <w:rFonts w:ascii="Times New Roman" w:eastAsia="Times New Roman" w:hAnsi="Times New Roman"/>
                <w:b/>
                <w:bCs/>
                <w:lang w:val="ro-RO"/>
              </w:rPr>
              <w:t>5</w:t>
            </w:r>
          </w:p>
        </w:tc>
        <w:tc>
          <w:tcPr>
            <w:tcW w:w="1736" w:type="dxa"/>
            <w:noWrap/>
            <w:hideMark/>
          </w:tcPr>
          <w:p w14:paraId="0D78731E" w14:textId="77777777" w:rsidR="00D25293" w:rsidRPr="00125FAF" w:rsidRDefault="00D25293" w:rsidP="00D25293">
            <w:pPr>
              <w:jc w:val="both"/>
              <w:rPr>
                <w:rFonts w:ascii="Times New Roman" w:eastAsia="Times New Roman" w:hAnsi="Times New Roman"/>
                <w:b/>
                <w:bCs/>
                <w:lang w:val="ro-RO"/>
              </w:rPr>
            </w:pPr>
            <w:r w:rsidRPr="00125FAF">
              <w:rPr>
                <w:rFonts w:ascii="Times New Roman" w:eastAsia="Times New Roman" w:hAnsi="Times New Roman"/>
                <w:b/>
                <w:bCs/>
                <w:lang w:val="ro-RO"/>
              </w:rPr>
              <w:t>6</w:t>
            </w:r>
          </w:p>
        </w:tc>
        <w:tc>
          <w:tcPr>
            <w:tcW w:w="1377" w:type="dxa"/>
            <w:noWrap/>
            <w:hideMark/>
          </w:tcPr>
          <w:p w14:paraId="60E509C8" w14:textId="77777777" w:rsidR="00D25293" w:rsidRPr="00125FAF" w:rsidRDefault="00D25293" w:rsidP="00D25293">
            <w:pPr>
              <w:jc w:val="both"/>
              <w:rPr>
                <w:rFonts w:ascii="Times New Roman" w:eastAsia="Times New Roman" w:hAnsi="Times New Roman"/>
                <w:b/>
                <w:bCs/>
                <w:lang w:val="ro-RO"/>
              </w:rPr>
            </w:pPr>
            <w:r w:rsidRPr="00125FAF">
              <w:rPr>
                <w:rFonts w:ascii="Times New Roman" w:eastAsia="Times New Roman" w:hAnsi="Times New Roman"/>
                <w:b/>
                <w:bCs/>
                <w:lang w:val="ro-RO"/>
              </w:rPr>
              <w:t>7</w:t>
            </w:r>
          </w:p>
        </w:tc>
        <w:tc>
          <w:tcPr>
            <w:tcW w:w="1444" w:type="dxa"/>
            <w:noWrap/>
            <w:hideMark/>
          </w:tcPr>
          <w:p w14:paraId="4DB52D39" w14:textId="77777777" w:rsidR="00D25293" w:rsidRPr="00125FAF" w:rsidRDefault="00D25293" w:rsidP="00D25293">
            <w:pPr>
              <w:jc w:val="both"/>
              <w:rPr>
                <w:rFonts w:ascii="Times New Roman" w:eastAsia="Times New Roman" w:hAnsi="Times New Roman"/>
                <w:b/>
                <w:bCs/>
                <w:lang w:val="ro-RO"/>
              </w:rPr>
            </w:pPr>
            <w:r w:rsidRPr="00125FAF">
              <w:rPr>
                <w:rFonts w:ascii="Times New Roman" w:eastAsia="Times New Roman" w:hAnsi="Times New Roman"/>
                <w:b/>
                <w:bCs/>
                <w:lang w:val="ro-RO"/>
              </w:rPr>
              <w:t>8</w:t>
            </w:r>
          </w:p>
        </w:tc>
        <w:tc>
          <w:tcPr>
            <w:tcW w:w="1238" w:type="dxa"/>
            <w:noWrap/>
            <w:hideMark/>
          </w:tcPr>
          <w:p w14:paraId="3A94CF4E" w14:textId="77777777" w:rsidR="00D25293" w:rsidRPr="00125FAF" w:rsidRDefault="00D25293" w:rsidP="00D25293">
            <w:pPr>
              <w:jc w:val="both"/>
              <w:rPr>
                <w:rFonts w:ascii="Times New Roman" w:eastAsia="Times New Roman" w:hAnsi="Times New Roman"/>
                <w:b/>
                <w:bCs/>
                <w:lang w:val="ro-RO"/>
              </w:rPr>
            </w:pPr>
            <w:r w:rsidRPr="00125FAF">
              <w:rPr>
                <w:rFonts w:ascii="Times New Roman" w:eastAsia="Times New Roman" w:hAnsi="Times New Roman"/>
                <w:b/>
                <w:bCs/>
                <w:lang w:val="ro-RO"/>
              </w:rPr>
              <w:t>9</w:t>
            </w:r>
          </w:p>
        </w:tc>
      </w:tr>
      <w:tr w:rsidR="00D25293" w:rsidRPr="00125FAF" w14:paraId="07348F8B" w14:textId="77777777" w:rsidTr="00AC461F">
        <w:trPr>
          <w:trHeight w:val="900"/>
        </w:trPr>
        <w:tc>
          <w:tcPr>
            <w:tcW w:w="14439" w:type="dxa"/>
            <w:gridSpan w:val="9"/>
            <w:hideMark/>
          </w:tcPr>
          <w:p w14:paraId="6331C3E2" w14:textId="77777777" w:rsidR="00D25293" w:rsidRPr="00125FAF" w:rsidRDefault="00D25293" w:rsidP="00D25293">
            <w:pPr>
              <w:jc w:val="both"/>
              <w:rPr>
                <w:rFonts w:ascii="Times New Roman" w:eastAsia="Times New Roman" w:hAnsi="Times New Roman"/>
                <w:b/>
                <w:bCs/>
                <w:lang w:val="ro-RO"/>
              </w:rPr>
            </w:pPr>
            <w:r w:rsidRPr="00125FAF">
              <w:rPr>
                <w:rFonts w:ascii="Times New Roman" w:eastAsia="Times New Roman" w:hAnsi="Times New Roman"/>
                <w:b/>
                <w:bCs/>
                <w:lang w:val="ro-RO"/>
              </w:rPr>
              <w:t xml:space="preserve">Obiectivul general. </w:t>
            </w:r>
            <w:r w:rsidRPr="00125FAF">
              <w:rPr>
                <w:rFonts w:ascii="Times New Roman" w:eastAsia="Times New Roman" w:hAnsi="Times New Roman"/>
                <w:lang w:val="ro-RO"/>
              </w:rPr>
              <w:t xml:space="preserve">Reducerea </w:t>
            </w:r>
            <w:proofErr w:type="spellStart"/>
            <w:r w:rsidRPr="00125FAF">
              <w:rPr>
                <w:rFonts w:ascii="Times New Roman" w:eastAsia="Times New Roman" w:hAnsi="Times New Roman"/>
                <w:lang w:val="ro-RO"/>
              </w:rPr>
              <w:t>necondiţionată</w:t>
            </w:r>
            <w:proofErr w:type="spellEnd"/>
            <w:r w:rsidRPr="00125FAF">
              <w:rPr>
                <w:rFonts w:ascii="Times New Roman" w:eastAsia="Times New Roman" w:hAnsi="Times New Roman"/>
                <w:lang w:val="ro-RO"/>
              </w:rPr>
              <w:t xml:space="preserve">, </w:t>
            </w:r>
            <w:proofErr w:type="spellStart"/>
            <w:r w:rsidRPr="00125FAF">
              <w:rPr>
                <w:rFonts w:ascii="Times New Roman" w:eastAsia="Times New Roman" w:hAnsi="Times New Roman"/>
                <w:lang w:val="ro-RO"/>
              </w:rPr>
              <w:t>pînă</w:t>
            </w:r>
            <w:proofErr w:type="spellEnd"/>
            <w:r w:rsidRPr="00125FAF">
              <w:rPr>
                <w:rFonts w:ascii="Times New Roman" w:eastAsia="Times New Roman" w:hAnsi="Times New Roman"/>
                <w:lang w:val="ro-RO"/>
              </w:rPr>
              <w:t xml:space="preserve"> în anul 2030, a emisiilor totale </w:t>
            </w:r>
            <w:proofErr w:type="spellStart"/>
            <w:r w:rsidRPr="00125FAF">
              <w:rPr>
                <w:rFonts w:ascii="Times New Roman" w:eastAsia="Times New Roman" w:hAnsi="Times New Roman"/>
                <w:lang w:val="ro-RO"/>
              </w:rPr>
              <w:t>naţionale</w:t>
            </w:r>
            <w:proofErr w:type="spellEnd"/>
            <w:r w:rsidRPr="00125FAF">
              <w:rPr>
                <w:rFonts w:ascii="Times New Roman" w:eastAsia="Times New Roman" w:hAnsi="Times New Roman"/>
                <w:lang w:val="ro-RO"/>
              </w:rPr>
              <w:t xml:space="preserve"> de gaze cu efect de seră nete cu nu mai </w:t>
            </w:r>
            <w:proofErr w:type="spellStart"/>
            <w:r w:rsidRPr="00125FAF">
              <w:rPr>
                <w:rFonts w:ascii="Times New Roman" w:eastAsia="Times New Roman" w:hAnsi="Times New Roman"/>
                <w:lang w:val="ro-RO"/>
              </w:rPr>
              <w:t>puţin</w:t>
            </w:r>
            <w:proofErr w:type="spellEnd"/>
            <w:r w:rsidRPr="00125FAF">
              <w:rPr>
                <w:rFonts w:ascii="Times New Roman" w:eastAsia="Times New Roman" w:hAnsi="Times New Roman"/>
                <w:lang w:val="ro-RO"/>
              </w:rPr>
              <w:t xml:space="preserve"> de 70% comparativ cu nivelul anului 1990, în </w:t>
            </w:r>
            <w:proofErr w:type="spellStart"/>
            <w:r w:rsidRPr="00125FAF">
              <w:rPr>
                <w:rFonts w:ascii="Times New Roman" w:eastAsia="Times New Roman" w:hAnsi="Times New Roman"/>
                <w:lang w:val="ro-RO"/>
              </w:rPr>
              <w:t>susţinerea</w:t>
            </w:r>
            <w:proofErr w:type="spellEnd"/>
            <w:r w:rsidRPr="00125FAF">
              <w:rPr>
                <w:rFonts w:ascii="Times New Roman" w:eastAsia="Times New Roman" w:hAnsi="Times New Roman"/>
                <w:lang w:val="ro-RO"/>
              </w:rPr>
              <w:t xml:space="preserve"> efortului global de </w:t>
            </w:r>
            <w:proofErr w:type="spellStart"/>
            <w:r w:rsidRPr="00125FAF">
              <w:rPr>
                <w:rFonts w:ascii="Times New Roman" w:eastAsia="Times New Roman" w:hAnsi="Times New Roman"/>
                <w:lang w:val="ro-RO"/>
              </w:rPr>
              <w:t>menţinere</w:t>
            </w:r>
            <w:proofErr w:type="spellEnd"/>
            <w:r w:rsidRPr="00125FAF">
              <w:rPr>
                <w:rFonts w:ascii="Times New Roman" w:eastAsia="Times New Roman" w:hAnsi="Times New Roman"/>
                <w:lang w:val="ro-RO"/>
              </w:rPr>
              <w:t xml:space="preserve"> a </w:t>
            </w:r>
            <w:proofErr w:type="spellStart"/>
            <w:r w:rsidRPr="00125FAF">
              <w:rPr>
                <w:rFonts w:ascii="Times New Roman" w:eastAsia="Times New Roman" w:hAnsi="Times New Roman"/>
                <w:lang w:val="ro-RO"/>
              </w:rPr>
              <w:t>tendinţei</w:t>
            </w:r>
            <w:proofErr w:type="spellEnd"/>
            <w:r w:rsidRPr="00125FAF">
              <w:rPr>
                <w:rFonts w:ascii="Times New Roman" w:eastAsia="Times New Roman" w:hAnsi="Times New Roman"/>
                <w:lang w:val="ro-RO"/>
              </w:rPr>
              <w:t xml:space="preserve"> de </w:t>
            </w:r>
            <w:proofErr w:type="spellStart"/>
            <w:r w:rsidRPr="00125FAF">
              <w:rPr>
                <w:rFonts w:ascii="Times New Roman" w:eastAsia="Times New Roman" w:hAnsi="Times New Roman"/>
                <w:lang w:val="ro-RO"/>
              </w:rPr>
              <w:t>creştere</w:t>
            </w:r>
            <w:proofErr w:type="spellEnd"/>
            <w:r w:rsidRPr="00125FAF">
              <w:rPr>
                <w:rFonts w:ascii="Times New Roman" w:eastAsia="Times New Roman" w:hAnsi="Times New Roman"/>
                <w:lang w:val="ro-RO"/>
              </w:rPr>
              <w:t xml:space="preserve"> a temperaturii medii globale, </w:t>
            </w:r>
            <w:proofErr w:type="spellStart"/>
            <w:r w:rsidRPr="00125FAF">
              <w:rPr>
                <w:rFonts w:ascii="Times New Roman" w:eastAsia="Times New Roman" w:hAnsi="Times New Roman"/>
                <w:lang w:val="ro-RO"/>
              </w:rPr>
              <w:t>pînă</w:t>
            </w:r>
            <w:proofErr w:type="spellEnd"/>
            <w:r w:rsidRPr="00125FAF">
              <w:rPr>
                <w:rFonts w:ascii="Times New Roman" w:eastAsia="Times New Roman" w:hAnsi="Times New Roman"/>
                <w:lang w:val="ro-RO"/>
              </w:rPr>
              <w:t xml:space="preserve"> în anul 2100, în limita de </w:t>
            </w:r>
            <w:proofErr w:type="spellStart"/>
            <w:r w:rsidRPr="00125FAF">
              <w:rPr>
                <w:rFonts w:ascii="Times New Roman" w:eastAsia="Times New Roman" w:hAnsi="Times New Roman"/>
                <w:lang w:val="ro-RO"/>
              </w:rPr>
              <w:t>pînă</w:t>
            </w:r>
            <w:proofErr w:type="spellEnd"/>
            <w:r w:rsidRPr="00125FAF">
              <w:rPr>
                <w:rFonts w:ascii="Times New Roman" w:eastAsia="Times New Roman" w:hAnsi="Times New Roman"/>
                <w:lang w:val="ro-RO"/>
              </w:rPr>
              <w:t xml:space="preserve"> la 2°C. Obiectivul de reducere a emisiilor ar putea </w:t>
            </w:r>
            <w:proofErr w:type="spellStart"/>
            <w:r w:rsidRPr="00125FAF">
              <w:rPr>
                <w:rFonts w:ascii="Times New Roman" w:eastAsia="Times New Roman" w:hAnsi="Times New Roman"/>
                <w:lang w:val="ro-RO"/>
              </w:rPr>
              <w:t>creşte</w:t>
            </w:r>
            <w:proofErr w:type="spellEnd"/>
            <w:r w:rsidRPr="00125FAF">
              <w:rPr>
                <w:rFonts w:ascii="Times New Roman" w:eastAsia="Times New Roman" w:hAnsi="Times New Roman"/>
                <w:lang w:val="ro-RO"/>
              </w:rPr>
              <w:t xml:space="preserve"> </w:t>
            </w:r>
            <w:proofErr w:type="spellStart"/>
            <w:r w:rsidRPr="00125FAF">
              <w:rPr>
                <w:rFonts w:ascii="Times New Roman" w:eastAsia="Times New Roman" w:hAnsi="Times New Roman"/>
                <w:lang w:val="ro-RO"/>
              </w:rPr>
              <w:t>pînă</w:t>
            </w:r>
            <w:proofErr w:type="spellEnd"/>
            <w:r w:rsidRPr="00125FAF">
              <w:rPr>
                <w:rFonts w:ascii="Times New Roman" w:eastAsia="Times New Roman" w:hAnsi="Times New Roman"/>
                <w:lang w:val="ro-RO"/>
              </w:rPr>
              <w:t xml:space="preserve"> la 88% în mod </w:t>
            </w:r>
            <w:proofErr w:type="spellStart"/>
            <w:r w:rsidRPr="00125FAF">
              <w:rPr>
                <w:rFonts w:ascii="Times New Roman" w:eastAsia="Times New Roman" w:hAnsi="Times New Roman"/>
                <w:lang w:val="ro-RO"/>
              </w:rPr>
              <w:t>condiţionat</w:t>
            </w:r>
            <w:proofErr w:type="spellEnd"/>
            <w:r w:rsidRPr="00125FAF">
              <w:rPr>
                <w:rFonts w:ascii="Times New Roman" w:eastAsia="Times New Roman" w:hAnsi="Times New Roman"/>
                <w:lang w:val="ro-RO"/>
              </w:rPr>
              <w:t xml:space="preserve"> – în conformitate cu un acord global, care ar aborda teme importante, </w:t>
            </w:r>
            <w:proofErr w:type="spellStart"/>
            <w:r w:rsidRPr="00125FAF">
              <w:rPr>
                <w:rFonts w:ascii="Times New Roman" w:eastAsia="Times New Roman" w:hAnsi="Times New Roman"/>
                <w:lang w:val="ro-RO"/>
              </w:rPr>
              <w:t>aşa</w:t>
            </w:r>
            <w:proofErr w:type="spellEnd"/>
            <w:r w:rsidRPr="00125FAF">
              <w:rPr>
                <w:rFonts w:ascii="Times New Roman" w:eastAsia="Times New Roman" w:hAnsi="Times New Roman"/>
                <w:lang w:val="ro-RO"/>
              </w:rPr>
              <w:t xml:space="preserve"> ca resursele financiare cu costuri reduse, transferul de tehnologii </w:t>
            </w:r>
            <w:proofErr w:type="spellStart"/>
            <w:r w:rsidRPr="00125FAF">
              <w:rPr>
                <w:rFonts w:ascii="Times New Roman" w:eastAsia="Times New Roman" w:hAnsi="Times New Roman"/>
                <w:lang w:val="ro-RO"/>
              </w:rPr>
              <w:t>şi</w:t>
            </w:r>
            <w:proofErr w:type="spellEnd"/>
            <w:r w:rsidRPr="00125FAF">
              <w:rPr>
                <w:rFonts w:ascii="Times New Roman" w:eastAsia="Times New Roman" w:hAnsi="Times New Roman"/>
                <w:lang w:val="ro-RO"/>
              </w:rPr>
              <w:t xml:space="preserve"> cooperarea tehnică, accesul la toate în măsură corespunzătoare cu provocările schimbării globale a climei</w:t>
            </w:r>
          </w:p>
        </w:tc>
      </w:tr>
      <w:tr w:rsidR="00DC3FD5" w:rsidRPr="00125FAF" w14:paraId="40E5CFEE" w14:textId="77777777" w:rsidTr="00AC461F">
        <w:trPr>
          <w:trHeight w:val="615"/>
        </w:trPr>
        <w:tc>
          <w:tcPr>
            <w:tcW w:w="627" w:type="dxa"/>
            <w:hideMark/>
          </w:tcPr>
          <w:p w14:paraId="06738431"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1</w:t>
            </w:r>
          </w:p>
        </w:tc>
        <w:tc>
          <w:tcPr>
            <w:tcW w:w="13812" w:type="dxa"/>
            <w:gridSpan w:val="8"/>
            <w:hideMark/>
          </w:tcPr>
          <w:p w14:paraId="18A30439" w14:textId="1AD54675" w:rsidR="00D25293" w:rsidRPr="00125FAF" w:rsidRDefault="00D25293" w:rsidP="00D25293">
            <w:pPr>
              <w:jc w:val="both"/>
              <w:rPr>
                <w:rFonts w:ascii="Times New Roman" w:eastAsia="Times New Roman" w:hAnsi="Times New Roman"/>
                <w:b/>
                <w:bCs/>
                <w:lang w:val="ro-RO"/>
              </w:rPr>
            </w:pPr>
            <w:r w:rsidRPr="00125FAF">
              <w:rPr>
                <w:rFonts w:ascii="Times New Roman" w:eastAsia="Times New Roman" w:hAnsi="Times New Roman"/>
                <w:b/>
                <w:bCs/>
                <w:lang w:val="ro-RO"/>
              </w:rPr>
              <w:t xml:space="preserve">Obiectivul specific 1. </w:t>
            </w:r>
            <w:r w:rsidRPr="00125FAF">
              <w:rPr>
                <w:rFonts w:ascii="Times New Roman" w:eastAsia="Times New Roman" w:hAnsi="Times New Roman"/>
                <w:lang w:val="ro-RO"/>
              </w:rPr>
              <w:t xml:space="preserve">Reducerea </w:t>
            </w:r>
            <w:proofErr w:type="spellStart"/>
            <w:r w:rsidRPr="00125FAF">
              <w:rPr>
                <w:rFonts w:ascii="Times New Roman" w:eastAsia="Times New Roman" w:hAnsi="Times New Roman"/>
                <w:lang w:val="ro-RO"/>
              </w:rPr>
              <w:t>necondiţionată</w:t>
            </w:r>
            <w:proofErr w:type="spellEnd"/>
            <w:r w:rsidRPr="00125FAF">
              <w:rPr>
                <w:rFonts w:ascii="Times New Roman" w:eastAsia="Times New Roman" w:hAnsi="Times New Roman"/>
                <w:lang w:val="ro-RO"/>
              </w:rPr>
              <w:t xml:space="preserve">, </w:t>
            </w:r>
            <w:proofErr w:type="spellStart"/>
            <w:r w:rsidRPr="00125FAF">
              <w:rPr>
                <w:rFonts w:ascii="Times New Roman" w:eastAsia="Times New Roman" w:hAnsi="Times New Roman"/>
                <w:lang w:val="ro-RO"/>
              </w:rPr>
              <w:t>pînă</w:t>
            </w:r>
            <w:proofErr w:type="spellEnd"/>
            <w:r w:rsidRPr="00125FAF">
              <w:rPr>
                <w:rFonts w:ascii="Times New Roman" w:eastAsia="Times New Roman" w:hAnsi="Times New Roman"/>
                <w:lang w:val="ro-RO"/>
              </w:rPr>
              <w:t xml:space="preserve"> în</w:t>
            </w:r>
            <w:r w:rsidR="00B566C6" w:rsidRPr="00125FAF">
              <w:rPr>
                <w:rFonts w:ascii="Times New Roman" w:eastAsia="Times New Roman" w:hAnsi="Times New Roman"/>
                <w:lang w:val="ro-RO"/>
              </w:rPr>
              <w:t xml:space="preserve"> </w:t>
            </w:r>
            <w:r w:rsidRPr="00125FAF">
              <w:rPr>
                <w:rFonts w:ascii="Times New Roman" w:eastAsia="Times New Roman" w:hAnsi="Times New Roman"/>
                <w:lang w:val="ro-RO"/>
              </w:rPr>
              <w:t xml:space="preserve">anul 2030, a emisiilor de gaze cu efect de seră provenite din </w:t>
            </w:r>
            <w:r w:rsidRPr="00125FAF">
              <w:rPr>
                <w:rFonts w:ascii="Times New Roman" w:eastAsia="Times New Roman" w:hAnsi="Times New Roman"/>
                <w:b/>
                <w:bCs/>
                <w:lang w:val="ro-RO"/>
              </w:rPr>
              <w:t>sectorul energetic</w:t>
            </w:r>
            <w:r w:rsidRPr="00125FAF">
              <w:rPr>
                <w:rFonts w:ascii="Times New Roman" w:eastAsia="Times New Roman" w:hAnsi="Times New Roman"/>
                <w:lang w:val="ro-RO"/>
              </w:rPr>
              <w:t xml:space="preserve"> cu 81%</w:t>
            </w:r>
            <w:r w:rsidR="00B566C6" w:rsidRPr="00125FAF">
              <w:rPr>
                <w:rFonts w:ascii="Times New Roman" w:eastAsia="Times New Roman" w:hAnsi="Times New Roman"/>
                <w:lang w:val="ro-RO"/>
              </w:rPr>
              <w:t xml:space="preserve"> </w:t>
            </w:r>
            <w:proofErr w:type="spellStart"/>
            <w:r w:rsidRPr="00125FAF">
              <w:rPr>
                <w:rFonts w:ascii="Times New Roman" w:eastAsia="Times New Roman" w:hAnsi="Times New Roman"/>
                <w:lang w:val="ro-RO"/>
              </w:rPr>
              <w:t>şi</w:t>
            </w:r>
            <w:proofErr w:type="spellEnd"/>
            <w:r w:rsidRPr="00125FAF">
              <w:rPr>
                <w:rFonts w:ascii="Times New Roman" w:eastAsia="Times New Roman" w:hAnsi="Times New Roman"/>
                <w:lang w:val="ro-RO"/>
              </w:rPr>
              <w:t xml:space="preserve"> reducerea de gaze cu efect de seră </w:t>
            </w:r>
            <w:proofErr w:type="spellStart"/>
            <w:r w:rsidRPr="00125FAF">
              <w:rPr>
                <w:rFonts w:ascii="Times New Roman" w:eastAsia="Times New Roman" w:hAnsi="Times New Roman"/>
                <w:lang w:val="ro-RO"/>
              </w:rPr>
              <w:t>condiţionată</w:t>
            </w:r>
            <w:proofErr w:type="spellEnd"/>
            <w:r w:rsidRPr="00125FAF">
              <w:rPr>
                <w:rFonts w:ascii="Times New Roman" w:eastAsia="Times New Roman" w:hAnsi="Times New Roman"/>
                <w:lang w:val="ro-RO"/>
              </w:rPr>
              <w:t xml:space="preserve"> </w:t>
            </w:r>
            <w:proofErr w:type="spellStart"/>
            <w:r w:rsidRPr="00125FAF">
              <w:rPr>
                <w:rFonts w:ascii="Times New Roman" w:eastAsia="Times New Roman" w:hAnsi="Times New Roman"/>
                <w:lang w:val="ro-RO"/>
              </w:rPr>
              <w:t>pînă</w:t>
            </w:r>
            <w:proofErr w:type="spellEnd"/>
            <w:r w:rsidRPr="00125FAF">
              <w:rPr>
                <w:rFonts w:ascii="Times New Roman" w:eastAsia="Times New Roman" w:hAnsi="Times New Roman"/>
                <w:lang w:val="ro-RO"/>
              </w:rPr>
              <w:t xml:space="preserve"> la 87% comparativ cu anul 1990</w:t>
            </w:r>
          </w:p>
        </w:tc>
      </w:tr>
      <w:tr w:rsidR="00DC3FD5" w:rsidRPr="00125FAF" w14:paraId="3474078D" w14:textId="77777777" w:rsidTr="00AC461F">
        <w:trPr>
          <w:trHeight w:val="1275"/>
        </w:trPr>
        <w:tc>
          <w:tcPr>
            <w:tcW w:w="627" w:type="dxa"/>
            <w:hideMark/>
          </w:tcPr>
          <w:p w14:paraId="41510AC8" w14:textId="08CA6FEC"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1.</w:t>
            </w:r>
            <w:r w:rsidR="00DF329F">
              <w:rPr>
                <w:rFonts w:ascii="Times New Roman" w:eastAsia="Times New Roman" w:hAnsi="Times New Roman"/>
                <w:lang w:val="ro-RO"/>
              </w:rPr>
              <w:t>1</w:t>
            </w:r>
          </w:p>
        </w:tc>
        <w:tc>
          <w:tcPr>
            <w:tcW w:w="3255" w:type="dxa"/>
            <w:hideMark/>
          </w:tcPr>
          <w:p w14:paraId="5D17838E" w14:textId="321D5357" w:rsidR="00D25293" w:rsidRPr="00125FAF" w:rsidRDefault="00D25293" w:rsidP="00D25293">
            <w:pPr>
              <w:jc w:val="both"/>
              <w:rPr>
                <w:rFonts w:ascii="Times New Roman" w:eastAsia="Times New Roman" w:hAnsi="Times New Roman"/>
                <w:lang w:val="ro-RO"/>
              </w:rPr>
            </w:pPr>
            <w:proofErr w:type="spellStart"/>
            <w:r w:rsidRPr="00125FAF">
              <w:rPr>
                <w:rFonts w:ascii="Times New Roman" w:eastAsia="Times New Roman" w:hAnsi="Times New Roman"/>
                <w:lang w:val="ro-RO"/>
              </w:rPr>
              <w:t>Construcţia</w:t>
            </w:r>
            <w:proofErr w:type="spellEnd"/>
            <w:r w:rsidRPr="00125FAF">
              <w:rPr>
                <w:rFonts w:ascii="Times New Roman" w:eastAsia="Times New Roman" w:hAnsi="Times New Roman"/>
                <w:lang w:val="ro-RO"/>
              </w:rPr>
              <w:t xml:space="preserve"> interconexiunilor electrice cu sistemul electroenergetic</w:t>
            </w:r>
            <w:r w:rsidR="00B566C6" w:rsidRPr="00125FAF">
              <w:rPr>
                <w:rFonts w:ascii="Times New Roman" w:eastAsia="Times New Roman" w:hAnsi="Times New Roman"/>
                <w:lang w:val="ro-RO"/>
              </w:rPr>
              <w:t xml:space="preserve"> </w:t>
            </w:r>
            <w:r w:rsidRPr="00125FAF">
              <w:rPr>
                <w:rFonts w:ascii="Times New Roman" w:eastAsia="Times New Roman" w:hAnsi="Times New Roman"/>
                <w:lang w:val="ro-RO"/>
              </w:rPr>
              <w:t>ENTSO-E</w:t>
            </w:r>
          </w:p>
        </w:tc>
        <w:tc>
          <w:tcPr>
            <w:tcW w:w="1057" w:type="dxa"/>
            <w:hideMark/>
          </w:tcPr>
          <w:p w14:paraId="6A1EC3D0"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2030</w:t>
            </w:r>
          </w:p>
        </w:tc>
        <w:tc>
          <w:tcPr>
            <w:tcW w:w="1979" w:type="dxa"/>
            <w:hideMark/>
          </w:tcPr>
          <w:p w14:paraId="394AEB9D" w14:textId="1A0A3876" w:rsidR="00D25293" w:rsidRPr="00125FAF" w:rsidRDefault="0024706D" w:rsidP="00D25293">
            <w:pPr>
              <w:jc w:val="both"/>
              <w:rPr>
                <w:rFonts w:ascii="Times New Roman" w:eastAsia="Times New Roman" w:hAnsi="Times New Roman"/>
                <w:lang w:val="ro-RO"/>
              </w:rPr>
            </w:pPr>
            <w:r>
              <w:rPr>
                <w:rFonts w:ascii="Times New Roman" w:eastAsia="Times New Roman" w:hAnsi="Times New Roman"/>
                <w:lang w:val="ro-RO"/>
              </w:rPr>
              <w:t>Ministerul Infrastructurii și Dezvoltării Regionale</w:t>
            </w:r>
            <w:r w:rsidR="00D25293" w:rsidRPr="00125FAF">
              <w:rPr>
                <w:rFonts w:ascii="Times New Roman" w:eastAsia="Times New Roman" w:hAnsi="Times New Roman"/>
                <w:lang w:val="ro-RO"/>
              </w:rPr>
              <w:t>, Î.S. „</w:t>
            </w:r>
            <w:proofErr w:type="spellStart"/>
            <w:r w:rsidR="00D25293" w:rsidRPr="00125FAF">
              <w:rPr>
                <w:rFonts w:ascii="Times New Roman" w:eastAsia="Times New Roman" w:hAnsi="Times New Roman"/>
                <w:lang w:val="ro-RO"/>
              </w:rPr>
              <w:t>Moldelectrica</w:t>
            </w:r>
            <w:proofErr w:type="spellEnd"/>
            <w:r w:rsidR="00D25293" w:rsidRPr="00125FAF">
              <w:rPr>
                <w:rFonts w:ascii="Times New Roman" w:eastAsia="Times New Roman" w:hAnsi="Times New Roman"/>
                <w:lang w:val="ro-RO"/>
              </w:rPr>
              <w:t>”</w:t>
            </w:r>
          </w:p>
        </w:tc>
        <w:tc>
          <w:tcPr>
            <w:tcW w:w="1726" w:type="dxa"/>
            <w:hideMark/>
          </w:tcPr>
          <w:p w14:paraId="0A3DB2D7"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 xml:space="preserve">Interconexiuni la tensiunea de 400 kV construite împreună cu România, </w:t>
            </w:r>
            <w:proofErr w:type="spellStart"/>
            <w:r w:rsidRPr="00125FAF">
              <w:rPr>
                <w:rFonts w:ascii="Times New Roman" w:eastAsia="Times New Roman" w:hAnsi="Times New Roman"/>
                <w:lang w:val="ro-RO"/>
              </w:rPr>
              <w:t>Pînă</w:t>
            </w:r>
            <w:proofErr w:type="spellEnd"/>
            <w:r w:rsidRPr="00125FAF">
              <w:rPr>
                <w:rFonts w:ascii="Times New Roman" w:eastAsia="Times New Roman" w:hAnsi="Times New Roman"/>
                <w:lang w:val="ro-RO"/>
              </w:rPr>
              <w:t xml:space="preserve"> la 870 MW capacitatea de import al energiei electrice</w:t>
            </w:r>
          </w:p>
        </w:tc>
        <w:tc>
          <w:tcPr>
            <w:tcW w:w="1736" w:type="dxa"/>
            <w:hideMark/>
          </w:tcPr>
          <w:p w14:paraId="7C029C8C"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 </w:t>
            </w:r>
          </w:p>
        </w:tc>
        <w:tc>
          <w:tcPr>
            <w:tcW w:w="1377" w:type="dxa"/>
            <w:hideMark/>
          </w:tcPr>
          <w:p w14:paraId="0B3C9AC7" w14:textId="27B4E446"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12</w:t>
            </w:r>
            <w:r w:rsidR="00D5429D" w:rsidRPr="00125FAF">
              <w:rPr>
                <w:rFonts w:ascii="Times New Roman" w:eastAsia="Times New Roman" w:hAnsi="Times New Roman"/>
                <w:lang w:val="ro-RO"/>
              </w:rPr>
              <w:t xml:space="preserve"> </w:t>
            </w:r>
            <w:r w:rsidRPr="00125FAF">
              <w:rPr>
                <w:rFonts w:ascii="Times New Roman" w:eastAsia="Times New Roman" w:hAnsi="Times New Roman"/>
                <w:lang w:val="ro-RO"/>
              </w:rPr>
              <w:t>921</w:t>
            </w:r>
          </w:p>
        </w:tc>
        <w:tc>
          <w:tcPr>
            <w:tcW w:w="1444" w:type="dxa"/>
            <w:hideMark/>
          </w:tcPr>
          <w:p w14:paraId="2F0A77C5"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 </w:t>
            </w:r>
          </w:p>
        </w:tc>
        <w:tc>
          <w:tcPr>
            <w:tcW w:w="1238" w:type="dxa"/>
            <w:hideMark/>
          </w:tcPr>
          <w:p w14:paraId="3FA1923D"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 xml:space="preserve">Buget de stat, </w:t>
            </w:r>
            <w:proofErr w:type="spellStart"/>
            <w:r w:rsidRPr="00125FAF">
              <w:rPr>
                <w:rFonts w:ascii="Times New Roman" w:eastAsia="Times New Roman" w:hAnsi="Times New Roman"/>
                <w:lang w:val="ro-RO"/>
              </w:rPr>
              <w:t>asistenţă</w:t>
            </w:r>
            <w:proofErr w:type="spellEnd"/>
            <w:r w:rsidRPr="00125FAF">
              <w:rPr>
                <w:rFonts w:ascii="Times New Roman" w:eastAsia="Times New Roman" w:hAnsi="Times New Roman"/>
                <w:lang w:val="ro-RO"/>
              </w:rPr>
              <w:t xml:space="preserve"> externă, alte surse</w:t>
            </w:r>
          </w:p>
        </w:tc>
      </w:tr>
      <w:tr w:rsidR="00DC3FD5" w:rsidRPr="00125FAF" w14:paraId="589E7CCC" w14:textId="77777777" w:rsidTr="00AC461F">
        <w:trPr>
          <w:trHeight w:val="1485"/>
        </w:trPr>
        <w:tc>
          <w:tcPr>
            <w:tcW w:w="627" w:type="dxa"/>
            <w:hideMark/>
          </w:tcPr>
          <w:p w14:paraId="62527A72" w14:textId="47B93706"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lastRenderedPageBreak/>
              <w:t>1.</w:t>
            </w:r>
            <w:r w:rsidR="00DF329F">
              <w:rPr>
                <w:rFonts w:ascii="Times New Roman" w:eastAsia="Times New Roman" w:hAnsi="Times New Roman"/>
                <w:lang w:val="ro-RO"/>
              </w:rPr>
              <w:t>2</w:t>
            </w:r>
          </w:p>
        </w:tc>
        <w:tc>
          <w:tcPr>
            <w:tcW w:w="3255" w:type="dxa"/>
            <w:hideMark/>
          </w:tcPr>
          <w:p w14:paraId="11305988"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 xml:space="preserve">Implementarea generării distribuite a energiei electrice, cu aplicarea centralelor electrice de termoficare de înaltă </w:t>
            </w:r>
            <w:proofErr w:type="spellStart"/>
            <w:r w:rsidRPr="00125FAF">
              <w:rPr>
                <w:rFonts w:ascii="Times New Roman" w:eastAsia="Times New Roman" w:hAnsi="Times New Roman"/>
                <w:lang w:val="ro-RO"/>
              </w:rPr>
              <w:t>eficienţă</w:t>
            </w:r>
            <w:proofErr w:type="spellEnd"/>
            <w:r w:rsidRPr="00125FAF">
              <w:rPr>
                <w:rFonts w:ascii="Times New Roman" w:eastAsia="Times New Roman" w:hAnsi="Times New Roman"/>
                <w:lang w:val="ro-RO"/>
              </w:rPr>
              <w:t xml:space="preserve">, </w:t>
            </w:r>
            <w:proofErr w:type="spellStart"/>
            <w:r w:rsidRPr="00125FAF">
              <w:rPr>
                <w:rFonts w:ascii="Times New Roman" w:eastAsia="Times New Roman" w:hAnsi="Times New Roman"/>
                <w:lang w:val="ro-RO"/>
              </w:rPr>
              <w:t>funcţionabile</w:t>
            </w:r>
            <w:proofErr w:type="spellEnd"/>
            <w:r w:rsidRPr="00125FAF">
              <w:rPr>
                <w:rFonts w:ascii="Times New Roman" w:eastAsia="Times New Roman" w:hAnsi="Times New Roman"/>
                <w:lang w:val="ro-RO"/>
              </w:rPr>
              <w:t xml:space="preserve"> pe gaze naturale </w:t>
            </w:r>
          </w:p>
        </w:tc>
        <w:tc>
          <w:tcPr>
            <w:tcW w:w="1057" w:type="dxa"/>
            <w:hideMark/>
          </w:tcPr>
          <w:p w14:paraId="06E78263"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2030</w:t>
            </w:r>
          </w:p>
        </w:tc>
        <w:tc>
          <w:tcPr>
            <w:tcW w:w="1979" w:type="dxa"/>
            <w:hideMark/>
          </w:tcPr>
          <w:p w14:paraId="7A81CA7B" w14:textId="1524C031" w:rsidR="00D25293" w:rsidRPr="00125FAF" w:rsidRDefault="0024706D" w:rsidP="00D25293">
            <w:pPr>
              <w:jc w:val="both"/>
              <w:rPr>
                <w:rFonts w:ascii="Times New Roman" w:eastAsia="Times New Roman" w:hAnsi="Times New Roman"/>
                <w:lang w:val="ro-RO"/>
              </w:rPr>
            </w:pPr>
            <w:r>
              <w:rPr>
                <w:rFonts w:ascii="Times New Roman" w:eastAsia="Times New Roman" w:hAnsi="Times New Roman"/>
                <w:lang w:val="ro-RO"/>
              </w:rPr>
              <w:t>Ministerul Infrastructurii și Dezvoltării Regionale</w:t>
            </w:r>
          </w:p>
        </w:tc>
        <w:tc>
          <w:tcPr>
            <w:tcW w:w="1726" w:type="dxa"/>
            <w:hideMark/>
          </w:tcPr>
          <w:p w14:paraId="6041CB90"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 </w:t>
            </w:r>
          </w:p>
        </w:tc>
        <w:tc>
          <w:tcPr>
            <w:tcW w:w="1736" w:type="dxa"/>
            <w:hideMark/>
          </w:tcPr>
          <w:p w14:paraId="572B4F51"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 xml:space="preserve">40 de centralele electrice de termoficare de înaltă </w:t>
            </w:r>
            <w:proofErr w:type="spellStart"/>
            <w:r w:rsidRPr="00125FAF">
              <w:rPr>
                <w:rFonts w:ascii="Times New Roman" w:eastAsia="Times New Roman" w:hAnsi="Times New Roman"/>
                <w:lang w:val="ro-RO"/>
              </w:rPr>
              <w:t>eficienţă</w:t>
            </w:r>
            <w:proofErr w:type="spellEnd"/>
            <w:r w:rsidRPr="00125FAF">
              <w:rPr>
                <w:rFonts w:ascii="Times New Roman" w:eastAsia="Times New Roman" w:hAnsi="Times New Roman"/>
                <w:lang w:val="ro-RO"/>
              </w:rPr>
              <w:t xml:space="preserve"> noi cu puterea electrică instalată totală de 20 MW construite</w:t>
            </w:r>
          </w:p>
        </w:tc>
        <w:tc>
          <w:tcPr>
            <w:tcW w:w="1377" w:type="dxa"/>
            <w:hideMark/>
          </w:tcPr>
          <w:p w14:paraId="338EC7DE"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 </w:t>
            </w:r>
          </w:p>
        </w:tc>
        <w:tc>
          <w:tcPr>
            <w:tcW w:w="1444" w:type="dxa"/>
            <w:hideMark/>
          </w:tcPr>
          <w:p w14:paraId="079669A4" w14:textId="3E73727A"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401</w:t>
            </w:r>
            <w:r w:rsidR="00D5429D" w:rsidRPr="00125FAF">
              <w:rPr>
                <w:rFonts w:ascii="Times New Roman" w:eastAsia="Times New Roman" w:hAnsi="Times New Roman"/>
                <w:lang w:val="ro-RO"/>
              </w:rPr>
              <w:t>,</w:t>
            </w:r>
            <w:r w:rsidRPr="00125FAF">
              <w:rPr>
                <w:rFonts w:ascii="Times New Roman" w:eastAsia="Times New Roman" w:hAnsi="Times New Roman"/>
                <w:lang w:val="ro-RO"/>
              </w:rPr>
              <w:t>4</w:t>
            </w:r>
          </w:p>
        </w:tc>
        <w:tc>
          <w:tcPr>
            <w:tcW w:w="1238" w:type="dxa"/>
            <w:hideMark/>
          </w:tcPr>
          <w:p w14:paraId="305F71D3"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 xml:space="preserve">Companii private, </w:t>
            </w:r>
            <w:proofErr w:type="spellStart"/>
            <w:r w:rsidRPr="00125FAF">
              <w:rPr>
                <w:rFonts w:ascii="Times New Roman" w:eastAsia="Times New Roman" w:hAnsi="Times New Roman"/>
                <w:lang w:val="ro-RO"/>
              </w:rPr>
              <w:t>asistenţă</w:t>
            </w:r>
            <w:proofErr w:type="spellEnd"/>
            <w:r w:rsidRPr="00125FAF">
              <w:rPr>
                <w:rFonts w:ascii="Times New Roman" w:eastAsia="Times New Roman" w:hAnsi="Times New Roman"/>
                <w:lang w:val="ro-RO"/>
              </w:rPr>
              <w:t xml:space="preserve"> externă, alte surse</w:t>
            </w:r>
          </w:p>
        </w:tc>
      </w:tr>
      <w:tr w:rsidR="00DC3FD5" w:rsidRPr="00125FAF" w14:paraId="4D2EDF69" w14:textId="77777777" w:rsidTr="00AC461F">
        <w:trPr>
          <w:trHeight w:val="900"/>
        </w:trPr>
        <w:tc>
          <w:tcPr>
            <w:tcW w:w="627" w:type="dxa"/>
            <w:hideMark/>
          </w:tcPr>
          <w:p w14:paraId="53269372" w14:textId="13246E5B"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1.</w:t>
            </w:r>
            <w:r w:rsidR="00DF329F">
              <w:rPr>
                <w:rFonts w:ascii="Times New Roman" w:eastAsia="Times New Roman" w:hAnsi="Times New Roman"/>
                <w:lang w:val="ro-RO"/>
              </w:rPr>
              <w:t>3</w:t>
            </w:r>
          </w:p>
        </w:tc>
        <w:tc>
          <w:tcPr>
            <w:tcW w:w="3255" w:type="dxa"/>
            <w:hideMark/>
          </w:tcPr>
          <w:p w14:paraId="09F3677D"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 xml:space="preserve">Reducerea pierderilor în sistemul de transport </w:t>
            </w:r>
            <w:proofErr w:type="spellStart"/>
            <w:r w:rsidRPr="00125FAF">
              <w:rPr>
                <w:rFonts w:ascii="Times New Roman" w:eastAsia="Times New Roman" w:hAnsi="Times New Roman"/>
                <w:lang w:val="ro-RO"/>
              </w:rPr>
              <w:t>şi</w:t>
            </w:r>
            <w:proofErr w:type="spellEnd"/>
            <w:r w:rsidRPr="00125FAF">
              <w:rPr>
                <w:rFonts w:ascii="Times New Roman" w:eastAsia="Times New Roman" w:hAnsi="Times New Roman"/>
                <w:lang w:val="ro-RO"/>
              </w:rPr>
              <w:t xml:space="preserve"> </w:t>
            </w:r>
            <w:proofErr w:type="spellStart"/>
            <w:r w:rsidRPr="00125FAF">
              <w:rPr>
                <w:rFonts w:ascii="Times New Roman" w:eastAsia="Times New Roman" w:hAnsi="Times New Roman"/>
                <w:lang w:val="ro-RO"/>
              </w:rPr>
              <w:t>distribuţie</w:t>
            </w:r>
            <w:proofErr w:type="spellEnd"/>
            <w:r w:rsidRPr="00125FAF">
              <w:rPr>
                <w:rFonts w:ascii="Times New Roman" w:eastAsia="Times New Roman" w:hAnsi="Times New Roman"/>
                <w:lang w:val="ro-RO"/>
              </w:rPr>
              <w:t xml:space="preserve"> a energiei termice </w:t>
            </w:r>
            <w:proofErr w:type="spellStart"/>
            <w:r w:rsidRPr="00125FAF">
              <w:rPr>
                <w:rFonts w:ascii="Times New Roman" w:eastAsia="Times New Roman" w:hAnsi="Times New Roman"/>
                <w:lang w:val="ro-RO"/>
              </w:rPr>
              <w:t>şi</w:t>
            </w:r>
            <w:proofErr w:type="spellEnd"/>
            <w:r w:rsidRPr="00125FAF">
              <w:rPr>
                <w:rFonts w:ascii="Times New Roman" w:eastAsia="Times New Roman" w:hAnsi="Times New Roman"/>
                <w:lang w:val="ro-RO"/>
              </w:rPr>
              <w:t xml:space="preserve"> la producerea acesteia</w:t>
            </w:r>
          </w:p>
        </w:tc>
        <w:tc>
          <w:tcPr>
            <w:tcW w:w="1057" w:type="dxa"/>
            <w:hideMark/>
          </w:tcPr>
          <w:p w14:paraId="59D5EF8A"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2030</w:t>
            </w:r>
          </w:p>
        </w:tc>
        <w:tc>
          <w:tcPr>
            <w:tcW w:w="1979" w:type="dxa"/>
            <w:hideMark/>
          </w:tcPr>
          <w:p w14:paraId="7F5365C2" w14:textId="3DEDC98E" w:rsidR="00D25293" w:rsidRPr="00125FAF" w:rsidRDefault="0024706D" w:rsidP="00D25293">
            <w:pPr>
              <w:jc w:val="both"/>
              <w:rPr>
                <w:rFonts w:ascii="Times New Roman" w:eastAsia="Times New Roman" w:hAnsi="Times New Roman"/>
                <w:lang w:val="ro-RO"/>
              </w:rPr>
            </w:pPr>
            <w:r>
              <w:rPr>
                <w:rFonts w:ascii="Times New Roman" w:eastAsia="Times New Roman" w:hAnsi="Times New Roman"/>
                <w:lang w:val="ro-RO"/>
              </w:rPr>
              <w:t>Ministerul Infrastructurii și Dezvoltării Regionale</w:t>
            </w:r>
          </w:p>
        </w:tc>
        <w:tc>
          <w:tcPr>
            <w:tcW w:w="1726" w:type="dxa"/>
            <w:hideMark/>
          </w:tcPr>
          <w:p w14:paraId="3D73C182"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 </w:t>
            </w:r>
          </w:p>
        </w:tc>
        <w:tc>
          <w:tcPr>
            <w:tcW w:w="1736" w:type="dxa"/>
            <w:hideMark/>
          </w:tcPr>
          <w:p w14:paraId="1CD35FC9"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 xml:space="preserve">Pierderile de căldura reduse în sistemul centralizat cu </w:t>
            </w:r>
            <w:bookmarkStart w:id="11" w:name="_Hlk69045065"/>
            <w:r w:rsidRPr="00125FAF">
              <w:rPr>
                <w:rFonts w:ascii="Times New Roman" w:eastAsia="Times New Roman" w:hAnsi="Times New Roman"/>
                <w:lang w:val="ro-RO"/>
              </w:rPr>
              <w:t xml:space="preserve">27,9 </w:t>
            </w:r>
            <w:proofErr w:type="spellStart"/>
            <w:r w:rsidRPr="00125FAF">
              <w:rPr>
                <w:rFonts w:ascii="Times New Roman" w:eastAsia="Times New Roman" w:hAnsi="Times New Roman"/>
                <w:lang w:val="ro-RO"/>
              </w:rPr>
              <w:t>ktep</w:t>
            </w:r>
            <w:proofErr w:type="spellEnd"/>
            <w:r w:rsidRPr="00125FAF">
              <w:rPr>
                <w:rFonts w:ascii="Times New Roman" w:eastAsia="Times New Roman" w:hAnsi="Times New Roman"/>
                <w:lang w:val="ro-RO"/>
              </w:rPr>
              <w:t xml:space="preserve"> </w:t>
            </w:r>
            <w:bookmarkEnd w:id="11"/>
            <w:proofErr w:type="spellStart"/>
            <w:r w:rsidRPr="00125FAF">
              <w:rPr>
                <w:rFonts w:ascii="Times New Roman" w:eastAsia="Times New Roman" w:hAnsi="Times New Roman"/>
                <w:lang w:val="ro-RO"/>
              </w:rPr>
              <w:t>pînă</w:t>
            </w:r>
            <w:proofErr w:type="spellEnd"/>
            <w:r w:rsidRPr="00125FAF">
              <w:rPr>
                <w:rFonts w:ascii="Times New Roman" w:eastAsia="Times New Roman" w:hAnsi="Times New Roman"/>
                <w:lang w:val="ro-RO"/>
              </w:rPr>
              <w:t xml:space="preserve"> în anul 2030</w:t>
            </w:r>
          </w:p>
        </w:tc>
        <w:tc>
          <w:tcPr>
            <w:tcW w:w="1377" w:type="dxa"/>
            <w:hideMark/>
          </w:tcPr>
          <w:p w14:paraId="740E6766"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 </w:t>
            </w:r>
          </w:p>
        </w:tc>
        <w:tc>
          <w:tcPr>
            <w:tcW w:w="1444" w:type="dxa"/>
            <w:hideMark/>
          </w:tcPr>
          <w:p w14:paraId="67A1BBE6" w14:textId="4CB71BDE"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6138</w:t>
            </w:r>
          </w:p>
        </w:tc>
        <w:tc>
          <w:tcPr>
            <w:tcW w:w="1238" w:type="dxa"/>
            <w:hideMark/>
          </w:tcPr>
          <w:p w14:paraId="42B24C88" w14:textId="77777777" w:rsidR="00D25293" w:rsidRPr="00125FAF" w:rsidRDefault="00D25293" w:rsidP="00D25293">
            <w:pPr>
              <w:jc w:val="both"/>
              <w:rPr>
                <w:rFonts w:ascii="Times New Roman" w:eastAsia="Times New Roman" w:hAnsi="Times New Roman"/>
                <w:lang w:val="ro-RO"/>
              </w:rPr>
            </w:pPr>
            <w:proofErr w:type="spellStart"/>
            <w:r w:rsidRPr="00125FAF">
              <w:rPr>
                <w:rFonts w:ascii="Times New Roman" w:eastAsia="Times New Roman" w:hAnsi="Times New Roman"/>
                <w:lang w:val="ro-RO"/>
              </w:rPr>
              <w:t>Asistenţă</w:t>
            </w:r>
            <w:proofErr w:type="spellEnd"/>
            <w:r w:rsidRPr="00125FAF">
              <w:rPr>
                <w:rFonts w:ascii="Times New Roman" w:eastAsia="Times New Roman" w:hAnsi="Times New Roman"/>
                <w:lang w:val="ro-RO"/>
              </w:rPr>
              <w:t xml:space="preserve"> externă, alte surse</w:t>
            </w:r>
          </w:p>
        </w:tc>
      </w:tr>
      <w:tr w:rsidR="00DC3FD5" w:rsidRPr="00125FAF" w14:paraId="026F465A" w14:textId="77777777" w:rsidTr="00AC461F">
        <w:trPr>
          <w:trHeight w:val="930"/>
        </w:trPr>
        <w:tc>
          <w:tcPr>
            <w:tcW w:w="627" w:type="dxa"/>
            <w:hideMark/>
          </w:tcPr>
          <w:p w14:paraId="1A3DAF77" w14:textId="5E4952C8"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1.</w:t>
            </w:r>
            <w:r w:rsidR="00DF329F">
              <w:rPr>
                <w:rFonts w:ascii="Times New Roman" w:eastAsia="Times New Roman" w:hAnsi="Times New Roman"/>
                <w:lang w:val="ro-RO"/>
              </w:rPr>
              <w:t>4</w:t>
            </w:r>
          </w:p>
        </w:tc>
        <w:tc>
          <w:tcPr>
            <w:tcW w:w="3255" w:type="dxa"/>
            <w:hideMark/>
          </w:tcPr>
          <w:p w14:paraId="4B81266C"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 xml:space="preserve">Promovarea </w:t>
            </w:r>
            <w:proofErr w:type="spellStart"/>
            <w:r w:rsidRPr="00125FAF">
              <w:rPr>
                <w:rFonts w:ascii="Times New Roman" w:eastAsia="Times New Roman" w:hAnsi="Times New Roman"/>
                <w:lang w:val="ro-RO"/>
              </w:rPr>
              <w:t>şi</w:t>
            </w:r>
            <w:proofErr w:type="spellEnd"/>
            <w:r w:rsidRPr="00125FAF">
              <w:rPr>
                <w:rFonts w:ascii="Times New Roman" w:eastAsia="Times New Roman" w:hAnsi="Times New Roman"/>
                <w:lang w:val="ro-RO"/>
              </w:rPr>
              <w:t xml:space="preserve"> </w:t>
            </w:r>
            <w:proofErr w:type="spellStart"/>
            <w:r w:rsidRPr="00125FAF">
              <w:rPr>
                <w:rFonts w:ascii="Times New Roman" w:eastAsia="Times New Roman" w:hAnsi="Times New Roman"/>
                <w:lang w:val="ro-RO"/>
              </w:rPr>
              <w:t>construcţia</w:t>
            </w:r>
            <w:proofErr w:type="spellEnd"/>
            <w:r w:rsidRPr="00125FAF">
              <w:rPr>
                <w:rFonts w:ascii="Times New Roman" w:eastAsia="Times New Roman" w:hAnsi="Times New Roman"/>
                <w:lang w:val="ro-RO"/>
              </w:rPr>
              <w:t xml:space="preserve"> centralelor electrice eoliene conectate la </w:t>
            </w:r>
            <w:proofErr w:type="spellStart"/>
            <w:r w:rsidRPr="00125FAF">
              <w:rPr>
                <w:rFonts w:ascii="Times New Roman" w:eastAsia="Times New Roman" w:hAnsi="Times New Roman"/>
                <w:lang w:val="ro-RO"/>
              </w:rPr>
              <w:t>reţea</w:t>
            </w:r>
            <w:proofErr w:type="spellEnd"/>
          </w:p>
        </w:tc>
        <w:tc>
          <w:tcPr>
            <w:tcW w:w="1057" w:type="dxa"/>
            <w:hideMark/>
          </w:tcPr>
          <w:p w14:paraId="34ABCDEF"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2030</w:t>
            </w:r>
          </w:p>
        </w:tc>
        <w:tc>
          <w:tcPr>
            <w:tcW w:w="1979" w:type="dxa"/>
            <w:hideMark/>
          </w:tcPr>
          <w:p w14:paraId="3E08155A" w14:textId="665A1770" w:rsidR="00D25293" w:rsidRPr="00125FAF" w:rsidRDefault="0024706D" w:rsidP="00D25293">
            <w:pPr>
              <w:jc w:val="both"/>
              <w:rPr>
                <w:rFonts w:ascii="Times New Roman" w:eastAsia="Times New Roman" w:hAnsi="Times New Roman"/>
                <w:lang w:val="ro-RO"/>
              </w:rPr>
            </w:pPr>
            <w:r>
              <w:rPr>
                <w:rFonts w:ascii="Times New Roman" w:eastAsia="Times New Roman" w:hAnsi="Times New Roman"/>
                <w:lang w:val="ro-RO"/>
              </w:rPr>
              <w:t>Ministerul Infrastructurii și Dezvoltării Regionale</w:t>
            </w:r>
          </w:p>
        </w:tc>
        <w:tc>
          <w:tcPr>
            <w:tcW w:w="1726" w:type="dxa"/>
            <w:hideMark/>
          </w:tcPr>
          <w:p w14:paraId="5727FB21"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400 MW capacitatea totală instalată a centralelor electrice eoliene</w:t>
            </w:r>
          </w:p>
        </w:tc>
        <w:tc>
          <w:tcPr>
            <w:tcW w:w="1736" w:type="dxa"/>
            <w:hideMark/>
          </w:tcPr>
          <w:p w14:paraId="33DA0E3C"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400 MW capacitatea totală instalată a centralelor electrice eoliene</w:t>
            </w:r>
          </w:p>
        </w:tc>
        <w:tc>
          <w:tcPr>
            <w:tcW w:w="1377" w:type="dxa"/>
            <w:hideMark/>
          </w:tcPr>
          <w:p w14:paraId="4F60E731" w14:textId="61A615FD"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10</w:t>
            </w:r>
            <w:r w:rsidR="00D5429D" w:rsidRPr="00125FAF">
              <w:rPr>
                <w:rFonts w:ascii="Times New Roman" w:eastAsia="Times New Roman" w:hAnsi="Times New Roman"/>
                <w:lang w:val="ro-RO"/>
              </w:rPr>
              <w:t xml:space="preserve"> </w:t>
            </w:r>
            <w:r w:rsidRPr="00125FAF">
              <w:rPr>
                <w:rFonts w:ascii="Times New Roman" w:eastAsia="Times New Roman" w:hAnsi="Times New Roman"/>
                <w:lang w:val="ro-RO"/>
              </w:rPr>
              <w:t>231</w:t>
            </w:r>
          </w:p>
        </w:tc>
        <w:tc>
          <w:tcPr>
            <w:tcW w:w="1444" w:type="dxa"/>
            <w:noWrap/>
            <w:hideMark/>
          </w:tcPr>
          <w:p w14:paraId="53922302" w14:textId="3BA66C78"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10</w:t>
            </w:r>
            <w:r w:rsidR="00D5429D" w:rsidRPr="00125FAF">
              <w:rPr>
                <w:rFonts w:ascii="Times New Roman" w:eastAsia="Times New Roman" w:hAnsi="Times New Roman"/>
                <w:lang w:val="ro-RO"/>
              </w:rPr>
              <w:t xml:space="preserve"> </w:t>
            </w:r>
            <w:r w:rsidRPr="00125FAF">
              <w:rPr>
                <w:rFonts w:ascii="Times New Roman" w:eastAsia="Times New Roman" w:hAnsi="Times New Roman"/>
                <w:lang w:val="ro-RO"/>
              </w:rPr>
              <w:t>231</w:t>
            </w:r>
          </w:p>
        </w:tc>
        <w:tc>
          <w:tcPr>
            <w:tcW w:w="1238" w:type="dxa"/>
            <w:hideMark/>
          </w:tcPr>
          <w:p w14:paraId="2855E642" w14:textId="77777777" w:rsidR="00D25293" w:rsidRPr="00125FAF" w:rsidRDefault="00D25293" w:rsidP="00D25293">
            <w:pPr>
              <w:jc w:val="both"/>
              <w:rPr>
                <w:rFonts w:ascii="Times New Roman" w:eastAsia="Times New Roman" w:hAnsi="Times New Roman"/>
                <w:lang w:val="ro-RO"/>
              </w:rPr>
            </w:pPr>
            <w:proofErr w:type="spellStart"/>
            <w:r w:rsidRPr="00125FAF">
              <w:rPr>
                <w:rFonts w:ascii="Times New Roman" w:eastAsia="Times New Roman" w:hAnsi="Times New Roman"/>
                <w:lang w:val="ro-RO"/>
              </w:rPr>
              <w:t>Asistenţă</w:t>
            </w:r>
            <w:proofErr w:type="spellEnd"/>
            <w:r w:rsidRPr="00125FAF">
              <w:rPr>
                <w:rFonts w:ascii="Times New Roman" w:eastAsia="Times New Roman" w:hAnsi="Times New Roman"/>
                <w:lang w:val="ro-RO"/>
              </w:rPr>
              <w:t xml:space="preserve"> externă, alte surse</w:t>
            </w:r>
          </w:p>
        </w:tc>
      </w:tr>
      <w:tr w:rsidR="00DC3FD5" w:rsidRPr="00125FAF" w14:paraId="1BFD9468" w14:textId="77777777" w:rsidTr="00AC461F">
        <w:trPr>
          <w:trHeight w:val="915"/>
        </w:trPr>
        <w:tc>
          <w:tcPr>
            <w:tcW w:w="627" w:type="dxa"/>
            <w:hideMark/>
          </w:tcPr>
          <w:p w14:paraId="01EA8C0B" w14:textId="2D20785C"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1.</w:t>
            </w:r>
            <w:r w:rsidR="00DF329F">
              <w:rPr>
                <w:rFonts w:ascii="Times New Roman" w:eastAsia="Times New Roman" w:hAnsi="Times New Roman"/>
                <w:lang w:val="ro-RO"/>
              </w:rPr>
              <w:t>5</w:t>
            </w:r>
          </w:p>
        </w:tc>
        <w:tc>
          <w:tcPr>
            <w:tcW w:w="3255" w:type="dxa"/>
            <w:hideMark/>
          </w:tcPr>
          <w:p w14:paraId="1E0B2EF5"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 xml:space="preserve">Promovarea </w:t>
            </w:r>
            <w:proofErr w:type="spellStart"/>
            <w:r w:rsidRPr="00125FAF">
              <w:rPr>
                <w:rFonts w:ascii="Times New Roman" w:eastAsia="Times New Roman" w:hAnsi="Times New Roman"/>
                <w:lang w:val="ro-RO"/>
              </w:rPr>
              <w:t>şi</w:t>
            </w:r>
            <w:proofErr w:type="spellEnd"/>
            <w:r w:rsidRPr="00125FAF">
              <w:rPr>
                <w:rFonts w:ascii="Times New Roman" w:eastAsia="Times New Roman" w:hAnsi="Times New Roman"/>
                <w:lang w:val="ro-RO"/>
              </w:rPr>
              <w:t xml:space="preserve"> </w:t>
            </w:r>
            <w:proofErr w:type="spellStart"/>
            <w:r w:rsidRPr="00125FAF">
              <w:rPr>
                <w:rFonts w:ascii="Times New Roman" w:eastAsia="Times New Roman" w:hAnsi="Times New Roman"/>
                <w:lang w:val="ro-RO"/>
              </w:rPr>
              <w:t>construcţia</w:t>
            </w:r>
            <w:proofErr w:type="spellEnd"/>
            <w:r w:rsidRPr="00125FAF">
              <w:rPr>
                <w:rFonts w:ascii="Times New Roman" w:eastAsia="Times New Roman" w:hAnsi="Times New Roman"/>
                <w:lang w:val="ro-RO"/>
              </w:rPr>
              <w:t xml:space="preserve"> centralelor fotovoltaice conectate la </w:t>
            </w:r>
            <w:proofErr w:type="spellStart"/>
            <w:r w:rsidRPr="00125FAF">
              <w:rPr>
                <w:rFonts w:ascii="Times New Roman" w:eastAsia="Times New Roman" w:hAnsi="Times New Roman"/>
                <w:lang w:val="ro-RO"/>
              </w:rPr>
              <w:t>reţea</w:t>
            </w:r>
            <w:proofErr w:type="spellEnd"/>
            <w:r w:rsidRPr="00125FAF">
              <w:rPr>
                <w:rFonts w:ascii="Times New Roman" w:eastAsia="Times New Roman" w:hAnsi="Times New Roman"/>
                <w:lang w:val="ro-RO"/>
              </w:rPr>
              <w:t xml:space="preserve"> </w:t>
            </w:r>
          </w:p>
        </w:tc>
        <w:tc>
          <w:tcPr>
            <w:tcW w:w="1057" w:type="dxa"/>
            <w:hideMark/>
          </w:tcPr>
          <w:p w14:paraId="2E1536E1"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2030</w:t>
            </w:r>
          </w:p>
        </w:tc>
        <w:tc>
          <w:tcPr>
            <w:tcW w:w="1979" w:type="dxa"/>
            <w:hideMark/>
          </w:tcPr>
          <w:p w14:paraId="7EE72BAD" w14:textId="29420F23" w:rsidR="00D25293" w:rsidRPr="00125FAF" w:rsidRDefault="0024706D" w:rsidP="00D25293">
            <w:pPr>
              <w:jc w:val="both"/>
              <w:rPr>
                <w:rFonts w:ascii="Times New Roman" w:eastAsia="Times New Roman" w:hAnsi="Times New Roman"/>
                <w:lang w:val="ro-RO"/>
              </w:rPr>
            </w:pPr>
            <w:r>
              <w:rPr>
                <w:rFonts w:ascii="Times New Roman" w:eastAsia="Times New Roman" w:hAnsi="Times New Roman"/>
                <w:lang w:val="ro-RO"/>
              </w:rPr>
              <w:t>Ministerul Infrastructurii și Dezvoltării Regionale</w:t>
            </w:r>
          </w:p>
        </w:tc>
        <w:tc>
          <w:tcPr>
            <w:tcW w:w="1726" w:type="dxa"/>
            <w:hideMark/>
          </w:tcPr>
          <w:p w14:paraId="0583992B"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200 MW capacitatea totală instalată a centralelor fotovoltaice</w:t>
            </w:r>
          </w:p>
        </w:tc>
        <w:tc>
          <w:tcPr>
            <w:tcW w:w="1736" w:type="dxa"/>
            <w:hideMark/>
          </w:tcPr>
          <w:p w14:paraId="2497A9EA" w14:textId="34FAFD51"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200 MW capacitatea totală instalată a centralelor</w:t>
            </w:r>
            <w:r w:rsidR="00B566C6" w:rsidRPr="00125FAF">
              <w:rPr>
                <w:rFonts w:ascii="Times New Roman" w:eastAsia="Times New Roman" w:hAnsi="Times New Roman"/>
                <w:lang w:val="ro-RO"/>
              </w:rPr>
              <w:t xml:space="preserve"> </w:t>
            </w:r>
            <w:r w:rsidRPr="00125FAF">
              <w:rPr>
                <w:rFonts w:ascii="Times New Roman" w:eastAsia="Times New Roman" w:hAnsi="Times New Roman"/>
                <w:lang w:val="ro-RO"/>
              </w:rPr>
              <w:t>fotovoltaice</w:t>
            </w:r>
          </w:p>
        </w:tc>
        <w:tc>
          <w:tcPr>
            <w:tcW w:w="1377" w:type="dxa"/>
            <w:hideMark/>
          </w:tcPr>
          <w:p w14:paraId="695E3EB0" w14:textId="4D70025D"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4</w:t>
            </w:r>
            <w:r w:rsidR="00D5429D" w:rsidRPr="00125FAF">
              <w:rPr>
                <w:rFonts w:ascii="Times New Roman" w:eastAsia="Times New Roman" w:hAnsi="Times New Roman"/>
                <w:lang w:val="ro-RO"/>
              </w:rPr>
              <w:t xml:space="preserve"> </w:t>
            </w:r>
            <w:r w:rsidRPr="00125FAF">
              <w:rPr>
                <w:rFonts w:ascii="Times New Roman" w:eastAsia="Times New Roman" w:hAnsi="Times New Roman"/>
                <w:lang w:val="ro-RO"/>
              </w:rPr>
              <w:t>269</w:t>
            </w:r>
          </w:p>
        </w:tc>
        <w:tc>
          <w:tcPr>
            <w:tcW w:w="1444" w:type="dxa"/>
            <w:hideMark/>
          </w:tcPr>
          <w:p w14:paraId="5F97C71E" w14:textId="7A9BFE19"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4</w:t>
            </w:r>
            <w:r w:rsidR="00D5429D" w:rsidRPr="00125FAF">
              <w:rPr>
                <w:rFonts w:ascii="Times New Roman" w:eastAsia="Times New Roman" w:hAnsi="Times New Roman"/>
                <w:lang w:val="ro-RO"/>
              </w:rPr>
              <w:t xml:space="preserve"> </w:t>
            </w:r>
            <w:r w:rsidRPr="00125FAF">
              <w:rPr>
                <w:rFonts w:ascii="Times New Roman" w:eastAsia="Times New Roman" w:hAnsi="Times New Roman"/>
                <w:lang w:val="ro-RO"/>
              </w:rPr>
              <w:t>269</w:t>
            </w:r>
          </w:p>
        </w:tc>
        <w:tc>
          <w:tcPr>
            <w:tcW w:w="1238" w:type="dxa"/>
            <w:hideMark/>
          </w:tcPr>
          <w:p w14:paraId="5CBEBA4A"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 xml:space="preserve">Companii private, </w:t>
            </w:r>
            <w:proofErr w:type="spellStart"/>
            <w:r w:rsidRPr="00125FAF">
              <w:rPr>
                <w:rFonts w:ascii="Times New Roman" w:eastAsia="Times New Roman" w:hAnsi="Times New Roman"/>
                <w:lang w:val="ro-RO"/>
              </w:rPr>
              <w:t>asistenţă</w:t>
            </w:r>
            <w:proofErr w:type="spellEnd"/>
            <w:r w:rsidRPr="00125FAF">
              <w:rPr>
                <w:rFonts w:ascii="Times New Roman" w:eastAsia="Times New Roman" w:hAnsi="Times New Roman"/>
                <w:lang w:val="ro-RO"/>
              </w:rPr>
              <w:t xml:space="preserve"> externă, alte surse</w:t>
            </w:r>
          </w:p>
        </w:tc>
      </w:tr>
      <w:tr w:rsidR="00DC3FD5" w:rsidRPr="00125FAF" w14:paraId="7AE19129" w14:textId="77777777" w:rsidTr="00AC461F">
        <w:trPr>
          <w:trHeight w:val="900"/>
        </w:trPr>
        <w:tc>
          <w:tcPr>
            <w:tcW w:w="627" w:type="dxa"/>
            <w:hideMark/>
          </w:tcPr>
          <w:p w14:paraId="6A33265B" w14:textId="55FE172B"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1.</w:t>
            </w:r>
            <w:r w:rsidR="00DF329F">
              <w:rPr>
                <w:rFonts w:ascii="Times New Roman" w:eastAsia="Times New Roman" w:hAnsi="Times New Roman"/>
                <w:lang w:val="ro-RO"/>
              </w:rPr>
              <w:t>6</w:t>
            </w:r>
          </w:p>
        </w:tc>
        <w:tc>
          <w:tcPr>
            <w:tcW w:w="3255" w:type="dxa"/>
            <w:hideMark/>
          </w:tcPr>
          <w:p w14:paraId="47536353" w14:textId="51BDAE6F"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Utilizarea grupurilor electrogene pe biogaz pentru producerea</w:t>
            </w:r>
            <w:r w:rsidR="00B566C6" w:rsidRPr="00125FAF">
              <w:rPr>
                <w:rFonts w:ascii="Times New Roman" w:eastAsia="Times New Roman" w:hAnsi="Times New Roman"/>
                <w:lang w:val="ro-RO"/>
              </w:rPr>
              <w:t xml:space="preserve"> </w:t>
            </w:r>
            <w:r w:rsidRPr="00125FAF">
              <w:rPr>
                <w:rFonts w:ascii="Times New Roman" w:eastAsia="Times New Roman" w:hAnsi="Times New Roman"/>
                <w:lang w:val="ro-RO"/>
              </w:rPr>
              <w:t xml:space="preserve">energiei electrice </w:t>
            </w:r>
            <w:proofErr w:type="spellStart"/>
            <w:r w:rsidRPr="00125FAF">
              <w:rPr>
                <w:rFonts w:ascii="Times New Roman" w:eastAsia="Times New Roman" w:hAnsi="Times New Roman"/>
                <w:lang w:val="ro-RO"/>
              </w:rPr>
              <w:t>şi</w:t>
            </w:r>
            <w:proofErr w:type="spellEnd"/>
            <w:r w:rsidRPr="00125FAF">
              <w:rPr>
                <w:rFonts w:ascii="Times New Roman" w:eastAsia="Times New Roman" w:hAnsi="Times New Roman"/>
                <w:lang w:val="ro-RO"/>
              </w:rPr>
              <w:t xml:space="preserve"> termice </w:t>
            </w:r>
          </w:p>
        </w:tc>
        <w:tc>
          <w:tcPr>
            <w:tcW w:w="1057" w:type="dxa"/>
            <w:hideMark/>
          </w:tcPr>
          <w:p w14:paraId="65164110"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2030</w:t>
            </w:r>
          </w:p>
        </w:tc>
        <w:tc>
          <w:tcPr>
            <w:tcW w:w="1979" w:type="dxa"/>
            <w:hideMark/>
          </w:tcPr>
          <w:p w14:paraId="21CB01D1" w14:textId="664B7752" w:rsidR="00D25293" w:rsidRPr="00125FAF" w:rsidRDefault="0024706D" w:rsidP="00D25293">
            <w:pPr>
              <w:jc w:val="both"/>
              <w:rPr>
                <w:rFonts w:ascii="Times New Roman" w:eastAsia="Times New Roman" w:hAnsi="Times New Roman"/>
                <w:lang w:val="ro-RO"/>
              </w:rPr>
            </w:pPr>
            <w:r>
              <w:rPr>
                <w:rFonts w:ascii="Times New Roman" w:eastAsia="Times New Roman" w:hAnsi="Times New Roman"/>
                <w:lang w:val="ro-RO"/>
              </w:rPr>
              <w:t>Ministerul Infrastructurii și Dezvoltării Regionale</w:t>
            </w:r>
          </w:p>
        </w:tc>
        <w:tc>
          <w:tcPr>
            <w:tcW w:w="1726" w:type="dxa"/>
            <w:hideMark/>
          </w:tcPr>
          <w:p w14:paraId="04118433"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50 MW capacitatea totală instalată a centralelor electrice pe biogaz</w:t>
            </w:r>
          </w:p>
        </w:tc>
        <w:tc>
          <w:tcPr>
            <w:tcW w:w="1736" w:type="dxa"/>
            <w:hideMark/>
          </w:tcPr>
          <w:p w14:paraId="2F0940C4"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25 MW capacitatea totală instalată a centralelor electrice pe biogaz</w:t>
            </w:r>
          </w:p>
        </w:tc>
        <w:tc>
          <w:tcPr>
            <w:tcW w:w="1377" w:type="dxa"/>
            <w:hideMark/>
          </w:tcPr>
          <w:p w14:paraId="11066770" w14:textId="5D17783C"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1</w:t>
            </w:r>
            <w:r w:rsidR="00D5429D" w:rsidRPr="00125FAF">
              <w:rPr>
                <w:rFonts w:ascii="Times New Roman" w:eastAsia="Times New Roman" w:hAnsi="Times New Roman"/>
                <w:lang w:val="ro-RO"/>
              </w:rPr>
              <w:t xml:space="preserve"> </w:t>
            </w:r>
            <w:r w:rsidRPr="00125FAF">
              <w:rPr>
                <w:rFonts w:ascii="Times New Roman" w:eastAsia="Times New Roman" w:hAnsi="Times New Roman"/>
                <w:lang w:val="ro-RO"/>
              </w:rPr>
              <w:t>230</w:t>
            </w:r>
          </w:p>
        </w:tc>
        <w:tc>
          <w:tcPr>
            <w:tcW w:w="1444" w:type="dxa"/>
            <w:hideMark/>
          </w:tcPr>
          <w:p w14:paraId="3DBAEB0F"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616</w:t>
            </w:r>
          </w:p>
        </w:tc>
        <w:tc>
          <w:tcPr>
            <w:tcW w:w="1238" w:type="dxa"/>
            <w:hideMark/>
          </w:tcPr>
          <w:p w14:paraId="46D88134"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 xml:space="preserve">Companii private, </w:t>
            </w:r>
            <w:proofErr w:type="spellStart"/>
            <w:r w:rsidRPr="00125FAF">
              <w:rPr>
                <w:rFonts w:ascii="Times New Roman" w:eastAsia="Times New Roman" w:hAnsi="Times New Roman"/>
                <w:lang w:val="ro-RO"/>
              </w:rPr>
              <w:t>asistenţă</w:t>
            </w:r>
            <w:proofErr w:type="spellEnd"/>
            <w:r w:rsidRPr="00125FAF">
              <w:rPr>
                <w:rFonts w:ascii="Times New Roman" w:eastAsia="Times New Roman" w:hAnsi="Times New Roman"/>
                <w:lang w:val="ro-RO"/>
              </w:rPr>
              <w:t xml:space="preserve"> externă, alte</w:t>
            </w:r>
          </w:p>
        </w:tc>
      </w:tr>
      <w:tr w:rsidR="00DC3FD5" w:rsidRPr="00125FAF" w14:paraId="42786606" w14:textId="77777777" w:rsidTr="00AC461F">
        <w:trPr>
          <w:trHeight w:val="690"/>
        </w:trPr>
        <w:tc>
          <w:tcPr>
            <w:tcW w:w="627" w:type="dxa"/>
            <w:hideMark/>
          </w:tcPr>
          <w:p w14:paraId="3A8AD9F7"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2</w:t>
            </w:r>
          </w:p>
        </w:tc>
        <w:tc>
          <w:tcPr>
            <w:tcW w:w="13812" w:type="dxa"/>
            <w:gridSpan w:val="8"/>
            <w:hideMark/>
          </w:tcPr>
          <w:p w14:paraId="7BD8AD2C" w14:textId="60BF8DF8" w:rsidR="00D25293" w:rsidRPr="00125FAF" w:rsidRDefault="00D25293" w:rsidP="00D25293">
            <w:pPr>
              <w:jc w:val="both"/>
              <w:rPr>
                <w:rFonts w:ascii="Times New Roman" w:eastAsia="Times New Roman" w:hAnsi="Times New Roman"/>
                <w:b/>
                <w:bCs/>
                <w:lang w:val="ro-RO"/>
              </w:rPr>
            </w:pPr>
            <w:r w:rsidRPr="00125FAF">
              <w:rPr>
                <w:rFonts w:ascii="Times New Roman" w:eastAsia="Times New Roman" w:hAnsi="Times New Roman"/>
                <w:b/>
                <w:bCs/>
                <w:lang w:val="ro-RO"/>
              </w:rPr>
              <w:t>Obiectivul specific 2.</w:t>
            </w:r>
            <w:r w:rsidRPr="00125FAF">
              <w:rPr>
                <w:rFonts w:ascii="Times New Roman" w:eastAsia="Times New Roman" w:hAnsi="Times New Roman"/>
                <w:lang w:val="ro-RO"/>
              </w:rPr>
              <w:t xml:space="preserve"> Reducerea </w:t>
            </w:r>
            <w:proofErr w:type="spellStart"/>
            <w:r w:rsidRPr="00125FAF">
              <w:rPr>
                <w:rFonts w:ascii="Times New Roman" w:eastAsia="Times New Roman" w:hAnsi="Times New Roman"/>
                <w:lang w:val="ro-RO"/>
              </w:rPr>
              <w:t>necondiţionată</w:t>
            </w:r>
            <w:proofErr w:type="spellEnd"/>
            <w:r w:rsidRPr="00125FAF">
              <w:rPr>
                <w:rFonts w:ascii="Times New Roman" w:eastAsia="Times New Roman" w:hAnsi="Times New Roman"/>
                <w:lang w:val="ro-RO"/>
              </w:rPr>
              <w:t xml:space="preserve">, </w:t>
            </w:r>
            <w:proofErr w:type="spellStart"/>
            <w:r w:rsidRPr="00125FAF">
              <w:rPr>
                <w:rFonts w:ascii="Times New Roman" w:eastAsia="Times New Roman" w:hAnsi="Times New Roman"/>
                <w:lang w:val="ro-RO"/>
              </w:rPr>
              <w:t>pînă</w:t>
            </w:r>
            <w:proofErr w:type="spellEnd"/>
            <w:r w:rsidRPr="00125FAF">
              <w:rPr>
                <w:rFonts w:ascii="Times New Roman" w:eastAsia="Times New Roman" w:hAnsi="Times New Roman"/>
                <w:lang w:val="ro-RO"/>
              </w:rPr>
              <w:t xml:space="preserve"> în</w:t>
            </w:r>
            <w:r w:rsidR="00B566C6" w:rsidRPr="00125FAF">
              <w:rPr>
                <w:rFonts w:ascii="Times New Roman" w:eastAsia="Times New Roman" w:hAnsi="Times New Roman"/>
                <w:lang w:val="ro-RO"/>
              </w:rPr>
              <w:t xml:space="preserve"> </w:t>
            </w:r>
            <w:r w:rsidRPr="00125FAF">
              <w:rPr>
                <w:rFonts w:ascii="Times New Roman" w:eastAsia="Times New Roman" w:hAnsi="Times New Roman"/>
                <w:lang w:val="ro-RO"/>
              </w:rPr>
              <w:t xml:space="preserve">anul 2030, a emisiilor de gaze cu efect de seră provenite din </w:t>
            </w:r>
            <w:r w:rsidRPr="00125FAF">
              <w:rPr>
                <w:rFonts w:ascii="Times New Roman" w:eastAsia="Times New Roman" w:hAnsi="Times New Roman"/>
                <w:b/>
                <w:bCs/>
                <w:lang w:val="ro-RO"/>
              </w:rPr>
              <w:t>sectorul transporturi</w:t>
            </w:r>
            <w:r w:rsidRPr="00125FAF">
              <w:rPr>
                <w:rFonts w:ascii="Times New Roman" w:eastAsia="Times New Roman" w:hAnsi="Times New Roman"/>
                <w:lang w:val="ro-RO"/>
              </w:rPr>
              <w:t xml:space="preserve"> cu 52% </w:t>
            </w:r>
            <w:proofErr w:type="spellStart"/>
            <w:r w:rsidRPr="00125FAF">
              <w:rPr>
                <w:rFonts w:ascii="Times New Roman" w:eastAsia="Times New Roman" w:hAnsi="Times New Roman"/>
                <w:lang w:val="ro-RO"/>
              </w:rPr>
              <w:t>şi</w:t>
            </w:r>
            <w:proofErr w:type="spellEnd"/>
            <w:r w:rsidRPr="00125FAF">
              <w:rPr>
                <w:rFonts w:ascii="Times New Roman" w:eastAsia="Times New Roman" w:hAnsi="Times New Roman"/>
                <w:lang w:val="ro-RO"/>
              </w:rPr>
              <w:t xml:space="preserve"> reducerea de gaze cu efect de seră </w:t>
            </w:r>
            <w:proofErr w:type="spellStart"/>
            <w:r w:rsidRPr="00125FAF">
              <w:rPr>
                <w:rFonts w:ascii="Times New Roman" w:eastAsia="Times New Roman" w:hAnsi="Times New Roman"/>
                <w:lang w:val="ro-RO"/>
              </w:rPr>
              <w:t>condiţionată</w:t>
            </w:r>
            <w:proofErr w:type="spellEnd"/>
            <w:r w:rsidRPr="00125FAF">
              <w:rPr>
                <w:rFonts w:ascii="Times New Roman" w:eastAsia="Times New Roman" w:hAnsi="Times New Roman"/>
                <w:lang w:val="ro-RO"/>
              </w:rPr>
              <w:t xml:space="preserve"> </w:t>
            </w:r>
            <w:proofErr w:type="spellStart"/>
            <w:r w:rsidRPr="00125FAF">
              <w:rPr>
                <w:rFonts w:ascii="Times New Roman" w:eastAsia="Times New Roman" w:hAnsi="Times New Roman"/>
                <w:lang w:val="ro-RO"/>
              </w:rPr>
              <w:t>pînă</w:t>
            </w:r>
            <w:proofErr w:type="spellEnd"/>
            <w:r w:rsidRPr="00125FAF">
              <w:rPr>
                <w:rFonts w:ascii="Times New Roman" w:eastAsia="Times New Roman" w:hAnsi="Times New Roman"/>
                <w:lang w:val="ro-RO"/>
              </w:rPr>
              <w:t xml:space="preserve"> la 55% comparativ cu anul 1990</w:t>
            </w:r>
          </w:p>
        </w:tc>
      </w:tr>
      <w:tr w:rsidR="00DC3FD5" w:rsidRPr="00125FAF" w14:paraId="70884ED1" w14:textId="77777777" w:rsidTr="00AC461F">
        <w:trPr>
          <w:trHeight w:val="510"/>
        </w:trPr>
        <w:tc>
          <w:tcPr>
            <w:tcW w:w="627" w:type="dxa"/>
            <w:hideMark/>
          </w:tcPr>
          <w:p w14:paraId="1FEEC388"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2.1</w:t>
            </w:r>
          </w:p>
        </w:tc>
        <w:tc>
          <w:tcPr>
            <w:tcW w:w="3255" w:type="dxa"/>
            <w:hideMark/>
          </w:tcPr>
          <w:p w14:paraId="25CFF999"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 xml:space="preserve">Promovarea utilizării </w:t>
            </w:r>
            <w:proofErr w:type="spellStart"/>
            <w:r w:rsidRPr="00125FAF">
              <w:rPr>
                <w:rFonts w:ascii="Times New Roman" w:eastAsia="Times New Roman" w:hAnsi="Times New Roman"/>
                <w:lang w:val="ro-RO"/>
              </w:rPr>
              <w:t>biomotorinei</w:t>
            </w:r>
            <w:proofErr w:type="spellEnd"/>
            <w:r w:rsidRPr="00125FAF">
              <w:rPr>
                <w:rFonts w:ascii="Times New Roman" w:eastAsia="Times New Roman" w:hAnsi="Times New Roman"/>
                <w:lang w:val="ro-RO"/>
              </w:rPr>
              <w:t xml:space="preserve"> în calitate de combustibil</w:t>
            </w:r>
          </w:p>
        </w:tc>
        <w:tc>
          <w:tcPr>
            <w:tcW w:w="1057" w:type="dxa"/>
            <w:hideMark/>
          </w:tcPr>
          <w:p w14:paraId="36A7171C"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2030</w:t>
            </w:r>
          </w:p>
        </w:tc>
        <w:tc>
          <w:tcPr>
            <w:tcW w:w="1979" w:type="dxa"/>
            <w:hideMark/>
          </w:tcPr>
          <w:p w14:paraId="432E4D50" w14:textId="782D7B2C" w:rsidR="00D25293" w:rsidRPr="00125FAF" w:rsidRDefault="0024706D" w:rsidP="00D25293">
            <w:pPr>
              <w:jc w:val="both"/>
              <w:rPr>
                <w:rFonts w:ascii="Times New Roman" w:eastAsia="Times New Roman" w:hAnsi="Times New Roman"/>
                <w:lang w:val="ro-RO"/>
              </w:rPr>
            </w:pPr>
            <w:r>
              <w:rPr>
                <w:rFonts w:ascii="Times New Roman" w:eastAsia="Times New Roman" w:hAnsi="Times New Roman"/>
                <w:lang w:val="ro-RO"/>
              </w:rPr>
              <w:t>Ministerul Infrastructurii și Dezvoltării Regionale</w:t>
            </w:r>
          </w:p>
        </w:tc>
        <w:tc>
          <w:tcPr>
            <w:tcW w:w="1726" w:type="dxa"/>
            <w:hideMark/>
          </w:tcPr>
          <w:p w14:paraId="6258BC1E"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 xml:space="preserve">2491 TJ de </w:t>
            </w:r>
            <w:proofErr w:type="spellStart"/>
            <w:r w:rsidRPr="00125FAF">
              <w:rPr>
                <w:rFonts w:ascii="Times New Roman" w:eastAsia="Times New Roman" w:hAnsi="Times New Roman"/>
                <w:lang w:val="ro-RO"/>
              </w:rPr>
              <w:t>biomotirină</w:t>
            </w:r>
            <w:proofErr w:type="spellEnd"/>
            <w:r w:rsidRPr="00125FAF">
              <w:rPr>
                <w:rFonts w:ascii="Times New Roman" w:eastAsia="Times New Roman" w:hAnsi="Times New Roman"/>
                <w:lang w:val="ro-RO"/>
              </w:rPr>
              <w:t xml:space="preserve"> comercializată anual</w:t>
            </w:r>
          </w:p>
        </w:tc>
        <w:tc>
          <w:tcPr>
            <w:tcW w:w="1736" w:type="dxa"/>
            <w:hideMark/>
          </w:tcPr>
          <w:p w14:paraId="0135C4BC"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 </w:t>
            </w:r>
          </w:p>
        </w:tc>
        <w:tc>
          <w:tcPr>
            <w:tcW w:w="1377" w:type="dxa"/>
            <w:hideMark/>
          </w:tcPr>
          <w:p w14:paraId="06C9211D" w14:textId="738ACE6E"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292</w:t>
            </w:r>
            <w:r w:rsidR="008F2629" w:rsidRPr="00125FAF">
              <w:rPr>
                <w:rFonts w:ascii="Times New Roman" w:eastAsia="Times New Roman" w:hAnsi="Times New Roman"/>
                <w:lang w:val="ro-RO"/>
              </w:rPr>
              <w:t>,</w:t>
            </w:r>
            <w:r w:rsidRPr="00125FAF">
              <w:rPr>
                <w:rFonts w:ascii="Times New Roman" w:eastAsia="Times New Roman" w:hAnsi="Times New Roman"/>
                <w:lang w:val="ro-RO"/>
              </w:rPr>
              <w:t>4</w:t>
            </w:r>
          </w:p>
        </w:tc>
        <w:tc>
          <w:tcPr>
            <w:tcW w:w="1444" w:type="dxa"/>
            <w:hideMark/>
          </w:tcPr>
          <w:p w14:paraId="6D080D95"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 </w:t>
            </w:r>
          </w:p>
        </w:tc>
        <w:tc>
          <w:tcPr>
            <w:tcW w:w="1238" w:type="dxa"/>
            <w:hideMark/>
          </w:tcPr>
          <w:p w14:paraId="68FDED5F"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Buget de stat, alte surse</w:t>
            </w:r>
          </w:p>
        </w:tc>
      </w:tr>
      <w:tr w:rsidR="00DC3FD5" w:rsidRPr="00125FAF" w14:paraId="3DD8F6ED" w14:textId="77777777" w:rsidTr="00AC461F">
        <w:trPr>
          <w:trHeight w:val="600"/>
        </w:trPr>
        <w:tc>
          <w:tcPr>
            <w:tcW w:w="627" w:type="dxa"/>
            <w:hideMark/>
          </w:tcPr>
          <w:p w14:paraId="3844AB0D"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lastRenderedPageBreak/>
              <w:t>2.2</w:t>
            </w:r>
          </w:p>
        </w:tc>
        <w:tc>
          <w:tcPr>
            <w:tcW w:w="3255" w:type="dxa"/>
            <w:hideMark/>
          </w:tcPr>
          <w:p w14:paraId="3D62E6C4"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 xml:space="preserve">Promovarea producerii </w:t>
            </w:r>
            <w:proofErr w:type="spellStart"/>
            <w:r w:rsidRPr="00125FAF">
              <w:rPr>
                <w:rFonts w:ascii="Times New Roman" w:eastAsia="Times New Roman" w:hAnsi="Times New Roman"/>
                <w:lang w:val="ro-RO"/>
              </w:rPr>
              <w:t>bioetanolului</w:t>
            </w:r>
            <w:proofErr w:type="spellEnd"/>
          </w:p>
        </w:tc>
        <w:tc>
          <w:tcPr>
            <w:tcW w:w="1057" w:type="dxa"/>
            <w:hideMark/>
          </w:tcPr>
          <w:p w14:paraId="163BCD44"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2030</w:t>
            </w:r>
          </w:p>
        </w:tc>
        <w:tc>
          <w:tcPr>
            <w:tcW w:w="1979" w:type="dxa"/>
            <w:hideMark/>
          </w:tcPr>
          <w:p w14:paraId="0F3E57F0" w14:textId="03DB46E4" w:rsidR="00D25293" w:rsidRPr="00125FAF" w:rsidRDefault="0024706D" w:rsidP="00D25293">
            <w:pPr>
              <w:jc w:val="both"/>
              <w:rPr>
                <w:rFonts w:ascii="Times New Roman" w:eastAsia="Times New Roman" w:hAnsi="Times New Roman"/>
                <w:lang w:val="ro-RO"/>
              </w:rPr>
            </w:pPr>
            <w:r>
              <w:rPr>
                <w:rFonts w:ascii="Times New Roman" w:eastAsia="Times New Roman" w:hAnsi="Times New Roman"/>
                <w:lang w:val="ro-RO"/>
              </w:rPr>
              <w:t>Ministerul Infrastructurii și Dezvoltării Regionale</w:t>
            </w:r>
          </w:p>
        </w:tc>
        <w:tc>
          <w:tcPr>
            <w:tcW w:w="1726" w:type="dxa"/>
            <w:hideMark/>
          </w:tcPr>
          <w:p w14:paraId="65C0486F" w14:textId="77777777" w:rsidR="00D25293" w:rsidRPr="00125FAF" w:rsidRDefault="00D25293" w:rsidP="00D25293">
            <w:pPr>
              <w:jc w:val="both"/>
              <w:rPr>
                <w:rFonts w:ascii="Times New Roman" w:eastAsia="Times New Roman" w:hAnsi="Times New Roman"/>
                <w:lang w:val="ro-RO"/>
              </w:rPr>
            </w:pPr>
            <w:bookmarkStart w:id="12" w:name="_Hlk69045190"/>
            <w:r w:rsidRPr="00125FAF">
              <w:rPr>
                <w:rFonts w:ascii="Times New Roman" w:eastAsia="Times New Roman" w:hAnsi="Times New Roman"/>
                <w:lang w:val="ro-RO"/>
              </w:rPr>
              <w:t xml:space="preserve">1127 TJ de </w:t>
            </w:r>
            <w:proofErr w:type="spellStart"/>
            <w:r w:rsidRPr="00125FAF">
              <w:rPr>
                <w:rFonts w:ascii="Times New Roman" w:eastAsia="Times New Roman" w:hAnsi="Times New Roman"/>
                <w:lang w:val="ro-RO"/>
              </w:rPr>
              <w:t>bioetanol</w:t>
            </w:r>
            <w:proofErr w:type="spellEnd"/>
            <w:r w:rsidRPr="00125FAF">
              <w:rPr>
                <w:rFonts w:ascii="Times New Roman" w:eastAsia="Times New Roman" w:hAnsi="Times New Roman"/>
                <w:lang w:val="ro-RO"/>
              </w:rPr>
              <w:t xml:space="preserve"> comercializat anual</w:t>
            </w:r>
            <w:bookmarkEnd w:id="12"/>
          </w:p>
        </w:tc>
        <w:tc>
          <w:tcPr>
            <w:tcW w:w="1736" w:type="dxa"/>
            <w:hideMark/>
          </w:tcPr>
          <w:p w14:paraId="1CA7B7A6"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 </w:t>
            </w:r>
          </w:p>
        </w:tc>
        <w:tc>
          <w:tcPr>
            <w:tcW w:w="1377" w:type="dxa"/>
            <w:hideMark/>
          </w:tcPr>
          <w:p w14:paraId="693D0F4E" w14:textId="2E4A4D78"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193</w:t>
            </w:r>
          </w:p>
        </w:tc>
        <w:tc>
          <w:tcPr>
            <w:tcW w:w="1444" w:type="dxa"/>
            <w:hideMark/>
          </w:tcPr>
          <w:p w14:paraId="6680FF6C"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 </w:t>
            </w:r>
          </w:p>
        </w:tc>
        <w:tc>
          <w:tcPr>
            <w:tcW w:w="1238" w:type="dxa"/>
            <w:hideMark/>
          </w:tcPr>
          <w:p w14:paraId="7DD3B523"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Buget de stat, alte surse</w:t>
            </w:r>
          </w:p>
        </w:tc>
      </w:tr>
      <w:tr w:rsidR="00DC3FD5" w:rsidRPr="00125FAF" w14:paraId="64F7271D" w14:textId="77777777" w:rsidTr="00AC461F">
        <w:trPr>
          <w:trHeight w:val="510"/>
        </w:trPr>
        <w:tc>
          <w:tcPr>
            <w:tcW w:w="627" w:type="dxa"/>
            <w:hideMark/>
          </w:tcPr>
          <w:p w14:paraId="4785BBA3"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2.3</w:t>
            </w:r>
          </w:p>
        </w:tc>
        <w:tc>
          <w:tcPr>
            <w:tcW w:w="3255" w:type="dxa"/>
            <w:hideMark/>
          </w:tcPr>
          <w:p w14:paraId="707C3860" w14:textId="77777777" w:rsidR="00D25293" w:rsidRPr="00125FAF" w:rsidRDefault="00D25293" w:rsidP="00D25293">
            <w:pPr>
              <w:jc w:val="both"/>
              <w:rPr>
                <w:rFonts w:ascii="Times New Roman" w:eastAsia="Times New Roman" w:hAnsi="Times New Roman"/>
                <w:lang w:val="ro-RO"/>
              </w:rPr>
            </w:pPr>
            <w:proofErr w:type="spellStart"/>
            <w:r w:rsidRPr="00125FAF">
              <w:rPr>
                <w:rFonts w:ascii="Times New Roman" w:eastAsia="Times New Roman" w:hAnsi="Times New Roman"/>
                <w:lang w:val="ro-RO"/>
              </w:rPr>
              <w:t>Construcţia</w:t>
            </w:r>
            <w:proofErr w:type="spellEnd"/>
            <w:r w:rsidRPr="00125FAF">
              <w:rPr>
                <w:rFonts w:ascii="Times New Roman" w:eastAsia="Times New Roman" w:hAnsi="Times New Roman"/>
                <w:lang w:val="ro-RO"/>
              </w:rPr>
              <w:t xml:space="preserve"> de drumuri bune </w:t>
            </w:r>
            <w:proofErr w:type="spellStart"/>
            <w:r w:rsidRPr="00125FAF">
              <w:rPr>
                <w:rFonts w:ascii="Times New Roman" w:eastAsia="Times New Roman" w:hAnsi="Times New Roman"/>
                <w:lang w:val="ro-RO"/>
              </w:rPr>
              <w:t>şi</w:t>
            </w:r>
            <w:proofErr w:type="spellEnd"/>
            <w:r w:rsidRPr="00125FAF">
              <w:rPr>
                <w:rFonts w:ascii="Times New Roman" w:eastAsia="Times New Roman" w:hAnsi="Times New Roman"/>
                <w:lang w:val="ro-RO"/>
              </w:rPr>
              <w:t xml:space="preserve"> foarte bune</w:t>
            </w:r>
          </w:p>
        </w:tc>
        <w:tc>
          <w:tcPr>
            <w:tcW w:w="1057" w:type="dxa"/>
            <w:hideMark/>
          </w:tcPr>
          <w:p w14:paraId="688BA4BF"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2030</w:t>
            </w:r>
          </w:p>
        </w:tc>
        <w:tc>
          <w:tcPr>
            <w:tcW w:w="1979" w:type="dxa"/>
            <w:hideMark/>
          </w:tcPr>
          <w:p w14:paraId="503C268D" w14:textId="0B9374D4" w:rsidR="00D25293" w:rsidRPr="00125FAF" w:rsidRDefault="002C1CB9" w:rsidP="00D25293">
            <w:pPr>
              <w:jc w:val="both"/>
              <w:rPr>
                <w:rFonts w:ascii="Times New Roman" w:eastAsia="Times New Roman" w:hAnsi="Times New Roman"/>
                <w:lang w:val="ro-RO"/>
              </w:rPr>
            </w:pPr>
            <w:r>
              <w:rPr>
                <w:rFonts w:ascii="Times New Roman" w:eastAsia="Times New Roman" w:hAnsi="Times New Roman"/>
                <w:lang w:val="ro-RO"/>
              </w:rPr>
              <w:t>Ministerul Mediului</w:t>
            </w:r>
          </w:p>
        </w:tc>
        <w:tc>
          <w:tcPr>
            <w:tcW w:w="1726" w:type="dxa"/>
            <w:hideMark/>
          </w:tcPr>
          <w:p w14:paraId="2E9FD008"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 xml:space="preserve">9344 km drumuri publice cu calitate </w:t>
            </w:r>
            <w:proofErr w:type="spellStart"/>
            <w:r w:rsidRPr="00125FAF">
              <w:rPr>
                <w:rFonts w:ascii="Times New Roman" w:eastAsia="Times New Roman" w:hAnsi="Times New Roman"/>
                <w:lang w:val="ro-RO"/>
              </w:rPr>
              <w:t>îmbunătăţită</w:t>
            </w:r>
            <w:proofErr w:type="spellEnd"/>
            <w:r w:rsidRPr="00125FAF">
              <w:rPr>
                <w:rFonts w:ascii="Times New Roman" w:eastAsia="Times New Roman" w:hAnsi="Times New Roman"/>
                <w:lang w:val="ro-RO"/>
              </w:rPr>
              <w:t xml:space="preserve"> construite</w:t>
            </w:r>
          </w:p>
        </w:tc>
        <w:tc>
          <w:tcPr>
            <w:tcW w:w="1736" w:type="dxa"/>
            <w:hideMark/>
          </w:tcPr>
          <w:p w14:paraId="43FC9075"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 </w:t>
            </w:r>
          </w:p>
        </w:tc>
        <w:tc>
          <w:tcPr>
            <w:tcW w:w="1377" w:type="dxa"/>
            <w:hideMark/>
          </w:tcPr>
          <w:p w14:paraId="4B3EB245" w14:textId="6AFC443C"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43</w:t>
            </w:r>
            <w:r w:rsidR="008F2629" w:rsidRPr="00125FAF">
              <w:rPr>
                <w:rFonts w:ascii="Times New Roman" w:eastAsia="Times New Roman" w:hAnsi="Times New Roman"/>
                <w:lang w:val="ro-RO"/>
              </w:rPr>
              <w:t xml:space="preserve"> </w:t>
            </w:r>
            <w:r w:rsidRPr="00125FAF">
              <w:rPr>
                <w:rFonts w:ascii="Times New Roman" w:eastAsia="Times New Roman" w:hAnsi="Times New Roman"/>
                <w:lang w:val="ro-RO"/>
              </w:rPr>
              <w:t>396</w:t>
            </w:r>
            <w:r w:rsidR="008F2629" w:rsidRPr="00125FAF">
              <w:rPr>
                <w:rFonts w:ascii="Times New Roman" w:eastAsia="Times New Roman" w:hAnsi="Times New Roman"/>
                <w:lang w:val="ro-RO"/>
              </w:rPr>
              <w:t>,</w:t>
            </w:r>
            <w:r w:rsidRPr="00125FAF">
              <w:rPr>
                <w:rFonts w:ascii="Times New Roman" w:eastAsia="Times New Roman" w:hAnsi="Times New Roman"/>
                <w:lang w:val="ro-RO"/>
              </w:rPr>
              <w:t>4</w:t>
            </w:r>
          </w:p>
        </w:tc>
        <w:tc>
          <w:tcPr>
            <w:tcW w:w="1444" w:type="dxa"/>
            <w:hideMark/>
          </w:tcPr>
          <w:p w14:paraId="3F49CBC5"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 </w:t>
            </w:r>
          </w:p>
        </w:tc>
        <w:tc>
          <w:tcPr>
            <w:tcW w:w="1238" w:type="dxa"/>
            <w:hideMark/>
          </w:tcPr>
          <w:p w14:paraId="0D1B2215"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 xml:space="preserve">Fondul rutier, </w:t>
            </w:r>
            <w:proofErr w:type="spellStart"/>
            <w:r w:rsidRPr="00125FAF">
              <w:rPr>
                <w:rFonts w:ascii="Times New Roman" w:eastAsia="Times New Roman" w:hAnsi="Times New Roman"/>
                <w:lang w:val="ro-RO"/>
              </w:rPr>
              <w:t>asistenţă</w:t>
            </w:r>
            <w:proofErr w:type="spellEnd"/>
            <w:r w:rsidRPr="00125FAF">
              <w:rPr>
                <w:rFonts w:ascii="Times New Roman" w:eastAsia="Times New Roman" w:hAnsi="Times New Roman"/>
                <w:lang w:val="ro-RO"/>
              </w:rPr>
              <w:t xml:space="preserve"> externă</w:t>
            </w:r>
          </w:p>
        </w:tc>
      </w:tr>
      <w:tr w:rsidR="00DC3FD5" w:rsidRPr="00125FAF" w14:paraId="5B89EDDA" w14:textId="77777777" w:rsidTr="00AC461F">
        <w:trPr>
          <w:trHeight w:val="900"/>
        </w:trPr>
        <w:tc>
          <w:tcPr>
            <w:tcW w:w="627" w:type="dxa"/>
            <w:hideMark/>
          </w:tcPr>
          <w:p w14:paraId="78A4792B"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2.4</w:t>
            </w:r>
          </w:p>
        </w:tc>
        <w:tc>
          <w:tcPr>
            <w:tcW w:w="3255" w:type="dxa"/>
            <w:hideMark/>
          </w:tcPr>
          <w:p w14:paraId="58C96D91"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 xml:space="preserve">Promovarea </w:t>
            </w:r>
            <w:proofErr w:type="spellStart"/>
            <w:r w:rsidRPr="00125FAF">
              <w:rPr>
                <w:rFonts w:ascii="Times New Roman" w:eastAsia="Times New Roman" w:hAnsi="Times New Roman"/>
                <w:lang w:val="ro-RO"/>
              </w:rPr>
              <w:t>eficienţei</w:t>
            </w:r>
            <w:proofErr w:type="spellEnd"/>
            <w:r w:rsidRPr="00125FAF">
              <w:rPr>
                <w:rFonts w:ascii="Times New Roman" w:eastAsia="Times New Roman" w:hAnsi="Times New Roman"/>
                <w:lang w:val="ro-RO"/>
              </w:rPr>
              <w:t xml:space="preserve"> energetice în transportul feroviar</w:t>
            </w:r>
          </w:p>
        </w:tc>
        <w:tc>
          <w:tcPr>
            <w:tcW w:w="1057" w:type="dxa"/>
            <w:hideMark/>
          </w:tcPr>
          <w:p w14:paraId="427D32C3"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2030</w:t>
            </w:r>
          </w:p>
        </w:tc>
        <w:tc>
          <w:tcPr>
            <w:tcW w:w="1979" w:type="dxa"/>
            <w:hideMark/>
          </w:tcPr>
          <w:p w14:paraId="58112992" w14:textId="32F5B345"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Ministerul Mediului</w:t>
            </w:r>
          </w:p>
        </w:tc>
        <w:tc>
          <w:tcPr>
            <w:tcW w:w="1726" w:type="dxa"/>
            <w:hideMark/>
          </w:tcPr>
          <w:p w14:paraId="2574B1DD"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Cantitatea combustibilului utilizat de transportul feroviar redus cu 20% sau 16 TJ</w:t>
            </w:r>
          </w:p>
        </w:tc>
        <w:tc>
          <w:tcPr>
            <w:tcW w:w="1736" w:type="dxa"/>
            <w:hideMark/>
          </w:tcPr>
          <w:p w14:paraId="08D82D60"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 </w:t>
            </w:r>
          </w:p>
        </w:tc>
        <w:tc>
          <w:tcPr>
            <w:tcW w:w="1377" w:type="dxa"/>
            <w:hideMark/>
          </w:tcPr>
          <w:p w14:paraId="6851774A" w14:textId="0E082EE8"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10</w:t>
            </w:r>
            <w:r w:rsidR="008F2629" w:rsidRPr="00125FAF">
              <w:rPr>
                <w:rFonts w:ascii="Times New Roman" w:eastAsia="Times New Roman" w:hAnsi="Times New Roman"/>
                <w:lang w:val="ro-RO"/>
              </w:rPr>
              <w:t xml:space="preserve"> </w:t>
            </w:r>
            <w:r w:rsidRPr="00125FAF">
              <w:rPr>
                <w:rFonts w:ascii="Times New Roman" w:eastAsia="Times New Roman" w:hAnsi="Times New Roman"/>
                <w:lang w:val="ro-RO"/>
              </w:rPr>
              <w:t>600</w:t>
            </w:r>
          </w:p>
        </w:tc>
        <w:tc>
          <w:tcPr>
            <w:tcW w:w="1444" w:type="dxa"/>
            <w:hideMark/>
          </w:tcPr>
          <w:p w14:paraId="185A53A9"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 </w:t>
            </w:r>
          </w:p>
        </w:tc>
        <w:tc>
          <w:tcPr>
            <w:tcW w:w="1238" w:type="dxa"/>
            <w:hideMark/>
          </w:tcPr>
          <w:p w14:paraId="5C4844F2"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 xml:space="preserve">Buget de stat, </w:t>
            </w:r>
            <w:proofErr w:type="spellStart"/>
            <w:r w:rsidRPr="00125FAF">
              <w:rPr>
                <w:rFonts w:ascii="Times New Roman" w:eastAsia="Times New Roman" w:hAnsi="Times New Roman"/>
                <w:lang w:val="ro-RO"/>
              </w:rPr>
              <w:t>asistenţă</w:t>
            </w:r>
            <w:proofErr w:type="spellEnd"/>
            <w:r w:rsidRPr="00125FAF">
              <w:rPr>
                <w:rFonts w:ascii="Times New Roman" w:eastAsia="Times New Roman" w:hAnsi="Times New Roman"/>
                <w:lang w:val="ro-RO"/>
              </w:rPr>
              <w:t xml:space="preserve"> externă, alte surse</w:t>
            </w:r>
          </w:p>
        </w:tc>
      </w:tr>
      <w:tr w:rsidR="00DC3FD5" w:rsidRPr="00125FAF" w14:paraId="2813E74D" w14:textId="77777777" w:rsidTr="00AC461F">
        <w:trPr>
          <w:trHeight w:val="1152"/>
        </w:trPr>
        <w:tc>
          <w:tcPr>
            <w:tcW w:w="627" w:type="dxa"/>
            <w:hideMark/>
          </w:tcPr>
          <w:p w14:paraId="55769A49"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2.5</w:t>
            </w:r>
          </w:p>
        </w:tc>
        <w:tc>
          <w:tcPr>
            <w:tcW w:w="3255" w:type="dxa"/>
            <w:hideMark/>
          </w:tcPr>
          <w:p w14:paraId="4209D768"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 xml:space="preserve">Etichetarea pneurilor, </w:t>
            </w:r>
            <w:proofErr w:type="spellStart"/>
            <w:r w:rsidRPr="00125FAF">
              <w:rPr>
                <w:rFonts w:ascii="Times New Roman" w:eastAsia="Times New Roman" w:hAnsi="Times New Roman"/>
                <w:lang w:val="ro-RO"/>
              </w:rPr>
              <w:t>achiziţii</w:t>
            </w:r>
            <w:proofErr w:type="spellEnd"/>
            <w:r w:rsidRPr="00125FAF">
              <w:rPr>
                <w:rFonts w:ascii="Times New Roman" w:eastAsia="Times New Roman" w:hAnsi="Times New Roman"/>
                <w:lang w:val="ro-RO"/>
              </w:rPr>
              <w:t xml:space="preserve"> de transport energetic eficient, optimizarea transportului pe străzile centrale din </w:t>
            </w:r>
            <w:proofErr w:type="spellStart"/>
            <w:r w:rsidRPr="00125FAF">
              <w:rPr>
                <w:rFonts w:ascii="Times New Roman" w:eastAsia="Times New Roman" w:hAnsi="Times New Roman"/>
                <w:lang w:val="ro-RO"/>
              </w:rPr>
              <w:t>localităţi</w:t>
            </w:r>
            <w:proofErr w:type="spellEnd"/>
          </w:p>
        </w:tc>
        <w:tc>
          <w:tcPr>
            <w:tcW w:w="1057" w:type="dxa"/>
            <w:hideMark/>
          </w:tcPr>
          <w:p w14:paraId="0E999869"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2030</w:t>
            </w:r>
          </w:p>
        </w:tc>
        <w:tc>
          <w:tcPr>
            <w:tcW w:w="1979" w:type="dxa"/>
            <w:hideMark/>
          </w:tcPr>
          <w:p w14:paraId="3578AFA3" w14:textId="0E3B4EB4" w:rsidR="00D25293" w:rsidRPr="00125FAF" w:rsidRDefault="0024706D" w:rsidP="00D25293">
            <w:pPr>
              <w:jc w:val="both"/>
              <w:rPr>
                <w:rFonts w:ascii="Times New Roman" w:eastAsia="Times New Roman" w:hAnsi="Times New Roman"/>
                <w:lang w:val="ro-RO"/>
              </w:rPr>
            </w:pPr>
            <w:r>
              <w:rPr>
                <w:rFonts w:ascii="Times New Roman" w:eastAsia="Times New Roman" w:hAnsi="Times New Roman"/>
                <w:lang w:val="ro-RO"/>
              </w:rPr>
              <w:t>Ministerul Infrastructurii și Dezvoltării Regionale</w:t>
            </w:r>
            <w:r w:rsidR="00D25293" w:rsidRPr="00125FAF">
              <w:rPr>
                <w:rFonts w:ascii="Times New Roman" w:eastAsia="Times New Roman" w:hAnsi="Times New Roman"/>
                <w:lang w:val="ro-RO"/>
              </w:rPr>
              <w:t xml:space="preserve">, Ministerul </w:t>
            </w:r>
            <w:proofErr w:type="spellStart"/>
            <w:r w:rsidR="00D25293" w:rsidRPr="00125FAF">
              <w:rPr>
                <w:rFonts w:ascii="Times New Roman" w:eastAsia="Times New Roman" w:hAnsi="Times New Roman"/>
                <w:lang w:val="ro-RO"/>
              </w:rPr>
              <w:t>Finanţelor</w:t>
            </w:r>
            <w:proofErr w:type="spellEnd"/>
            <w:r w:rsidR="00D25293" w:rsidRPr="00125FAF">
              <w:rPr>
                <w:rFonts w:ascii="Times New Roman" w:eastAsia="Times New Roman" w:hAnsi="Times New Roman"/>
                <w:lang w:val="ro-RO"/>
              </w:rPr>
              <w:t xml:space="preserve">, </w:t>
            </w:r>
            <w:proofErr w:type="spellStart"/>
            <w:r w:rsidR="00D25293" w:rsidRPr="00125FAF">
              <w:rPr>
                <w:rFonts w:ascii="Times New Roman" w:eastAsia="Times New Roman" w:hAnsi="Times New Roman"/>
                <w:lang w:val="ro-RO"/>
              </w:rPr>
              <w:t>Agenţia</w:t>
            </w:r>
            <w:proofErr w:type="spellEnd"/>
            <w:r w:rsidR="00D25293" w:rsidRPr="00125FAF">
              <w:rPr>
                <w:rFonts w:ascii="Times New Roman" w:eastAsia="Times New Roman" w:hAnsi="Times New Roman"/>
                <w:lang w:val="ro-RO"/>
              </w:rPr>
              <w:t xml:space="preserve"> </w:t>
            </w:r>
            <w:proofErr w:type="spellStart"/>
            <w:r w:rsidR="00D25293" w:rsidRPr="00125FAF">
              <w:rPr>
                <w:rFonts w:ascii="Times New Roman" w:eastAsia="Times New Roman" w:hAnsi="Times New Roman"/>
                <w:lang w:val="ro-RO"/>
              </w:rPr>
              <w:t>Achiziţii</w:t>
            </w:r>
            <w:proofErr w:type="spellEnd"/>
            <w:r w:rsidR="00D25293" w:rsidRPr="00125FAF">
              <w:rPr>
                <w:rFonts w:ascii="Times New Roman" w:eastAsia="Times New Roman" w:hAnsi="Times New Roman"/>
                <w:lang w:val="ro-RO"/>
              </w:rPr>
              <w:t xml:space="preserve"> Publice</w:t>
            </w:r>
          </w:p>
        </w:tc>
        <w:tc>
          <w:tcPr>
            <w:tcW w:w="1726" w:type="dxa"/>
            <w:hideMark/>
          </w:tcPr>
          <w:p w14:paraId="71F6E298"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Consumul de combustibil utilizat în sectorul transportului rutier redus cu 20% sau 6259 TJ</w:t>
            </w:r>
          </w:p>
        </w:tc>
        <w:tc>
          <w:tcPr>
            <w:tcW w:w="1736" w:type="dxa"/>
            <w:hideMark/>
          </w:tcPr>
          <w:p w14:paraId="275FCE04"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 </w:t>
            </w:r>
          </w:p>
        </w:tc>
        <w:tc>
          <w:tcPr>
            <w:tcW w:w="1377" w:type="dxa"/>
            <w:hideMark/>
          </w:tcPr>
          <w:p w14:paraId="216F3F67"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1</w:t>
            </w:r>
          </w:p>
        </w:tc>
        <w:tc>
          <w:tcPr>
            <w:tcW w:w="1444" w:type="dxa"/>
            <w:hideMark/>
          </w:tcPr>
          <w:p w14:paraId="43E024FD"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 </w:t>
            </w:r>
          </w:p>
        </w:tc>
        <w:tc>
          <w:tcPr>
            <w:tcW w:w="1238" w:type="dxa"/>
            <w:hideMark/>
          </w:tcPr>
          <w:p w14:paraId="08F7DE32"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Buget de stat, alte surse</w:t>
            </w:r>
          </w:p>
        </w:tc>
      </w:tr>
      <w:tr w:rsidR="00DC3FD5" w:rsidRPr="00125FAF" w14:paraId="68C31362" w14:textId="77777777" w:rsidTr="00AC461F">
        <w:trPr>
          <w:trHeight w:val="649"/>
        </w:trPr>
        <w:tc>
          <w:tcPr>
            <w:tcW w:w="627" w:type="dxa"/>
            <w:hideMark/>
          </w:tcPr>
          <w:p w14:paraId="1E9D4539"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2.6</w:t>
            </w:r>
          </w:p>
        </w:tc>
        <w:tc>
          <w:tcPr>
            <w:tcW w:w="3255" w:type="dxa"/>
            <w:hideMark/>
          </w:tcPr>
          <w:p w14:paraId="127563CB"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Promovarea mijloacelor de transport cu propulsie hibrida</w:t>
            </w:r>
          </w:p>
        </w:tc>
        <w:tc>
          <w:tcPr>
            <w:tcW w:w="1057" w:type="dxa"/>
            <w:hideMark/>
          </w:tcPr>
          <w:p w14:paraId="3C820C2F"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2030</w:t>
            </w:r>
          </w:p>
        </w:tc>
        <w:tc>
          <w:tcPr>
            <w:tcW w:w="1979" w:type="dxa"/>
            <w:hideMark/>
          </w:tcPr>
          <w:p w14:paraId="641A2BB5" w14:textId="144719DF" w:rsidR="00D25293" w:rsidRPr="00125FAF" w:rsidRDefault="0024706D" w:rsidP="00D25293">
            <w:pPr>
              <w:jc w:val="both"/>
              <w:rPr>
                <w:rFonts w:ascii="Times New Roman" w:eastAsia="Times New Roman" w:hAnsi="Times New Roman"/>
                <w:lang w:val="ro-RO"/>
              </w:rPr>
            </w:pPr>
            <w:r>
              <w:rPr>
                <w:rFonts w:ascii="Times New Roman" w:eastAsia="Times New Roman" w:hAnsi="Times New Roman"/>
                <w:lang w:val="ro-RO"/>
              </w:rPr>
              <w:t>Ministerul Infrastructurii și Dezvoltării Regionale</w:t>
            </w:r>
          </w:p>
        </w:tc>
        <w:tc>
          <w:tcPr>
            <w:tcW w:w="1726" w:type="dxa"/>
            <w:hideMark/>
          </w:tcPr>
          <w:p w14:paraId="5B0BA747"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Consumul de combustibil utilizat în sectorul transportului rutier redus cu 1% sau 311 TJ</w:t>
            </w:r>
          </w:p>
        </w:tc>
        <w:tc>
          <w:tcPr>
            <w:tcW w:w="1736" w:type="dxa"/>
            <w:hideMark/>
          </w:tcPr>
          <w:p w14:paraId="691D378A"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 </w:t>
            </w:r>
          </w:p>
        </w:tc>
        <w:tc>
          <w:tcPr>
            <w:tcW w:w="1377" w:type="dxa"/>
            <w:hideMark/>
          </w:tcPr>
          <w:p w14:paraId="20E8A6CA" w14:textId="1D336D0A"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1</w:t>
            </w:r>
            <w:r w:rsidR="008F2629" w:rsidRPr="00125FAF">
              <w:rPr>
                <w:rFonts w:ascii="Times New Roman" w:eastAsia="Times New Roman" w:hAnsi="Times New Roman"/>
                <w:lang w:val="ro-RO"/>
              </w:rPr>
              <w:t xml:space="preserve"> </w:t>
            </w:r>
            <w:r w:rsidRPr="00125FAF">
              <w:rPr>
                <w:rFonts w:ascii="Times New Roman" w:eastAsia="Times New Roman" w:hAnsi="Times New Roman"/>
                <w:lang w:val="ro-RO"/>
              </w:rPr>
              <w:t>607</w:t>
            </w:r>
          </w:p>
        </w:tc>
        <w:tc>
          <w:tcPr>
            <w:tcW w:w="1444" w:type="dxa"/>
            <w:hideMark/>
          </w:tcPr>
          <w:p w14:paraId="18535E50"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 </w:t>
            </w:r>
          </w:p>
        </w:tc>
        <w:tc>
          <w:tcPr>
            <w:tcW w:w="1238" w:type="dxa"/>
            <w:hideMark/>
          </w:tcPr>
          <w:p w14:paraId="5155EF1D"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Buget de stat</w:t>
            </w:r>
          </w:p>
        </w:tc>
      </w:tr>
      <w:tr w:rsidR="00DC3FD5" w:rsidRPr="00125FAF" w14:paraId="150DEC65" w14:textId="77777777" w:rsidTr="00AC461F">
        <w:trPr>
          <w:trHeight w:val="300"/>
        </w:trPr>
        <w:tc>
          <w:tcPr>
            <w:tcW w:w="627" w:type="dxa"/>
            <w:hideMark/>
          </w:tcPr>
          <w:p w14:paraId="1ECB8D5E"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3</w:t>
            </w:r>
          </w:p>
        </w:tc>
        <w:tc>
          <w:tcPr>
            <w:tcW w:w="13812" w:type="dxa"/>
            <w:gridSpan w:val="8"/>
            <w:hideMark/>
          </w:tcPr>
          <w:p w14:paraId="01FAFECF" w14:textId="7EC7DD6C" w:rsidR="00D25293" w:rsidRPr="00125FAF" w:rsidRDefault="00D25293" w:rsidP="00D25293">
            <w:pPr>
              <w:jc w:val="both"/>
              <w:rPr>
                <w:rFonts w:ascii="Times New Roman" w:eastAsia="Times New Roman" w:hAnsi="Times New Roman"/>
                <w:b/>
                <w:bCs/>
                <w:lang w:val="ro-RO"/>
              </w:rPr>
            </w:pPr>
            <w:r w:rsidRPr="00125FAF">
              <w:rPr>
                <w:rFonts w:ascii="Times New Roman" w:eastAsia="Times New Roman" w:hAnsi="Times New Roman"/>
                <w:b/>
                <w:bCs/>
                <w:lang w:val="ro-RO"/>
              </w:rPr>
              <w:t>Obiectivul specific 3.</w:t>
            </w:r>
            <w:r w:rsidRPr="00125FAF">
              <w:rPr>
                <w:rFonts w:ascii="Times New Roman" w:eastAsia="Times New Roman" w:hAnsi="Times New Roman"/>
                <w:lang w:val="ro-RO"/>
              </w:rPr>
              <w:t xml:space="preserve"> Reducerea </w:t>
            </w:r>
            <w:proofErr w:type="spellStart"/>
            <w:r w:rsidRPr="00125FAF">
              <w:rPr>
                <w:rFonts w:ascii="Times New Roman" w:eastAsia="Times New Roman" w:hAnsi="Times New Roman"/>
                <w:lang w:val="ro-RO"/>
              </w:rPr>
              <w:t>necondiţionată</w:t>
            </w:r>
            <w:proofErr w:type="spellEnd"/>
            <w:r w:rsidRPr="00125FAF">
              <w:rPr>
                <w:rFonts w:ascii="Times New Roman" w:eastAsia="Times New Roman" w:hAnsi="Times New Roman"/>
                <w:lang w:val="ro-RO"/>
              </w:rPr>
              <w:t xml:space="preserve">, </w:t>
            </w:r>
            <w:proofErr w:type="spellStart"/>
            <w:r w:rsidRPr="00125FAF">
              <w:rPr>
                <w:rFonts w:ascii="Times New Roman" w:eastAsia="Times New Roman" w:hAnsi="Times New Roman"/>
                <w:lang w:val="ro-RO"/>
              </w:rPr>
              <w:t>pînă</w:t>
            </w:r>
            <w:proofErr w:type="spellEnd"/>
            <w:r w:rsidRPr="00125FAF">
              <w:rPr>
                <w:rFonts w:ascii="Times New Roman" w:eastAsia="Times New Roman" w:hAnsi="Times New Roman"/>
                <w:lang w:val="ro-RO"/>
              </w:rPr>
              <w:t xml:space="preserve"> în</w:t>
            </w:r>
            <w:r w:rsidR="00B566C6" w:rsidRPr="00125FAF">
              <w:rPr>
                <w:rFonts w:ascii="Times New Roman" w:eastAsia="Times New Roman" w:hAnsi="Times New Roman"/>
                <w:lang w:val="ro-RO"/>
              </w:rPr>
              <w:t xml:space="preserve"> </w:t>
            </w:r>
            <w:r w:rsidRPr="00125FAF">
              <w:rPr>
                <w:rFonts w:ascii="Times New Roman" w:eastAsia="Times New Roman" w:hAnsi="Times New Roman"/>
                <w:lang w:val="ro-RO"/>
              </w:rPr>
              <w:t xml:space="preserve">anul 2030, a emisiilor de gaze cu efect de seră provenite de la </w:t>
            </w:r>
            <w:r w:rsidRPr="00125FAF">
              <w:rPr>
                <w:rFonts w:ascii="Times New Roman" w:eastAsia="Times New Roman" w:hAnsi="Times New Roman"/>
                <w:b/>
                <w:bCs/>
                <w:lang w:val="ro-RO"/>
              </w:rPr>
              <w:t xml:space="preserve">sectorul clădiri </w:t>
            </w:r>
            <w:r w:rsidRPr="00125FAF">
              <w:rPr>
                <w:rFonts w:ascii="Times New Roman" w:eastAsia="Times New Roman" w:hAnsi="Times New Roman"/>
                <w:lang w:val="ro-RO"/>
              </w:rPr>
              <w:t xml:space="preserve">cu 74% </w:t>
            </w:r>
            <w:proofErr w:type="spellStart"/>
            <w:r w:rsidRPr="00125FAF">
              <w:rPr>
                <w:rFonts w:ascii="Times New Roman" w:eastAsia="Times New Roman" w:hAnsi="Times New Roman"/>
                <w:lang w:val="ro-RO"/>
              </w:rPr>
              <w:t>şi</w:t>
            </w:r>
            <w:proofErr w:type="spellEnd"/>
            <w:r w:rsidRPr="00125FAF">
              <w:rPr>
                <w:rFonts w:ascii="Times New Roman" w:eastAsia="Times New Roman" w:hAnsi="Times New Roman"/>
                <w:lang w:val="ro-RO"/>
              </w:rPr>
              <w:t xml:space="preserve"> reducerea de gaze cu efect de seră </w:t>
            </w:r>
            <w:proofErr w:type="spellStart"/>
            <w:r w:rsidRPr="00125FAF">
              <w:rPr>
                <w:rFonts w:ascii="Times New Roman" w:eastAsia="Times New Roman" w:hAnsi="Times New Roman"/>
                <w:lang w:val="ro-RO"/>
              </w:rPr>
              <w:t>condiţionată</w:t>
            </w:r>
            <w:proofErr w:type="spellEnd"/>
            <w:r w:rsidRPr="00125FAF">
              <w:rPr>
                <w:rFonts w:ascii="Times New Roman" w:eastAsia="Times New Roman" w:hAnsi="Times New Roman"/>
                <w:lang w:val="ro-RO"/>
              </w:rPr>
              <w:t xml:space="preserve"> </w:t>
            </w:r>
            <w:proofErr w:type="spellStart"/>
            <w:r w:rsidRPr="00125FAF">
              <w:rPr>
                <w:rFonts w:ascii="Times New Roman" w:eastAsia="Times New Roman" w:hAnsi="Times New Roman"/>
                <w:lang w:val="ro-RO"/>
              </w:rPr>
              <w:t>pînă</w:t>
            </w:r>
            <w:proofErr w:type="spellEnd"/>
            <w:r w:rsidRPr="00125FAF">
              <w:rPr>
                <w:rFonts w:ascii="Times New Roman" w:eastAsia="Times New Roman" w:hAnsi="Times New Roman"/>
                <w:lang w:val="ro-RO"/>
              </w:rPr>
              <w:t xml:space="preserve"> la 77% comparativ cu anul 1990</w:t>
            </w:r>
          </w:p>
        </w:tc>
      </w:tr>
      <w:tr w:rsidR="00DC3FD5" w:rsidRPr="00125FAF" w14:paraId="7F627561" w14:textId="77777777" w:rsidTr="00AC461F">
        <w:trPr>
          <w:trHeight w:val="1245"/>
        </w:trPr>
        <w:tc>
          <w:tcPr>
            <w:tcW w:w="627" w:type="dxa"/>
            <w:hideMark/>
          </w:tcPr>
          <w:p w14:paraId="5232A414"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3.1</w:t>
            </w:r>
          </w:p>
        </w:tc>
        <w:tc>
          <w:tcPr>
            <w:tcW w:w="3255" w:type="dxa"/>
            <w:hideMark/>
          </w:tcPr>
          <w:p w14:paraId="7BCD6562"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 xml:space="preserve">Sporirea </w:t>
            </w:r>
            <w:proofErr w:type="spellStart"/>
            <w:r w:rsidRPr="00125FAF">
              <w:rPr>
                <w:rFonts w:ascii="Times New Roman" w:eastAsia="Times New Roman" w:hAnsi="Times New Roman"/>
                <w:lang w:val="ro-RO"/>
              </w:rPr>
              <w:t>rezistenţei</w:t>
            </w:r>
            <w:proofErr w:type="spellEnd"/>
            <w:r w:rsidRPr="00125FAF">
              <w:rPr>
                <w:rFonts w:ascii="Times New Roman" w:eastAsia="Times New Roman" w:hAnsi="Times New Roman"/>
                <w:lang w:val="ro-RO"/>
              </w:rPr>
              <w:t xml:space="preserve"> termice a anvelopei clădirilor nereabilitate termic</w:t>
            </w:r>
          </w:p>
        </w:tc>
        <w:tc>
          <w:tcPr>
            <w:tcW w:w="1057" w:type="dxa"/>
            <w:hideMark/>
          </w:tcPr>
          <w:p w14:paraId="11B763CE"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2030</w:t>
            </w:r>
          </w:p>
        </w:tc>
        <w:tc>
          <w:tcPr>
            <w:tcW w:w="1979" w:type="dxa"/>
            <w:hideMark/>
          </w:tcPr>
          <w:p w14:paraId="437C8B69" w14:textId="06B8489F" w:rsidR="00D25293" w:rsidRPr="00125FAF" w:rsidRDefault="0024706D" w:rsidP="00D25293">
            <w:pPr>
              <w:jc w:val="both"/>
              <w:rPr>
                <w:rFonts w:ascii="Times New Roman" w:eastAsia="Times New Roman" w:hAnsi="Times New Roman"/>
                <w:lang w:val="ro-RO"/>
              </w:rPr>
            </w:pPr>
            <w:r>
              <w:rPr>
                <w:rFonts w:ascii="Times New Roman" w:eastAsia="Times New Roman" w:hAnsi="Times New Roman"/>
                <w:lang w:val="ro-RO"/>
              </w:rPr>
              <w:t>Ministerul Infrastructurii și Dezvoltării Regionale</w:t>
            </w:r>
          </w:p>
        </w:tc>
        <w:tc>
          <w:tcPr>
            <w:tcW w:w="1726" w:type="dxa"/>
            <w:hideMark/>
          </w:tcPr>
          <w:p w14:paraId="1BFD101E"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5,86 mil. m</w:t>
            </w:r>
            <w:r w:rsidRPr="00125FAF">
              <w:rPr>
                <w:rFonts w:ascii="Times New Roman" w:eastAsia="Times New Roman" w:hAnsi="Times New Roman"/>
                <w:vertAlign w:val="superscript"/>
                <w:lang w:val="ro-RO"/>
              </w:rPr>
              <w:t>2</w:t>
            </w:r>
            <w:r w:rsidRPr="00125FAF">
              <w:rPr>
                <w:rFonts w:ascii="Times New Roman" w:eastAsia="Times New Roman" w:hAnsi="Times New Roman"/>
                <w:lang w:val="ro-RO"/>
              </w:rPr>
              <w:t xml:space="preserve"> de </w:t>
            </w:r>
            <w:proofErr w:type="spellStart"/>
            <w:r w:rsidRPr="00125FAF">
              <w:rPr>
                <w:rFonts w:ascii="Times New Roman" w:eastAsia="Times New Roman" w:hAnsi="Times New Roman"/>
                <w:lang w:val="ro-RO"/>
              </w:rPr>
              <w:t>suprafaţă</w:t>
            </w:r>
            <w:proofErr w:type="spellEnd"/>
            <w:r w:rsidRPr="00125FAF">
              <w:rPr>
                <w:rFonts w:ascii="Times New Roman" w:eastAsia="Times New Roman" w:hAnsi="Times New Roman"/>
                <w:lang w:val="ro-RO"/>
              </w:rPr>
              <w:t xml:space="preserve"> utilă a clădirilor reabilitate</w:t>
            </w:r>
          </w:p>
        </w:tc>
        <w:tc>
          <w:tcPr>
            <w:tcW w:w="1736" w:type="dxa"/>
            <w:hideMark/>
          </w:tcPr>
          <w:p w14:paraId="566001A0"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2,03 mil. m</w:t>
            </w:r>
            <w:r w:rsidRPr="00125FAF">
              <w:rPr>
                <w:rFonts w:ascii="Times New Roman" w:eastAsia="Times New Roman" w:hAnsi="Times New Roman"/>
                <w:vertAlign w:val="superscript"/>
                <w:lang w:val="ro-RO"/>
              </w:rPr>
              <w:t>2</w:t>
            </w:r>
            <w:r w:rsidRPr="00125FAF">
              <w:rPr>
                <w:rFonts w:ascii="Times New Roman" w:eastAsia="Times New Roman" w:hAnsi="Times New Roman"/>
                <w:lang w:val="ro-RO"/>
              </w:rPr>
              <w:t xml:space="preserve"> de </w:t>
            </w:r>
            <w:proofErr w:type="spellStart"/>
            <w:r w:rsidRPr="00125FAF">
              <w:rPr>
                <w:rFonts w:ascii="Times New Roman" w:eastAsia="Times New Roman" w:hAnsi="Times New Roman"/>
                <w:lang w:val="ro-RO"/>
              </w:rPr>
              <w:t>suprafaţă</w:t>
            </w:r>
            <w:proofErr w:type="spellEnd"/>
            <w:r w:rsidRPr="00125FAF">
              <w:rPr>
                <w:rFonts w:ascii="Times New Roman" w:eastAsia="Times New Roman" w:hAnsi="Times New Roman"/>
                <w:lang w:val="ro-RO"/>
              </w:rPr>
              <w:t xml:space="preserve"> utilă a clădirilor reabilitate</w:t>
            </w:r>
          </w:p>
        </w:tc>
        <w:tc>
          <w:tcPr>
            <w:tcW w:w="1377" w:type="dxa"/>
            <w:hideMark/>
          </w:tcPr>
          <w:p w14:paraId="3C2B2FD7" w14:textId="3539DD22"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12</w:t>
            </w:r>
            <w:r w:rsidR="008F2629" w:rsidRPr="00125FAF">
              <w:rPr>
                <w:rFonts w:ascii="Times New Roman" w:eastAsia="Times New Roman" w:hAnsi="Times New Roman"/>
                <w:lang w:val="ro-RO"/>
              </w:rPr>
              <w:t xml:space="preserve"> </w:t>
            </w:r>
            <w:r w:rsidRPr="00125FAF">
              <w:rPr>
                <w:rFonts w:ascii="Times New Roman" w:eastAsia="Times New Roman" w:hAnsi="Times New Roman"/>
                <w:lang w:val="ro-RO"/>
              </w:rPr>
              <w:t>492</w:t>
            </w:r>
          </w:p>
        </w:tc>
        <w:tc>
          <w:tcPr>
            <w:tcW w:w="1444" w:type="dxa"/>
            <w:hideMark/>
          </w:tcPr>
          <w:p w14:paraId="5FD72757" w14:textId="07E53D11"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4</w:t>
            </w:r>
            <w:r w:rsidR="008F2629" w:rsidRPr="00125FAF">
              <w:rPr>
                <w:rFonts w:ascii="Times New Roman" w:eastAsia="Times New Roman" w:hAnsi="Times New Roman"/>
                <w:lang w:val="ro-RO"/>
              </w:rPr>
              <w:t xml:space="preserve"> </w:t>
            </w:r>
            <w:r w:rsidRPr="00125FAF">
              <w:rPr>
                <w:rFonts w:ascii="Times New Roman" w:eastAsia="Times New Roman" w:hAnsi="Times New Roman"/>
                <w:lang w:val="ro-RO"/>
              </w:rPr>
              <w:t>320</w:t>
            </w:r>
          </w:p>
        </w:tc>
        <w:tc>
          <w:tcPr>
            <w:tcW w:w="1238" w:type="dxa"/>
            <w:hideMark/>
          </w:tcPr>
          <w:p w14:paraId="5C0D2572"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 xml:space="preserve">Buget de stat, Agenția de </w:t>
            </w:r>
            <w:proofErr w:type="spellStart"/>
            <w:r w:rsidRPr="00125FAF">
              <w:rPr>
                <w:rFonts w:ascii="Times New Roman" w:eastAsia="Times New Roman" w:hAnsi="Times New Roman"/>
                <w:lang w:val="ro-RO"/>
              </w:rPr>
              <w:t>Eficienţă</w:t>
            </w:r>
            <w:proofErr w:type="spellEnd"/>
            <w:r w:rsidRPr="00125FAF">
              <w:rPr>
                <w:rFonts w:ascii="Times New Roman" w:eastAsia="Times New Roman" w:hAnsi="Times New Roman"/>
                <w:lang w:val="ro-RO"/>
              </w:rPr>
              <w:t xml:space="preserve"> Energetică, </w:t>
            </w:r>
            <w:proofErr w:type="spellStart"/>
            <w:r w:rsidRPr="00125FAF">
              <w:rPr>
                <w:rFonts w:ascii="Times New Roman" w:eastAsia="Times New Roman" w:hAnsi="Times New Roman"/>
                <w:lang w:val="ro-RO"/>
              </w:rPr>
              <w:t>asistenţă</w:t>
            </w:r>
            <w:proofErr w:type="spellEnd"/>
            <w:r w:rsidRPr="00125FAF">
              <w:rPr>
                <w:rFonts w:ascii="Times New Roman" w:eastAsia="Times New Roman" w:hAnsi="Times New Roman"/>
                <w:lang w:val="ro-RO"/>
              </w:rPr>
              <w:t xml:space="preserve"> externă, alte surse</w:t>
            </w:r>
          </w:p>
        </w:tc>
      </w:tr>
      <w:tr w:rsidR="00DC3FD5" w:rsidRPr="00125FAF" w14:paraId="02D89B0C" w14:textId="77777777" w:rsidTr="00AC461F">
        <w:trPr>
          <w:trHeight w:val="1350"/>
        </w:trPr>
        <w:tc>
          <w:tcPr>
            <w:tcW w:w="627" w:type="dxa"/>
            <w:hideMark/>
          </w:tcPr>
          <w:p w14:paraId="7F3E0AD0"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lastRenderedPageBreak/>
              <w:t>3.2</w:t>
            </w:r>
          </w:p>
        </w:tc>
        <w:tc>
          <w:tcPr>
            <w:tcW w:w="3255" w:type="dxa"/>
            <w:hideMark/>
          </w:tcPr>
          <w:p w14:paraId="0A31C214"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Reabilitarea sistemelor de încălzire a clădirilor rezidențiale</w:t>
            </w:r>
          </w:p>
        </w:tc>
        <w:tc>
          <w:tcPr>
            <w:tcW w:w="1057" w:type="dxa"/>
            <w:hideMark/>
          </w:tcPr>
          <w:p w14:paraId="31EF3E20"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2030</w:t>
            </w:r>
          </w:p>
        </w:tc>
        <w:tc>
          <w:tcPr>
            <w:tcW w:w="1979" w:type="dxa"/>
            <w:hideMark/>
          </w:tcPr>
          <w:p w14:paraId="422F28B1" w14:textId="66C6AF9C" w:rsidR="00D25293" w:rsidRPr="00125FAF" w:rsidRDefault="0024706D" w:rsidP="00D25293">
            <w:pPr>
              <w:jc w:val="both"/>
              <w:rPr>
                <w:rFonts w:ascii="Times New Roman" w:eastAsia="Times New Roman" w:hAnsi="Times New Roman"/>
                <w:lang w:val="ro-RO"/>
              </w:rPr>
            </w:pPr>
            <w:r>
              <w:rPr>
                <w:rFonts w:ascii="Times New Roman" w:eastAsia="Times New Roman" w:hAnsi="Times New Roman"/>
                <w:lang w:val="ro-RO"/>
              </w:rPr>
              <w:t>Ministerul Infrastructurii și Dezvoltării Regionale</w:t>
            </w:r>
          </w:p>
        </w:tc>
        <w:tc>
          <w:tcPr>
            <w:tcW w:w="1726" w:type="dxa"/>
            <w:hideMark/>
          </w:tcPr>
          <w:p w14:paraId="2638EAB0"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9,02 mil m</w:t>
            </w:r>
            <w:r w:rsidRPr="00125FAF">
              <w:rPr>
                <w:rFonts w:ascii="Times New Roman" w:eastAsia="Times New Roman" w:hAnsi="Times New Roman"/>
                <w:vertAlign w:val="superscript"/>
                <w:lang w:val="ro-RO"/>
              </w:rPr>
              <w:t>2</w:t>
            </w:r>
            <w:r w:rsidRPr="00125FAF">
              <w:rPr>
                <w:rFonts w:ascii="Times New Roman" w:eastAsia="Times New Roman" w:hAnsi="Times New Roman"/>
                <w:lang w:val="ro-RO"/>
              </w:rPr>
              <w:t xml:space="preserve"> de suprafață locuibilă cu sisteme de încălzire reabilitate din fondul urban de locuințe</w:t>
            </w:r>
          </w:p>
        </w:tc>
        <w:tc>
          <w:tcPr>
            <w:tcW w:w="1736" w:type="dxa"/>
            <w:hideMark/>
          </w:tcPr>
          <w:p w14:paraId="70903A5A"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 </w:t>
            </w:r>
          </w:p>
        </w:tc>
        <w:tc>
          <w:tcPr>
            <w:tcW w:w="1377" w:type="dxa"/>
            <w:hideMark/>
          </w:tcPr>
          <w:p w14:paraId="681B756B" w14:textId="2F1E49FF"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6</w:t>
            </w:r>
            <w:r w:rsidR="00D5429D" w:rsidRPr="00125FAF">
              <w:rPr>
                <w:rFonts w:ascii="Times New Roman" w:eastAsia="Times New Roman" w:hAnsi="Times New Roman"/>
                <w:lang w:val="ro-RO"/>
              </w:rPr>
              <w:t xml:space="preserve"> </w:t>
            </w:r>
            <w:r w:rsidRPr="00125FAF">
              <w:rPr>
                <w:rFonts w:ascii="Times New Roman" w:eastAsia="Times New Roman" w:hAnsi="Times New Roman"/>
                <w:lang w:val="ro-RO"/>
              </w:rPr>
              <w:t>532</w:t>
            </w:r>
          </w:p>
        </w:tc>
        <w:tc>
          <w:tcPr>
            <w:tcW w:w="1444" w:type="dxa"/>
            <w:hideMark/>
          </w:tcPr>
          <w:p w14:paraId="00748B47"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 </w:t>
            </w:r>
          </w:p>
        </w:tc>
        <w:tc>
          <w:tcPr>
            <w:tcW w:w="1238" w:type="dxa"/>
            <w:hideMark/>
          </w:tcPr>
          <w:p w14:paraId="120FCA82"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 xml:space="preserve">Buget de stat, Agenția de </w:t>
            </w:r>
            <w:proofErr w:type="spellStart"/>
            <w:r w:rsidRPr="00125FAF">
              <w:rPr>
                <w:rFonts w:ascii="Times New Roman" w:eastAsia="Times New Roman" w:hAnsi="Times New Roman"/>
                <w:lang w:val="ro-RO"/>
              </w:rPr>
              <w:t>Eficienţă</w:t>
            </w:r>
            <w:proofErr w:type="spellEnd"/>
            <w:r w:rsidRPr="00125FAF">
              <w:rPr>
                <w:rFonts w:ascii="Times New Roman" w:eastAsia="Times New Roman" w:hAnsi="Times New Roman"/>
                <w:lang w:val="ro-RO"/>
              </w:rPr>
              <w:t xml:space="preserve"> Energetică, </w:t>
            </w:r>
            <w:proofErr w:type="spellStart"/>
            <w:r w:rsidRPr="00125FAF">
              <w:rPr>
                <w:rFonts w:ascii="Times New Roman" w:eastAsia="Times New Roman" w:hAnsi="Times New Roman"/>
                <w:lang w:val="ro-RO"/>
              </w:rPr>
              <w:t>asistenţă</w:t>
            </w:r>
            <w:proofErr w:type="spellEnd"/>
            <w:r w:rsidRPr="00125FAF">
              <w:rPr>
                <w:rFonts w:ascii="Times New Roman" w:eastAsia="Times New Roman" w:hAnsi="Times New Roman"/>
                <w:lang w:val="ro-RO"/>
              </w:rPr>
              <w:t xml:space="preserve"> externă, alte surse</w:t>
            </w:r>
          </w:p>
        </w:tc>
      </w:tr>
      <w:tr w:rsidR="00DC3FD5" w:rsidRPr="00125FAF" w14:paraId="54F38CE7" w14:textId="77777777" w:rsidTr="00AC461F">
        <w:trPr>
          <w:trHeight w:val="1395"/>
        </w:trPr>
        <w:tc>
          <w:tcPr>
            <w:tcW w:w="627" w:type="dxa"/>
            <w:hideMark/>
          </w:tcPr>
          <w:p w14:paraId="0A2DCF09" w14:textId="6B7BBBB8"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3.</w:t>
            </w:r>
            <w:r w:rsidR="00DF329F">
              <w:rPr>
                <w:rFonts w:ascii="Times New Roman" w:eastAsia="Times New Roman" w:hAnsi="Times New Roman"/>
                <w:lang w:val="ro-RO"/>
              </w:rPr>
              <w:t>3</w:t>
            </w:r>
          </w:p>
        </w:tc>
        <w:tc>
          <w:tcPr>
            <w:tcW w:w="3255" w:type="dxa"/>
            <w:hideMark/>
          </w:tcPr>
          <w:p w14:paraId="1A6C4824"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Înlocuirea becurilor incandescente cu becuri energetic eficiente de tip LED</w:t>
            </w:r>
          </w:p>
        </w:tc>
        <w:tc>
          <w:tcPr>
            <w:tcW w:w="1057" w:type="dxa"/>
            <w:hideMark/>
          </w:tcPr>
          <w:p w14:paraId="47184593"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2030</w:t>
            </w:r>
          </w:p>
        </w:tc>
        <w:tc>
          <w:tcPr>
            <w:tcW w:w="1979" w:type="dxa"/>
            <w:hideMark/>
          </w:tcPr>
          <w:p w14:paraId="0931F099" w14:textId="6F4BE82F" w:rsidR="00D25293" w:rsidRPr="00125FAF" w:rsidRDefault="0024706D" w:rsidP="00D25293">
            <w:pPr>
              <w:jc w:val="both"/>
              <w:rPr>
                <w:rFonts w:ascii="Times New Roman" w:eastAsia="Times New Roman" w:hAnsi="Times New Roman"/>
                <w:lang w:val="ro-RO"/>
              </w:rPr>
            </w:pPr>
            <w:r>
              <w:rPr>
                <w:rFonts w:ascii="Times New Roman" w:eastAsia="Times New Roman" w:hAnsi="Times New Roman"/>
                <w:lang w:val="ro-RO"/>
              </w:rPr>
              <w:t>Ministerul Infrastructurii și Dezvoltării Regionale</w:t>
            </w:r>
          </w:p>
        </w:tc>
        <w:tc>
          <w:tcPr>
            <w:tcW w:w="1726" w:type="dxa"/>
            <w:hideMark/>
          </w:tcPr>
          <w:p w14:paraId="5BE7C90A"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6,5 mil. de becuri incandescente substituite</w:t>
            </w:r>
          </w:p>
        </w:tc>
        <w:tc>
          <w:tcPr>
            <w:tcW w:w="1736" w:type="dxa"/>
            <w:hideMark/>
          </w:tcPr>
          <w:p w14:paraId="66186BF5"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 </w:t>
            </w:r>
          </w:p>
        </w:tc>
        <w:tc>
          <w:tcPr>
            <w:tcW w:w="1377" w:type="dxa"/>
            <w:hideMark/>
          </w:tcPr>
          <w:p w14:paraId="51F28259"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326</w:t>
            </w:r>
          </w:p>
        </w:tc>
        <w:tc>
          <w:tcPr>
            <w:tcW w:w="1444" w:type="dxa"/>
            <w:hideMark/>
          </w:tcPr>
          <w:p w14:paraId="5F7F8332"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 </w:t>
            </w:r>
          </w:p>
        </w:tc>
        <w:tc>
          <w:tcPr>
            <w:tcW w:w="1238" w:type="dxa"/>
            <w:hideMark/>
          </w:tcPr>
          <w:p w14:paraId="39D90076"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 xml:space="preserve">Buget de stat, Agenția de </w:t>
            </w:r>
            <w:proofErr w:type="spellStart"/>
            <w:r w:rsidRPr="00125FAF">
              <w:rPr>
                <w:rFonts w:ascii="Times New Roman" w:eastAsia="Times New Roman" w:hAnsi="Times New Roman"/>
                <w:lang w:val="ro-RO"/>
              </w:rPr>
              <w:t>Eficienţă</w:t>
            </w:r>
            <w:proofErr w:type="spellEnd"/>
            <w:r w:rsidRPr="00125FAF">
              <w:rPr>
                <w:rFonts w:ascii="Times New Roman" w:eastAsia="Times New Roman" w:hAnsi="Times New Roman"/>
                <w:lang w:val="ro-RO"/>
              </w:rPr>
              <w:t xml:space="preserve"> Energetică, </w:t>
            </w:r>
            <w:proofErr w:type="spellStart"/>
            <w:r w:rsidRPr="00125FAF">
              <w:rPr>
                <w:rFonts w:ascii="Times New Roman" w:eastAsia="Times New Roman" w:hAnsi="Times New Roman"/>
                <w:lang w:val="ro-RO"/>
              </w:rPr>
              <w:t>asistenţă</w:t>
            </w:r>
            <w:proofErr w:type="spellEnd"/>
            <w:r w:rsidRPr="00125FAF">
              <w:rPr>
                <w:rFonts w:ascii="Times New Roman" w:eastAsia="Times New Roman" w:hAnsi="Times New Roman"/>
                <w:lang w:val="ro-RO"/>
              </w:rPr>
              <w:t xml:space="preserve"> externă, alte surse</w:t>
            </w:r>
          </w:p>
        </w:tc>
      </w:tr>
      <w:tr w:rsidR="00DC3FD5" w:rsidRPr="00125FAF" w14:paraId="00FDA46C" w14:textId="77777777" w:rsidTr="00AC461F">
        <w:trPr>
          <w:trHeight w:val="1290"/>
        </w:trPr>
        <w:tc>
          <w:tcPr>
            <w:tcW w:w="627" w:type="dxa"/>
            <w:hideMark/>
          </w:tcPr>
          <w:p w14:paraId="1E715230" w14:textId="40CFF850"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3.</w:t>
            </w:r>
            <w:r w:rsidR="00DF329F">
              <w:rPr>
                <w:rFonts w:ascii="Times New Roman" w:eastAsia="Times New Roman" w:hAnsi="Times New Roman"/>
                <w:lang w:val="ro-RO"/>
              </w:rPr>
              <w:t>4</w:t>
            </w:r>
          </w:p>
        </w:tc>
        <w:tc>
          <w:tcPr>
            <w:tcW w:w="3255" w:type="dxa"/>
            <w:hideMark/>
          </w:tcPr>
          <w:p w14:paraId="7C6AADDC"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Valorificarea biomasei în scop energetic</w:t>
            </w:r>
          </w:p>
        </w:tc>
        <w:tc>
          <w:tcPr>
            <w:tcW w:w="1057" w:type="dxa"/>
            <w:hideMark/>
          </w:tcPr>
          <w:p w14:paraId="239CDA7E"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2030</w:t>
            </w:r>
          </w:p>
        </w:tc>
        <w:tc>
          <w:tcPr>
            <w:tcW w:w="1979" w:type="dxa"/>
            <w:hideMark/>
          </w:tcPr>
          <w:p w14:paraId="5376DA21" w14:textId="4E173E39" w:rsidR="00D25293" w:rsidRPr="00125FAF" w:rsidRDefault="0024706D" w:rsidP="00D25293">
            <w:pPr>
              <w:jc w:val="both"/>
              <w:rPr>
                <w:rFonts w:ascii="Times New Roman" w:eastAsia="Times New Roman" w:hAnsi="Times New Roman"/>
                <w:lang w:val="ro-RO"/>
              </w:rPr>
            </w:pPr>
            <w:r>
              <w:rPr>
                <w:rFonts w:ascii="Times New Roman" w:eastAsia="Times New Roman" w:hAnsi="Times New Roman"/>
                <w:lang w:val="ro-RO"/>
              </w:rPr>
              <w:t>Ministerul Infrastructurii și Dezvoltării Regionale</w:t>
            </w:r>
          </w:p>
        </w:tc>
        <w:tc>
          <w:tcPr>
            <w:tcW w:w="1726" w:type="dxa"/>
            <w:hideMark/>
          </w:tcPr>
          <w:p w14:paraId="119B1356" w14:textId="77777777" w:rsidR="00D25293" w:rsidRPr="00125FAF" w:rsidRDefault="00D25293" w:rsidP="00D25293">
            <w:pPr>
              <w:jc w:val="both"/>
              <w:rPr>
                <w:rFonts w:ascii="Times New Roman" w:eastAsia="Times New Roman" w:hAnsi="Times New Roman"/>
                <w:lang w:val="ro-RO"/>
              </w:rPr>
            </w:pPr>
            <w:bookmarkStart w:id="13" w:name="_Hlk69045502"/>
            <w:r w:rsidRPr="00125FAF">
              <w:rPr>
                <w:rFonts w:ascii="Times New Roman" w:eastAsia="Times New Roman" w:hAnsi="Times New Roman"/>
                <w:lang w:val="ro-RO"/>
              </w:rPr>
              <w:t>250 MW puterea instalată a centralelor termice</w:t>
            </w:r>
            <w:bookmarkEnd w:id="13"/>
          </w:p>
        </w:tc>
        <w:tc>
          <w:tcPr>
            <w:tcW w:w="1736" w:type="dxa"/>
            <w:hideMark/>
          </w:tcPr>
          <w:p w14:paraId="05417A93"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300 MW puterea instalată a centralelor termice</w:t>
            </w:r>
          </w:p>
        </w:tc>
        <w:tc>
          <w:tcPr>
            <w:tcW w:w="1377" w:type="dxa"/>
            <w:hideMark/>
          </w:tcPr>
          <w:p w14:paraId="3C0812F3"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878</w:t>
            </w:r>
          </w:p>
        </w:tc>
        <w:tc>
          <w:tcPr>
            <w:tcW w:w="1444" w:type="dxa"/>
            <w:hideMark/>
          </w:tcPr>
          <w:p w14:paraId="1CCBBAF0" w14:textId="3809952D"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1</w:t>
            </w:r>
            <w:r w:rsidR="00D5429D" w:rsidRPr="00125FAF">
              <w:rPr>
                <w:rFonts w:ascii="Times New Roman" w:eastAsia="Times New Roman" w:hAnsi="Times New Roman"/>
                <w:lang w:val="ro-RO"/>
              </w:rPr>
              <w:t xml:space="preserve"> </w:t>
            </w:r>
            <w:r w:rsidRPr="00125FAF">
              <w:rPr>
                <w:rFonts w:ascii="Times New Roman" w:eastAsia="Times New Roman" w:hAnsi="Times New Roman"/>
                <w:lang w:val="ro-RO"/>
              </w:rPr>
              <w:t>053</w:t>
            </w:r>
          </w:p>
        </w:tc>
        <w:tc>
          <w:tcPr>
            <w:tcW w:w="1238" w:type="dxa"/>
            <w:hideMark/>
          </w:tcPr>
          <w:p w14:paraId="4ECF47AD"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 xml:space="preserve">Buget de stat, Agenția de </w:t>
            </w:r>
            <w:proofErr w:type="spellStart"/>
            <w:r w:rsidRPr="00125FAF">
              <w:rPr>
                <w:rFonts w:ascii="Times New Roman" w:eastAsia="Times New Roman" w:hAnsi="Times New Roman"/>
                <w:lang w:val="ro-RO"/>
              </w:rPr>
              <w:t>Eficienţă</w:t>
            </w:r>
            <w:proofErr w:type="spellEnd"/>
            <w:r w:rsidRPr="00125FAF">
              <w:rPr>
                <w:rFonts w:ascii="Times New Roman" w:eastAsia="Times New Roman" w:hAnsi="Times New Roman"/>
                <w:lang w:val="ro-RO"/>
              </w:rPr>
              <w:t xml:space="preserve"> Energetică, </w:t>
            </w:r>
            <w:proofErr w:type="spellStart"/>
            <w:r w:rsidRPr="00125FAF">
              <w:rPr>
                <w:rFonts w:ascii="Times New Roman" w:eastAsia="Times New Roman" w:hAnsi="Times New Roman"/>
                <w:lang w:val="ro-RO"/>
              </w:rPr>
              <w:t>asistenţă</w:t>
            </w:r>
            <w:proofErr w:type="spellEnd"/>
            <w:r w:rsidRPr="00125FAF">
              <w:rPr>
                <w:rFonts w:ascii="Times New Roman" w:eastAsia="Times New Roman" w:hAnsi="Times New Roman"/>
                <w:lang w:val="ro-RO"/>
              </w:rPr>
              <w:t xml:space="preserve"> externă, alte surse</w:t>
            </w:r>
          </w:p>
        </w:tc>
      </w:tr>
      <w:tr w:rsidR="00DC3FD5" w:rsidRPr="00125FAF" w14:paraId="508E11A3" w14:textId="77777777" w:rsidTr="00AC461F">
        <w:trPr>
          <w:trHeight w:val="1215"/>
        </w:trPr>
        <w:tc>
          <w:tcPr>
            <w:tcW w:w="627" w:type="dxa"/>
            <w:hideMark/>
          </w:tcPr>
          <w:p w14:paraId="1D997E48" w14:textId="153EA96A"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3.</w:t>
            </w:r>
            <w:r w:rsidR="00DF329F">
              <w:rPr>
                <w:rFonts w:ascii="Times New Roman" w:eastAsia="Times New Roman" w:hAnsi="Times New Roman"/>
                <w:lang w:val="ro-RO"/>
              </w:rPr>
              <w:t>5</w:t>
            </w:r>
          </w:p>
        </w:tc>
        <w:tc>
          <w:tcPr>
            <w:tcW w:w="3255" w:type="dxa"/>
            <w:hideMark/>
          </w:tcPr>
          <w:p w14:paraId="248E48BB"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 xml:space="preserve">Instalarea pompelor de căldură de capacitate mică, medie </w:t>
            </w:r>
            <w:proofErr w:type="spellStart"/>
            <w:r w:rsidRPr="00125FAF">
              <w:rPr>
                <w:rFonts w:ascii="Times New Roman" w:eastAsia="Times New Roman" w:hAnsi="Times New Roman"/>
                <w:lang w:val="ro-RO"/>
              </w:rPr>
              <w:t>şi</w:t>
            </w:r>
            <w:proofErr w:type="spellEnd"/>
            <w:r w:rsidRPr="00125FAF">
              <w:rPr>
                <w:rFonts w:ascii="Times New Roman" w:eastAsia="Times New Roman" w:hAnsi="Times New Roman"/>
                <w:lang w:val="ro-RO"/>
              </w:rPr>
              <w:t xml:space="preserve"> mare</w:t>
            </w:r>
          </w:p>
        </w:tc>
        <w:tc>
          <w:tcPr>
            <w:tcW w:w="1057" w:type="dxa"/>
            <w:hideMark/>
          </w:tcPr>
          <w:p w14:paraId="0188F23C"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2030</w:t>
            </w:r>
          </w:p>
        </w:tc>
        <w:tc>
          <w:tcPr>
            <w:tcW w:w="1979" w:type="dxa"/>
            <w:hideMark/>
          </w:tcPr>
          <w:p w14:paraId="7DC19DC7" w14:textId="6CBAE0F4" w:rsidR="00D25293" w:rsidRPr="00125FAF" w:rsidRDefault="0024706D" w:rsidP="00D25293">
            <w:pPr>
              <w:jc w:val="both"/>
              <w:rPr>
                <w:rFonts w:ascii="Times New Roman" w:eastAsia="Times New Roman" w:hAnsi="Times New Roman"/>
                <w:lang w:val="ro-RO"/>
              </w:rPr>
            </w:pPr>
            <w:r>
              <w:rPr>
                <w:rFonts w:ascii="Times New Roman" w:eastAsia="Times New Roman" w:hAnsi="Times New Roman"/>
                <w:lang w:val="ro-RO"/>
              </w:rPr>
              <w:t>Ministerul Infrastructurii și Dezvoltării Regionale</w:t>
            </w:r>
          </w:p>
        </w:tc>
        <w:tc>
          <w:tcPr>
            <w:tcW w:w="1726" w:type="dxa"/>
            <w:hideMark/>
          </w:tcPr>
          <w:p w14:paraId="07CEE9C6"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 xml:space="preserve">≈ 2,7 % din necesarul de energie termică </w:t>
            </w:r>
            <w:proofErr w:type="spellStart"/>
            <w:r w:rsidRPr="00125FAF">
              <w:rPr>
                <w:rFonts w:ascii="Times New Roman" w:eastAsia="Times New Roman" w:hAnsi="Times New Roman"/>
                <w:lang w:val="ro-RO"/>
              </w:rPr>
              <w:t>pînă</w:t>
            </w:r>
            <w:proofErr w:type="spellEnd"/>
            <w:r w:rsidRPr="00125FAF">
              <w:rPr>
                <w:rFonts w:ascii="Times New Roman" w:eastAsia="Times New Roman" w:hAnsi="Times New Roman"/>
                <w:lang w:val="ro-RO"/>
              </w:rPr>
              <w:t xml:space="preserve"> în anul 2030</w:t>
            </w:r>
          </w:p>
        </w:tc>
        <w:tc>
          <w:tcPr>
            <w:tcW w:w="1736" w:type="dxa"/>
            <w:hideMark/>
          </w:tcPr>
          <w:p w14:paraId="27EB0BC0"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 xml:space="preserve">≈ 4,3 % din necesarul de energie termică </w:t>
            </w:r>
            <w:proofErr w:type="spellStart"/>
            <w:r w:rsidRPr="00125FAF">
              <w:rPr>
                <w:rFonts w:ascii="Times New Roman" w:eastAsia="Times New Roman" w:hAnsi="Times New Roman"/>
                <w:lang w:val="ro-RO"/>
              </w:rPr>
              <w:t>pînă</w:t>
            </w:r>
            <w:proofErr w:type="spellEnd"/>
            <w:r w:rsidRPr="00125FAF">
              <w:rPr>
                <w:rFonts w:ascii="Times New Roman" w:eastAsia="Times New Roman" w:hAnsi="Times New Roman"/>
                <w:lang w:val="ro-RO"/>
              </w:rPr>
              <w:t xml:space="preserve"> în anul 2030</w:t>
            </w:r>
          </w:p>
        </w:tc>
        <w:tc>
          <w:tcPr>
            <w:tcW w:w="1377" w:type="dxa"/>
            <w:hideMark/>
          </w:tcPr>
          <w:p w14:paraId="7F2E8EC7"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925</w:t>
            </w:r>
          </w:p>
        </w:tc>
        <w:tc>
          <w:tcPr>
            <w:tcW w:w="1444" w:type="dxa"/>
            <w:hideMark/>
          </w:tcPr>
          <w:p w14:paraId="382853D1" w14:textId="62ACBB82"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1</w:t>
            </w:r>
            <w:r w:rsidR="00D5429D" w:rsidRPr="00125FAF">
              <w:rPr>
                <w:rFonts w:ascii="Times New Roman" w:eastAsia="Times New Roman" w:hAnsi="Times New Roman"/>
                <w:lang w:val="ro-RO"/>
              </w:rPr>
              <w:t xml:space="preserve"> </w:t>
            </w:r>
            <w:r w:rsidRPr="00125FAF">
              <w:rPr>
                <w:rFonts w:ascii="Times New Roman" w:eastAsia="Times New Roman" w:hAnsi="Times New Roman"/>
                <w:lang w:val="ro-RO"/>
              </w:rPr>
              <w:t>234</w:t>
            </w:r>
          </w:p>
        </w:tc>
        <w:tc>
          <w:tcPr>
            <w:tcW w:w="1238" w:type="dxa"/>
            <w:hideMark/>
          </w:tcPr>
          <w:p w14:paraId="7E244593"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 xml:space="preserve">Buget de stat, Agenția de </w:t>
            </w:r>
            <w:proofErr w:type="spellStart"/>
            <w:r w:rsidRPr="00125FAF">
              <w:rPr>
                <w:rFonts w:ascii="Times New Roman" w:eastAsia="Times New Roman" w:hAnsi="Times New Roman"/>
                <w:lang w:val="ro-RO"/>
              </w:rPr>
              <w:t>Eficienţă</w:t>
            </w:r>
            <w:proofErr w:type="spellEnd"/>
            <w:r w:rsidRPr="00125FAF">
              <w:rPr>
                <w:rFonts w:ascii="Times New Roman" w:eastAsia="Times New Roman" w:hAnsi="Times New Roman"/>
                <w:lang w:val="ro-RO"/>
              </w:rPr>
              <w:t xml:space="preserve"> Energetică, </w:t>
            </w:r>
            <w:proofErr w:type="spellStart"/>
            <w:r w:rsidRPr="00125FAF">
              <w:rPr>
                <w:rFonts w:ascii="Times New Roman" w:eastAsia="Times New Roman" w:hAnsi="Times New Roman"/>
                <w:lang w:val="ro-RO"/>
              </w:rPr>
              <w:t>asistenţă</w:t>
            </w:r>
            <w:proofErr w:type="spellEnd"/>
            <w:r w:rsidRPr="00125FAF">
              <w:rPr>
                <w:rFonts w:ascii="Times New Roman" w:eastAsia="Times New Roman" w:hAnsi="Times New Roman"/>
                <w:lang w:val="ro-RO"/>
              </w:rPr>
              <w:t xml:space="preserve"> externă, alte surse</w:t>
            </w:r>
          </w:p>
        </w:tc>
      </w:tr>
      <w:tr w:rsidR="00DC3FD5" w:rsidRPr="00125FAF" w14:paraId="517E20A3" w14:textId="77777777" w:rsidTr="00AC461F">
        <w:trPr>
          <w:trHeight w:val="1860"/>
        </w:trPr>
        <w:tc>
          <w:tcPr>
            <w:tcW w:w="627" w:type="dxa"/>
            <w:hideMark/>
          </w:tcPr>
          <w:p w14:paraId="75477028" w14:textId="3EF195F2"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3.</w:t>
            </w:r>
            <w:r w:rsidR="00DF329F">
              <w:rPr>
                <w:rFonts w:ascii="Times New Roman" w:eastAsia="Times New Roman" w:hAnsi="Times New Roman"/>
                <w:lang w:val="ro-RO"/>
              </w:rPr>
              <w:t>6</w:t>
            </w:r>
          </w:p>
        </w:tc>
        <w:tc>
          <w:tcPr>
            <w:tcW w:w="3255" w:type="dxa"/>
            <w:hideMark/>
          </w:tcPr>
          <w:p w14:paraId="50A6957B"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 xml:space="preserve">Valorificarea energiei solare pentru producerea apei calde menajere în </w:t>
            </w:r>
            <w:proofErr w:type="spellStart"/>
            <w:r w:rsidRPr="00125FAF">
              <w:rPr>
                <w:rFonts w:ascii="Times New Roman" w:eastAsia="Times New Roman" w:hAnsi="Times New Roman"/>
                <w:lang w:val="ro-RO"/>
              </w:rPr>
              <w:t>localităţi</w:t>
            </w:r>
            <w:proofErr w:type="spellEnd"/>
            <w:r w:rsidRPr="00125FAF">
              <w:rPr>
                <w:rFonts w:ascii="Times New Roman" w:eastAsia="Times New Roman" w:hAnsi="Times New Roman"/>
                <w:lang w:val="ro-RO"/>
              </w:rPr>
              <w:t xml:space="preserve"> urbane </w:t>
            </w:r>
            <w:proofErr w:type="spellStart"/>
            <w:r w:rsidRPr="00125FAF">
              <w:rPr>
                <w:rFonts w:ascii="Times New Roman" w:eastAsia="Times New Roman" w:hAnsi="Times New Roman"/>
                <w:lang w:val="ro-RO"/>
              </w:rPr>
              <w:t>şi</w:t>
            </w:r>
            <w:proofErr w:type="spellEnd"/>
            <w:r w:rsidRPr="00125FAF">
              <w:rPr>
                <w:rFonts w:ascii="Times New Roman" w:eastAsia="Times New Roman" w:hAnsi="Times New Roman"/>
                <w:lang w:val="ro-RO"/>
              </w:rPr>
              <w:t xml:space="preserve"> rurale </w:t>
            </w:r>
            <w:proofErr w:type="spellStart"/>
            <w:r w:rsidRPr="00125FAF">
              <w:rPr>
                <w:rFonts w:ascii="Times New Roman" w:eastAsia="Times New Roman" w:hAnsi="Times New Roman"/>
                <w:lang w:val="ro-RO"/>
              </w:rPr>
              <w:t>şi</w:t>
            </w:r>
            <w:proofErr w:type="spellEnd"/>
            <w:r w:rsidRPr="00125FAF">
              <w:rPr>
                <w:rFonts w:ascii="Times New Roman" w:eastAsia="Times New Roman" w:hAnsi="Times New Roman"/>
                <w:lang w:val="ro-RO"/>
              </w:rPr>
              <w:t xml:space="preserve"> în cadrul întreprinderilor</w:t>
            </w:r>
          </w:p>
        </w:tc>
        <w:tc>
          <w:tcPr>
            <w:tcW w:w="1057" w:type="dxa"/>
            <w:hideMark/>
          </w:tcPr>
          <w:p w14:paraId="21C17FB4"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2030</w:t>
            </w:r>
          </w:p>
        </w:tc>
        <w:tc>
          <w:tcPr>
            <w:tcW w:w="1979" w:type="dxa"/>
            <w:hideMark/>
          </w:tcPr>
          <w:p w14:paraId="174CE513" w14:textId="4AFF1EF1" w:rsidR="00D25293" w:rsidRPr="00125FAF" w:rsidRDefault="0024706D" w:rsidP="00D25293">
            <w:pPr>
              <w:jc w:val="both"/>
              <w:rPr>
                <w:rFonts w:ascii="Times New Roman" w:eastAsia="Times New Roman" w:hAnsi="Times New Roman"/>
                <w:lang w:val="ro-RO"/>
              </w:rPr>
            </w:pPr>
            <w:r>
              <w:rPr>
                <w:rFonts w:ascii="Times New Roman" w:eastAsia="Times New Roman" w:hAnsi="Times New Roman"/>
                <w:lang w:val="ro-RO"/>
              </w:rPr>
              <w:t>Ministerul Infrastructurii și Dezvoltării Regionale</w:t>
            </w:r>
          </w:p>
        </w:tc>
        <w:tc>
          <w:tcPr>
            <w:tcW w:w="1726" w:type="dxa"/>
            <w:hideMark/>
          </w:tcPr>
          <w:p w14:paraId="7BFCC4B8" w14:textId="4D6E67E5"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389</w:t>
            </w:r>
            <w:r w:rsidR="00D5429D" w:rsidRPr="00125FAF">
              <w:rPr>
                <w:rFonts w:ascii="Times New Roman" w:eastAsia="Times New Roman" w:hAnsi="Times New Roman"/>
                <w:lang w:val="ro-RO"/>
              </w:rPr>
              <w:t xml:space="preserve"> </w:t>
            </w:r>
            <w:r w:rsidRPr="00125FAF">
              <w:rPr>
                <w:rFonts w:ascii="Times New Roman" w:eastAsia="Times New Roman" w:hAnsi="Times New Roman"/>
                <w:lang w:val="ro-RO"/>
              </w:rPr>
              <w:t xml:space="preserve">111 pachete solare (include boiler solar, grup de pompare și reglare, vas de expansiune etc.) cu 20 tuburi vidate în panou (destinate pentru 2-3 persoane) instalate </w:t>
            </w:r>
          </w:p>
        </w:tc>
        <w:tc>
          <w:tcPr>
            <w:tcW w:w="1736" w:type="dxa"/>
            <w:hideMark/>
          </w:tcPr>
          <w:p w14:paraId="2B13B73D" w14:textId="1F94AA1D"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168</w:t>
            </w:r>
            <w:r w:rsidR="00D5429D" w:rsidRPr="00125FAF">
              <w:rPr>
                <w:rFonts w:ascii="Times New Roman" w:eastAsia="Times New Roman" w:hAnsi="Times New Roman"/>
                <w:lang w:val="ro-RO"/>
              </w:rPr>
              <w:t xml:space="preserve"> </w:t>
            </w:r>
            <w:r w:rsidRPr="00125FAF">
              <w:rPr>
                <w:rFonts w:ascii="Times New Roman" w:eastAsia="Times New Roman" w:hAnsi="Times New Roman"/>
                <w:lang w:val="ro-RO"/>
              </w:rPr>
              <w:t>155 pachete solare cu 20 tuburi vidate 58/1800 în panou (destinate pentru 2-3 persoane)</w:t>
            </w:r>
            <w:r w:rsidR="00B566C6" w:rsidRPr="00125FAF">
              <w:rPr>
                <w:rFonts w:ascii="Times New Roman" w:eastAsia="Times New Roman" w:hAnsi="Times New Roman"/>
                <w:lang w:val="ro-RO"/>
              </w:rPr>
              <w:t xml:space="preserve"> </w:t>
            </w:r>
            <w:r w:rsidRPr="00125FAF">
              <w:rPr>
                <w:rFonts w:ascii="Times New Roman" w:eastAsia="Times New Roman" w:hAnsi="Times New Roman"/>
                <w:lang w:val="ro-RO"/>
              </w:rPr>
              <w:t>instalate</w:t>
            </w:r>
          </w:p>
        </w:tc>
        <w:tc>
          <w:tcPr>
            <w:tcW w:w="1377" w:type="dxa"/>
            <w:hideMark/>
          </w:tcPr>
          <w:p w14:paraId="2E696452" w14:textId="28F28A9D"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18</w:t>
            </w:r>
            <w:r w:rsidR="008F2629" w:rsidRPr="00125FAF">
              <w:rPr>
                <w:rFonts w:ascii="Times New Roman" w:eastAsia="Times New Roman" w:hAnsi="Times New Roman"/>
                <w:lang w:val="ro-RO"/>
              </w:rPr>
              <w:t xml:space="preserve"> </w:t>
            </w:r>
            <w:r w:rsidRPr="00125FAF">
              <w:rPr>
                <w:rFonts w:ascii="Times New Roman" w:eastAsia="Times New Roman" w:hAnsi="Times New Roman"/>
                <w:lang w:val="ro-RO"/>
              </w:rPr>
              <w:t>184</w:t>
            </w:r>
          </w:p>
        </w:tc>
        <w:tc>
          <w:tcPr>
            <w:tcW w:w="1444" w:type="dxa"/>
            <w:hideMark/>
          </w:tcPr>
          <w:p w14:paraId="1C3A6A5E" w14:textId="17A2541A"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7</w:t>
            </w:r>
            <w:r w:rsidR="00D5429D" w:rsidRPr="00125FAF">
              <w:rPr>
                <w:rFonts w:ascii="Times New Roman" w:eastAsia="Times New Roman" w:hAnsi="Times New Roman"/>
                <w:lang w:val="ro-RO"/>
              </w:rPr>
              <w:t xml:space="preserve"> </w:t>
            </w:r>
            <w:r w:rsidRPr="00125FAF">
              <w:rPr>
                <w:rFonts w:ascii="Times New Roman" w:eastAsia="Times New Roman" w:hAnsi="Times New Roman"/>
                <w:lang w:val="ro-RO"/>
              </w:rPr>
              <w:t>858</w:t>
            </w:r>
          </w:p>
        </w:tc>
        <w:tc>
          <w:tcPr>
            <w:tcW w:w="1238" w:type="dxa"/>
            <w:hideMark/>
          </w:tcPr>
          <w:p w14:paraId="080F640E"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 xml:space="preserve">Buget de stat, Agenția de </w:t>
            </w:r>
            <w:proofErr w:type="spellStart"/>
            <w:r w:rsidRPr="00125FAF">
              <w:rPr>
                <w:rFonts w:ascii="Times New Roman" w:eastAsia="Times New Roman" w:hAnsi="Times New Roman"/>
                <w:lang w:val="ro-RO"/>
              </w:rPr>
              <w:t>Eficienţă</w:t>
            </w:r>
            <w:proofErr w:type="spellEnd"/>
            <w:r w:rsidRPr="00125FAF">
              <w:rPr>
                <w:rFonts w:ascii="Times New Roman" w:eastAsia="Times New Roman" w:hAnsi="Times New Roman"/>
                <w:lang w:val="ro-RO"/>
              </w:rPr>
              <w:t xml:space="preserve"> Energetică, </w:t>
            </w:r>
            <w:proofErr w:type="spellStart"/>
            <w:r w:rsidRPr="00125FAF">
              <w:rPr>
                <w:rFonts w:ascii="Times New Roman" w:eastAsia="Times New Roman" w:hAnsi="Times New Roman"/>
                <w:lang w:val="ro-RO"/>
              </w:rPr>
              <w:t>asistenţă</w:t>
            </w:r>
            <w:proofErr w:type="spellEnd"/>
            <w:r w:rsidRPr="00125FAF">
              <w:rPr>
                <w:rFonts w:ascii="Times New Roman" w:eastAsia="Times New Roman" w:hAnsi="Times New Roman"/>
                <w:lang w:val="ro-RO"/>
              </w:rPr>
              <w:t xml:space="preserve"> externă, alte surse</w:t>
            </w:r>
          </w:p>
        </w:tc>
      </w:tr>
      <w:tr w:rsidR="00DC3FD5" w:rsidRPr="00125FAF" w14:paraId="1110AEC5" w14:textId="77777777" w:rsidTr="00AC461F">
        <w:trPr>
          <w:trHeight w:val="732"/>
        </w:trPr>
        <w:tc>
          <w:tcPr>
            <w:tcW w:w="627" w:type="dxa"/>
            <w:hideMark/>
          </w:tcPr>
          <w:p w14:paraId="6EB6E5DA"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lastRenderedPageBreak/>
              <w:t>4</w:t>
            </w:r>
          </w:p>
        </w:tc>
        <w:tc>
          <w:tcPr>
            <w:tcW w:w="13812" w:type="dxa"/>
            <w:gridSpan w:val="8"/>
            <w:hideMark/>
          </w:tcPr>
          <w:p w14:paraId="799CD7D3" w14:textId="3A44CBCF" w:rsidR="00D25293" w:rsidRPr="00125FAF" w:rsidRDefault="00D25293" w:rsidP="00D25293">
            <w:pPr>
              <w:jc w:val="both"/>
              <w:rPr>
                <w:rFonts w:ascii="Times New Roman" w:eastAsia="Times New Roman" w:hAnsi="Times New Roman"/>
                <w:b/>
                <w:bCs/>
                <w:lang w:val="ro-RO"/>
              </w:rPr>
            </w:pPr>
            <w:r w:rsidRPr="00125FAF">
              <w:rPr>
                <w:rFonts w:ascii="Times New Roman" w:eastAsia="Times New Roman" w:hAnsi="Times New Roman"/>
                <w:b/>
                <w:bCs/>
                <w:lang w:val="ro-RO"/>
              </w:rPr>
              <w:t>Obiectivul specific 4.</w:t>
            </w:r>
            <w:r w:rsidRPr="00125FAF">
              <w:rPr>
                <w:rFonts w:ascii="Times New Roman" w:eastAsia="Times New Roman" w:hAnsi="Times New Roman"/>
                <w:lang w:val="ro-RO"/>
              </w:rPr>
              <w:t xml:space="preserve"> Reducerea </w:t>
            </w:r>
            <w:proofErr w:type="spellStart"/>
            <w:r w:rsidRPr="00125FAF">
              <w:rPr>
                <w:rFonts w:ascii="Times New Roman" w:eastAsia="Times New Roman" w:hAnsi="Times New Roman"/>
                <w:lang w:val="ro-RO"/>
              </w:rPr>
              <w:t>necondiţionată</w:t>
            </w:r>
            <w:proofErr w:type="spellEnd"/>
            <w:r w:rsidRPr="00125FAF">
              <w:rPr>
                <w:rFonts w:ascii="Times New Roman" w:eastAsia="Times New Roman" w:hAnsi="Times New Roman"/>
                <w:lang w:val="ro-RO"/>
              </w:rPr>
              <w:t xml:space="preserve">, </w:t>
            </w:r>
            <w:proofErr w:type="spellStart"/>
            <w:r w:rsidRPr="00125FAF">
              <w:rPr>
                <w:rFonts w:ascii="Times New Roman" w:eastAsia="Times New Roman" w:hAnsi="Times New Roman"/>
                <w:lang w:val="ro-RO"/>
              </w:rPr>
              <w:t>pînă</w:t>
            </w:r>
            <w:proofErr w:type="spellEnd"/>
            <w:r w:rsidRPr="00125FAF">
              <w:rPr>
                <w:rFonts w:ascii="Times New Roman" w:eastAsia="Times New Roman" w:hAnsi="Times New Roman"/>
                <w:lang w:val="ro-RO"/>
              </w:rPr>
              <w:t xml:space="preserve"> în</w:t>
            </w:r>
            <w:r w:rsidR="00B566C6" w:rsidRPr="00125FAF">
              <w:rPr>
                <w:rFonts w:ascii="Times New Roman" w:eastAsia="Times New Roman" w:hAnsi="Times New Roman"/>
                <w:lang w:val="ro-RO"/>
              </w:rPr>
              <w:t xml:space="preserve"> </w:t>
            </w:r>
            <w:r w:rsidRPr="00125FAF">
              <w:rPr>
                <w:rFonts w:ascii="Times New Roman" w:eastAsia="Times New Roman" w:hAnsi="Times New Roman"/>
                <w:lang w:val="ro-RO"/>
              </w:rPr>
              <w:t xml:space="preserve">anul 2030, a emisiilor de gaze cu efect de seră provenite din </w:t>
            </w:r>
            <w:r w:rsidRPr="00125FAF">
              <w:rPr>
                <w:rFonts w:ascii="Times New Roman" w:eastAsia="Times New Roman" w:hAnsi="Times New Roman"/>
                <w:b/>
                <w:bCs/>
                <w:lang w:val="ro-RO"/>
              </w:rPr>
              <w:t>sectorul industrial</w:t>
            </w:r>
            <w:r w:rsidRPr="00125FAF">
              <w:rPr>
                <w:rFonts w:ascii="Times New Roman" w:eastAsia="Times New Roman" w:hAnsi="Times New Roman"/>
                <w:lang w:val="ro-RO"/>
              </w:rPr>
              <w:t xml:space="preserve"> cu 27% </w:t>
            </w:r>
            <w:proofErr w:type="spellStart"/>
            <w:r w:rsidRPr="00125FAF">
              <w:rPr>
                <w:rFonts w:ascii="Times New Roman" w:eastAsia="Times New Roman" w:hAnsi="Times New Roman"/>
                <w:lang w:val="ro-RO"/>
              </w:rPr>
              <w:t>şi</w:t>
            </w:r>
            <w:proofErr w:type="spellEnd"/>
            <w:r w:rsidRPr="00125FAF">
              <w:rPr>
                <w:rFonts w:ascii="Times New Roman" w:eastAsia="Times New Roman" w:hAnsi="Times New Roman"/>
                <w:lang w:val="ro-RO"/>
              </w:rPr>
              <w:t xml:space="preserve"> reducerea de gaze cu efect de seră </w:t>
            </w:r>
            <w:proofErr w:type="spellStart"/>
            <w:r w:rsidRPr="00125FAF">
              <w:rPr>
                <w:rFonts w:ascii="Times New Roman" w:eastAsia="Times New Roman" w:hAnsi="Times New Roman"/>
                <w:lang w:val="ro-RO"/>
              </w:rPr>
              <w:t>condiţionată</w:t>
            </w:r>
            <w:proofErr w:type="spellEnd"/>
            <w:r w:rsidRPr="00125FAF">
              <w:rPr>
                <w:rFonts w:ascii="Times New Roman" w:eastAsia="Times New Roman" w:hAnsi="Times New Roman"/>
                <w:lang w:val="ro-RO"/>
              </w:rPr>
              <w:t xml:space="preserve"> </w:t>
            </w:r>
            <w:proofErr w:type="spellStart"/>
            <w:r w:rsidRPr="00125FAF">
              <w:rPr>
                <w:rFonts w:ascii="Times New Roman" w:eastAsia="Times New Roman" w:hAnsi="Times New Roman"/>
                <w:lang w:val="ro-RO"/>
              </w:rPr>
              <w:t>pînă</w:t>
            </w:r>
            <w:proofErr w:type="spellEnd"/>
            <w:r w:rsidRPr="00125FAF">
              <w:rPr>
                <w:rFonts w:ascii="Times New Roman" w:eastAsia="Times New Roman" w:hAnsi="Times New Roman"/>
                <w:lang w:val="ro-RO"/>
              </w:rPr>
              <w:t xml:space="preserve"> la 31% comparativ cu anul 1990</w:t>
            </w:r>
          </w:p>
        </w:tc>
      </w:tr>
      <w:tr w:rsidR="00DC3FD5" w:rsidRPr="00125FAF" w14:paraId="1E1ECC9E" w14:textId="77777777" w:rsidTr="00AC461F">
        <w:trPr>
          <w:trHeight w:val="1515"/>
        </w:trPr>
        <w:tc>
          <w:tcPr>
            <w:tcW w:w="627" w:type="dxa"/>
            <w:hideMark/>
          </w:tcPr>
          <w:p w14:paraId="480D6B72"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4.1</w:t>
            </w:r>
          </w:p>
        </w:tc>
        <w:tc>
          <w:tcPr>
            <w:tcW w:w="3255" w:type="dxa"/>
            <w:hideMark/>
          </w:tcPr>
          <w:p w14:paraId="45DFD0E0"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Implementarea sistemului de management energetic</w:t>
            </w:r>
          </w:p>
        </w:tc>
        <w:tc>
          <w:tcPr>
            <w:tcW w:w="1057" w:type="dxa"/>
            <w:hideMark/>
          </w:tcPr>
          <w:p w14:paraId="365D00C2"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2030</w:t>
            </w:r>
          </w:p>
        </w:tc>
        <w:tc>
          <w:tcPr>
            <w:tcW w:w="1979" w:type="dxa"/>
            <w:hideMark/>
          </w:tcPr>
          <w:p w14:paraId="28F2F515" w14:textId="3852D61F" w:rsidR="00D25293" w:rsidRPr="00125FAF" w:rsidRDefault="0024706D" w:rsidP="00D25293">
            <w:pPr>
              <w:jc w:val="both"/>
              <w:rPr>
                <w:rFonts w:ascii="Times New Roman" w:eastAsia="Times New Roman" w:hAnsi="Times New Roman"/>
                <w:lang w:val="ro-RO"/>
              </w:rPr>
            </w:pPr>
            <w:r>
              <w:rPr>
                <w:rFonts w:ascii="Times New Roman" w:eastAsia="Times New Roman" w:hAnsi="Times New Roman"/>
                <w:lang w:val="ro-RO"/>
              </w:rPr>
              <w:t>Ministerul Infrastructurii și Dezvoltării Regionale</w:t>
            </w:r>
            <w:r w:rsidR="00D25293" w:rsidRPr="00125FAF">
              <w:rPr>
                <w:rFonts w:ascii="Times New Roman" w:eastAsia="Times New Roman" w:hAnsi="Times New Roman"/>
                <w:lang w:val="ro-RO"/>
              </w:rPr>
              <w:t xml:space="preserve">, </w:t>
            </w:r>
            <w:bookmarkStart w:id="14" w:name="_Hlk69142663"/>
            <w:r w:rsidR="00D25293" w:rsidRPr="00125FAF">
              <w:rPr>
                <w:rFonts w:ascii="Times New Roman" w:eastAsia="Times New Roman" w:hAnsi="Times New Roman"/>
                <w:lang w:val="ro-RO"/>
              </w:rPr>
              <w:t xml:space="preserve">Institutul </w:t>
            </w:r>
            <w:proofErr w:type="spellStart"/>
            <w:r w:rsidR="00D25293" w:rsidRPr="00125FAF">
              <w:rPr>
                <w:rFonts w:ascii="Times New Roman" w:eastAsia="Times New Roman" w:hAnsi="Times New Roman"/>
                <w:lang w:val="ro-RO"/>
              </w:rPr>
              <w:t>Naţional</w:t>
            </w:r>
            <w:proofErr w:type="spellEnd"/>
            <w:r w:rsidR="00D25293" w:rsidRPr="00125FAF">
              <w:rPr>
                <w:rFonts w:ascii="Times New Roman" w:eastAsia="Times New Roman" w:hAnsi="Times New Roman"/>
                <w:lang w:val="ro-RO"/>
              </w:rPr>
              <w:t xml:space="preserve"> de Standardizare</w:t>
            </w:r>
            <w:bookmarkEnd w:id="14"/>
          </w:p>
        </w:tc>
        <w:tc>
          <w:tcPr>
            <w:tcW w:w="1726" w:type="dxa"/>
            <w:hideMark/>
          </w:tcPr>
          <w:p w14:paraId="0BB101F8"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 xml:space="preserve">Peste 40 de întreprinderi au implementat sistemul de management energetic </w:t>
            </w:r>
            <w:proofErr w:type="spellStart"/>
            <w:r w:rsidRPr="00125FAF">
              <w:rPr>
                <w:rFonts w:ascii="Times New Roman" w:eastAsia="Times New Roman" w:hAnsi="Times New Roman"/>
                <w:lang w:val="ro-RO"/>
              </w:rPr>
              <w:t>şi</w:t>
            </w:r>
            <w:proofErr w:type="spellEnd"/>
            <w:r w:rsidRPr="00125FAF">
              <w:rPr>
                <w:rFonts w:ascii="Times New Roman" w:eastAsia="Times New Roman" w:hAnsi="Times New Roman"/>
                <w:lang w:val="ro-RO"/>
              </w:rPr>
              <w:t xml:space="preserve"> Standardul </w:t>
            </w:r>
            <w:proofErr w:type="spellStart"/>
            <w:r w:rsidRPr="00125FAF">
              <w:rPr>
                <w:rFonts w:ascii="Times New Roman" w:eastAsia="Times New Roman" w:hAnsi="Times New Roman"/>
                <w:lang w:val="ro-RO"/>
              </w:rPr>
              <w:t>Naţional</w:t>
            </w:r>
            <w:proofErr w:type="spellEnd"/>
            <w:r w:rsidRPr="00125FAF">
              <w:rPr>
                <w:rFonts w:ascii="Times New Roman" w:eastAsia="Times New Roman" w:hAnsi="Times New Roman"/>
                <w:lang w:val="ro-RO"/>
              </w:rPr>
              <w:t xml:space="preserve"> SM ISO 50001:2012</w:t>
            </w:r>
          </w:p>
        </w:tc>
        <w:tc>
          <w:tcPr>
            <w:tcW w:w="1736" w:type="dxa"/>
            <w:hideMark/>
          </w:tcPr>
          <w:p w14:paraId="20A54AAE"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 </w:t>
            </w:r>
          </w:p>
        </w:tc>
        <w:tc>
          <w:tcPr>
            <w:tcW w:w="1377" w:type="dxa"/>
            <w:hideMark/>
          </w:tcPr>
          <w:p w14:paraId="002EC8E9"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22</w:t>
            </w:r>
          </w:p>
        </w:tc>
        <w:tc>
          <w:tcPr>
            <w:tcW w:w="1444" w:type="dxa"/>
            <w:hideMark/>
          </w:tcPr>
          <w:p w14:paraId="1DDE4200"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 </w:t>
            </w:r>
          </w:p>
        </w:tc>
        <w:tc>
          <w:tcPr>
            <w:tcW w:w="1238" w:type="dxa"/>
            <w:hideMark/>
          </w:tcPr>
          <w:p w14:paraId="7296CC0C"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 xml:space="preserve">Buget de stat, </w:t>
            </w:r>
            <w:proofErr w:type="spellStart"/>
            <w:r w:rsidRPr="00125FAF">
              <w:rPr>
                <w:rFonts w:ascii="Times New Roman" w:eastAsia="Times New Roman" w:hAnsi="Times New Roman"/>
                <w:lang w:val="ro-RO"/>
              </w:rPr>
              <w:t>asistenţă</w:t>
            </w:r>
            <w:proofErr w:type="spellEnd"/>
            <w:r w:rsidRPr="00125FAF">
              <w:rPr>
                <w:rFonts w:ascii="Times New Roman" w:eastAsia="Times New Roman" w:hAnsi="Times New Roman"/>
                <w:lang w:val="ro-RO"/>
              </w:rPr>
              <w:t xml:space="preserve"> externă, alte surse</w:t>
            </w:r>
          </w:p>
        </w:tc>
      </w:tr>
      <w:tr w:rsidR="00DC3FD5" w:rsidRPr="00125FAF" w14:paraId="1519DB7F" w14:textId="77777777" w:rsidTr="00AC461F">
        <w:trPr>
          <w:trHeight w:val="1275"/>
        </w:trPr>
        <w:tc>
          <w:tcPr>
            <w:tcW w:w="627" w:type="dxa"/>
            <w:hideMark/>
          </w:tcPr>
          <w:p w14:paraId="1E9C7E60"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4.2</w:t>
            </w:r>
          </w:p>
        </w:tc>
        <w:tc>
          <w:tcPr>
            <w:tcW w:w="3255" w:type="dxa"/>
            <w:hideMark/>
          </w:tcPr>
          <w:p w14:paraId="74A8EC75"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 xml:space="preserve">Promovarea </w:t>
            </w:r>
            <w:proofErr w:type="spellStart"/>
            <w:r w:rsidRPr="00125FAF">
              <w:rPr>
                <w:rFonts w:ascii="Times New Roman" w:eastAsia="Times New Roman" w:hAnsi="Times New Roman"/>
                <w:lang w:val="ro-RO"/>
              </w:rPr>
              <w:t>eficienţei</w:t>
            </w:r>
            <w:proofErr w:type="spellEnd"/>
            <w:r w:rsidRPr="00125FAF">
              <w:rPr>
                <w:rFonts w:ascii="Times New Roman" w:eastAsia="Times New Roman" w:hAnsi="Times New Roman"/>
                <w:lang w:val="ro-RO"/>
              </w:rPr>
              <w:t xml:space="preserve"> energetice în sectorul industrial</w:t>
            </w:r>
          </w:p>
        </w:tc>
        <w:tc>
          <w:tcPr>
            <w:tcW w:w="1057" w:type="dxa"/>
            <w:hideMark/>
          </w:tcPr>
          <w:p w14:paraId="0F843E91"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2030</w:t>
            </w:r>
          </w:p>
        </w:tc>
        <w:tc>
          <w:tcPr>
            <w:tcW w:w="1979" w:type="dxa"/>
            <w:hideMark/>
          </w:tcPr>
          <w:p w14:paraId="5F60F01B" w14:textId="5CED438B" w:rsidR="00D25293" w:rsidRPr="00125FAF" w:rsidRDefault="0024706D" w:rsidP="00D25293">
            <w:pPr>
              <w:jc w:val="both"/>
              <w:rPr>
                <w:rFonts w:ascii="Times New Roman" w:eastAsia="Times New Roman" w:hAnsi="Times New Roman"/>
                <w:lang w:val="ro-RO"/>
              </w:rPr>
            </w:pPr>
            <w:r>
              <w:rPr>
                <w:rFonts w:ascii="Times New Roman" w:eastAsia="Times New Roman" w:hAnsi="Times New Roman"/>
                <w:lang w:val="ro-RO"/>
              </w:rPr>
              <w:t>Ministerul Infrastructurii și Dezvoltării Regionale</w:t>
            </w:r>
          </w:p>
        </w:tc>
        <w:tc>
          <w:tcPr>
            <w:tcW w:w="1726" w:type="dxa"/>
            <w:hideMark/>
          </w:tcPr>
          <w:p w14:paraId="24E814D3"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 xml:space="preserve">76 260 </w:t>
            </w:r>
            <w:proofErr w:type="spellStart"/>
            <w:r w:rsidRPr="00125FAF">
              <w:rPr>
                <w:rFonts w:ascii="Times New Roman" w:eastAsia="Times New Roman" w:hAnsi="Times New Roman"/>
                <w:lang w:val="ro-RO"/>
              </w:rPr>
              <w:t>tcc</w:t>
            </w:r>
            <w:proofErr w:type="spellEnd"/>
            <w:r w:rsidRPr="00125FAF">
              <w:rPr>
                <w:rFonts w:ascii="Times New Roman" w:eastAsia="Times New Roman" w:hAnsi="Times New Roman"/>
                <w:lang w:val="ro-RO"/>
              </w:rPr>
              <w:t xml:space="preserve"> de energie </w:t>
            </w:r>
            <w:proofErr w:type="spellStart"/>
            <w:r w:rsidRPr="00125FAF">
              <w:rPr>
                <w:rFonts w:ascii="Times New Roman" w:eastAsia="Times New Roman" w:hAnsi="Times New Roman"/>
                <w:lang w:val="ro-RO"/>
              </w:rPr>
              <w:t>şi</w:t>
            </w:r>
            <w:proofErr w:type="spellEnd"/>
            <w:r w:rsidRPr="00125FAF">
              <w:rPr>
                <w:rFonts w:ascii="Times New Roman" w:eastAsia="Times New Roman" w:hAnsi="Times New Roman"/>
                <w:lang w:val="ro-RO"/>
              </w:rPr>
              <w:t xml:space="preserve"> combustibil reduse</w:t>
            </w:r>
          </w:p>
        </w:tc>
        <w:tc>
          <w:tcPr>
            <w:tcW w:w="1736" w:type="dxa"/>
            <w:hideMark/>
          </w:tcPr>
          <w:p w14:paraId="7673B465"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 xml:space="preserve">37 480 </w:t>
            </w:r>
            <w:proofErr w:type="spellStart"/>
            <w:r w:rsidRPr="00125FAF">
              <w:rPr>
                <w:rFonts w:ascii="Times New Roman" w:eastAsia="Times New Roman" w:hAnsi="Times New Roman"/>
                <w:lang w:val="ro-RO"/>
              </w:rPr>
              <w:t>tcc</w:t>
            </w:r>
            <w:proofErr w:type="spellEnd"/>
            <w:r w:rsidRPr="00125FAF">
              <w:rPr>
                <w:rFonts w:ascii="Times New Roman" w:eastAsia="Times New Roman" w:hAnsi="Times New Roman"/>
                <w:lang w:val="ro-RO"/>
              </w:rPr>
              <w:t xml:space="preserve"> de energie </w:t>
            </w:r>
            <w:proofErr w:type="spellStart"/>
            <w:r w:rsidRPr="00125FAF">
              <w:rPr>
                <w:rFonts w:ascii="Times New Roman" w:eastAsia="Times New Roman" w:hAnsi="Times New Roman"/>
                <w:lang w:val="ro-RO"/>
              </w:rPr>
              <w:t>şi</w:t>
            </w:r>
            <w:proofErr w:type="spellEnd"/>
            <w:r w:rsidRPr="00125FAF">
              <w:rPr>
                <w:rFonts w:ascii="Times New Roman" w:eastAsia="Times New Roman" w:hAnsi="Times New Roman"/>
                <w:lang w:val="ro-RO"/>
              </w:rPr>
              <w:t xml:space="preserve"> combustibil reduse</w:t>
            </w:r>
          </w:p>
        </w:tc>
        <w:tc>
          <w:tcPr>
            <w:tcW w:w="1377" w:type="dxa"/>
            <w:hideMark/>
          </w:tcPr>
          <w:p w14:paraId="4FDC8D69"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393</w:t>
            </w:r>
          </w:p>
        </w:tc>
        <w:tc>
          <w:tcPr>
            <w:tcW w:w="1444" w:type="dxa"/>
            <w:hideMark/>
          </w:tcPr>
          <w:p w14:paraId="5B29E5C3"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192</w:t>
            </w:r>
          </w:p>
        </w:tc>
        <w:tc>
          <w:tcPr>
            <w:tcW w:w="1238" w:type="dxa"/>
            <w:hideMark/>
          </w:tcPr>
          <w:p w14:paraId="716043E7" w14:textId="77777777" w:rsidR="00D25293" w:rsidRPr="00125FAF" w:rsidRDefault="00D25293" w:rsidP="00D25293">
            <w:pPr>
              <w:jc w:val="both"/>
              <w:rPr>
                <w:rFonts w:ascii="Times New Roman" w:eastAsia="Times New Roman" w:hAnsi="Times New Roman"/>
                <w:lang w:val="ro-RO"/>
              </w:rPr>
            </w:pPr>
            <w:proofErr w:type="spellStart"/>
            <w:r w:rsidRPr="00125FAF">
              <w:rPr>
                <w:rFonts w:ascii="Times New Roman" w:eastAsia="Times New Roman" w:hAnsi="Times New Roman"/>
                <w:lang w:val="ro-RO"/>
              </w:rPr>
              <w:t>Agenţia</w:t>
            </w:r>
            <w:proofErr w:type="spellEnd"/>
            <w:r w:rsidRPr="00125FAF">
              <w:rPr>
                <w:rFonts w:ascii="Times New Roman" w:eastAsia="Times New Roman" w:hAnsi="Times New Roman"/>
                <w:lang w:val="ro-RO"/>
              </w:rPr>
              <w:t xml:space="preserve"> de </w:t>
            </w:r>
            <w:proofErr w:type="spellStart"/>
            <w:r w:rsidRPr="00125FAF">
              <w:rPr>
                <w:rFonts w:ascii="Times New Roman" w:eastAsia="Times New Roman" w:hAnsi="Times New Roman"/>
                <w:lang w:val="ro-RO"/>
              </w:rPr>
              <w:t>Eficienţă</w:t>
            </w:r>
            <w:proofErr w:type="spellEnd"/>
            <w:r w:rsidRPr="00125FAF">
              <w:rPr>
                <w:rFonts w:ascii="Times New Roman" w:eastAsia="Times New Roman" w:hAnsi="Times New Roman"/>
                <w:lang w:val="ro-RO"/>
              </w:rPr>
              <w:t xml:space="preserve"> Energetică, </w:t>
            </w:r>
            <w:proofErr w:type="spellStart"/>
            <w:r w:rsidRPr="00125FAF">
              <w:rPr>
                <w:rFonts w:ascii="Times New Roman" w:eastAsia="Times New Roman" w:hAnsi="Times New Roman"/>
                <w:lang w:val="ro-RO"/>
              </w:rPr>
              <w:t>asistenţă</w:t>
            </w:r>
            <w:proofErr w:type="spellEnd"/>
            <w:r w:rsidRPr="00125FAF">
              <w:rPr>
                <w:rFonts w:ascii="Times New Roman" w:eastAsia="Times New Roman" w:hAnsi="Times New Roman"/>
                <w:lang w:val="ro-RO"/>
              </w:rPr>
              <w:t xml:space="preserve"> externa, alte surse</w:t>
            </w:r>
          </w:p>
        </w:tc>
      </w:tr>
      <w:tr w:rsidR="00DC3FD5" w:rsidRPr="00125FAF" w14:paraId="13133977" w14:textId="77777777" w:rsidTr="00AC461F">
        <w:trPr>
          <w:trHeight w:val="2355"/>
        </w:trPr>
        <w:tc>
          <w:tcPr>
            <w:tcW w:w="627" w:type="dxa"/>
            <w:hideMark/>
          </w:tcPr>
          <w:p w14:paraId="3ADBD455" w14:textId="099345B5"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4.</w:t>
            </w:r>
            <w:r w:rsidR="002C1CB9">
              <w:rPr>
                <w:rFonts w:ascii="Times New Roman" w:eastAsia="Times New Roman" w:hAnsi="Times New Roman"/>
                <w:lang w:val="ro-RO"/>
              </w:rPr>
              <w:t>3</w:t>
            </w:r>
          </w:p>
        </w:tc>
        <w:tc>
          <w:tcPr>
            <w:tcW w:w="3255" w:type="dxa"/>
            <w:hideMark/>
          </w:tcPr>
          <w:p w14:paraId="1E6D958D"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Promovarea eficienței energetice și creșterea ponderii cioburilor de sticlă în șarjă în vederea reducerii costului producției și emisiilor de CO2 la Î.S. “Fabrica de Sticlă din Chișinău"</w:t>
            </w:r>
          </w:p>
        </w:tc>
        <w:tc>
          <w:tcPr>
            <w:tcW w:w="1057" w:type="dxa"/>
            <w:hideMark/>
          </w:tcPr>
          <w:p w14:paraId="6D0EFF70"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2030</w:t>
            </w:r>
          </w:p>
        </w:tc>
        <w:tc>
          <w:tcPr>
            <w:tcW w:w="1979" w:type="dxa"/>
            <w:hideMark/>
          </w:tcPr>
          <w:p w14:paraId="736A54E2" w14:textId="15451500" w:rsidR="00D25293" w:rsidRPr="00125FAF" w:rsidRDefault="0024706D" w:rsidP="00D25293">
            <w:pPr>
              <w:jc w:val="both"/>
              <w:rPr>
                <w:rFonts w:ascii="Times New Roman" w:eastAsia="Times New Roman" w:hAnsi="Times New Roman"/>
                <w:lang w:val="ro-RO"/>
              </w:rPr>
            </w:pPr>
            <w:r>
              <w:rPr>
                <w:rFonts w:ascii="Times New Roman" w:eastAsia="Times New Roman" w:hAnsi="Times New Roman"/>
                <w:lang w:val="ro-RO"/>
              </w:rPr>
              <w:t>Ministerul Infrastructurii și Dezvoltării Regionale</w:t>
            </w:r>
            <w:r w:rsidR="00D25293" w:rsidRPr="00125FAF">
              <w:rPr>
                <w:rFonts w:ascii="Times New Roman" w:eastAsia="Times New Roman" w:hAnsi="Times New Roman"/>
                <w:lang w:val="ro-RO"/>
              </w:rPr>
              <w:t>, Î.S. “Fabrica de Sticlă din Chișinău"</w:t>
            </w:r>
          </w:p>
        </w:tc>
        <w:tc>
          <w:tcPr>
            <w:tcW w:w="1726" w:type="dxa"/>
            <w:hideMark/>
          </w:tcPr>
          <w:p w14:paraId="51476334" w14:textId="1C10D956"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Cantitățile totale de sticlă produsă: în 2030 – circa 85 mii tone sticlă; Ponder</w:t>
            </w:r>
            <w:r w:rsidR="00A56433" w:rsidRPr="00125FAF">
              <w:rPr>
                <w:rFonts w:ascii="Times New Roman" w:eastAsia="Times New Roman" w:hAnsi="Times New Roman"/>
                <w:lang w:val="ro-RO"/>
              </w:rPr>
              <w:t>ea</w:t>
            </w:r>
            <w:r w:rsidRPr="00125FAF">
              <w:rPr>
                <w:rFonts w:ascii="Times New Roman" w:eastAsia="Times New Roman" w:hAnsi="Times New Roman"/>
                <w:lang w:val="ro-RO"/>
              </w:rPr>
              <w:t xml:space="preserve"> cioburilor de sticlă în șarjă: în 2030 – până la 50% sau 42</w:t>
            </w:r>
            <w:r w:rsidR="00D5429D" w:rsidRPr="00125FAF">
              <w:rPr>
                <w:rFonts w:ascii="Times New Roman" w:eastAsia="Times New Roman" w:hAnsi="Times New Roman"/>
                <w:lang w:val="ro-RO"/>
              </w:rPr>
              <w:t>,</w:t>
            </w:r>
            <w:r w:rsidRPr="00125FAF">
              <w:rPr>
                <w:rFonts w:ascii="Times New Roman" w:eastAsia="Times New Roman" w:hAnsi="Times New Roman"/>
                <w:lang w:val="ro-RO"/>
              </w:rPr>
              <w:t>5 mii tone/an;</w:t>
            </w:r>
            <w:r w:rsidRPr="00125FAF">
              <w:rPr>
                <w:rFonts w:ascii="Times New Roman" w:eastAsia="Times New Roman" w:hAnsi="Times New Roman"/>
                <w:lang w:val="ro-RO"/>
              </w:rPr>
              <w:br/>
              <w:t>– consumul total de combustibil utilizat la producerea sticlei, în 2030 – circa 430</w:t>
            </w:r>
            <w:r w:rsidR="00D5429D" w:rsidRPr="00125FAF">
              <w:rPr>
                <w:rFonts w:ascii="Times New Roman" w:eastAsia="Times New Roman" w:hAnsi="Times New Roman"/>
                <w:lang w:val="ro-RO"/>
              </w:rPr>
              <w:t>,</w:t>
            </w:r>
            <w:r w:rsidRPr="00125FAF">
              <w:rPr>
                <w:rFonts w:ascii="Times New Roman" w:eastAsia="Times New Roman" w:hAnsi="Times New Roman"/>
                <w:lang w:val="ro-RO"/>
              </w:rPr>
              <w:t>1 TJ/an;</w:t>
            </w:r>
          </w:p>
        </w:tc>
        <w:tc>
          <w:tcPr>
            <w:tcW w:w="1736" w:type="dxa"/>
            <w:hideMark/>
          </w:tcPr>
          <w:p w14:paraId="3AB59A88"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 </w:t>
            </w:r>
          </w:p>
        </w:tc>
        <w:tc>
          <w:tcPr>
            <w:tcW w:w="1377" w:type="dxa"/>
            <w:hideMark/>
          </w:tcPr>
          <w:p w14:paraId="63F628AC"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116</w:t>
            </w:r>
          </w:p>
        </w:tc>
        <w:tc>
          <w:tcPr>
            <w:tcW w:w="1444" w:type="dxa"/>
            <w:hideMark/>
          </w:tcPr>
          <w:p w14:paraId="75834372"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 </w:t>
            </w:r>
          </w:p>
        </w:tc>
        <w:tc>
          <w:tcPr>
            <w:tcW w:w="1238" w:type="dxa"/>
            <w:hideMark/>
          </w:tcPr>
          <w:p w14:paraId="47BF5B02"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 xml:space="preserve">Buget de stat, </w:t>
            </w:r>
            <w:proofErr w:type="spellStart"/>
            <w:r w:rsidRPr="00125FAF">
              <w:rPr>
                <w:rFonts w:ascii="Times New Roman" w:eastAsia="Times New Roman" w:hAnsi="Times New Roman"/>
                <w:lang w:val="ro-RO"/>
              </w:rPr>
              <w:t>asistenţă</w:t>
            </w:r>
            <w:proofErr w:type="spellEnd"/>
            <w:r w:rsidRPr="00125FAF">
              <w:rPr>
                <w:rFonts w:ascii="Times New Roman" w:eastAsia="Times New Roman" w:hAnsi="Times New Roman"/>
                <w:lang w:val="ro-RO"/>
              </w:rPr>
              <w:t xml:space="preserve"> externă</w:t>
            </w:r>
          </w:p>
        </w:tc>
      </w:tr>
      <w:tr w:rsidR="00DC3FD5" w:rsidRPr="00125FAF" w14:paraId="56E2FAA1" w14:textId="77777777" w:rsidTr="00AC461F">
        <w:trPr>
          <w:trHeight w:val="1500"/>
        </w:trPr>
        <w:tc>
          <w:tcPr>
            <w:tcW w:w="627" w:type="dxa"/>
            <w:hideMark/>
          </w:tcPr>
          <w:p w14:paraId="6390469F" w14:textId="32BFA6C9"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lastRenderedPageBreak/>
              <w:t>4.</w:t>
            </w:r>
            <w:r w:rsidR="002C1CB9">
              <w:rPr>
                <w:rFonts w:ascii="Times New Roman" w:eastAsia="Times New Roman" w:hAnsi="Times New Roman"/>
                <w:lang w:val="ro-RO"/>
              </w:rPr>
              <w:t>4</w:t>
            </w:r>
          </w:p>
        </w:tc>
        <w:tc>
          <w:tcPr>
            <w:tcW w:w="3255" w:type="dxa"/>
            <w:hideMark/>
          </w:tcPr>
          <w:p w14:paraId="30F22B0A" w14:textId="79E6EF3A"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 xml:space="preserve">Ajustarea Cadrului normativ </w:t>
            </w:r>
            <w:proofErr w:type="spellStart"/>
            <w:r w:rsidRPr="00125FAF">
              <w:rPr>
                <w:rFonts w:ascii="Times New Roman" w:eastAsia="Times New Roman" w:hAnsi="Times New Roman"/>
                <w:lang w:val="ro-RO"/>
              </w:rPr>
              <w:t>naţional</w:t>
            </w:r>
            <w:proofErr w:type="spellEnd"/>
            <w:r w:rsidRPr="00125FAF">
              <w:rPr>
                <w:rFonts w:ascii="Times New Roman" w:eastAsia="Times New Roman" w:hAnsi="Times New Roman"/>
                <w:lang w:val="ro-RO"/>
              </w:rPr>
              <w:t xml:space="preserve"> la cel al UE (Regulamentul CE nr. 842/2006 privind anumite gaze fluorurate cu efect de sera, suplinit cu Regulamentul (UE) nr. 517/2014) spre suprimarea </w:t>
            </w:r>
            <w:proofErr w:type="spellStart"/>
            <w:r w:rsidRPr="00125FAF">
              <w:rPr>
                <w:rFonts w:ascii="Times New Roman" w:eastAsia="Times New Roman" w:hAnsi="Times New Roman"/>
                <w:lang w:val="ro-RO"/>
              </w:rPr>
              <w:t>eşalonată</w:t>
            </w:r>
            <w:proofErr w:type="spellEnd"/>
            <w:r w:rsidRPr="00125FAF">
              <w:rPr>
                <w:rFonts w:ascii="Times New Roman" w:eastAsia="Times New Roman" w:hAnsi="Times New Roman"/>
                <w:lang w:val="ro-RO"/>
              </w:rPr>
              <w:t xml:space="preserve"> a</w:t>
            </w:r>
            <w:r w:rsidR="00B566C6" w:rsidRPr="00125FAF">
              <w:rPr>
                <w:rFonts w:ascii="Times New Roman" w:eastAsia="Times New Roman" w:hAnsi="Times New Roman"/>
                <w:lang w:val="ro-RO"/>
              </w:rPr>
              <w:t xml:space="preserve"> </w:t>
            </w:r>
            <w:r w:rsidRPr="00125FAF">
              <w:rPr>
                <w:rFonts w:ascii="Times New Roman" w:eastAsia="Times New Roman" w:hAnsi="Times New Roman"/>
                <w:lang w:val="ro-RO"/>
              </w:rPr>
              <w:t>unor gaze-F cu efect de sera</w:t>
            </w:r>
          </w:p>
        </w:tc>
        <w:tc>
          <w:tcPr>
            <w:tcW w:w="1057" w:type="dxa"/>
            <w:hideMark/>
          </w:tcPr>
          <w:p w14:paraId="5569D9FA"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2023</w:t>
            </w:r>
          </w:p>
        </w:tc>
        <w:tc>
          <w:tcPr>
            <w:tcW w:w="1979" w:type="dxa"/>
            <w:hideMark/>
          </w:tcPr>
          <w:p w14:paraId="58DC2043" w14:textId="0AC0D62D" w:rsidR="00D25293" w:rsidRPr="00125FAF" w:rsidRDefault="002C1CB9" w:rsidP="00D25293">
            <w:pPr>
              <w:jc w:val="both"/>
              <w:rPr>
                <w:rFonts w:ascii="Times New Roman" w:eastAsia="Times New Roman" w:hAnsi="Times New Roman"/>
                <w:lang w:val="ro-RO"/>
              </w:rPr>
            </w:pPr>
            <w:r>
              <w:rPr>
                <w:rFonts w:ascii="Times New Roman" w:eastAsia="Times New Roman" w:hAnsi="Times New Roman"/>
                <w:lang w:val="ro-RO"/>
              </w:rPr>
              <w:t>Ministerul Mediului</w:t>
            </w:r>
          </w:p>
        </w:tc>
        <w:tc>
          <w:tcPr>
            <w:tcW w:w="1726" w:type="dxa"/>
            <w:hideMark/>
          </w:tcPr>
          <w:p w14:paraId="0FCE9F62" w14:textId="2F3A0C3B"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Legea gazelor F aprobată;</w:t>
            </w:r>
            <w:r w:rsidR="00B566C6" w:rsidRPr="00125FAF">
              <w:rPr>
                <w:rFonts w:ascii="Times New Roman" w:eastAsia="Times New Roman" w:hAnsi="Times New Roman"/>
                <w:lang w:val="ro-RO"/>
              </w:rPr>
              <w:t xml:space="preserve"> </w:t>
            </w:r>
            <w:r w:rsidRPr="00125FAF">
              <w:rPr>
                <w:rFonts w:ascii="Times New Roman" w:eastAsia="Times New Roman" w:hAnsi="Times New Roman"/>
                <w:lang w:val="ro-RO"/>
              </w:rPr>
              <w:t xml:space="preserve"> HG483 din 18.10.2019 amendată; Codul contravențional al RM nr. 218 din. 24.10.2008 modificat </w:t>
            </w:r>
          </w:p>
        </w:tc>
        <w:tc>
          <w:tcPr>
            <w:tcW w:w="1736" w:type="dxa"/>
            <w:hideMark/>
          </w:tcPr>
          <w:p w14:paraId="04C51B71"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 </w:t>
            </w:r>
          </w:p>
        </w:tc>
        <w:tc>
          <w:tcPr>
            <w:tcW w:w="1377" w:type="dxa"/>
            <w:hideMark/>
          </w:tcPr>
          <w:p w14:paraId="18BA714E"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Nu necesită acoperire financiară</w:t>
            </w:r>
          </w:p>
        </w:tc>
        <w:tc>
          <w:tcPr>
            <w:tcW w:w="1444" w:type="dxa"/>
            <w:hideMark/>
          </w:tcPr>
          <w:p w14:paraId="43997A1A"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 </w:t>
            </w:r>
          </w:p>
        </w:tc>
        <w:tc>
          <w:tcPr>
            <w:tcW w:w="1238" w:type="dxa"/>
            <w:hideMark/>
          </w:tcPr>
          <w:p w14:paraId="71EE1D32"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Buget de stat</w:t>
            </w:r>
          </w:p>
        </w:tc>
      </w:tr>
      <w:tr w:rsidR="00DC3FD5" w:rsidRPr="00125FAF" w14:paraId="1E70F7DC" w14:textId="77777777" w:rsidTr="00AC461F">
        <w:trPr>
          <w:trHeight w:val="300"/>
        </w:trPr>
        <w:tc>
          <w:tcPr>
            <w:tcW w:w="627" w:type="dxa"/>
            <w:hideMark/>
          </w:tcPr>
          <w:p w14:paraId="5CB5C8E1"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5</w:t>
            </w:r>
          </w:p>
        </w:tc>
        <w:tc>
          <w:tcPr>
            <w:tcW w:w="13812" w:type="dxa"/>
            <w:gridSpan w:val="8"/>
            <w:hideMark/>
          </w:tcPr>
          <w:p w14:paraId="44E84A23" w14:textId="0BE4FCAB" w:rsidR="00D25293" w:rsidRPr="00125FAF" w:rsidRDefault="00D25293" w:rsidP="00D25293">
            <w:pPr>
              <w:jc w:val="both"/>
              <w:rPr>
                <w:rFonts w:ascii="Times New Roman" w:eastAsia="Times New Roman" w:hAnsi="Times New Roman"/>
                <w:b/>
                <w:bCs/>
                <w:lang w:val="ro-RO"/>
              </w:rPr>
            </w:pPr>
            <w:r w:rsidRPr="00125FAF">
              <w:rPr>
                <w:rFonts w:ascii="Times New Roman" w:eastAsia="Times New Roman" w:hAnsi="Times New Roman"/>
                <w:b/>
                <w:bCs/>
                <w:lang w:val="ro-RO"/>
              </w:rPr>
              <w:t>Obiectivul specific 5.</w:t>
            </w:r>
            <w:r w:rsidRPr="00125FAF">
              <w:rPr>
                <w:rFonts w:ascii="Times New Roman" w:eastAsia="Times New Roman" w:hAnsi="Times New Roman"/>
                <w:lang w:val="ro-RO"/>
              </w:rPr>
              <w:t xml:space="preserve"> Reducerea </w:t>
            </w:r>
            <w:proofErr w:type="spellStart"/>
            <w:r w:rsidRPr="00125FAF">
              <w:rPr>
                <w:rFonts w:ascii="Times New Roman" w:eastAsia="Times New Roman" w:hAnsi="Times New Roman"/>
                <w:lang w:val="ro-RO"/>
              </w:rPr>
              <w:t>necondiţionată</w:t>
            </w:r>
            <w:proofErr w:type="spellEnd"/>
            <w:r w:rsidRPr="00125FAF">
              <w:rPr>
                <w:rFonts w:ascii="Times New Roman" w:eastAsia="Times New Roman" w:hAnsi="Times New Roman"/>
                <w:lang w:val="ro-RO"/>
              </w:rPr>
              <w:t xml:space="preserve">, </w:t>
            </w:r>
            <w:proofErr w:type="spellStart"/>
            <w:r w:rsidRPr="00125FAF">
              <w:rPr>
                <w:rFonts w:ascii="Times New Roman" w:eastAsia="Times New Roman" w:hAnsi="Times New Roman"/>
                <w:lang w:val="ro-RO"/>
              </w:rPr>
              <w:t>pînă</w:t>
            </w:r>
            <w:proofErr w:type="spellEnd"/>
            <w:r w:rsidRPr="00125FAF">
              <w:rPr>
                <w:rFonts w:ascii="Times New Roman" w:eastAsia="Times New Roman" w:hAnsi="Times New Roman"/>
                <w:lang w:val="ro-RO"/>
              </w:rPr>
              <w:t xml:space="preserve"> în</w:t>
            </w:r>
            <w:r w:rsidR="00B566C6" w:rsidRPr="00125FAF">
              <w:rPr>
                <w:rFonts w:ascii="Times New Roman" w:eastAsia="Times New Roman" w:hAnsi="Times New Roman"/>
                <w:lang w:val="ro-RO"/>
              </w:rPr>
              <w:t xml:space="preserve"> </w:t>
            </w:r>
            <w:r w:rsidRPr="00125FAF">
              <w:rPr>
                <w:rFonts w:ascii="Times New Roman" w:eastAsia="Times New Roman" w:hAnsi="Times New Roman"/>
                <w:lang w:val="ro-RO"/>
              </w:rPr>
              <w:t xml:space="preserve">anul 2030, a emisiilor de gaze cu efect de seră provenite din </w:t>
            </w:r>
            <w:r w:rsidRPr="00125FAF">
              <w:rPr>
                <w:rFonts w:ascii="Times New Roman" w:eastAsia="Times New Roman" w:hAnsi="Times New Roman"/>
                <w:b/>
                <w:bCs/>
                <w:lang w:val="ro-RO"/>
              </w:rPr>
              <w:t xml:space="preserve">sectorul agricol </w:t>
            </w:r>
            <w:r w:rsidRPr="00125FAF">
              <w:rPr>
                <w:rFonts w:ascii="Times New Roman" w:eastAsia="Times New Roman" w:hAnsi="Times New Roman"/>
                <w:lang w:val="ro-RO"/>
              </w:rPr>
              <w:t xml:space="preserve">cu 44% </w:t>
            </w:r>
            <w:proofErr w:type="spellStart"/>
            <w:r w:rsidRPr="00125FAF">
              <w:rPr>
                <w:rFonts w:ascii="Times New Roman" w:eastAsia="Times New Roman" w:hAnsi="Times New Roman"/>
                <w:lang w:val="ro-RO"/>
              </w:rPr>
              <w:t>şi</w:t>
            </w:r>
            <w:proofErr w:type="spellEnd"/>
            <w:r w:rsidRPr="00125FAF">
              <w:rPr>
                <w:rFonts w:ascii="Times New Roman" w:eastAsia="Times New Roman" w:hAnsi="Times New Roman"/>
                <w:lang w:val="ro-RO"/>
              </w:rPr>
              <w:t xml:space="preserve"> reducerea de gaze cu efect de seră </w:t>
            </w:r>
            <w:proofErr w:type="spellStart"/>
            <w:r w:rsidRPr="00125FAF">
              <w:rPr>
                <w:rFonts w:ascii="Times New Roman" w:eastAsia="Times New Roman" w:hAnsi="Times New Roman"/>
                <w:lang w:val="ro-RO"/>
              </w:rPr>
              <w:t>condiţionată</w:t>
            </w:r>
            <w:proofErr w:type="spellEnd"/>
            <w:r w:rsidRPr="00125FAF">
              <w:rPr>
                <w:rFonts w:ascii="Times New Roman" w:eastAsia="Times New Roman" w:hAnsi="Times New Roman"/>
                <w:lang w:val="ro-RO"/>
              </w:rPr>
              <w:t xml:space="preserve"> </w:t>
            </w:r>
            <w:proofErr w:type="spellStart"/>
            <w:r w:rsidRPr="00125FAF">
              <w:rPr>
                <w:rFonts w:ascii="Times New Roman" w:eastAsia="Times New Roman" w:hAnsi="Times New Roman"/>
                <w:lang w:val="ro-RO"/>
              </w:rPr>
              <w:t>pînă</w:t>
            </w:r>
            <w:proofErr w:type="spellEnd"/>
            <w:r w:rsidRPr="00125FAF">
              <w:rPr>
                <w:rFonts w:ascii="Times New Roman" w:eastAsia="Times New Roman" w:hAnsi="Times New Roman"/>
                <w:lang w:val="ro-RO"/>
              </w:rPr>
              <w:t xml:space="preserve"> la 47% comparativ cu anul 1990</w:t>
            </w:r>
          </w:p>
        </w:tc>
      </w:tr>
      <w:tr w:rsidR="00DC3FD5" w:rsidRPr="00125FAF" w14:paraId="5CD5DAEC" w14:textId="77777777" w:rsidTr="00AC461F">
        <w:trPr>
          <w:trHeight w:val="885"/>
        </w:trPr>
        <w:tc>
          <w:tcPr>
            <w:tcW w:w="627" w:type="dxa"/>
            <w:hideMark/>
          </w:tcPr>
          <w:p w14:paraId="6EE16FE9"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5.1</w:t>
            </w:r>
          </w:p>
        </w:tc>
        <w:tc>
          <w:tcPr>
            <w:tcW w:w="3255" w:type="dxa"/>
            <w:hideMark/>
          </w:tcPr>
          <w:p w14:paraId="598F384D"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 xml:space="preserve">Elaborarea, aprobarea și implementarea Programului Național privind Dezvoltarea Agriculturii Conservative. </w:t>
            </w:r>
          </w:p>
        </w:tc>
        <w:tc>
          <w:tcPr>
            <w:tcW w:w="1057" w:type="dxa"/>
            <w:hideMark/>
          </w:tcPr>
          <w:p w14:paraId="666FC926"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2021-2023</w:t>
            </w:r>
          </w:p>
        </w:tc>
        <w:tc>
          <w:tcPr>
            <w:tcW w:w="1979" w:type="dxa"/>
            <w:hideMark/>
          </w:tcPr>
          <w:p w14:paraId="69849536" w14:textId="22E5287C" w:rsidR="00D25293" w:rsidRPr="00125FAF" w:rsidRDefault="002C1CB9" w:rsidP="00D25293">
            <w:pPr>
              <w:jc w:val="both"/>
              <w:rPr>
                <w:rFonts w:ascii="Times New Roman" w:eastAsia="Times New Roman" w:hAnsi="Times New Roman"/>
                <w:lang w:val="ro-RO"/>
              </w:rPr>
            </w:pPr>
            <w:r>
              <w:rPr>
                <w:rFonts w:ascii="Times New Roman" w:eastAsia="Times New Roman" w:hAnsi="Times New Roman"/>
                <w:lang w:val="ro-RO"/>
              </w:rPr>
              <w:t>Ministerul Mediului</w:t>
            </w:r>
          </w:p>
        </w:tc>
        <w:tc>
          <w:tcPr>
            <w:tcW w:w="3462" w:type="dxa"/>
            <w:gridSpan w:val="2"/>
            <w:hideMark/>
          </w:tcPr>
          <w:p w14:paraId="1E5D33BA"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Programul Național privind Dezvoltarea Agriculturii Conservative aprobat</w:t>
            </w:r>
          </w:p>
        </w:tc>
        <w:tc>
          <w:tcPr>
            <w:tcW w:w="1377" w:type="dxa"/>
            <w:hideMark/>
          </w:tcPr>
          <w:p w14:paraId="78962AC0"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 </w:t>
            </w:r>
          </w:p>
        </w:tc>
        <w:tc>
          <w:tcPr>
            <w:tcW w:w="1444" w:type="dxa"/>
            <w:hideMark/>
          </w:tcPr>
          <w:p w14:paraId="33F31331" w14:textId="3953E353"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2</w:t>
            </w:r>
          </w:p>
        </w:tc>
        <w:tc>
          <w:tcPr>
            <w:tcW w:w="1238" w:type="dxa"/>
            <w:hideMark/>
          </w:tcPr>
          <w:p w14:paraId="0F3419FE"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Asistență externă</w:t>
            </w:r>
          </w:p>
        </w:tc>
      </w:tr>
      <w:tr w:rsidR="00DC3FD5" w:rsidRPr="00125FAF" w14:paraId="4FE886C4" w14:textId="77777777" w:rsidTr="00AC461F">
        <w:trPr>
          <w:trHeight w:val="885"/>
        </w:trPr>
        <w:tc>
          <w:tcPr>
            <w:tcW w:w="627" w:type="dxa"/>
            <w:vMerge w:val="restart"/>
            <w:hideMark/>
          </w:tcPr>
          <w:p w14:paraId="133C6BAD"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5.2</w:t>
            </w:r>
          </w:p>
        </w:tc>
        <w:tc>
          <w:tcPr>
            <w:tcW w:w="3255" w:type="dxa"/>
            <w:vMerge w:val="restart"/>
            <w:hideMark/>
          </w:tcPr>
          <w:p w14:paraId="0FFB7A75"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 xml:space="preserve">Implementarea practicilor de management durabil al terenurilor agricole în cadrul sistemului convențional de lucrare a solului, în asolamentul cu cinci sole, unde o solă este utilizată sub măzărichea de toamnă și de primăvară, cu incorporarea a două recolte în calitate de îngrășământ sideral în vederea acumulării în sol a azotului biologic și reducerii aplicări îngrășămintelor chimice azotoase, cuplate cu incorporarea anuală în sol a resturilor vegetale și aplicarea îngrășămintelor organice </w:t>
            </w:r>
          </w:p>
        </w:tc>
        <w:tc>
          <w:tcPr>
            <w:tcW w:w="1057" w:type="dxa"/>
            <w:hideMark/>
          </w:tcPr>
          <w:p w14:paraId="3D958D3B"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2021-2025</w:t>
            </w:r>
          </w:p>
        </w:tc>
        <w:tc>
          <w:tcPr>
            <w:tcW w:w="1979" w:type="dxa"/>
            <w:vMerge w:val="restart"/>
            <w:hideMark/>
          </w:tcPr>
          <w:p w14:paraId="2D57E926" w14:textId="4C4ECFFF" w:rsidR="00D25293" w:rsidRPr="00125FAF" w:rsidRDefault="002C1CB9" w:rsidP="00D25293">
            <w:pPr>
              <w:jc w:val="both"/>
              <w:rPr>
                <w:rFonts w:ascii="Times New Roman" w:eastAsia="Times New Roman" w:hAnsi="Times New Roman"/>
                <w:lang w:val="ro-RO"/>
              </w:rPr>
            </w:pPr>
            <w:r>
              <w:rPr>
                <w:rFonts w:ascii="Times New Roman" w:eastAsia="Times New Roman" w:hAnsi="Times New Roman"/>
                <w:lang w:val="ro-RO"/>
              </w:rPr>
              <w:t>Ministerul Mediului</w:t>
            </w:r>
          </w:p>
        </w:tc>
        <w:tc>
          <w:tcPr>
            <w:tcW w:w="1726" w:type="dxa"/>
            <w:hideMark/>
          </w:tcPr>
          <w:p w14:paraId="2098330B" w14:textId="77777777" w:rsidR="00D25293" w:rsidRPr="00125FAF" w:rsidRDefault="00D25293" w:rsidP="00D25293">
            <w:pPr>
              <w:jc w:val="both"/>
              <w:rPr>
                <w:rFonts w:ascii="Times New Roman" w:eastAsia="Times New Roman" w:hAnsi="Times New Roman"/>
                <w:lang w:val="ro-RO"/>
              </w:rPr>
            </w:pPr>
            <w:bookmarkStart w:id="15" w:name="_Hlk69054608"/>
            <w:r w:rsidRPr="00125FAF">
              <w:rPr>
                <w:rFonts w:ascii="Times New Roman" w:eastAsia="Times New Roman" w:hAnsi="Times New Roman"/>
                <w:lang w:val="ro-RO"/>
              </w:rPr>
              <w:t>150 mii ha/an în perioada 2021-2025</w:t>
            </w:r>
            <w:bookmarkEnd w:id="15"/>
          </w:p>
        </w:tc>
        <w:tc>
          <w:tcPr>
            <w:tcW w:w="1736" w:type="dxa"/>
            <w:hideMark/>
          </w:tcPr>
          <w:p w14:paraId="09EAF77A"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50 mii ha/an în perioada 2021-2025</w:t>
            </w:r>
          </w:p>
        </w:tc>
        <w:tc>
          <w:tcPr>
            <w:tcW w:w="1377" w:type="dxa"/>
            <w:hideMark/>
          </w:tcPr>
          <w:p w14:paraId="1624CBEE" w14:textId="7C46316E"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2</w:t>
            </w:r>
            <w:r w:rsidR="008F2629" w:rsidRPr="00125FAF">
              <w:rPr>
                <w:rFonts w:ascii="Times New Roman" w:eastAsia="Times New Roman" w:hAnsi="Times New Roman"/>
                <w:lang w:val="ro-RO"/>
              </w:rPr>
              <w:t xml:space="preserve"> </w:t>
            </w:r>
            <w:r w:rsidRPr="00125FAF">
              <w:rPr>
                <w:rFonts w:ascii="Times New Roman" w:eastAsia="Times New Roman" w:hAnsi="Times New Roman"/>
                <w:lang w:val="ro-RO"/>
              </w:rPr>
              <w:t>400</w:t>
            </w:r>
          </w:p>
        </w:tc>
        <w:tc>
          <w:tcPr>
            <w:tcW w:w="1444" w:type="dxa"/>
            <w:hideMark/>
          </w:tcPr>
          <w:p w14:paraId="1CB01D50" w14:textId="4A357986"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1</w:t>
            </w:r>
            <w:r w:rsidR="008F2629" w:rsidRPr="00125FAF">
              <w:rPr>
                <w:rFonts w:ascii="Times New Roman" w:eastAsia="Times New Roman" w:hAnsi="Times New Roman"/>
                <w:lang w:val="ro-RO"/>
              </w:rPr>
              <w:t xml:space="preserve"> </w:t>
            </w:r>
            <w:r w:rsidRPr="00125FAF">
              <w:rPr>
                <w:rFonts w:ascii="Times New Roman" w:eastAsia="Times New Roman" w:hAnsi="Times New Roman"/>
                <w:lang w:val="ro-RO"/>
              </w:rPr>
              <w:t>000</w:t>
            </w:r>
          </w:p>
        </w:tc>
        <w:tc>
          <w:tcPr>
            <w:tcW w:w="1238" w:type="dxa"/>
            <w:vMerge w:val="restart"/>
            <w:hideMark/>
          </w:tcPr>
          <w:p w14:paraId="2B615437"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Buget de stat, asistență externă, alte surse</w:t>
            </w:r>
          </w:p>
        </w:tc>
      </w:tr>
      <w:tr w:rsidR="00DC3FD5" w:rsidRPr="00125FAF" w14:paraId="0A46D73F" w14:textId="77777777" w:rsidTr="00AC461F">
        <w:trPr>
          <w:trHeight w:val="1935"/>
        </w:trPr>
        <w:tc>
          <w:tcPr>
            <w:tcW w:w="627" w:type="dxa"/>
            <w:vMerge/>
            <w:hideMark/>
          </w:tcPr>
          <w:p w14:paraId="2686DD4E" w14:textId="77777777" w:rsidR="00D25293" w:rsidRPr="00125FAF" w:rsidRDefault="00D25293" w:rsidP="00D25293">
            <w:pPr>
              <w:jc w:val="both"/>
              <w:rPr>
                <w:rFonts w:ascii="Times New Roman" w:eastAsia="Times New Roman" w:hAnsi="Times New Roman"/>
                <w:lang w:val="ro-RO"/>
              </w:rPr>
            </w:pPr>
          </w:p>
        </w:tc>
        <w:tc>
          <w:tcPr>
            <w:tcW w:w="3255" w:type="dxa"/>
            <w:vMerge/>
            <w:hideMark/>
          </w:tcPr>
          <w:p w14:paraId="1EE4B37C" w14:textId="77777777" w:rsidR="00D25293" w:rsidRPr="00125FAF" w:rsidRDefault="00D25293" w:rsidP="00D25293">
            <w:pPr>
              <w:jc w:val="both"/>
              <w:rPr>
                <w:rFonts w:ascii="Times New Roman" w:eastAsia="Times New Roman" w:hAnsi="Times New Roman"/>
                <w:lang w:val="ro-RO"/>
              </w:rPr>
            </w:pPr>
          </w:p>
        </w:tc>
        <w:tc>
          <w:tcPr>
            <w:tcW w:w="1057" w:type="dxa"/>
            <w:hideMark/>
          </w:tcPr>
          <w:p w14:paraId="46C64DB9"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2026-2030</w:t>
            </w:r>
          </w:p>
        </w:tc>
        <w:tc>
          <w:tcPr>
            <w:tcW w:w="1979" w:type="dxa"/>
            <w:vMerge/>
            <w:hideMark/>
          </w:tcPr>
          <w:p w14:paraId="40A09C75" w14:textId="77777777" w:rsidR="00D25293" w:rsidRPr="00125FAF" w:rsidRDefault="00D25293" w:rsidP="00D25293">
            <w:pPr>
              <w:jc w:val="both"/>
              <w:rPr>
                <w:rFonts w:ascii="Times New Roman" w:eastAsia="Times New Roman" w:hAnsi="Times New Roman"/>
                <w:lang w:val="ro-RO"/>
              </w:rPr>
            </w:pPr>
          </w:p>
        </w:tc>
        <w:tc>
          <w:tcPr>
            <w:tcW w:w="1726" w:type="dxa"/>
            <w:hideMark/>
          </w:tcPr>
          <w:p w14:paraId="6C9EFDB5"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300 mii ha/an în perioada 2026-2030</w:t>
            </w:r>
          </w:p>
        </w:tc>
        <w:tc>
          <w:tcPr>
            <w:tcW w:w="1736" w:type="dxa"/>
            <w:hideMark/>
          </w:tcPr>
          <w:p w14:paraId="2A77F45A"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100 mii ha/an în perioada 2026-2030</w:t>
            </w:r>
          </w:p>
        </w:tc>
        <w:tc>
          <w:tcPr>
            <w:tcW w:w="1377" w:type="dxa"/>
            <w:hideMark/>
          </w:tcPr>
          <w:p w14:paraId="56E5F43D" w14:textId="5EC4D699"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4</w:t>
            </w:r>
            <w:r w:rsidR="008F2629" w:rsidRPr="00125FAF">
              <w:rPr>
                <w:rFonts w:ascii="Times New Roman" w:eastAsia="Times New Roman" w:hAnsi="Times New Roman"/>
                <w:lang w:val="ro-RO"/>
              </w:rPr>
              <w:t xml:space="preserve"> </w:t>
            </w:r>
            <w:r w:rsidRPr="00125FAF">
              <w:rPr>
                <w:rFonts w:ascii="Times New Roman" w:eastAsia="Times New Roman" w:hAnsi="Times New Roman"/>
                <w:lang w:val="ro-RO"/>
              </w:rPr>
              <w:t>800</w:t>
            </w:r>
          </w:p>
        </w:tc>
        <w:tc>
          <w:tcPr>
            <w:tcW w:w="1444" w:type="dxa"/>
            <w:hideMark/>
          </w:tcPr>
          <w:p w14:paraId="4ED7B64E" w14:textId="2F049145"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1</w:t>
            </w:r>
            <w:r w:rsidR="008F2629" w:rsidRPr="00125FAF">
              <w:rPr>
                <w:rFonts w:ascii="Times New Roman" w:eastAsia="Times New Roman" w:hAnsi="Times New Roman"/>
                <w:lang w:val="ro-RO"/>
              </w:rPr>
              <w:t xml:space="preserve"> </w:t>
            </w:r>
            <w:r w:rsidRPr="00125FAF">
              <w:rPr>
                <w:rFonts w:ascii="Times New Roman" w:eastAsia="Times New Roman" w:hAnsi="Times New Roman"/>
                <w:lang w:val="ro-RO"/>
              </w:rPr>
              <w:t>600</w:t>
            </w:r>
          </w:p>
        </w:tc>
        <w:tc>
          <w:tcPr>
            <w:tcW w:w="1238" w:type="dxa"/>
            <w:vMerge/>
            <w:hideMark/>
          </w:tcPr>
          <w:p w14:paraId="4479A8A0" w14:textId="77777777" w:rsidR="00D25293" w:rsidRPr="00125FAF" w:rsidRDefault="00D25293" w:rsidP="00D25293">
            <w:pPr>
              <w:jc w:val="both"/>
              <w:rPr>
                <w:rFonts w:ascii="Times New Roman" w:eastAsia="Times New Roman" w:hAnsi="Times New Roman"/>
                <w:lang w:val="ro-RO"/>
              </w:rPr>
            </w:pPr>
          </w:p>
        </w:tc>
      </w:tr>
      <w:tr w:rsidR="00DC3FD5" w:rsidRPr="00125FAF" w14:paraId="5C8410C2" w14:textId="77777777" w:rsidTr="00AC461F">
        <w:trPr>
          <w:trHeight w:val="1020"/>
        </w:trPr>
        <w:tc>
          <w:tcPr>
            <w:tcW w:w="627" w:type="dxa"/>
            <w:vMerge w:val="restart"/>
            <w:hideMark/>
          </w:tcPr>
          <w:p w14:paraId="5ABC4C8C"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5.3</w:t>
            </w:r>
          </w:p>
        </w:tc>
        <w:tc>
          <w:tcPr>
            <w:tcW w:w="3255" w:type="dxa"/>
            <w:vMerge w:val="restart"/>
            <w:hideMark/>
          </w:tcPr>
          <w:p w14:paraId="04D18DB3"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Implementarea practicilor de management durabil al terenurilor agricole în cadrul sistemului de lucrare redusă a solului (mini-</w:t>
            </w:r>
            <w:proofErr w:type="spellStart"/>
            <w:r w:rsidRPr="00125FAF">
              <w:rPr>
                <w:rFonts w:ascii="Times New Roman" w:eastAsia="Times New Roman" w:hAnsi="Times New Roman"/>
                <w:lang w:val="ro-RO"/>
              </w:rPr>
              <w:t>till</w:t>
            </w:r>
            <w:proofErr w:type="spellEnd"/>
            <w:r w:rsidRPr="00125FAF">
              <w:rPr>
                <w:rFonts w:ascii="Times New Roman" w:eastAsia="Times New Roman" w:hAnsi="Times New Roman"/>
                <w:lang w:val="ro-RO"/>
              </w:rPr>
              <w:t xml:space="preserve">), în asolamentul cu cinci sole, cuplat cu incorporarea anuală în sol a resturilor vegetale și o dată la cinci ani a două recolte de măzăriche de toamnă și de </w:t>
            </w:r>
            <w:r w:rsidRPr="00125FAF">
              <w:rPr>
                <w:rFonts w:ascii="Times New Roman" w:eastAsia="Times New Roman" w:hAnsi="Times New Roman"/>
                <w:lang w:val="ro-RO"/>
              </w:rPr>
              <w:lastRenderedPageBreak/>
              <w:t>primăvară, în calitate de îngrășământ sideral</w:t>
            </w:r>
          </w:p>
        </w:tc>
        <w:tc>
          <w:tcPr>
            <w:tcW w:w="1057" w:type="dxa"/>
            <w:hideMark/>
          </w:tcPr>
          <w:p w14:paraId="7635C2A6"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lastRenderedPageBreak/>
              <w:t>2021-2025</w:t>
            </w:r>
          </w:p>
        </w:tc>
        <w:tc>
          <w:tcPr>
            <w:tcW w:w="1979" w:type="dxa"/>
            <w:vMerge w:val="restart"/>
            <w:hideMark/>
          </w:tcPr>
          <w:p w14:paraId="0779441B" w14:textId="068E5743" w:rsidR="00D25293" w:rsidRPr="00125FAF" w:rsidRDefault="002C1CB9" w:rsidP="00D25293">
            <w:pPr>
              <w:jc w:val="both"/>
              <w:rPr>
                <w:rFonts w:ascii="Times New Roman" w:eastAsia="Times New Roman" w:hAnsi="Times New Roman"/>
                <w:lang w:val="ro-RO"/>
              </w:rPr>
            </w:pPr>
            <w:r>
              <w:rPr>
                <w:rFonts w:ascii="Times New Roman" w:eastAsia="Times New Roman" w:hAnsi="Times New Roman"/>
                <w:lang w:val="ro-RO"/>
              </w:rPr>
              <w:t>Ministerul Mediului</w:t>
            </w:r>
          </w:p>
        </w:tc>
        <w:tc>
          <w:tcPr>
            <w:tcW w:w="1726" w:type="dxa"/>
            <w:hideMark/>
          </w:tcPr>
          <w:p w14:paraId="52368591"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50 mii ha/an în perioada 2021-2025</w:t>
            </w:r>
          </w:p>
        </w:tc>
        <w:tc>
          <w:tcPr>
            <w:tcW w:w="1736" w:type="dxa"/>
            <w:hideMark/>
          </w:tcPr>
          <w:p w14:paraId="10AEE9A4"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50 mii ha/an în perioada 2021-2025</w:t>
            </w:r>
          </w:p>
        </w:tc>
        <w:tc>
          <w:tcPr>
            <w:tcW w:w="1377" w:type="dxa"/>
            <w:hideMark/>
          </w:tcPr>
          <w:p w14:paraId="2145E384" w14:textId="5D39551F"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1</w:t>
            </w:r>
            <w:r w:rsidR="008F2629" w:rsidRPr="00125FAF">
              <w:rPr>
                <w:rFonts w:ascii="Times New Roman" w:eastAsia="Times New Roman" w:hAnsi="Times New Roman"/>
                <w:lang w:val="ro-RO"/>
              </w:rPr>
              <w:t xml:space="preserve"> </w:t>
            </w:r>
            <w:r w:rsidRPr="00125FAF">
              <w:rPr>
                <w:rFonts w:ascii="Times New Roman" w:eastAsia="Times New Roman" w:hAnsi="Times New Roman"/>
                <w:lang w:val="ro-RO"/>
              </w:rPr>
              <w:t>000</w:t>
            </w:r>
          </w:p>
        </w:tc>
        <w:tc>
          <w:tcPr>
            <w:tcW w:w="1444" w:type="dxa"/>
            <w:hideMark/>
          </w:tcPr>
          <w:p w14:paraId="1135F581" w14:textId="7EC7A08A"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1</w:t>
            </w:r>
            <w:r w:rsidR="008F2629" w:rsidRPr="00125FAF">
              <w:rPr>
                <w:rFonts w:ascii="Times New Roman" w:eastAsia="Times New Roman" w:hAnsi="Times New Roman"/>
                <w:lang w:val="ro-RO"/>
              </w:rPr>
              <w:t xml:space="preserve"> </w:t>
            </w:r>
            <w:r w:rsidRPr="00125FAF">
              <w:rPr>
                <w:rFonts w:ascii="Times New Roman" w:eastAsia="Times New Roman" w:hAnsi="Times New Roman"/>
                <w:lang w:val="ro-RO"/>
              </w:rPr>
              <w:t>000</w:t>
            </w:r>
          </w:p>
        </w:tc>
        <w:tc>
          <w:tcPr>
            <w:tcW w:w="1238" w:type="dxa"/>
            <w:vMerge w:val="restart"/>
            <w:hideMark/>
          </w:tcPr>
          <w:p w14:paraId="5E181254"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Buget de stat, asistență externă, alte surse</w:t>
            </w:r>
          </w:p>
        </w:tc>
      </w:tr>
      <w:tr w:rsidR="00DC3FD5" w:rsidRPr="00125FAF" w14:paraId="0A063F2D" w14:textId="77777777" w:rsidTr="00AC461F">
        <w:trPr>
          <w:trHeight w:val="1035"/>
        </w:trPr>
        <w:tc>
          <w:tcPr>
            <w:tcW w:w="627" w:type="dxa"/>
            <w:vMerge/>
            <w:hideMark/>
          </w:tcPr>
          <w:p w14:paraId="5183C010" w14:textId="77777777" w:rsidR="00D25293" w:rsidRPr="00125FAF" w:rsidRDefault="00D25293" w:rsidP="00D25293">
            <w:pPr>
              <w:jc w:val="both"/>
              <w:rPr>
                <w:rFonts w:ascii="Times New Roman" w:eastAsia="Times New Roman" w:hAnsi="Times New Roman"/>
                <w:lang w:val="ro-RO"/>
              </w:rPr>
            </w:pPr>
          </w:p>
        </w:tc>
        <w:tc>
          <w:tcPr>
            <w:tcW w:w="3255" w:type="dxa"/>
            <w:vMerge/>
            <w:hideMark/>
          </w:tcPr>
          <w:p w14:paraId="466BFAA2" w14:textId="77777777" w:rsidR="00D25293" w:rsidRPr="00125FAF" w:rsidRDefault="00D25293" w:rsidP="00D25293">
            <w:pPr>
              <w:jc w:val="both"/>
              <w:rPr>
                <w:rFonts w:ascii="Times New Roman" w:eastAsia="Times New Roman" w:hAnsi="Times New Roman"/>
                <w:lang w:val="ro-RO"/>
              </w:rPr>
            </w:pPr>
          </w:p>
        </w:tc>
        <w:tc>
          <w:tcPr>
            <w:tcW w:w="1057" w:type="dxa"/>
            <w:hideMark/>
          </w:tcPr>
          <w:p w14:paraId="377AE401"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2026-2030</w:t>
            </w:r>
          </w:p>
        </w:tc>
        <w:tc>
          <w:tcPr>
            <w:tcW w:w="1979" w:type="dxa"/>
            <w:vMerge/>
            <w:hideMark/>
          </w:tcPr>
          <w:p w14:paraId="0089DB53" w14:textId="77777777" w:rsidR="00D25293" w:rsidRPr="00125FAF" w:rsidRDefault="00D25293" w:rsidP="00D25293">
            <w:pPr>
              <w:jc w:val="both"/>
              <w:rPr>
                <w:rFonts w:ascii="Times New Roman" w:eastAsia="Times New Roman" w:hAnsi="Times New Roman"/>
                <w:lang w:val="ro-RO"/>
              </w:rPr>
            </w:pPr>
          </w:p>
        </w:tc>
        <w:tc>
          <w:tcPr>
            <w:tcW w:w="1726" w:type="dxa"/>
            <w:hideMark/>
          </w:tcPr>
          <w:p w14:paraId="43AFB447"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100 mii ha/an în perioada 2026-2030</w:t>
            </w:r>
          </w:p>
        </w:tc>
        <w:tc>
          <w:tcPr>
            <w:tcW w:w="1736" w:type="dxa"/>
            <w:hideMark/>
          </w:tcPr>
          <w:p w14:paraId="46A3D951"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100 mii ha/an în perioada 2026-2030</w:t>
            </w:r>
          </w:p>
        </w:tc>
        <w:tc>
          <w:tcPr>
            <w:tcW w:w="1377" w:type="dxa"/>
            <w:hideMark/>
          </w:tcPr>
          <w:p w14:paraId="16D4CF58" w14:textId="400CA1C0"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2</w:t>
            </w:r>
            <w:r w:rsidR="008F2629" w:rsidRPr="00125FAF">
              <w:rPr>
                <w:rFonts w:ascii="Times New Roman" w:eastAsia="Times New Roman" w:hAnsi="Times New Roman"/>
                <w:lang w:val="ro-RO"/>
              </w:rPr>
              <w:t xml:space="preserve"> </w:t>
            </w:r>
            <w:r w:rsidRPr="00125FAF">
              <w:rPr>
                <w:rFonts w:ascii="Times New Roman" w:eastAsia="Times New Roman" w:hAnsi="Times New Roman"/>
                <w:lang w:val="ro-RO"/>
              </w:rPr>
              <w:t>000</w:t>
            </w:r>
          </w:p>
        </w:tc>
        <w:tc>
          <w:tcPr>
            <w:tcW w:w="1444" w:type="dxa"/>
            <w:hideMark/>
          </w:tcPr>
          <w:p w14:paraId="7D23316A" w14:textId="6313B97B"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2</w:t>
            </w:r>
            <w:r w:rsidR="008F2629" w:rsidRPr="00125FAF">
              <w:rPr>
                <w:rFonts w:ascii="Times New Roman" w:eastAsia="Times New Roman" w:hAnsi="Times New Roman"/>
                <w:lang w:val="ro-RO"/>
              </w:rPr>
              <w:t xml:space="preserve"> </w:t>
            </w:r>
            <w:r w:rsidRPr="00125FAF">
              <w:rPr>
                <w:rFonts w:ascii="Times New Roman" w:eastAsia="Times New Roman" w:hAnsi="Times New Roman"/>
                <w:lang w:val="ro-RO"/>
              </w:rPr>
              <w:t>000</w:t>
            </w:r>
          </w:p>
        </w:tc>
        <w:tc>
          <w:tcPr>
            <w:tcW w:w="1238" w:type="dxa"/>
            <w:vMerge/>
            <w:hideMark/>
          </w:tcPr>
          <w:p w14:paraId="4A2BB687" w14:textId="77777777" w:rsidR="00D25293" w:rsidRPr="00125FAF" w:rsidRDefault="00D25293" w:rsidP="00D25293">
            <w:pPr>
              <w:jc w:val="both"/>
              <w:rPr>
                <w:rFonts w:ascii="Times New Roman" w:eastAsia="Times New Roman" w:hAnsi="Times New Roman"/>
                <w:lang w:val="ro-RO"/>
              </w:rPr>
            </w:pPr>
          </w:p>
        </w:tc>
      </w:tr>
      <w:tr w:rsidR="00DC3FD5" w:rsidRPr="00125FAF" w14:paraId="3C8FB48A" w14:textId="77777777" w:rsidTr="00AC461F">
        <w:trPr>
          <w:trHeight w:val="1005"/>
        </w:trPr>
        <w:tc>
          <w:tcPr>
            <w:tcW w:w="627" w:type="dxa"/>
            <w:vMerge w:val="restart"/>
            <w:hideMark/>
          </w:tcPr>
          <w:p w14:paraId="2CB24491"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5.4</w:t>
            </w:r>
          </w:p>
        </w:tc>
        <w:tc>
          <w:tcPr>
            <w:tcW w:w="3255" w:type="dxa"/>
            <w:vMerge w:val="restart"/>
            <w:hideMark/>
          </w:tcPr>
          <w:p w14:paraId="4DFD3063"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Implementarea practicilor de management durabil al terenurilor agricole în cadrul sistemului conservativ de lucrare fără afânare a solului (</w:t>
            </w:r>
            <w:proofErr w:type="spellStart"/>
            <w:r w:rsidRPr="00125FAF">
              <w:rPr>
                <w:rFonts w:ascii="Times New Roman" w:eastAsia="Times New Roman" w:hAnsi="Times New Roman"/>
                <w:lang w:val="ro-RO"/>
              </w:rPr>
              <w:t>no-till</w:t>
            </w:r>
            <w:proofErr w:type="spellEnd"/>
            <w:r w:rsidRPr="00125FAF">
              <w:rPr>
                <w:rFonts w:ascii="Times New Roman" w:eastAsia="Times New Roman" w:hAnsi="Times New Roman"/>
                <w:lang w:val="ro-RO"/>
              </w:rPr>
              <w:t xml:space="preserve">), în asolamentul cu cinci sole, cuplat cu incorporarea anuală în sol a resturilor vegetale și o dată la cinci ani a două recolte de măzăriche de toamnă și de primăvară, în calitate de îngrășământ sideral </w:t>
            </w:r>
          </w:p>
        </w:tc>
        <w:tc>
          <w:tcPr>
            <w:tcW w:w="1057" w:type="dxa"/>
            <w:hideMark/>
          </w:tcPr>
          <w:p w14:paraId="05362B46"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2021-2025</w:t>
            </w:r>
          </w:p>
        </w:tc>
        <w:tc>
          <w:tcPr>
            <w:tcW w:w="1979" w:type="dxa"/>
            <w:vMerge w:val="restart"/>
            <w:hideMark/>
          </w:tcPr>
          <w:p w14:paraId="0A26BFB9" w14:textId="1DB64EDA" w:rsidR="00D25293" w:rsidRPr="00125FAF" w:rsidRDefault="002C1CB9" w:rsidP="00D25293">
            <w:pPr>
              <w:jc w:val="both"/>
              <w:rPr>
                <w:rFonts w:ascii="Times New Roman" w:eastAsia="Times New Roman" w:hAnsi="Times New Roman"/>
                <w:lang w:val="ro-RO"/>
              </w:rPr>
            </w:pPr>
            <w:r>
              <w:rPr>
                <w:rFonts w:ascii="Times New Roman" w:eastAsia="Times New Roman" w:hAnsi="Times New Roman"/>
                <w:lang w:val="ro-RO"/>
              </w:rPr>
              <w:t>Ministerul Mediului</w:t>
            </w:r>
          </w:p>
        </w:tc>
        <w:tc>
          <w:tcPr>
            <w:tcW w:w="1726" w:type="dxa"/>
            <w:hideMark/>
          </w:tcPr>
          <w:p w14:paraId="0B95E4E4"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50 mii ha/an în perioada 2021-2025</w:t>
            </w:r>
          </w:p>
        </w:tc>
        <w:tc>
          <w:tcPr>
            <w:tcW w:w="1736" w:type="dxa"/>
            <w:hideMark/>
          </w:tcPr>
          <w:p w14:paraId="107AB9A6"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50 mii ha/an în perioada 2021-2025</w:t>
            </w:r>
          </w:p>
        </w:tc>
        <w:tc>
          <w:tcPr>
            <w:tcW w:w="1377" w:type="dxa"/>
            <w:hideMark/>
          </w:tcPr>
          <w:p w14:paraId="4F30DF55" w14:textId="7FD6FA74"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1</w:t>
            </w:r>
            <w:r w:rsidR="008F2629" w:rsidRPr="00125FAF">
              <w:rPr>
                <w:rFonts w:ascii="Times New Roman" w:eastAsia="Times New Roman" w:hAnsi="Times New Roman"/>
                <w:lang w:val="ro-RO"/>
              </w:rPr>
              <w:t xml:space="preserve"> </w:t>
            </w:r>
            <w:r w:rsidRPr="00125FAF">
              <w:rPr>
                <w:rFonts w:ascii="Times New Roman" w:eastAsia="Times New Roman" w:hAnsi="Times New Roman"/>
                <w:lang w:val="ro-RO"/>
              </w:rPr>
              <w:t>200</w:t>
            </w:r>
          </w:p>
        </w:tc>
        <w:tc>
          <w:tcPr>
            <w:tcW w:w="1444" w:type="dxa"/>
            <w:hideMark/>
          </w:tcPr>
          <w:p w14:paraId="20F4AB67" w14:textId="1459824D"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1</w:t>
            </w:r>
            <w:r w:rsidR="008F2629" w:rsidRPr="00125FAF">
              <w:rPr>
                <w:rFonts w:ascii="Times New Roman" w:eastAsia="Times New Roman" w:hAnsi="Times New Roman"/>
                <w:lang w:val="ro-RO"/>
              </w:rPr>
              <w:t xml:space="preserve"> </w:t>
            </w:r>
            <w:r w:rsidRPr="00125FAF">
              <w:rPr>
                <w:rFonts w:ascii="Times New Roman" w:eastAsia="Times New Roman" w:hAnsi="Times New Roman"/>
                <w:lang w:val="ro-RO"/>
              </w:rPr>
              <w:t>200</w:t>
            </w:r>
          </w:p>
        </w:tc>
        <w:tc>
          <w:tcPr>
            <w:tcW w:w="1238" w:type="dxa"/>
            <w:vMerge w:val="restart"/>
            <w:hideMark/>
          </w:tcPr>
          <w:p w14:paraId="65605AFE"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Buget de stat, asistență externă, alte surse</w:t>
            </w:r>
          </w:p>
        </w:tc>
      </w:tr>
      <w:tr w:rsidR="00DC3FD5" w:rsidRPr="00125FAF" w14:paraId="3ECA04E0" w14:textId="77777777" w:rsidTr="00AC461F">
        <w:trPr>
          <w:trHeight w:val="975"/>
        </w:trPr>
        <w:tc>
          <w:tcPr>
            <w:tcW w:w="627" w:type="dxa"/>
            <w:vMerge/>
            <w:hideMark/>
          </w:tcPr>
          <w:p w14:paraId="700DEC0B" w14:textId="77777777" w:rsidR="00D25293" w:rsidRPr="00125FAF" w:rsidRDefault="00D25293" w:rsidP="00D25293">
            <w:pPr>
              <w:jc w:val="both"/>
              <w:rPr>
                <w:rFonts w:ascii="Times New Roman" w:eastAsia="Times New Roman" w:hAnsi="Times New Roman"/>
                <w:lang w:val="ro-RO"/>
              </w:rPr>
            </w:pPr>
          </w:p>
        </w:tc>
        <w:tc>
          <w:tcPr>
            <w:tcW w:w="3255" w:type="dxa"/>
            <w:vMerge/>
            <w:hideMark/>
          </w:tcPr>
          <w:p w14:paraId="612560FF" w14:textId="77777777" w:rsidR="00D25293" w:rsidRPr="00125FAF" w:rsidRDefault="00D25293" w:rsidP="00D25293">
            <w:pPr>
              <w:jc w:val="both"/>
              <w:rPr>
                <w:rFonts w:ascii="Times New Roman" w:eastAsia="Times New Roman" w:hAnsi="Times New Roman"/>
                <w:lang w:val="ro-RO"/>
              </w:rPr>
            </w:pPr>
          </w:p>
        </w:tc>
        <w:tc>
          <w:tcPr>
            <w:tcW w:w="1057" w:type="dxa"/>
            <w:hideMark/>
          </w:tcPr>
          <w:p w14:paraId="72071257"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2026-2030</w:t>
            </w:r>
          </w:p>
        </w:tc>
        <w:tc>
          <w:tcPr>
            <w:tcW w:w="1979" w:type="dxa"/>
            <w:vMerge/>
            <w:hideMark/>
          </w:tcPr>
          <w:p w14:paraId="14578F8A" w14:textId="77777777" w:rsidR="00D25293" w:rsidRPr="00125FAF" w:rsidRDefault="00D25293" w:rsidP="00D25293">
            <w:pPr>
              <w:jc w:val="both"/>
              <w:rPr>
                <w:rFonts w:ascii="Times New Roman" w:eastAsia="Times New Roman" w:hAnsi="Times New Roman"/>
                <w:lang w:val="ro-RO"/>
              </w:rPr>
            </w:pPr>
          </w:p>
        </w:tc>
        <w:tc>
          <w:tcPr>
            <w:tcW w:w="1726" w:type="dxa"/>
            <w:hideMark/>
          </w:tcPr>
          <w:p w14:paraId="7E2A6564"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100 mii ha/an în perioada 2026-2030</w:t>
            </w:r>
          </w:p>
        </w:tc>
        <w:tc>
          <w:tcPr>
            <w:tcW w:w="1736" w:type="dxa"/>
            <w:hideMark/>
          </w:tcPr>
          <w:p w14:paraId="3B809960"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100 mii ha/an în perioada 2026-2030</w:t>
            </w:r>
          </w:p>
        </w:tc>
        <w:tc>
          <w:tcPr>
            <w:tcW w:w="1377" w:type="dxa"/>
            <w:hideMark/>
          </w:tcPr>
          <w:p w14:paraId="4F88CF04" w14:textId="1BD62A73"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2</w:t>
            </w:r>
            <w:r w:rsidR="008F2629" w:rsidRPr="00125FAF">
              <w:rPr>
                <w:rFonts w:ascii="Times New Roman" w:eastAsia="Times New Roman" w:hAnsi="Times New Roman"/>
                <w:lang w:val="ro-RO"/>
              </w:rPr>
              <w:t xml:space="preserve"> </w:t>
            </w:r>
            <w:r w:rsidRPr="00125FAF">
              <w:rPr>
                <w:rFonts w:ascii="Times New Roman" w:eastAsia="Times New Roman" w:hAnsi="Times New Roman"/>
                <w:lang w:val="ro-RO"/>
              </w:rPr>
              <w:t>400</w:t>
            </w:r>
          </w:p>
        </w:tc>
        <w:tc>
          <w:tcPr>
            <w:tcW w:w="1444" w:type="dxa"/>
            <w:hideMark/>
          </w:tcPr>
          <w:p w14:paraId="4E7AAFCF" w14:textId="34FB17E4"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2</w:t>
            </w:r>
            <w:r w:rsidR="008F2629" w:rsidRPr="00125FAF">
              <w:rPr>
                <w:rFonts w:ascii="Times New Roman" w:eastAsia="Times New Roman" w:hAnsi="Times New Roman"/>
                <w:lang w:val="ro-RO"/>
              </w:rPr>
              <w:t xml:space="preserve"> </w:t>
            </w:r>
            <w:r w:rsidRPr="00125FAF">
              <w:rPr>
                <w:rFonts w:ascii="Times New Roman" w:eastAsia="Times New Roman" w:hAnsi="Times New Roman"/>
                <w:lang w:val="ro-RO"/>
              </w:rPr>
              <w:t>400</w:t>
            </w:r>
          </w:p>
        </w:tc>
        <w:tc>
          <w:tcPr>
            <w:tcW w:w="1238" w:type="dxa"/>
            <w:vMerge/>
            <w:hideMark/>
          </w:tcPr>
          <w:p w14:paraId="53B76C7E" w14:textId="77777777" w:rsidR="00D25293" w:rsidRPr="00125FAF" w:rsidRDefault="00D25293" w:rsidP="00D25293">
            <w:pPr>
              <w:jc w:val="both"/>
              <w:rPr>
                <w:rFonts w:ascii="Times New Roman" w:eastAsia="Times New Roman" w:hAnsi="Times New Roman"/>
                <w:lang w:val="ro-RO"/>
              </w:rPr>
            </w:pPr>
          </w:p>
        </w:tc>
      </w:tr>
      <w:tr w:rsidR="00DC3FD5" w:rsidRPr="00125FAF" w14:paraId="2E3C6B52" w14:textId="77777777" w:rsidTr="00AC461F">
        <w:trPr>
          <w:trHeight w:val="885"/>
        </w:trPr>
        <w:tc>
          <w:tcPr>
            <w:tcW w:w="627" w:type="dxa"/>
            <w:hideMark/>
          </w:tcPr>
          <w:p w14:paraId="6729DCD0"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5.5</w:t>
            </w:r>
          </w:p>
        </w:tc>
        <w:tc>
          <w:tcPr>
            <w:tcW w:w="3255" w:type="dxa"/>
            <w:hideMark/>
          </w:tcPr>
          <w:p w14:paraId="4C0916CA"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Depozitarea gunoiului de grajd în platforme comunale sau depozite individuale</w:t>
            </w:r>
          </w:p>
        </w:tc>
        <w:tc>
          <w:tcPr>
            <w:tcW w:w="1057" w:type="dxa"/>
            <w:hideMark/>
          </w:tcPr>
          <w:p w14:paraId="13BC2D8F"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2030</w:t>
            </w:r>
          </w:p>
        </w:tc>
        <w:tc>
          <w:tcPr>
            <w:tcW w:w="1979" w:type="dxa"/>
            <w:hideMark/>
          </w:tcPr>
          <w:p w14:paraId="352C8930" w14:textId="75FBCCCC" w:rsidR="00D25293" w:rsidRPr="00125FAF" w:rsidRDefault="002C1CB9" w:rsidP="00D25293">
            <w:pPr>
              <w:jc w:val="both"/>
              <w:rPr>
                <w:rFonts w:ascii="Times New Roman" w:eastAsia="Times New Roman" w:hAnsi="Times New Roman"/>
                <w:lang w:val="ro-RO"/>
              </w:rPr>
            </w:pPr>
            <w:r>
              <w:rPr>
                <w:rFonts w:ascii="Times New Roman" w:eastAsia="Times New Roman" w:hAnsi="Times New Roman"/>
                <w:lang w:val="ro-RO"/>
              </w:rPr>
              <w:t>Ministerul Mediului</w:t>
            </w:r>
          </w:p>
        </w:tc>
        <w:tc>
          <w:tcPr>
            <w:tcW w:w="1726" w:type="dxa"/>
            <w:hideMark/>
          </w:tcPr>
          <w:p w14:paraId="0897BFCC"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6 234 mii tone de gunoi de grajd depozitate anual în plat-forme</w:t>
            </w:r>
          </w:p>
        </w:tc>
        <w:tc>
          <w:tcPr>
            <w:tcW w:w="1736" w:type="dxa"/>
            <w:hideMark/>
          </w:tcPr>
          <w:p w14:paraId="40A5A1EB"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2075 mii tone de gunoi de grajd depozitate anual în plat-forme</w:t>
            </w:r>
          </w:p>
        </w:tc>
        <w:tc>
          <w:tcPr>
            <w:tcW w:w="1377" w:type="dxa"/>
            <w:hideMark/>
          </w:tcPr>
          <w:p w14:paraId="2D417FAD" w14:textId="1421B7C5"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1</w:t>
            </w:r>
            <w:r w:rsidR="008F2629" w:rsidRPr="00125FAF">
              <w:rPr>
                <w:rFonts w:ascii="Times New Roman" w:eastAsia="Times New Roman" w:hAnsi="Times New Roman"/>
                <w:lang w:val="ro-RO"/>
              </w:rPr>
              <w:t xml:space="preserve"> </w:t>
            </w:r>
            <w:r w:rsidRPr="00125FAF">
              <w:rPr>
                <w:rFonts w:ascii="Times New Roman" w:eastAsia="Times New Roman" w:hAnsi="Times New Roman"/>
                <w:lang w:val="ro-RO"/>
              </w:rPr>
              <w:t>580</w:t>
            </w:r>
          </w:p>
        </w:tc>
        <w:tc>
          <w:tcPr>
            <w:tcW w:w="1444" w:type="dxa"/>
            <w:hideMark/>
          </w:tcPr>
          <w:p w14:paraId="44CBD861"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530</w:t>
            </w:r>
          </w:p>
        </w:tc>
        <w:tc>
          <w:tcPr>
            <w:tcW w:w="1238" w:type="dxa"/>
            <w:hideMark/>
          </w:tcPr>
          <w:p w14:paraId="5B38D47B"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 xml:space="preserve">Buget de stat, </w:t>
            </w:r>
            <w:proofErr w:type="spellStart"/>
            <w:r w:rsidRPr="00125FAF">
              <w:rPr>
                <w:rFonts w:ascii="Times New Roman" w:eastAsia="Times New Roman" w:hAnsi="Times New Roman"/>
                <w:lang w:val="ro-RO"/>
              </w:rPr>
              <w:t>asisten-ţă</w:t>
            </w:r>
            <w:proofErr w:type="spellEnd"/>
            <w:r w:rsidRPr="00125FAF">
              <w:rPr>
                <w:rFonts w:ascii="Times New Roman" w:eastAsia="Times New Roman" w:hAnsi="Times New Roman"/>
                <w:lang w:val="ro-RO"/>
              </w:rPr>
              <w:t xml:space="preserve"> externă, alte surse</w:t>
            </w:r>
          </w:p>
        </w:tc>
      </w:tr>
      <w:tr w:rsidR="00DC3FD5" w:rsidRPr="00125FAF" w14:paraId="49CE4B22" w14:textId="77777777" w:rsidTr="00AC461F">
        <w:trPr>
          <w:trHeight w:val="840"/>
        </w:trPr>
        <w:tc>
          <w:tcPr>
            <w:tcW w:w="627" w:type="dxa"/>
            <w:hideMark/>
          </w:tcPr>
          <w:p w14:paraId="5EEDED32"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5.6</w:t>
            </w:r>
          </w:p>
        </w:tc>
        <w:tc>
          <w:tcPr>
            <w:tcW w:w="3255" w:type="dxa"/>
            <w:hideMark/>
          </w:tcPr>
          <w:p w14:paraId="68B19125"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 xml:space="preserve">Implementarea tehnologiilor de </w:t>
            </w:r>
            <w:proofErr w:type="spellStart"/>
            <w:r w:rsidRPr="00125FAF">
              <w:rPr>
                <w:rFonts w:ascii="Times New Roman" w:eastAsia="Times New Roman" w:hAnsi="Times New Roman"/>
                <w:lang w:val="ro-RO"/>
              </w:rPr>
              <w:t>alimentaţie</w:t>
            </w:r>
            <w:proofErr w:type="spellEnd"/>
            <w:r w:rsidRPr="00125FAF">
              <w:rPr>
                <w:rFonts w:ascii="Times New Roman" w:eastAsia="Times New Roman" w:hAnsi="Times New Roman"/>
                <w:lang w:val="ro-RO"/>
              </w:rPr>
              <w:t xml:space="preserve"> a taurinelor prin utilizarea unor </w:t>
            </w:r>
            <w:proofErr w:type="spellStart"/>
            <w:r w:rsidRPr="00125FAF">
              <w:rPr>
                <w:rFonts w:ascii="Times New Roman" w:eastAsia="Times New Roman" w:hAnsi="Times New Roman"/>
                <w:lang w:val="ro-RO"/>
              </w:rPr>
              <w:t>raţii</w:t>
            </w:r>
            <w:proofErr w:type="spellEnd"/>
            <w:r w:rsidRPr="00125FAF">
              <w:rPr>
                <w:rFonts w:ascii="Times New Roman" w:eastAsia="Times New Roman" w:hAnsi="Times New Roman"/>
                <w:lang w:val="ro-RO"/>
              </w:rPr>
              <w:t xml:space="preserve"> cu o structură optimă, </w:t>
            </w:r>
            <w:proofErr w:type="spellStart"/>
            <w:r w:rsidRPr="00125FAF">
              <w:rPr>
                <w:rFonts w:ascii="Times New Roman" w:eastAsia="Times New Roman" w:hAnsi="Times New Roman"/>
                <w:lang w:val="ro-RO"/>
              </w:rPr>
              <w:t>ştiinţific</w:t>
            </w:r>
            <w:proofErr w:type="spellEnd"/>
            <w:r w:rsidRPr="00125FAF">
              <w:rPr>
                <w:rFonts w:ascii="Times New Roman" w:eastAsia="Times New Roman" w:hAnsi="Times New Roman"/>
                <w:lang w:val="ro-RO"/>
              </w:rPr>
              <w:t xml:space="preserve"> argumentată</w:t>
            </w:r>
          </w:p>
        </w:tc>
        <w:tc>
          <w:tcPr>
            <w:tcW w:w="1057" w:type="dxa"/>
            <w:hideMark/>
          </w:tcPr>
          <w:p w14:paraId="7F1A2D8D"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2030</w:t>
            </w:r>
          </w:p>
        </w:tc>
        <w:tc>
          <w:tcPr>
            <w:tcW w:w="1979" w:type="dxa"/>
            <w:hideMark/>
          </w:tcPr>
          <w:p w14:paraId="2A5276C1" w14:textId="57EC9283" w:rsidR="00D25293" w:rsidRPr="00125FAF" w:rsidRDefault="002C1CB9" w:rsidP="00D25293">
            <w:pPr>
              <w:jc w:val="both"/>
              <w:rPr>
                <w:rFonts w:ascii="Times New Roman" w:eastAsia="Times New Roman" w:hAnsi="Times New Roman"/>
                <w:lang w:val="ro-RO"/>
              </w:rPr>
            </w:pPr>
            <w:r>
              <w:rPr>
                <w:rFonts w:ascii="Times New Roman" w:eastAsia="Times New Roman" w:hAnsi="Times New Roman"/>
                <w:lang w:val="ro-RO"/>
              </w:rPr>
              <w:t>Ministerul Mediului</w:t>
            </w:r>
          </w:p>
        </w:tc>
        <w:tc>
          <w:tcPr>
            <w:tcW w:w="1726" w:type="dxa"/>
            <w:hideMark/>
          </w:tcPr>
          <w:p w14:paraId="38A29FC2"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 xml:space="preserve">32 % din </w:t>
            </w:r>
            <w:proofErr w:type="spellStart"/>
            <w:r w:rsidRPr="00125FAF">
              <w:rPr>
                <w:rFonts w:ascii="Times New Roman" w:eastAsia="Times New Roman" w:hAnsi="Times New Roman"/>
                <w:lang w:val="ro-RO"/>
              </w:rPr>
              <w:t>şeptelul</w:t>
            </w:r>
            <w:proofErr w:type="spellEnd"/>
            <w:r w:rsidRPr="00125FAF">
              <w:rPr>
                <w:rFonts w:ascii="Times New Roman" w:eastAsia="Times New Roman" w:hAnsi="Times New Roman"/>
                <w:lang w:val="ro-RO"/>
              </w:rPr>
              <w:t xml:space="preserve"> de taurine pe </w:t>
            </w:r>
            <w:proofErr w:type="spellStart"/>
            <w:r w:rsidRPr="00125FAF">
              <w:rPr>
                <w:rFonts w:ascii="Times New Roman" w:eastAsia="Times New Roman" w:hAnsi="Times New Roman"/>
                <w:lang w:val="ro-RO"/>
              </w:rPr>
              <w:t>ţară</w:t>
            </w:r>
            <w:proofErr w:type="spellEnd"/>
            <w:r w:rsidRPr="00125FAF">
              <w:rPr>
                <w:rFonts w:ascii="Times New Roman" w:eastAsia="Times New Roman" w:hAnsi="Times New Roman"/>
                <w:lang w:val="ro-RO"/>
              </w:rPr>
              <w:t xml:space="preserve"> s-a aplicat </w:t>
            </w:r>
            <w:proofErr w:type="spellStart"/>
            <w:r w:rsidRPr="00125FAF">
              <w:rPr>
                <w:rFonts w:ascii="Times New Roman" w:eastAsia="Times New Roman" w:hAnsi="Times New Roman"/>
                <w:lang w:val="ro-RO"/>
              </w:rPr>
              <w:t>tehnolo-gia</w:t>
            </w:r>
            <w:proofErr w:type="spellEnd"/>
          </w:p>
        </w:tc>
        <w:tc>
          <w:tcPr>
            <w:tcW w:w="1736" w:type="dxa"/>
            <w:hideMark/>
          </w:tcPr>
          <w:p w14:paraId="51D7A08E"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 xml:space="preserve">8 % din </w:t>
            </w:r>
            <w:proofErr w:type="spellStart"/>
            <w:r w:rsidRPr="00125FAF">
              <w:rPr>
                <w:rFonts w:ascii="Times New Roman" w:eastAsia="Times New Roman" w:hAnsi="Times New Roman"/>
                <w:lang w:val="ro-RO"/>
              </w:rPr>
              <w:t>şeptelul</w:t>
            </w:r>
            <w:proofErr w:type="spellEnd"/>
            <w:r w:rsidRPr="00125FAF">
              <w:rPr>
                <w:rFonts w:ascii="Times New Roman" w:eastAsia="Times New Roman" w:hAnsi="Times New Roman"/>
                <w:lang w:val="ro-RO"/>
              </w:rPr>
              <w:t xml:space="preserve"> de taurine pe </w:t>
            </w:r>
            <w:proofErr w:type="spellStart"/>
            <w:r w:rsidRPr="00125FAF">
              <w:rPr>
                <w:rFonts w:ascii="Times New Roman" w:eastAsia="Times New Roman" w:hAnsi="Times New Roman"/>
                <w:lang w:val="ro-RO"/>
              </w:rPr>
              <w:t>ţară</w:t>
            </w:r>
            <w:proofErr w:type="spellEnd"/>
            <w:r w:rsidRPr="00125FAF">
              <w:rPr>
                <w:rFonts w:ascii="Times New Roman" w:eastAsia="Times New Roman" w:hAnsi="Times New Roman"/>
                <w:lang w:val="ro-RO"/>
              </w:rPr>
              <w:t xml:space="preserve"> s-a aplicat </w:t>
            </w:r>
            <w:proofErr w:type="spellStart"/>
            <w:r w:rsidRPr="00125FAF">
              <w:rPr>
                <w:rFonts w:ascii="Times New Roman" w:eastAsia="Times New Roman" w:hAnsi="Times New Roman"/>
                <w:lang w:val="ro-RO"/>
              </w:rPr>
              <w:t>tehnolo-gia</w:t>
            </w:r>
            <w:proofErr w:type="spellEnd"/>
          </w:p>
        </w:tc>
        <w:tc>
          <w:tcPr>
            <w:tcW w:w="1377" w:type="dxa"/>
            <w:hideMark/>
          </w:tcPr>
          <w:p w14:paraId="58374193"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194</w:t>
            </w:r>
          </w:p>
        </w:tc>
        <w:tc>
          <w:tcPr>
            <w:tcW w:w="1444" w:type="dxa"/>
            <w:hideMark/>
          </w:tcPr>
          <w:p w14:paraId="5ADB8402"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46</w:t>
            </w:r>
          </w:p>
        </w:tc>
        <w:tc>
          <w:tcPr>
            <w:tcW w:w="1238" w:type="dxa"/>
            <w:hideMark/>
          </w:tcPr>
          <w:p w14:paraId="3264383D"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 xml:space="preserve">Buget de stat, </w:t>
            </w:r>
            <w:proofErr w:type="spellStart"/>
            <w:r w:rsidRPr="00125FAF">
              <w:rPr>
                <w:rFonts w:ascii="Times New Roman" w:eastAsia="Times New Roman" w:hAnsi="Times New Roman"/>
                <w:lang w:val="ro-RO"/>
              </w:rPr>
              <w:t>asisten-ţă</w:t>
            </w:r>
            <w:proofErr w:type="spellEnd"/>
            <w:r w:rsidRPr="00125FAF">
              <w:rPr>
                <w:rFonts w:ascii="Times New Roman" w:eastAsia="Times New Roman" w:hAnsi="Times New Roman"/>
                <w:lang w:val="ro-RO"/>
              </w:rPr>
              <w:t xml:space="preserve"> externă, alte surse</w:t>
            </w:r>
          </w:p>
        </w:tc>
      </w:tr>
      <w:tr w:rsidR="00DC3FD5" w:rsidRPr="00125FAF" w14:paraId="58E6F685" w14:textId="77777777" w:rsidTr="00AC461F">
        <w:trPr>
          <w:trHeight w:val="870"/>
        </w:trPr>
        <w:tc>
          <w:tcPr>
            <w:tcW w:w="627" w:type="dxa"/>
            <w:hideMark/>
          </w:tcPr>
          <w:p w14:paraId="0A25426D"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5.7</w:t>
            </w:r>
          </w:p>
        </w:tc>
        <w:tc>
          <w:tcPr>
            <w:tcW w:w="3255" w:type="dxa"/>
            <w:hideMark/>
          </w:tcPr>
          <w:p w14:paraId="527218BA"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 xml:space="preserve">Promovarea tehnologiilor de </w:t>
            </w:r>
            <w:proofErr w:type="spellStart"/>
            <w:r w:rsidRPr="00125FAF">
              <w:rPr>
                <w:rFonts w:ascii="Times New Roman" w:eastAsia="Times New Roman" w:hAnsi="Times New Roman"/>
                <w:lang w:val="ro-RO"/>
              </w:rPr>
              <w:t>alimentaţie</w:t>
            </w:r>
            <w:proofErr w:type="spellEnd"/>
            <w:r w:rsidRPr="00125FAF">
              <w:rPr>
                <w:rFonts w:ascii="Times New Roman" w:eastAsia="Times New Roman" w:hAnsi="Times New Roman"/>
                <w:lang w:val="ro-RO"/>
              </w:rPr>
              <w:t xml:space="preserve"> a taurinelor prin utilizarea furajelor în formă de amestecuri unice (</w:t>
            </w:r>
            <w:proofErr w:type="spellStart"/>
            <w:r w:rsidRPr="00125FAF">
              <w:rPr>
                <w:rFonts w:ascii="Times New Roman" w:eastAsia="Times New Roman" w:hAnsi="Times New Roman"/>
                <w:lang w:val="ro-RO"/>
              </w:rPr>
              <w:t>monoraţie</w:t>
            </w:r>
            <w:proofErr w:type="spellEnd"/>
            <w:r w:rsidRPr="00125FAF">
              <w:rPr>
                <w:rFonts w:ascii="Times New Roman" w:eastAsia="Times New Roman" w:hAnsi="Times New Roman"/>
                <w:lang w:val="ro-RO"/>
              </w:rPr>
              <w:t xml:space="preserve">), fără sau cu </w:t>
            </w:r>
            <w:proofErr w:type="spellStart"/>
            <w:r w:rsidRPr="00125FAF">
              <w:rPr>
                <w:rFonts w:ascii="Times New Roman" w:eastAsia="Times New Roman" w:hAnsi="Times New Roman"/>
                <w:lang w:val="ro-RO"/>
              </w:rPr>
              <w:t>cantităţi</w:t>
            </w:r>
            <w:proofErr w:type="spellEnd"/>
            <w:r w:rsidRPr="00125FAF">
              <w:rPr>
                <w:rFonts w:ascii="Times New Roman" w:eastAsia="Times New Roman" w:hAnsi="Times New Roman"/>
                <w:lang w:val="ro-RO"/>
              </w:rPr>
              <w:t xml:space="preserve"> mici de </w:t>
            </w:r>
            <w:proofErr w:type="spellStart"/>
            <w:r w:rsidRPr="00125FAF">
              <w:rPr>
                <w:rFonts w:ascii="Times New Roman" w:eastAsia="Times New Roman" w:hAnsi="Times New Roman"/>
                <w:lang w:val="ro-RO"/>
              </w:rPr>
              <w:t>nutreţuri</w:t>
            </w:r>
            <w:proofErr w:type="spellEnd"/>
            <w:r w:rsidRPr="00125FAF">
              <w:rPr>
                <w:rFonts w:ascii="Times New Roman" w:eastAsia="Times New Roman" w:hAnsi="Times New Roman"/>
                <w:lang w:val="ro-RO"/>
              </w:rPr>
              <w:t xml:space="preserve"> verzi</w:t>
            </w:r>
          </w:p>
        </w:tc>
        <w:tc>
          <w:tcPr>
            <w:tcW w:w="1057" w:type="dxa"/>
            <w:hideMark/>
          </w:tcPr>
          <w:p w14:paraId="7E2B7C32"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2030</w:t>
            </w:r>
          </w:p>
        </w:tc>
        <w:tc>
          <w:tcPr>
            <w:tcW w:w="1979" w:type="dxa"/>
            <w:hideMark/>
          </w:tcPr>
          <w:p w14:paraId="65488831" w14:textId="29BD94B7" w:rsidR="00D25293" w:rsidRPr="00125FAF" w:rsidRDefault="002C1CB9" w:rsidP="00D25293">
            <w:pPr>
              <w:jc w:val="both"/>
              <w:rPr>
                <w:rFonts w:ascii="Times New Roman" w:eastAsia="Times New Roman" w:hAnsi="Times New Roman"/>
                <w:lang w:val="ro-RO"/>
              </w:rPr>
            </w:pPr>
            <w:r>
              <w:rPr>
                <w:rFonts w:ascii="Times New Roman" w:eastAsia="Times New Roman" w:hAnsi="Times New Roman"/>
                <w:lang w:val="ro-RO"/>
              </w:rPr>
              <w:t>Ministerul Mediului</w:t>
            </w:r>
          </w:p>
        </w:tc>
        <w:tc>
          <w:tcPr>
            <w:tcW w:w="1726" w:type="dxa"/>
            <w:hideMark/>
          </w:tcPr>
          <w:p w14:paraId="2A9DADB9"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 xml:space="preserve">38 % din </w:t>
            </w:r>
            <w:proofErr w:type="spellStart"/>
            <w:r w:rsidRPr="00125FAF">
              <w:rPr>
                <w:rFonts w:ascii="Times New Roman" w:eastAsia="Times New Roman" w:hAnsi="Times New Roman"/>
                <w:lang w:val="ro-RO"/>
              </w:rPr>
              <w:t>şeptelul</w:t>
            </w:r>
            <w:proofErr w:type="spellEnd"/>
            <w:r w:rsidRPr="00125FAF">
              <w:rPr>
                <w:rFonts w:ascii="Times New Roman" w:eastAsia="Times New Roman" w:hAnsi="Times New Roman"/>
                <w:lang w:val="ro-RO"/>
              </w:rPr>
              <w:t xml:space="preserve"> de taurine pe </w:t>
            </w:r>
            <w:proofErr w:type="spellStart"/>
            <w:r w:rsidRPr="00125FAF">
              <w:rPr>
                <w:rFonts w:ascii="Times New Roman" w:eastAsia="Times New Roman" w:hAnsi="Times New Roman"/>
                <w:lang w:val="ro-RO"/>
              </w:rPr>
              <w:t>ţară</w:t>
            </w:r>
            <w:proofErr w:type="spellEnd"/>
            <w:r w:rsidRPr="00125FAF">
              <w:rPr>
                <w:rFonts w:ascii="Times New Roman" w:eastAsia="Times New Roman" w:hAnsi="Times New Roman"/>
                <w:lang w:val="ro-RO"/>
              </w:rPr>
              <w:t xml:space="preserve"> s-a aplicat </w:t>
            </w:r>
            <w:proofErr w:type="spellStart"/>
            <w:r w:rsidRPr="00125FAF">
              <w:rPr>
                <w:rFonts w:ascii="Times New Roman" w:eastAsia="Times New Roman" w:hAnsi="Times New Roman"/>
                <w:lang w:val="ro-RO"/>
              </w:rPr>
              <w:t>tehnolo-gia</w:t>
            </w:r>
            <w:proofErr w:type="spellEnd"/>
          </w:p>
        </w:tc>
        <w:tc>
          <w:tcPr>
            <w:tcW w:w="1736" w:type="dxa"/>
            <w:hideMark/>
          </w:tcPr>
          <w:p w14:paraId="7E1E5796"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 xml:space="preserve">22 % din </w:t>
            </w:r>
            <w:proofErr w:type="spellStart"/>
            <w:r w:rsidRPr="00125FAF">
              <w:rPr>
                <w:rFonts w:ascii="Times New Roman" w:eastAsia="Times New Roman" w:hAnsi="Times New Roman"/>
                <w:lang w:val="ro-RO"/>
              </w:rPr>
              <w:t>şeptelul</w:t>
            </w:r>
            <w:proofErr w:type="spellEnd"/>
            <w:r w:rsidRPr="00125FAF">
              <w:rPr>
                <w:rFonts w:ascii="Times New Roman" w:eastAsia="Times New Roman" w:hAnsi="Times New Roman"/>
                <w:lang w:val="ro-RO"/>
              </w:rPr>
              <w:t xml:space="preserve"> de taurine pe </w:t>
            </w:r>
            <w:proofErr w:type="spellStart"/>
            <w:r w:rsidRPr="00125FAF">
              <w:rPr>
                <w:rFonts w:ascii="Times New Roman" w:eastAsia="Times New Roman" w:hAnsi="Times New Roman"/>
                <w:lang w:val="ro-RO"/>
              </w:rPr>
              <w:t>ţară</w:t>
            </w:r>
            <w:proofErr w:type="spellEnd"/>
            <w:r w:rsidRPr="00125FAF">
              <w:rPr>
                <w:rFonts w:ascii="Times New Roman" w:eastAsia="Times New Roman" w:hAnsi="Times New Roman"/>
                <w:lang w:val="ro-RO"/>
              </w:rPr>
              <w:t xml:space="preserve"> s-a aplicat </w:t>
            </w:r>
            <w:proofErr w:type="spellStart"/>
            <w:r w:rsidRPr="00125FAF">
              <w:rPr>
                <w:rFonts w:ascii="Times New Roman" w:eastAsia="Times New Roman" w:hAnsi="Times New Roman"/>
                <w:lang w:val="ro-RO"/>
              </w:rPr>
              <w:t>tehnolo-gia</w:t>
            </w:r>
            <w:proofErr w:type="spellEnd"/>
          </w:p>
        </w:tc>
        <w:tc>
          <w:tcPr>
            <w:tcW w:w="1377" w:type="dxa"/>
            <w:hideMark/>
          </w:tcPr>
          <w:p w14:paraId="6D131D56"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46</w:t>
            </w:r>
          </w:p>
        </w:tc>
        <w:tc>
          <w:tcPr>
            <w:tcW w:w="1444" w:type="dxa"/>
            <w:hideMark/>
          </w:tcPr>
          <w:p w14:paraId="11595239"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26</w:t>
            </w:r>
          </w:p>
        </w:tc>
        <w:tc>
          <w:tcPr>
            <w:tcW w:w="1238" w:type="dxa"/>
            <w:hideMark/>
          </w:tcPr>
          <w:p w14:paraId="2AB4106D"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 xml:space="preserve">Buget de stat, </w:t>
            </w:r>
            <w:proofErr w:type="spellStart"/>
            <w:r w:rsidRPr="00125FAF">
              <w:rPr>
                <w:rFonts w:ascii="Times New Roman" w:eastAsia="Times New Roman" w:hAnsi="Times New Roman"/>
                <w:lang w:val="ro-RO"/>
              </w:rPr>
              <w:t>asistenţă</w:t>
            </w:r>
            <w:proofErr w:type="spellEnd"/>
            <w:r w:rsidRPr="00125FAF">
              <w:rPr>
                <w:rFonts w:ascii="Times New Roman" w:eastAsia="Times New Roman" w:hAnsi="Times New Roman"/>
                <w:lang w:val="ro-RO"/>
              </w:rPr>
              <w:t xml:space="preserve"> externă, alte surse</w:t>
            </w:r>
          </w:p>
        </w:tc>
      </w:tr>
      <w:tr w:rsidR="00DC3FD5" w:rsidRPr="00125FAF" w14:paraId="197B000C" w14:textId="77777777" w:rsidTr="00AC461F">
        <w:trPr>
          <w:trHeight w:val="1170"/>
        </w:trPr>
        <w:tc>
          <w:tcPr>
            <w:tcW w:w="627" w:type="dxa"/>
            <w:hideMark/>
          </w:tcPr>
          <w:p w14:paraId="2F8C2CC0"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5.8</w:t>
            </w:r>
          </w:p>
        </w:tc>
        <w:tc>
          <w:tcPr>
            <w:tcW w:w="3255" w:type="dxa"/>
            <w:hideMark/>
          </w:tcPr>
          <w:p w14:paraId="2F9D92D3"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 xml:space="preserve">Includerea în </w:t>
            </w:r>
            <w:proofErr w:type="spellStart"/>
            <w:r w:rsidRPr="00125FAF">
              <w:rPr>
                <w:rFonts w:ascii="Times New Roman" w:eastAsia="Times New Roman" w:hAnsi="Times New Roman"/>
                <w:lang w:val="ro-RO"/>
              </w:rPr>
              <w:t>raţiile</w:t>
            </w:r>
            <w:proofErr w:type="spellEnd"/>
            <w:r w:rsidRPr="00125FAF">
              <w:rPr>
                <w:rFonts w:ascii="Times New Roman" w:eastAsia="Times New Roman" w:hAnsi="Times New Roman"/>
                <w:lang w:val="ro-RO"/>
              </w:rPr>
              <w:t xml:space="preserve"> taurinelor a unor aditivi furajeri (saponine, </w:t>
            </w:r>
            <w:proofErr w:type="spellStart"/>
            <w:r w:rsidRPr="00125FAF">
              <w:rPr>
                <w:rFonts w:ascii="Times New Roman" w:eastAsia="Times New Roman" w:hAnsi="Times New Roman"/>
                <w:lang w:val="ro-RO"/>
              </w:rPr>
              <w:t>ionofori</w:t>
            </w:r>
            <w:proofErr w:type="spellEnd"/>
            <w:r w:rsidRPr="00125FAF">
              <w:rPr>
                <w:rFonts w:ascii="Times New Roman" w:eastAsia="Times New Roman" w:hAnsi="Times New Roman"/>
                <w:lang w:val="ro-RO"/>
              </w:rPr>
              <w:t xml:space="preserve">) care </w:t>
            </w:r>
            <w:proofErr w:type="spellStart"/>
            <w:r w:rsidRPr="00125FAF">
              <w:rPr>
                <w:rFonts w:ascii="Times New Roman" w:eastAsia="Times New Roman" w:hAnsi="Times New Roman"/>
                <w:lang w:val="ro-RO"/>
              </w:rPr>
              <w:t>micşorează</w:t>
            </w:r>
            <w:proofErr w:type="spellEnd"/>
            <w:r w:rsidRPr="00125FAF">
              <w:rPr>
                <w:rFonts w:ascii="Times New Roman" w:eastAsia="Times New Roman" w:hAnsi="Times New Roman"/>
                <w:lang w:val="ro-RO"/>
              </w:rPr>
              <w:t xml:space="preserve"> nivelul de formare a metanului în procesul de digestie</w:t>
            </w:r>
          </w:p>
        </w:tc>
        <w:tc>
          <w:tcPr>
            <w:tcW w:w="1057" w:type="dxa"/>
            <w:hideMark/>
          </w:tcPr>
          <w:p w14:paraId="4B1670A8"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2030</w:t>
            </w:r>
          </w:p>
        </w:tc>
        <w:tc>
          <w:tcPr>
            <w:tcW w:w="1979" w:type="dxa"/>
            <w:hideMark/>
          </w:tcPr>
          <w:p w14:paraId="36ECCC3A" w14:textId="68FF0440" w:rsidR="00D25293" w:rsidRPr="00125FAF" w:rsidRDefault="002C1CB9" w:rsidP="00D25293">
            <w:pPr>
              <w:jc w:val="both"/>
              <w:rPr>
                <w:rFonts w:ascii="Times New Roman" w:eastAsia="Times New Roman" w:hAnsi="Times New Roman"/>
                <w:lang w:val="ro-RO"/>
              </w:rPr>
            </w:pPr>
            <w:r>
              <w:rPr>
                <w:rFonts w:ascii="Times New Roman" w:eastAsia="Times New Roman" w:hAnsi="Times New Roman"/>
                <w:lang w:val="ro-RO"/>
              </w:rPr>
              <w:t>Ministerul Mediului</w:t>
            </w:r>
          </w:p>
        </w:tc>
        <w:tc>
          <w:tcPr>
            <w:tcW w:w="1726" w:type="dxa"/>
            <w:hideMark/>
          </w:tcPr>
          <w:p w14:paraId="356395D4"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 xml:space="preserve">13 % din </w:t>
            </w:r>
            <w:proofErr w:type="spellStart"/>
            <w:r w:rsidRPr="00125FAF">
              <w:rPr>
                <w:rFonts w:ascii="Times New Roman" w:eastAsia="Times New Roman" w:hAnsi="Times New Roman"/>
                <w:lang w:val="ro-RO"/>
              </w:rPr>
              <w:t>şeptelul</w:t>
            </w:r>
            <w:proofErr w:type="spellEnd"/>
            <w:r w:rsidRPr="00125FAF">
              <w:rPr>
                <w:rFonts w:ascii="Times New Roman" w:eastAsia="Times New Roman" w:hAnsi="Times New Roman"/>
                <w:lang w:val="ro-RO"/>
              </w:rPr>
              <w:t xml:space="preserve"> de taurine pe </w:t>
            </w:r>
            <w:proofErr w:type="spellStart"/>
            <w:r w:rsidRPr="00125FAF">
              <w:rPr>
                <w:rFonts w:ascii="Times New Roman" w:eastAsia="Times New Roman" w:hAnsi="Times New Roman"/>
                <w:lang w:val="ro-RO"/>
              </w:rPr>
              <w:t>ţară</w:t>
            </w:r>
            <w:proofErr w:type="spellEnd"/>
            <w:r w:rsidRPr="00125FAF">
              <w:rPr>
                <w:rFonts w:ascii="Times New Roman" w:eastAsia="Times New Roman" w:hAnsi="Times New Roman"/>
                <w:lang w:val="ro-RO"/>
              </w:rPr>
              <w:t xml:space="preserve"> s-a aplicat </w:t>
            </w:r>
            <w:proofErr w:type="spellStart"/>
            <w:r w:rsidRPr="00125FAF">
              <w:rPr>
                <w:rFonts w:ascii="Times New Roman" w:eastAsia="Times New Roman" w:hAnsi="Times New Roman"/>
                <w:lang w:val="ro-RO"/>
              </w:rPr>
              <w:t>tehnolo-gia</w:t>
            </w:r>
            <w:proofErr w:type="spellEnd"/>
          </w:p>
        </w:tc>
        <w:tc>
          <w:tcPr>
            <w:tcW w:w="1736" w:type="dxa"/>
            <w:hideMark/>
          </w:tcPr>
          <w:p w14:paraId="4877A7CD"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 xml:space="preserve">7 % din </w:t>
            </w:r>
            <w:proofErr w:type="spellStart"/>
            <w:r w:rsidRPr="00125FAF">
              <w:rPr>
                <w:rFonts w:ascii="Times New Roman" w:eastAsia="Times New Roman" w:hAnsi="Times New Roman"/>
                <w:lang w:val="ro-RO"/>
              </w:rPr>
              <w:t>şeptelul</w:t>
            </w:r>
            <w:proofErr w:type="spellEnd"/>
            <w:r w:rsidRPr="00125FAF">
              <w:rPr>
                <w:rFonts w:ascii="Times New Roman" w:eastAsia="Times New Roman" w:hAnsi="Times New Roman"/>
                <w:lang w:val="ro-RO"/>
              </w:rPr>
              <w:t xml:space="preserve"> de taurine pe </w:t>
            </w:r>
            <w:proofErr w:type="spellStart"/>
            <w:r w:rsidRPr="00125FAF">
              <w:rPr>
                <w:rFonts w:ascii="Times New Roman" w:eastAsia="Times New Roman" w:hAnsi="Times New Roman"/>
                <w:lang w:val="ro-RO"/>
              </w:rPr>
              <w:t>ţară</w:t>
            </w:r>
            <w:proofErr w:type="spellEnd"/>
            <w:r w:rsidRPr="00125FAF">
              <w:rPr>
                <w:rFonts w:ascii="Times New Roman" w:eastAsia="Times New Roman" w:hAnsi="Times New Roman"/>
                <w:lang w:val="ro-RO"/>
              </w:rPr>
              <w:t xml:space="preserve"> s-a aplicat </w:t>
            </w:r>
            <w:proofErr w:type="spellStart"/>
            <w:r w:rsidRPr="00125FAF">
              <w:rPr>
                <w:rFonts w:ascii="Times New Roman" w:eastAsia="Times New Roman" w:hAnsi="Times New Roman"/>
                <w:lang w:val="ro-RO"/>
              </w:rPr>
              <w:t>tehnolo-gia</w:t>
            </w:r>
            <w:proofErr w:type="spellEnd"/>
          </w:p>
        </w:tc>
        <w:tc>
          <w:tcPr>
            <w:tcW w:w="1377" w:type="dxa"/>
            <w:hideMark/>
          </w:tcPr>
          <w:p w14:paraId="316D4FBF"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38</w:t>
            </w:r>
          </w:p>
        </w:tc>
        <w:tc>
          <w:tcPr>
            <w:tcW w:w="1444" w:type="dxa"/>
            <w:hideMark/>
          </w:tcPr>
          <w:p w14:paraId="499917EB"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22</w:t>
            </w:r>
          </w:p>
        </w:tc>
        <w:tc>
          <w:tcPr>
            <w:tcW w:w="1238" w:type="dxa"/>
            <w:hideMark/>
          </w:tcPr>
          <w:p w14:paraId="113781CB"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 xml:space="preserve">Buget de stat, </w:t>
            </w:r>
            <w:proofErr w:type="spellStart"/>
            <w:r w:rsidRPr="00125FAF">
              <w:rPr>
                <w:rFonts w:ascii="Times New Roman" w:eastAsia="Times New Roman" w:hAnsi="Times New Roman"/>
                <w:lang w:val="ro-RO"/>
              </w:rPr>
              <w:t>asisten-ţă</w:t>
            </w:r>
            <w:proofErr w:type="spellEnd"/>
            <w:r w:rsidRPr="00125FAF">
              <w:rPr>
                <w:rFonts w:ascii="Times New Roman" w:eastAsia="Times New Roman" w:hAnsi="Times New Roman"/>
                <w:lang w:val="ro-RO"/>
              </w:rPr>
              <w:t xml:space="preserve"> externă, alte surse</w:t>
            </w:r>
          </w:p>
        </w:tc>
      </w:tr>
      <w:tr w:rsidR="00DC3FD5" w:rsidRPr="00125FAF" w14:paraId="5D919487" w14:textId="77777777" w:rsidTr="00AC461F">
        <w:trPr>
          <w:trHeight w:val="945"/>
        </w:trPr>
        <w:tc>
          <w:tcPr>
            <w:tcW w:w="627" w:type="dxa"/>
            <w:hideMark/>
          </w:tcPr>
          <w:p w14:paraId="1EBD81C9"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5.9</w:t>
            </w:r>
          </w:p>
        </w:tc>
        <w:tc>
          <w:tcPr>
            <w:tcW w:w="3255" w:type="dxa"/>
            <w:hideMark/>
          </w:tcPr>
          <w:p w14:paraId="6728C30D" w14:textId="119C5DBB"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 xml:space="preserve">Promovarea folosirii tescovinei de poamă în </w:t>
            </w:r>
            <w:proofErr w:type="spellStart"/>
            <w:r w:rsidRPr="00125FAF">
              <w:rPr>
                <w:rFonts w:ascii="Times New Roman" w:eastAsia="Times New Roman" w:hAnsi="Times New Roman"/>
                <w:lang w:val="ro-RO"/>
              </w:rPr>
              <w:t>raţiile</w:t>
            </w:r>
            <w:proofErr w:type="spellEnd"/>
            <w:r w:rsidRPr="00125FAF">
              <w:rPr>
                <w:rFonts w:ascii="Times New Roman" w:eastAsia="Times New Roman" w:hAnsi="Times New Roman"/>
                <w:lang w:val="ro-RO"/>
              </w:rPr>
              <w:t xml:space="preserve"> rumegătoarelor pentru reducerea emisiilor</w:t>
            </w:r>
            <w:r w:rsidR="00B566C6" w:rsidRPr="00125FAF">
              <w:rPr>
                <w:rFonts w:ascii="Times New Roman" w:eastAsia="Times New Roman" w:hAnsi="Times New Roman"/>
                <w:lang w:val="ro-RO"/>
              </w:rPr>
              <w:t xml:space="preserve"> </w:t>
            </w:r>
            <w:r w:rsidRPr="00125FAF">
              <w:rPr>
                <w:rFonts w:ascii="Times New Roman" w:eastAsia="Times New Roman" w:hAnsi="Times New Roman"/>
                <w:lang w:val="ro-RO"/>
              </w:rPr>
              <w:t>de gaze cu efect de seră</w:t>
            </w:r>
          </w:p>
        </w:tc>
        <w:tc>
          <w:tcPr>
            <w:tcW w:w="1057" w:type="dxa"/>
            <w:hideMark/>
          </w:tcPr>
          <w:p w14:paraId="21CFAB0F"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2030</w:t>
            </w:r>
          </w:p>
        </w:tc>
        <w:tc>
          <w:tcPr>
            <w:tcW w:w="1979" w:type="dxa"/>
            <w:hideMark/>
          </w:tcPr>
          <w:p w14:paraId="36E2100D" w14:textId="1A52E7F0" w:rsidR="00D25293" w:rsidRPr="00125FAF" w:rsidRDefault="002C1CB9" w:rsidP="00D25293">
            <w:pPr>
              <w:jc w:val="both"/>
              <w:rPr>
                <w:rFonts w:ascii="Times New Roman" w:eastAsia="Times New Roman" w:hAnsi="Times New Roman"/>
                <w:lang w:val="ro-RO"/>
              </w:rPr>
            </w:pPr>
            <w:r>
              <w:rPr>
                <w:rFonts w:ascii="Times New Roman" w:eastAsia="Times New Roman" w:hAnsi="Times New Roman"/>
                <w:lang w:val="ro-RO"/>
              </w:rPr>
              <w:t>Ministerul Mediului</w:t>
            </w:r>
          </w:p>
        </w:tc>
        <w:tc>
          <w:tcPr>
            <w:tcW w:w="1726" w:type="dxa"/>
            <w:hideMark/>
          </w:tcPr>
          <w:p w14:paraId="198EA601" w14:textId="77777777" w:rsidR="00D25293" w:rsidRPr="00125FAF" w:rsidRDefault="00D25293" w:rsidP="00D25293">
            <w:pPr>
              <w:jc w:val="both"/>
              <w:rPr>
                <w:rFonts w:ascii="Times New Roman" w:eastAsia="Times New Roman" w:hAnsi="Times New Roman"/>
                <w:lang w:val="ro-RO"/>
              </w:rPr>
            </w:pPr>
            <w:bookmarkStart w:id="16" w:name="_Hlk69055175"/>
            <w:r w:rsidRPr="00125FAF">
              <w:rPr>
                <w:rFonts w:ascii="Times New Roman" w:eastAsia="Times New Roman" w:hAnsi="Times New Roman"/>
                <w:lang w:val="ro-RO"/>
              </w:rPr>
              <w:t xml:space="preserve">17% din </w:t>
            </w:r>
            <w:proofErr w:type="spellStart"/>
            <w:r w:rsidRPr="00125FAF">
              <w:rPr>
                <w:rFonts w:ascii="Times New Roman" w:eastAsia="Times New Roman" w:hAnsi="Times New Roman"/>
                <w:lang w:val="ro-RO"/>
              </w:rPr>
              <w:t>şeptelul</w:t>
            </w:r>
            <w:proofErr w:type="spellEnd"/>
            <w:r w:rsidRPr="00125FAF">
              <w:rPr>
                <w:rFonts w:ascii="Times New Roman" w:eastAsia="Times New Roman" w:hAnsi="Times New Roman"/>
                <w:lang w:val="ro-RO"/>
              </w:rPr>
              <w:t xml:space="preserve"> de taurine pe </w:t>
            </w:r>
            <w:proofErr w:type="spellStart"/>
            <w:r w:rsidRPr="00125FAF">
              <w:rPr>
                <w:rFonts w:ascii="Times New Roman" w:eastAsia="Times New Roman" w:hAnsi="Times New Roman"/>
                <w:lang w:val="ro-RO"/>
              </w:rPr>
              <w:t>ţară</w:t>
            </w:r>
            <w:proofErr w:type="spellEnd"/>
            <w:r w:rsidRPr="00125FAF">
              <w:rPr>
                <w:rFonts w:ascii="Times New Roman" w:eastAsia="Times New Roman" w:hAnsi="Times New Roman"/>
                <w:lang w:val="ro-RO"/>
              </w:rPr>
              <w:t xml:space="preserve"> </w:t>
            </w:r>
            <w:bookmarkEnd w:id="16"/>
            <w:r w:rsidRPr="00125FAF">
              <w:rPr>
                <w:rFonts w:ascii="Times New Roman" w:eastAsia="Times New Roman" w:hAnsi="Times New Roman"/>
                <w:lang w:val="ro-RO"/>
              </w:rPr>
              <w:t xml:space="preserve">s-a aplicat </w:t>
            </w:r>
            <w:proofErr w:type="spellStart"/>
            <w:r w:rsidRPr="00125FAF">
              <w:rPr>
                <w:rFonts w:ascii="Times New Roman" w:eastAsia="Times New Roman" w:hAnsi="Times New Roman"/>
                <w:lang w:val="ro-RO"/>
              </w:rPr>
              <w:t>tehnolo-gia</w:t>
            </w:r>
            <w:proofErr w:type="spellEnd"/>
          </w:p>
        </w:tc>
        <w:tc>
          <w:tcPr>
            <w:tcW w:w="1736" w:type="dxa"/>
            <w:hideMark/>
          </w:tcPr>
          <w:p w14:paraId="108341B1"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 xml:space="preserve">13% din </w:t>
            </w:r>
            <w:proofErr w:type="spellStart"/>
            <w:r w:rsidRPr="00125FAF">
              <w:rPr>
                <w:rFonts w:ascii="Times New Roman" w:eastAsia="Times New Roman" w:hAnsi="Times New Roman"/>
                <w:lang w:val="ro-RO"/>
              </w:rPr>
              <w:t>şeptelul</w:t>
            </w:r>
            <w:proofErr w:type="spellEnd"/>
            <w:r w:rsidRPr="00125FAF">
              <w:rPr>
                <w:rFonts w:ascii="Times New Roman" w:eastAsia="Times New Roman" w:hAnsi="Times New Roman"/>
                <w:lang w:val="ro-RO"/>
              </w:rPr>
              <w:t xml:space="preserve"> de taurine pe </w:t>
            </w:r>
            <w:proofErr w:type="spellStart"/>
            <w:r w:rsidRPr="00125FAF">
              <w:rPr>
                <w:rFonts w:ascii="Times New Roman" w:eastAsia="Times New Roman" w:hAnsi="Times New Roman"/>
                <w:lang w:val="ro-RO"/>
              </w:rPr>
              <w:t>ţară</w:t>
            </w:r>
            <w:proofErr w:type="spellEnd"/>
            <w:r w:rsidRPr="00125FAF">
              <w:rPr>
                <w:rFonts w:ascii="Times New Roman" w:eastAsia="Times New Roman" w:hAnsi="Times New Roman"/>
                <w:lang w:val="ro-RO"/>
              </w:rPr>
              <w:t xml:space="preserve"> s-a aplicat </w:t>
            </w:r>
            <w:proofErr w:type="spellStart"/>
            <w:r w:rsidRPr="00125FAF">
              <w:rPr>
                <w:rFonts w:ascii="Times New Roman" w:eastAsia="Times New Roman" w:hAnsi="Times New Roman"/>
                <w:lang w:val="ro-RO"/>
              </w:rPr>
              <w:t>tehnolo-gia</w:t>
            </w:r>
            <w:proofErr w:type="spellEnd"/>
          </w:p>
        </w:tc>
        <w:tc>
          <w:tcPr>
            <w:tcW w:w="1377" w:type="dxa"/>
            <w:hideMark/>
          </w:tcPr>
          <w:p w14:paraId="167BE82A"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57</w:t>
            </w:r>
          </w:p>
        </w:tc>
        <w:tc>
          <w:tcPr>
            <w:tcW w:w="1444" w:type="dxa"/>
            <w:hideMark/>
          </w:tcPr>
          <w:p w14:paraId="2A8643F6"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40</w:t>
            </w:r>
          </w:p>
        </w:tc>
        <w:tc>
          <w:tcPr>
            <w:tcW w:w="1238" w:type="dxa"/>
            <w:hideMark/>
          </w:tcPr>
          <w:p w14:paraId="7BEA10C0"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 xml:space="preserve">Buget de stat, </w:t>
            </w:r>
            <w:proofErr w:type="spellStart"/>
            <w:r w:rsidRPr="00125FAF">
              <w:rPr>
                <w:rFonts w:ascii="Times New Roman" w:eastAsia="Times New Roman" w:hAnsi="Times New Roman"/>
                <w:lang w:val="ro-RO"/>
              </w:rPr>
              <w:t>asisten-ţă</w:t>
            </w:r>
            <w:proofErr w:type="spellEnd"/>
            <w:r w:rsidRPr="00125FAF">
              <w:rPr>
                <w:rFonts w:ascii="Times New Roman" w:eastAsia="Times New Roman" w:hAnsi="Times New Roman"/>
                <w:lang w:val="ro-RO"/>
              </w:rPr>
              <w:t xml:space="preserve"> externă, alte surse</w:t>
            </w:r>
          </w:p>
        </w:tc>
      </w:tr>
      <w:tr w:rsidR="00DC3FD5" w:rsidRPr="00125FAF" w14:paraId="309DD584" w14:textId="77777777" w:rsidTr="00AC461F">
        <w:trPr>
          <w:trHeight w:val="600"/>
        </w:trPr>
        <w:tc>
          <w:tcPr>
            <w:tcW w:w="627" w:type="dxa"/>
            <w:hideMark/>
          </w:tcPr>
          <w:p w14:paraId="34FBE5C5"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lastRenderedPageBreak/>
              <w:t>6</w:t>
            </w:r>
          </w:p>
        </w:tc>
        <w:tc>
          <w:tcPr>
            <w:tcW w:w="13812" w:type="dxa"/>
            <w:gridSpan w:val="8"/>
            <w:hideMark/>
          </w:tcPr>
          <w:p w14:paraId="3EAA9188" w14:textId="44286044" w:rsidR="00D25293" w:rsidRPr="00125FAF" w:rsidRDefault="00D25293" w:rsidP="00D25293">
            <w:pPr>
              <w:jc w:val="both"/>
              <w:rPr>
                <w:rFonts w:ascii="Times New Roman" w:eastAsia="Times New Roman" w:hAnsi="Times New Roman"/>
                <w:b/>
                <w:bCs/>
                <w:lang w:val="ro-RO"/>
              </w:rPr>
            </w:pPr>
            <w:r w:rsidRPr="00125FAF">
              <w:rPr>
                <w:rFonts w:ascii="Times New Roman" w:eastAsia="Times New Roman" w:hAnsi="Times New Roman"/>
                <w:b/>
                <w:bCs/>
                <w:lang w:val="ro-RO"/>
              </w:rPr>
              <w:t>Obiectivul specific 6.</w:t>
            </w:r>
            <w:r w:rsidRPr="00125FAF">
              <w:rPr>
                <w:rFonts w:ascii="Times New Roman" w:eastAsia="Times New Roman" w:hAnsi="Times New Roman"/>
                <w:lang w:val="ro-RO"/>
              </w:rPr>
              <w:t xml:space="preserve"> Majorarea </w:t>
            </w:r>
            <w:proofErr w:type="spellStart"/>
            <w:r w:rsidRPr="00125FAF">
              <w:rPr>
                <w:rFonts w:ascii="Times New Roman" w:eastAsia="Times New Roman" w:hAnsi="Times New Roman"/>
                <w:lang w:val="ro-RO"/>
              </w:rPr>
              <w:t>necondiţionată</w:t>
            </w:r>
            <w:proofErr w:type="spellEnd"/>
            <w:r w:rsidRPr="00125FAF">
              <w:rPr>
                <w:rFonts w:ascii="Times New Roman" w:eastAsia="Times New Roman" w:hAnsi="Times New Roman"/>
                <w:lang w:val="ro-RO"/>
              </w:rPr>
              <w:t xml:space="preserve">, </w:t>
            </w:r>
            <w:proofErr w:type="spellStart"/>
            <w:r w:rsidRPr="00125FAF">
              <w:rPr>
                <w:rFonts w:ascii="Times New Roman" w:eastAsia="Times New Roman" w:hAnsi="Times New Roman"/>
                <w:lang w:val="ro-RO"/>
              </w:rPr>
              <w:t>pînă</w:t>
            </w:r>
            <w:proofErr w:type="spellEnd"/>
            <w:r w:rsidRPr="00125FAF">
              <w:rPr>
                <w:rFonts w:ascii="Times New Roman" w:eastAsia="Times New Roman" w:hAnsi="Times New Roman"/>
                <w:lang w:val="ro-RO"/>
              </w:rPr>
              <w:t xml:space="preserve"> în</w:t>
            </w:r>
            <w:r w:rsidR="00B566C6" w:rsidRPr="00125FAF">
              <w:rPr>
                <w:rFonts w:ascii="Times New Roman" w:eastAsia="Times New Roman" w:hAnsi="Times New Roman"/>
                <w:lang w:val="ro-RO"/>
              </w:rPr>
              <w:t xml:space="preserve"> </w:t>
            </w:r>
            <w:r w:rsidRPr="00125FAF">
              <w:rPr>
                <w:rFonts w:ascii="Times New Roman" w:eastAsia="Times New Roman" w:hAnsi="Times New Roman"/>
                <w:lang w:val="ro-RO"/>
              </w:rPr>
              <w:t xml:space="preserve">anul 2030, a </w:t>
            </w:r>
            <w:proofErr w:type="spellStart"/>
            <w:r w:rsidRPr="00125FAF">
              <w:rPr>
                <w:rFonts w:ascii="Times New Roman" w:eastAsia="Times New Roman" w:hAnsi="Times New Roman"/>
                <w:lang w:val="ro-RO"/>
              </w:rPr>
              <w:t>capacităţii</w:t>
            </w:r>
            <w:proofErr w:type="spellEnd"/>
            <w:r w:rsidRPr="00125FAF">
              <w:rPr>
                <w:rFonts w:ascii="Times New Roman" w:eastAsia="Times New Roman" w:hAnsi="Times New Roman"/>
                <w:lang w:val="ro-RO"/>
              </w:rPr>
              <w:t xml:space="preserve"> de sechestrare a dioxidului de carbon în </w:t>
            </w:r>
            <w:r w:rsidRPr="00125FAF">
              <w:rPr>
                <w:rFonts w:ascii="Times New Roman" w:eastAsia="Times New Roman" w:hAnsi="Times New Roman"/>
                <w:b/>
                <w:bCs/>
                <w:lang w:val="ro-RO"/>
              </w:rPr>
              <w:t xml:space="preserve">cadrul sectorului utilizarea terenurilor, schimbări în utilizarea terenurilor </w:t>
            </w:r>
            <w:proofErr w:type="spellStart"/>
            <w:r w:rsidRPr="00125FAF">
              <w:rPr>
                <w:rFonts w:ascii="Times New Roman" w:eastAsia="Times New Roman" w:hAnsi="Times New Roman"/>
                <w:b/>
                <w:bCs/>
                <w:lang w:val="ro-RO"/>
              </w:rPr>
              <w:t>şi</w:t>
            </w:r>
            <w:proofErr w:type="spellEnd"/>
            <w:r w:rsidRPr="00125FAF">
              <w:rPr>
                <w:rFonts w:ascii="Times New Roman" w:eastAsia="Times New Roman" w:hAnsi="Times New Roman"/>
                <w:b/>
                <w:bCs/>
                <w:lang w:val="ro-RO"/>
              </w:rPr>
              <w:t xml:space="preserve"> gospodăria silvică</w:t>
            </w:r>
            <w:r w:rsidRPr="00125FAF">
              <w:rPr>
                <w:rFonts w:ascii="Times New Roman" w:eastAsia="Times New Roman" w:hAnsi="Times New Roman"/>
                <w:lang w:val="ro-RO"/>
              </w:rPr>
              <w:t xml:space="preserve"> </w:t>
            </w:r>
            <w:proofErr w:type="spellStart"/>
            <w:r w:rsidRPr="00125FAF">
              <w:rPr>
                <w:rFonts w:ascii="Times New Roman" w:eastAsia="Times New Roman" w:hAnsi="Times New Roman"/>
                <w:lang w:val="ro-RO"/>
              </w:rPr>
              <w:t>pînă</w:t>
            </w:r>
            <w:proofErr w:type="spellEnd"/>
            <w:r w:rsidRPr="00125FAF">
              <w:rPr>
                <w:rFonts w:ascii="Times New Roman" w:eastAsia="Times New Roman" w:hAnsi="Times New Roman"/>
                <w:lang w:val="ro-RO"/>
              </w:rPr>
              <w:t xml:space="preserve"> la 10% </w:t>
            </w:r>
            <w:proofErr w:type="spellStart"/>
            <w:r w:rsidRPr="00125FAF">
              <w:rPr>
                <w:rFonts w:ascii="Times New Roman" w:eastAsia="Times New Roman" w:hAnsi="Times New Roman"/>
                <w:lang w:val="ro-RO"/>
              </w:rPr>
              <w:t>şi</w:t>
            </w:r>
            <w:proofErr w:type="spellEnd"/>
            <w:r w:rsidRPr="00125FAF">
              <w:rPr>
                <w:rFonts w:ascii="Times New Roman" w:eastAsia="Times New Roman" w:hAnsi="Times New Roman"/>
                <w:lang w:val="ro-RO"/>
              </w:rPr>
              <w:t xml:space="preserve"> sechestrarea de gaze cu efect de seră </w:t>
            </w:r>
            <w:proofErr w:type="spellStart"/>
            <w:r w:rsidRPr="00125FAF">
              <w:rPr>
                <w:rFonts w:ascii="Times New Roman" w:eastAsia="Times New Roman" w:hAnsi="Times New Roman"/>
                <w:lang w:val="ro-RO"/>
              </w:rPr>
              <w:t>condiţionată</w:t>
            </w:r>
            <w:proofErr w:type="spellEnd"/>
            <w:r w:rsidR="00B566C6" w:rsidRPr="00125FAF">
              <w:rPr>
                <w:rFonts w:ascii="Times New Roman" w:eastAsia="Times New Roman" w:hAnsi="Times New Roman"/>
                <w:lang w:val="ro-RO"/>
              </w:rPr>
              <w:t xml:space="preserve"> </w:t>
            </w:r>
            <w:proofErr w:type="spellStart"/>
            <w:r w:rsidRPr="00125FAF">
              <w:rPr>
                <w:rFonts w:ascii="Times New Roman" w:eastAsia="Times New Roman" w:hAnsi="Times New Roman"/>
                <w:lang w:val="ro-RO"/>
              </w:rPr>
              <w:t>pînă</w:t>
            </w:r>
            <w:proofErr w:type="spellEnd"/>
            <w:r w:rsidRPr="00125FAF">
              <w:rPr>
                <w:rFonts w:ascii="Times New Roman" w:eastAsia="Times New Roman" w:hAnsi="Times New Roman"/>
                <w:lang w:val="ro-RO"/>
              </w:rPr>
              <w:t xml:space="preserve"> la 391% comparativ cu anul</w:t>
            </w:r>
            <w:r w:rsidR="00B566C6" w:rsidRPr="00125FAF">
              <w:rPr>
                <w:rFonts w:ascii="Times New Roman" w:eastAsia="Times New Roman" w:hAnsi="Times New Roman"/>
                <w:lang w:val="ro-RO"/>
              </w:rPr>
              <w:t xml:space="preserve"> </w:t>
            </w:r>
            <w:r w:rsidRPr="00125FAF">
              <w:rPr>
                <w:rFonts w:ascii="Times New Roman" w:eastAsia="Times New Roman" w:hAnsi="Times New Roman"/>
                <w:lang w:val="ro-RO"/>
              </w:rPr>
              <w:t>1990</w:t>
            </w:r>
          </w:p>
        </w:tc>
      </w:tr>
      <w:tr w:rsidR="00DC3FD5" w:rsidRPr="00125FAF" w14:paraId="5A707E15" w14:textId="77777777" w:rsidTr="00AC461F">
        <w:trPr>
          <w:trHeight w:val="1620"/>
        </w:trPr>
        <w:tc>
          <w:tcPr>
            <w:tcW w:w="627" w:type="dxa"/>
            <w:hideMark/>
          </w:tcPr>
          <w:p w14:paraId="3214EAE4"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6.1</w:t>
            </w:r>
          </w:p>
        </w:tc>
        <w:tc>
          <w:tcPr>
            <w:tcW w:w="3255" w:type="dxa"/>
            <w:hideMark/>
          </w:tcPr>
          <w:p w14:paraId="678400AC"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Extinderea terenurilor împădurite</w:t>
            </w:r>
          </w:p>
        </w:tc>
        <w:tc>
          <w:tcPr>
            <w:tcW w:w="1057" w:type="dxa"/>
            <w:hideMark/>
          </w:tcPr>
          <w:p w14:paraId="4E1AAA23"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2030</w:t>
            </w:r>
          </w:p>
        </w:tc>
        <w:tc>
          <w:tcPr>
            <w:tcW w:w="1979" w:type="dxa"/>
            <w:hideMark/>
          </w:tcPr>
          <w:p w14:paraId="6FFDF0E1" w14:textId="7998B01C" w:rsidR="00D25293" w:rsidRPr="00125FAF" w:rsidRDefault="00DC3FD5" w:rsidP="00D25293">
            <w:pPr>
              <w:jc w:val="both"/>
              <w:rPr>
                <w:rFonts w:ascii="Times New Roman" w:eastAsia="Times New Roman" w:hAnsi="Times New Roman"/>
                <w:lang w:val="ro-RO"/>
              </w:rPr>
            </w:pPr>
            <w:r>
              <w:rPr>
                <w:rFonts w:ascii="Times New Roman" w:eastAsia="Times New Roman" w:hAnsi="Times New Roman"/>
                <w:lang w:val="ro-RO"/>
              </w:rPr>
              <w:t>Ministerul Mediului</w:t>
            </w:r>
            <w:r w:rsidR="00D25293" w:rsidRPr="00125FAF">
              <w:rPr>
                <w:rFonts w:ascii="Times New Roman" w:eastAsia="Times New Roman" w:hAnsi="Times New Roman"/>
                <w:lang w:val="ro-RO"/>
              </w:rPr>
              <w:t>, APL, Agenția ”</w:t>
            </w:r>
            <w:proofErr w:type="spellStart"/>
            <w:r w:rsidR="00D25293" w:rsidRPr="00125FAF">
              <w:rPr>
                <w:rFonts w:ascii="Times New Roman" w:eastAsia="Times New Roman" w:hAnsi="Times New Roman"/>
                <w:lang w:val="ro-RO"/>
              </w:rPr>
              <w:t>Moldsilva</w:t>
            </w:r>
            <w:proofErr w:type="spellEnd"/>
            <w:r w:rsidR="00D25293" w:rsidRPr="00125FAF">
              <w:rPr>
                <w:rFonts w:ascii="Times New Roman" w:eastAsia="Times New Roman" w:hAnsi="Times New Roman"/>
                <w:lang w:val="ro-RO"/>
              </w:rPr>
              <w:t>”</w:t>
            </w:r>
          </w:p>
        </w:tc>
        <w:tc>
          <w:tcPr>
            <w:tcW w:w="1726" w:type="dxa"/>
            <w:hideMark/>
          </w:tcPr>
          <w:p w14:paraId="7C0EE4B7" w14:textId="1CDCEDBE" w:rsidR="00D25293" w:rsidRPr="00125FAF" w:rsidRDefault="00D25293" w:rsidP="0083308D">
            <w:pPr>
              <w:jc w:val="both"/>
              <w:rPr>
                <w:rFonts w:ascii="Times New Roman" w:eastAsia="Times New Roman" w:hAnsi="Times New Roman"/>
                <w:lang w:val="ro-RO"/>
              </w:rPr>
            </w:pPr>
            <w:r w:rsidRPr="00125FAF">
              <w:rPr>
                <w:rFonts w:ascii="Times New Roman" w:eastAsia="Times New Roman" w:hAnsi="Times New Roman"/>
                <w:lang w:val="ro-RO"/>
              </w:rPr>
              <w:t xml:space="preserve">Plantarea culturilor silvice pe </w:t>
            </w:r>
            <w:r w:rsidR="0083308D">
              <w:rPr>
                <w:rFonts w:ascii="Times New Roman" w:eastAsia="Times New Roman" w:hAnsi="Times New Roman"/>
                <w:lang w:val="ro-RO"/>
              </w:rPr>
              <w:t>122.8</w:t>
            </w:r>
            <w:r w:rsidRPr="00125FAF">
              <w:rPr>
                <w:rFonts w:ascii="Times New Roman" w:eastAsia="Times New Roman" w:hAnsi="Times New Roman"/>
                <w:lang w:val="ro-RO"/>
              </w:rPr>
              <w:t xml:space="preserve"> mii ha</w:t>
            </w:r>
            <w:r w:rsidR="00B566C6" w:rsidRPr="00125FAF">
              <w:rPr>
                <w:rFonts w:ascii="Times New Roman" w:eastAsia="Times New Roman" w:hAnsi="Times New Roman"/>
                <w:lang w:val="ro-RO"/>
              </w:rPr>
              <w:t xml:space="preserve"> </w:t>
            </w:r>
          </w:p>
        </w:tc>
        <w:tc>
          <w:tcPr>
            <w:tcW w:w="1736" w:type="dxa"/>
            <w:hideMark/>
          </w:tcPr>
          <w:p w14:paraId="62693FC8" w14:textId="77777777" w:rsidR="00D25293" w:rsidRPr="00125FAF" w:rsidRDefault="00D25293" w:rsidP="00D25293">
            <w:pPr>
              <w:jc w:val="both"/>
              <w:rPr>
                <w:rFonts w:ascii="Times New Roman" w:eastAsia="Times New Roman" w:hAnsi="Times New Roman"/>
                <w:b/>
                <w:bCs/>
                <w:lang w:val="ro-RO"/>
              </w:rPr>
            </w:pPr>
            <w:r w:rsidRPr="00125FAF">
              <w:rPr>
                <w:rFonts w:ascii="Times New Roman" w:eastAsia="Times New Roman" w:hAnsi="Times New Roman"/>
                <w:b/>
                <w:bCs/>
                <w:lang w:val="ro-RO"/>
              </w:rPr>
              <w:t> </w:t>
            </w:r>
          </w:p>
        </w:tc>
        <w:tc>
          <w:tcPr>
            <w:tcW w:w="1377" w:type="dxa"/>
            <w:hideMark/>
          </w:tcPr>
          <w:p w14:paraId="7AC0CCDF" w14:textId="629962DF" w:rsidR="00D25293" w:rsidRPr="00125FAF" w:rsidRDefault="0083308D" w:rsidP="00D25293">
            <w:pPr>
              <w:jc w:val="both"/>
              <w:rPr>
                <w:rFonts w:ascii="Times New Roman" w:eastAsia="Times New Roman" w:hAnsi="Times New Roman"/>
                <w:lang w:val="ro-RO"/>
              </w:rPr>
            </w:pPr>
            <w:r>
              <w:rPr>
                <w:rFonts w:ascii="Times New Roman" w:eastAsia="Times New Roman" w:hAnsi="Times New Roman"/>
                <w:lang w:val="ro-RO"/>
              </w:rPr>
              <w:t>2800</w:t>
            </w:r>
          </w:p>
        </w:tc>
        <w:tc>
          <w:tcPr>
            <w:tcW w:w="1444" w:type="dxa"/>
            <w:hideMark/>
          </w:tcPr>
          <w:p w14:paraId="51807275"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 </w:t>
            </w:r>
          </w:p>
        </w:tc>
        <w:tc>
          <w:tcPr>
            <w:tcW w:w="1238" w:type="dxa"/>
            <w:hideMark/>
          </w:tcPr>
          <w:p w14:paraId="47B3DEA0"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Bugetul de stat, Proiecte și granturi din asistența financiară externă</w:t>
            </w:r>
          </w:p>
        </w:tc>
      </w:tr>
      <w:tr w:rsidR="00DC3FD5" w:rsidRPr="00125FAF" w14:paraId="203AE57C" w14:textId="77777777" w:rsidTr="00AC461F">
        <w:trPr>
          <w:trHeight w:val="2490"/>
        </w:trPr>
        <w:tc>
          <w:tcPr>
            <w:tcW w:w="627" w:type="dxa"/>
            <w:hideMark/>
          </w:tcPr>
          <w:p w14:paraId="28A1E34B"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6.2</w:t>
            </w:r>
          </w:p>
        </w:tc>
        <w:tc>
          <w:tcPr>
            <w:tcW w:w="3255" w:type="dxa"/>
            <w:hideMark/>
          </w:tcPr>
          <w:p w14:paraId="65996ACB"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Acțiunea NAMA privind împădurirea terenurilor degradate, zonelor riverane și perdelelor de protecție în Republica Moldova</w:t>
            </w:r>
          </w:p>
        </w:tc>
        <w:tc>
          <w:tcPr>
            <w:tcW w:w="1057" w:type="dxa"/>
            <w:hideMark/>
          </w:tcPr>
          <w:p w14:paraId="49A2D094"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2030</w:t>
            </w:r>
          </w:p>
        </w:tc>
        <w:tc>
          <w:tcPr>
            <w:tcW w:w="1979" w:type="dxa"/>
            <w:hideMark/>
          </w:tcPr>
          <w:p w14:paraId="062887A6" w14:textId="3172DE7A" w:rsidR="00D25293" w:rsidRPr="00125FAF" w:rsidRDefault="00DC3FD5" w:rsidP="00D25293">
            <w:pPr>
              <w:jc w:val="both"/>
              <w:rPr>
                <w:rFonts w:ascii="Times New Roman" w:eastAsia="Times New Roman" w:hAnsi="Times New Roman"/>
                <w:lang w:val="ro-RO"/>
              </w:rPr>
            </w:pPr>
            <w:r>
              <w:rPr>
                <w:rFonts w:ascii="Times New Roman" w:eastAsia="Times New Roman" w:hAnsi="Times New Roman"/>
                <w:lang w:val="ro-RO"/>
              </w:rPr>
              <w:t>Ministerul Mediului</w:t>
            </w:r>
            <w:r w:rsidR="00D25293" w:rsidRPr="00125FAF">
              <w:rPr>
                <w:rFonts w:ascii="Times New Roman" w:eastAsia="Times New Roman" w:hAnsi="Times New Roman"/>
                <w:lang w:val="ro-RO"/>
              </w:rPr>
              <w:t>, APL, Agenția ”</w:t>
            </w:r>
            <w:proofErr w:type="spellStart"/>
            <w:r w:rsidR="00D25293" w:rsidRPr="00125FAF">
              <w:rPr>
                <w:rFonts w:ascii="Times New Roman" w:eastAsia="Times New Roman" w:hAnsi="Times New Roman"/>
                <w:lang w:val="ro-RO"/>
              </w:rPr>
              <w:t>Moldsilva</w:t>
            </w:r>
            <w:proofErr w:type="spellEnd"/>
            <w:r w:rsidR="00D25293" w:rsidRPr="00125FAF">
              <w:rPr>
                <w:rFonts w:ascii="Times New Roman" w:eastAsia="Times New Roman" w:hAnsi="Times New Roman"/>
                <w:lang w:val="ro-RO"/>
              </w:rPr>
              <w:t>”, Agenția ”Apele Moldovei”</w:t>
            </w:r>
          </w:p>
        </w:tc>
        <w:tc>
          <w:tcPr>
            <w:tcW w:w="1726" w:type="dxa"/>
            <w:hideMark/>
          </w:tcPr>
          <w:p w14:paraId="5BE8A287" w14:textId="77777777" w:rsidR="00D25293" w:rsidRPr="00125FAF" w:rsidRDefault="00D25293" w:rsidP="00D25293">
            <w:pPr>
              <w:jc w:val="both"/>
              <w:rPr>
                <w:rFonts w:ascii="Times New Roman" w:eastAsia="Times New Roman" w:hAnsi="Times New Roman"/>
                <w:b/>
                <w:bCs/>
                <w:lang w:val="ro-RO"/>
              </w:rPr>
            </w:pPr>
            <w:r w:rsidRPr="00125FAF">
              <w:rPr>
                <w:rFonts w:ascii="Times New Roman" w:eastAsia="Times New Roman" w:hAnsi="Times New Roman"/>
                <w:b/>
                <w:bCs/>
                <w:lang w:val="ro-RO"/>
              </w:rPr>
              <w:t> </w:t>
            </w:r>
          </w:p>
        </w:tc>
        <w:tc>
          <w:tcPr>
            <w:tcW w:w="1736" w:type="dxa"/>
            <w:hideMark/>
          </w:tcPr>
          <w:p w14:paraId="06AFE9DE" w14:textId="641DA941"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 xml:space="preserve">Plantarea culturilor silvice pe </w:t>
            </w:r>
            <w:proofErr w:type="spellStart"/>
            <w:r w:rsidRPr="00125FAF">
              <w:rPr>
                <w:rFonts w:ascii="Times New Roman" w:eastAsia="Times New Roman" w:hAnsi="Times New Roman"/>
                <w:lang w:val="ro-RO"/>
              </w:rPr>
              <w:t>suprafa</w:t>
            </w:r>
            <w:proofErr w:type="spellEnd"/>
            <w:r w:rsidR="00B566C6" w:rsidRPr="00125FAF">
              <w:rPr>
                <w:rFonts w:ascii="Times New Roman" w:eastAsia="Times New Roman" w:hAnsi="Times New Roman"/>
                <w:lang w:val="ro-RO"/>
              </w:rPr>
              <w:t xml:space="preserve"> </w:t>
            </w:r>
            <w:r w:rsidRPr="00125FAF">
              <w:rPr>
                <w:rFonts w:ascii="Times New Roman" w:eastAsia="Times New Roman" w:hAnsi="Times New Roman"/>
                <w:lang w:val="ro-RO"/>
              </w:rPr>
              <w:t>de 45</w:t>
            </w:r>
            <w:r w:rsidR="00D5429D" w:rsidRPr="00125FAF">
              <w:rPr>
                <w:rFonts w:ascii="Times New Roman" w:eastAsia="Times New Roman" w:hAnsi="Times New Roman"/>
                <w:lang w:val="ro-RO"/>
              </w:rPr>
              <w:t xml:space="preserve"> </w:t>
            </w:r>
            <w:r w:rsidRPr="00125FAF">
              <w:rPr>
                <w:rFonts w:ascii="Times New Roman" w:eastAsia="Times New Roman" w:hAnsi="Times New Roman"/>
                <w:lang w:val="ro-RO"/>
              </w:rPr>
              <w:t>000 ha de terenuri degradate; crearea fâșiilor riverane pe o suprafață de 15</w:t>
            </w:r>
            <w:r w:rsidR="00D5429D" w:rsidRPr="00125FAF">
              <w:rPr>
                <w:rFonts w:ascii="Times New Roman" w:eastAsia="Times New Roman" w:hAnsi="Times New Roman"/>
                <w:lang w:val="ro-RO"/>
              </w:rPr>
              <w:t xml:space="preserve"> </w:t>
            </w:r>
            <w:r w:rsidRPr="00125FAF">
              <w:rPr>
                <w:rFonts w:ascii="Times New Roman" w:eastAsia="Times New Roman" w:hAnsi="Times New Roman"/>
                <w:lang w:val="ro-RO"/>
              </w:rPr>
              <w:t>000 hectare; – crearea perdelelor de protecție a câmpurilor agricole pe o suprafață de</w:t>
            </w:r>
            <w:r w:rsidR="00D5429D" w:rsidRPr="00125FAF">
              <w:rPr>
                <w:rFonts w:ascii="Times New Roman" w:eastAsia="Times New Roman" w:hAnsi="Times New Roman"/>
                <w:lang w:val="ro-RO"/>
              </w:rPr>
              <w:t xml:space="preserve"> </w:t>
            </w:r>
            <w:r w:rsidRPr="00125FAF">
              <w:rPr>
                <w:rFonts w:ascii="Times New Roman" w:eastAsia="Times New Roman" w:hAnsi="Times New Roman"/>
                <w:lang w:val="ro-RO"/>
              </w:rPr>
              <w:t>1500 hectare.</w:t>
            </w:r>
            <w:r w:rsidR="00B566C6" w:rsidRPr="00125FAF">
              <w:rPr>
                <w:rFonts w:ascii="Times New Roman" w:eastAsia="Times New Roman" w:hAnsi="Times New Roman"/>
                <w:lang w:val="ro-RO"/>
              </w:rPr>
              <w:t xml:space="preserve"> </w:t>
            </w:r>
          </w:p>
        </w:tc>
        <w:tc>
          <w:tcPr>
            <w:tcW w:w="1377" w:type="dxa"/>
            <w:hideMark/>
          </w:tcPr>
          <w:p w14:paraId="25AB8E71"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 </w:t>
            </w:r>
          </w:p>
        </w:tc>
        <w:tc>
          <w:tcPr>
            <w:tcW w:w="1444" w:type="dxa"/>
            <w:hideMark/>
          </w:tcPr>
          <w:p w14:paraId="41843FA5" w14:textId="1ECDC384" w:rsidR="00D25293" w:rsidRPr="00125FAF" w:rsidRDefault="0083308D" w:rsidP="00D25293">
            <w:pPr>
              <w:jc w:val="both"/>
              <w:rPr>
                <w:rFonts w:ascii="Times New Roman" w:eastAsia="Times New Roman" w:hAnsi="Times New Roman"/>
                <w:lang w:val="ro-RO"/>
              </w:rPr>
            </w:pPr>
            <w:r>
              <w:rPr>
                <w:rFonts w:ascii="Times New Roman" w:eastAsia="Times New Roman" w:hAnsi="Times New Roman"/>
                <w:lang w:val="ro-RO"/>
              </w:rPr>
              <w:t>2065</w:t>
            </w:r>
          </w:p>
        </w:tc>
        <w:tc>
          <w:tcPr>
            <w:tcW w:w="1238" w:type="dxa"/>
            <w:hideMark/>
          </w:tcPr>
          <w:p w14:paraId="098A786F"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Proiecte și granturi din asistența financiară externă</w:t>
            </w:r>
          </w:p>
        </w:tc>
      </w:tr>
      <w:tr w:rsidR="00DC3FD5" w:rsidRPr="00125FAF" w14:paraId="41FCD33D" w14:textId="77777777" w:rsidTr="00AC461F">
        <w:trPr>
          <w:trHeight w:val="3990"/>
        </w:trPr>
        <w:tc>
          <w:tcPr>
            <w:tcW w:w="627" w:type="dxa"/>
            <w:hideMark/>
          </w:tcPr>
          <w:p w14:paraId="0E829181"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lastRenderedPageBreak/>
              <w:t>6.3</w:t>
            </w:r>
          </w:p>
        </w:tc>
        <w:tc>
          <w:tcPr>
            <w:tcW w:w="3255" w:type="dxa"/>
            <w:hideMark/>
          </w:tcPr>
          <w:p w14:paraId="4214B1F8"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Gestionarea climatică inteligentă a pădurilor și pajiștilor</w:t>
            </w:r>
          </w:p>
        </w:tc>
        <w:tc>
          <w:tcPr>
            <w:tcW w:w="1057" w:type="dxa"/>
            <w:hideMark/>
          </w:tcPr>
          <w:p w14:paraId="2EFC4219"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2030</w:t>
            </w:r>
          </w:p>
        </w:tc>
        <w:tc>
          <w:tcPr>
            <w:tcW w:w="1979" w:type="dxa"/>
            <w:hideMark/>
          </w:tcPr>
          <w:p w14:paraId="1E808C1B" w14:textId="56D26695" w:rsidR="00D25293" w:rsidRPr="00125FAF" w:rsidRDefault="00DC3FD5" w:rsidP="00D25293">
            <w:pPr>
              <w:jc w:val="both"/>
              <w:rPr>
                <w:rFonts w:ascii="Times New Roman" w:eastAsia="Times New Roman" w:hAnsi="Times New Roman"/>
                <w:lang w:val="ro-RO"/>
              </w:rPr>
            </w:pPr>
            <w:r>
              <w:rPr>
                <w:rFonts w:ascii="Times New Roman" w:eastAsia="Times New Roman" w:hAnsi="Times New Roman"/>
                <w:lang w:val="ro-RO"/>
              </w:rPr>
              <w:t>Ministerul Mediului</w:t>
            </w:r>
            <w:r w:rsidR="00D25293" w:rsidRPr="00125FAF">
              <w:rPr>
                <w:rFonts w:ascii="Times New Roman" w:eastAsia="Times New Roman" w:hAnsi="Times New Roman"/>
                <w:lang w:val="ro-RO"/>
              </w:rPr>
              <w:t>, APL, Agenția ”</w:t>
            </w:r>
            <w:proofErr w:type="spellStart"/>
            <w:r w:rsidR="00D25293" w:rsidRPr="00125FAF">
              <w:rPr>
                <w:rFonts w:ascii="Times New Roman" w:eastAsia="Times New Roman" w:hAnsi="Times New Roman"/>
                <w:lang w:val="ro-RO"/>
              </w:rPr>
              <w:t>Moldsilva</w:t>
            </w:r>
            <w:proofErr w:type="spellEnd"/>
            <w:r w:rsidR="00D25293" w:rsidRPr="00125FAF">
              <w:rPr>
                <w:rFonts w:ascii="Times New Roman" w:eastAsia="Times New Roman" w:hAnsi="Times New Roman"/>
                <w:lang w:val="ro-RO"/>
              </w:rPr>
              <w:t>”</w:t>
            </w:r>
          </w:p>
        </w:tc>
        <w:tc>
          <w:tcPr>
            <w:tcW w:w="1726" w:type="dxa"/>
            <w:hideMark/>
          </w:tcPr>
          <w:p w14:paraId="448BA52D" w14:textId="77777777" w:rsidR="00D25293" w:rsidRPr="00125FAF" w:rsidRDefault="00D25293" w:rsidP="00D25293">
            <w:pPr>
              <w:jc w:val="both"/>
              <w:rPr>
                <w:rFonts w:ascii="Times New Roman" w:eastAsia="Times New Roman" w:hAnsi="Times New Roman"/>
                <w:b/>
                <w:bCs/>
                <w:lang w:val="ro-RO"/>
              </w:rPr>
            </w:pPr>
            <w:r w:rsidRPr="00125FAF">
              <w:rPr>
                <w:rFonts w:ascii="Times New Roman" w:eastAsia="Times New Roman" w:hAnsi="Times New Roman"/>
                <w:b/>
                <w:bCs/>
                <w:lang w:val="ro-RO"/>
              </w:rPr>
              <w:t> </w:t>
            </w:r>
          </w:p>
        </w:tc>
        <w:tc>
          <w:tcPr>
            <w:tcW w:w="1736" w:type="dxa"/>
            <w:hideMark/>
          </w:tcPr>
          <w:p w14:paraId="3C4C801F"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 Împădurirea terenurilor degradate pe o suprafață de 1500 hectare; – împădurirea fâșiilor riverane pe o suprafață de 320 hectare; – crearea perdelelor de protecție a câmpurilor agricole pe o suprafață de 560 hectare; – reabilitarea perdelelor forestiere de protecție pe o suprafață de 750 ha; – reabilitarea pajiștilor degradate pe o suprafață de 1000 ha.</w:t>
            </w:r>
          </w:p>
        </w:tc>
        <w:tc>
          <w:tcPr>
            <w:tcW w:w="1377" w:type="dxa"/>
            <w:hideMark/>
          </w:tcPr>
          <w:p w14:paraId="5DDBF7C2"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 </w:t>
            </w:r>
          </w:p>
        </w:tc>
        <w:tc>
          <w:tcPr>
            <w:tcW w:w="1444" w:type="dxa"/>
            <w:hideMark/>
          </w:tcPr>
          <w:p w14:paraId="5ABCA6CA"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153</w:t>
            </w:r>
          </w:p>
        </w:tc>
        <w:tc>
          <w:tcPr>
            <w:tcW w:w="1238" w:type="dxa"/>
            <w:hideMark/>
          </w:tcPr>
          <w:p w14:paraId="12578102"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Proiecte și granturi din asistența financiară externă</w:t>
            </w:r>
          </w:p>
        </w:tc>
      </w:tr>
      <w:tr w:rsidR="00DC3FD5" w:rsidRPr="00125FAF" w14:paraId="1F25FAB8" w14:textId="77777777" w:rsidTr="00AC461F">
        <w:trPr>
          <w:trHeight w:val="1080"/>
        </w:trPr>
        <w:tc>
          <w:tcPr>
            <w:tcW w:w="627" w:type="dxa"/>
            <w:hideMark/>
          </w:tcPr>
          <w:p w14:paraId="1B4096C4"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6.4</w:t>
            </w:r>
          </w:p>
        </w:tc>
        <w:tc>
          <w:tcPr>
            <w:tcW w:w="3255" w:type="dxa"/>
            <w:hideMark/>
          </w:tcPr>
          <w:p w14:paraId="17E49B3F"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Conversiunea terenurilor moderat și puternic erodate în pajiști</w:t>
            </w:r>
          </w:p>
        </w:tc>
        <w:tc>
          <w:tcPr>
            <w:tcW w:w="1057" w:type="dxa"/>
            <w:hideMark/>
          </w:tcPr>
          <w:p w14:paraId="382482A6"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2030</w:t>
            </w:r>
          </w:p>
        </w:tc>
        <w:tc>
          <w:tcPr>
            <w:tcW w:w="1979" w:type="dxa"/>
            <w:hideMark/>
          </w:tcPr>
          <w:p w14:paraId="6BB4EE12" w14:textId="60B654D8" w:rsidR="00D25293" w:rsidRPr="00125FAF" w:rsidRDefault="00DC3FD5" w:rsidP="00D25293">
            <w:pPr>
              <w:jc w:val="both"/>
              <w:rPr>
                <w:rFonts w:ascii="Times New Roman" w:eastAsia="Times New Roman" w:hAnsi="Times New Roman"/>
                <w:lang w:val="ro-RO"/>
              </w:rPr>
            </w:pPr>
            <w:r>
              <w:rPr>
                <w:rFonts w:ascii="Times New Roman" w:eastAsia="Times New Roman" w:hAnsi="Times New Roman"/>
                <w:lang w:val="ro-RO"/>
              </w:rPr>
              <w:t>Ministerul Mediului</w:t>
            </w:r>
            <w:r w:rsidR="00D25293" w:rsidRPr="00125FAF">
              <w:rPr>
                <w:rFonts w:ascii="Times New Roman" w:eastAsia="Times New Roman" w:hAnsi="Times New Roman"/>
                <w:lang w:val="ro-RO"/>
              </w:rPr>
              <w:t>, APL</w:t>
            </w:r>
          </w:p>
        </w:tc>
        <w:tc>
          <w:tcPr>
            <w:tcW w:w="1726" w:type="dxa"/>
            <w:hideMark/>
          </w:tcPr>
          <w:p w14:paraId="171E2B97" w14:textId="77777777" w:rsidR="00D25293" w:rsidRPr="00125FAF" w:rsidRDefault="00D25293" w:rsidP="00D25293">
            <w:pPr>
              <w:jc w:val="both"/>
              <w:rPr>
                <w:rFonts w:ascii="Times New Roman" w:eastAsia="Times New Roman" w:hAnsi="Times New Roman"/>
                <w:b/>
                <w:bCs/>
                <w:lang w:val="ro-RO"/>
              </w:rPr>
            </w:pPr>
            <w:r w:rsidRPr="00125FAF">
              <w:rPr>
                <w:rFonts w:ascii="Times New Roman" w:eastAsia="Times New Roman" w:hAnsi="Times New Roman"/>
                <w:b/>
                <w:bCs/>
                <w:lang w:val="ro-RO"/>
              </w:rPr>
              <w:t> </w:t>
            </w:r>
          </w:p>
        </w:tc>
        <w:tc>
          <w:tcPr>
            <w:tcW w:w="1736" w:type="dxa"/>
            <w:hideMark/>
          </w:tcPr>
          <w:p w14:paraId="7B7B0DDA" w14:textId="4DE1BFD4" w:rsidR="00D25293" w:rsidRPr="00125FAF" w:rsidRDefault="0058666D" w:rsidP="0058666D">
            <w:pPr>
              <w:jc w:val="both"/>
              <w:rPr>
                <w:rFonts w:ascii="Times New Roman" w:eastAsia="Times New Roman" w:hAnsi="Times New Roman"/>
                <w:lang w:val="ro-RO"/>
              </w:rPr>
            </w:pPr>
            <w:r>
              <w:rPr>
                <w:rFonts w:ascii="Times New Roman" w:eastAsia="Times New Roman" w:hAnsi="Times New Roman"/>
                <w:lang w:val="ro-RO"/>
              </w:rPr>
              <w:t>40 mii</w:t>
            </w:r>
            <w:r w:rsidR="00D25293" w:rsidRPr="00125FAF">
              <w:rPr>
                <w:rFonts w:ascii="Times New Roman" w:eastAsia="Times New Roman" w:hAnsi="Times New Roman"/>
                <w:lang w:val="ro-RO"/>
              </w:rPr>
              <w:t xml:space="preserve"> ha de terenuri erodate</w:t>
            </w:r>
            <w:r>
              <w:rPr>
                <w:rFonts w:ascii="Times New Roman" w:eastAsia="Times New Roman" w:hAnsi="Times New Roman"/>
                <w:lang w:val="ro-RO"/>
              </w:rPr>
              <w:t xml:space="preserve"> convertite </w:t>
            </w:r>
            <w:r w:rsidR="00D25293" w:rsidRPr="00125FAF">
              <w:rPr>
                <w:rFonts w:ascii="Times New Roman" w:eastAsia="Times New Roman" w:hAnsi="Times New Roman"/>
                <w:lang w:val="ro-RO"/>
              </w:rPr>
              <w:t xml:space="preserve"> în pajiști</w:t>
            </w:r>
          </w:p>
        </w:tc>
        <w:tc>
          <w:tcPr>
            <w:tcW w:w="1377" w:type="dxa"/>
            <w:hideMark/>
          </w:tcPr>
          <w:p w14:paraId="3ACF67C5"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 </w:t>
            </w:r>
          </w:p>
        </w:tc>
        <w:tc>
          <w:tcPr>
            <w:tcW w:w="1444" w:type="dxa"/>
            <w:hideMark/>
          </w:tcPr>
          <w:p w14:paraId="41CCC8E8"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10</w:t>
            </w:r>
          </w:p>
        </w:tc>
        <w:tc>
          <w:tcPr>
            <w:tcW w:w="1238" w:type="dxa"/>
            <w:hideMark/>
          </w:tcPr>
          <w:p w14:paraId="68444C0A"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Proiecte și granturi din asistența financiară externă</w:t>
            </w:r>
          </w:p>
        </w:tc>
      </w:tr>
      <w:tr w:rsidR="00DC3FD5" w:rsidRPr="00125FAF" w14:paraId="67418E84" w14:textId="77777777" w:rsidTr="00AC461F">
        <w:trPr>
          <w:trHeight w:val="1275"/>
        </w:trPr>
        <w:tc>
          <w:tcPr>
            <w:tcW w:w="627" w:type="dxa"/>
            <w:hideMark/>
          </w:tcPr>
          <w:p w14:paraId="0F102B94"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6.5</w:t>
            </w:r>
          </w:p>
        </w:tc>
        <w:tc>
          <w:tcPr>
            <w:tcW w:w="3255" w:type="dxa"/>
            <w:hideMark/>
          </w:tcPr>
          <w:p w14:paraId="7A649239"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Plantarea culturilor silvice energetice</w:t>
            </w:r>
          </w:p>
        </w:tc>
        <w:tc>
          <w:tcPr>
            <w:tcW w:w="1057" w:type="dxa"/>
            <w:hideMark/>
          </w:tcPr>
          <w:p w14:paraId="7F4A7D27"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2030</w:t>
            </w:r>
          </w:p>
        </w:tc>
        <w:tc>
          <w:tcPr>
            <w:tcW w:w="1979" w:type="dxa"/>
            <w:hideMark/>
          </w:tcPr>
          <w:p w14:paraId="67B04976" w14:textId="16434AE3" w:rsidR="00D25293" w:rsidRPr="00125FAF" w:rsidRDefault="00DC3FD5" w:rsidP="00D25293">
            <w:pPr>
              <w:jc w:val="both"/>
              <w:rPr>
                <w:rFonts w:ascii="Times New Roman" w:eastAsia="Times New Roman" w:hAnsi="Times New Roman"/>
                <w:lang w:val="ro-RO"/>
              </w:rPr>
            </w:pPr>
            <w:r>
              <w:rPr>
                <w:rFonts w:ascii="Times New Roman" w:eastAsia="Times New Roman" w:hAnsi="Times New Roman"/>
                <w:lang w:val="ro-RO"/>
              </w:rPr>
              <w:t>Ministerul Mediului</w:t>
            </w:r>
            <w:r w:rsidR="00D25293" w:rsidRPr="00125FAF">
              <w:rPr>
                <w:rFonts w:ascii="Times New Roman" w:eastAsia="Times New Roman" w:hAnsi="Times New Roman"/>
                <w:lang w:val="ro-RO"/>
              </w:rPr>
              <w:t>, Agenția ”</w:t>
            </w:r>
            <w:proofErr w:type="spellStart"/>
            <w:r w:rsidR="00D25293" w:rsidRPr="00125FAF">
              <w:rPr>
                <w:rFonts w:ascii="Times New Roman" w:eastAsia="Times New Roman" w:hAnsi="Times New Roman"/>
                <w:lang w:val="ro-RO"/>
              </w:rPr>
              <w:t>Moldsilva</w:t>
            </w:r>
            <w:proofErr w:type="spellEnd"/>
            <w:r w:rsidR="00D25293" w:rsidRPr="00125FAF">
              <w:rPr>
                <w:rFonts w:ascii="Times New Roman" w:eastAsia="Times New Roman" w:hAnsi="Times New Roman"/>
                <w:lang w:val="ro-RO"/>
              </w:rPr>
              <w:t>”, APL</w:t>
            </w:r>
            <w:r w:rsidR="0058666D">
              <w:rPr>
                <w:rFonts w:ascii="Times New Roman" w:eastAsia="Times New Roman" w:hAnsi="Times New Roman"/>
                <w:lang w:val="ro-RO"/>
              </w:rPr>
              <w:t xml:space="preserve">, </w:t>
            </w:r>
            <w:r w:rsidR="0024706D">
              <w:rPr>
                <w:rFonts w:ascii="Times New Roman" w:eastAsia="Times New Roman" w:hAnsi="Times New Roman"/>
                <w:lang w:val="ro-RO"/>
              </w:rPr>
              <w:t>Ministerul Infrastructurii și Dezvoltării Regionale</w:t>
            </w:r>
          </w:p>
        </w:tc>
        <w:tc>
          <w:tcPr>
            <w:tcW w:w="1726" w:type="dxa"/>
            <w:hideMark/>
          </w:tcPr>
          <w:p w14:paraId="70FF1D4A" w14:textId="77777777" w:rsidR="00D25293" w:rsidRPr="00125FAF" w:rsidRDefault="00D25293" w:rsidP="00D25293">
            <w:pPr>
              <w:jc w:val="both"/>
              <w:rPr>
                <w:rFonts w:ascii="Times New Roman" w:eastAsia="Times New Roman" w:hAnsi="Times New Roman"/>
                <w:b/>
                <w:bCs/>
                <w:lang w:val="ro-RO"/>
              </w:rPr>
            </w:pPr>
            <w:r w:rsidRPr="00125FAF">
              <w:rPr>
                <w:rFonts w:ascii="Times New Roman" w:eastAsia="Times New Roman" w:hAnsi="Times New Roman"/>
                <w:b/>
                <w:bCs/>
                <w:lang w:val="ro-RO"/>
              </w:rPr>
              <w:t> </w:t>
            </w:r>
          </w:p>
        </w:tc>
        <w:tc>
          <w:tcPr>
            <w:tcW w:w="1736" w:type="dxa"/>
            <w:hideMark/>
          </w:tcPr>
          <w:p w14:paraId="06138F88"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 xml:space="preserve">Culturi energetice plantate pe o </w:t>
            </w:r>
            <w:proofErr w:type="spellStart"/>
            <w:r w:rsidRPr="00125FAF">
              <w:rPr>
                <w:rFonts w:ascii="Times New Roman" w:eastAsia="Times New Roman" w:hAnsi="Times New Roman"/>
                <w:lang w:val="ro-RO"/>
              </w:rPr>
              <w:t>suprafța</w:t>
            </w:r>
            <w:proofErr w:type="spellEnd"/>
            <w:r w:rsidRPr="00125FAF">
              <w:rPr>
                <w:rFonts w:ascii="Times New Roman" w:eastAsia="Times New Roman" w:hAnsi="Times New Roman"/>
                <w:lang w:val="ro-RO"/>
              </w:rPr>
              <w:t xml:space="preserve"> de 5 mii ha</w:t>
            </w:r>
          </w:p>
        </w:tc>
        <w:tc>
          <w:tcPr>
            <w:tcW w:w="1377" w:type="dxa"/>
            <w:hideMark/>
          </w:tcPr>
          <w:p w14:paraId="3775FA65"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 </w:t>
            </w:r>
          </w:p>
        </w:tc>
        <w:tc>
          <w:tcPr>
            <w:tcW w:w="1444" w:type="dxa"/>
            <w:hideMark/>
          </w:tcPr>
          <w:p w14:paraId="4413D20D"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17</w:t>
            </w:r>
          </w:p>
        </w:tc>
        <w:tc>
          <w:tcPr>
            <w:tcW w:w="1238" w:type="dxa"/>
            <w:hideMark/>
          </w:tcPr>
          <w:p w14:paraId="476E2300"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Sectorul privat, Proiecte și granturi din asistența financiară externă</w:t>
            </w:r>
          </w:p>
        </w:tc>
      </w:tr>
      <w:tr w:rsidR="00DC3FD5" w:rsidRPr="00125FAF" w14:paraId="22945184" w14:textId="77777777" w:rsidTr="00AC461F">
        <w:trPr>
          <w:trHeight w:val="300"/>
        </w:trPr>
        <w:tc>
          <w:tcPr>
            <w:tcW w:w="627" w:type="dxa"/>
            <w:hideMark/>
          </w:tcPr>
          <w:p w14:paraId="59053DC9"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lastRenderedPageBreak/>
              <w:t>7</w:t>
            </w:r>
          </w:p>
        </w:tc>
        <w:tc>
          <w:tcPr>
            <w:tcW w:w="13812" w:type="dxa"/>
            <w:gridSpan w:val="8"/>
            <w:hideMark/>
          </w:tcPr>
          <w:p w14:paraId="39202E13" w14:textId="77777777" w:rsidR="00D25293" w:rsidRPr="00125FAF" w:rsidRDefault="00D25293" w:rsidP="00D25293">
            <w:pPr>
              <w:jc w:val="both"/>
              <w:rPr>
                <w:rFonts w:ascii="Times New Roman" w:eastAsia="Times New Roman" w:hAnsi="Times New Roman"/>
                <w:b/>
                <w:bCs/>
                <w:lang w:val="ro-RO"/>
              </w:rPr>
            </w:pPr>
            <w:r w:rsidRPr="00125FAF">
              <w:rPr>
                <w:rFonts w:ascii="Times New Roman" w:eastAsia="Times New Roman" w:hAnsi="Times New Roman"/>
                <w:b/>
                <w:bCs/>
                <w:lang w:val="ro-RO"/>
              </w:rPr>
              <w:t>Obiectivul specific 7.</w:t>
            </w:r>
            <w:r w:rsidRPr="00125FAF">
              <w:rPr>
                <w:rFonts w:ascii="Times New Roman" w:eastAsia="Times New Roman" w:hAnsi="Times New Roman"/>
                <w:lang w:val="ro-RO"/>
              </w:rPr>
              <w:t xml:space="preserve"> Reducerea </w:t>
            </w:r>
            <w:proofErr w:type="spellStart"/>
            <w:r w:rsidRPr="00125FAF">
              <w:rPr>
                <w:rFonts w:ascii="Times New Roman" w:eastAsia="Times New Roman" w:hAnsi="Times New Roman"/>
                <w:lang w:val="ro-RO"/>
              </w:rPr>
              <w:t>necondiţionată</w:t>
            </w:r>
            <w:proofErr w:type="spellEnd"/>
            <w:r w:rsidRPr="00125FAF">
              <w:rPr>
                <w:rFonts w:ascii="Times New Roman" w:eastAsia="Times New Roman" w:hAnsi="Times New Roman"/>
                <w:lang w:val="ro-RO"/>
              </w:rPr>
              <w:t xml:space="preserve">, </w:t>
            </w:r>
            <w:proofErr w:type="spellStart"/>
            <w:r w:rsidRPr="00125FAF">
              <w:rPr>
                <w:rFonts w:ascii="Times New Roman" w:eastAsia="Times New Roman" w:hAnsi="Times New Roman"/>
                <w:lang w:val="ro-RO"/>
              </w:rPr>
              <w:t>pînă</w:t>
            </w:r>
            <w:proofErr w:type="spellEnd"/>
            <w:r w:rsidRPr="00125FAF">
              <w:rPr>
                <w:rFonts w:ascii="Times New Roman" w:eastAsia="Times New Roman" w:hAnsi="Times New Roman"/>
                <w:lang w:val="ro-RO"/>
              </w:rPr>
              <w:t xml:space="preserve"> în anul 2030, a emisiilor de gaze cu efect de seră provenite de la </w:t>
            </w:r>
            <w:r w:rsidRPr="00125FAF">
              <w:rPr>
                <w:rFonts w:ascii="Times New Roman" w:eastAsia="Times New Roman" w:hAnsi="Times New Roman"/>
                <w:b/>
                <w:bCs/>
                <w:lang w:val="ro-RO"/>
              </w:rPr>
              <w:t xml:space="preserve">sectorul </w:t>
            </w:r>
            <w:proofErr w:type="spellStart"/>
            <w:r w:rsidRPr="00125FAF">
              <w:rPr>
                <w:rFonts w:ascii="Times New Roman" w:eastAsia="Times New Roman" w:hAnsi="Times New Roman"/>
                <w:b/>
                <w:bCs/>
                <w:lang w:val="ro-RO"/>
              </w:rPr>
              <w:t>deşeurilor</w:t>
            </w:r>
            <w:proofErr w:type="spellEnd"/>
            <w:r w:rsidRPr="00125FAF">
              <w:rPr>
                <w:rFonts w:ascii="Times New Roman" w:eastAsia="Times New Roman" w:hAnsi="Times New Roman"/>
                <w:b/>
                <w:bCs/>
                <w:lang w:val="ro-RO"/>
              </w:rPr>
              <w:t xml:space="preserve"> </w:t>
            </w:r>
            <w:r w:rsidRPr="00125FAF">
              <w:rPr>
                <w:rFonts w:ascii="Times New Roman" w:eastAsia="Times New Roman" w:hAnsi="Times New Roman"/>
                <w:lang w:val="ro-RO"/>
              </w:rPr>
              <w:t xml:space="preserve">cu 14% </w:t>
            </w:r>
            <w:proofErr w:type="spellStart"/>
            <w:r w:rsidRPr="00125FAF">
              <w:rPr>
                <w:rFonts w:ascii="Times New Roman" w:eastAsia="Times New Roman" w:hAnsi="Times New Roman"/>
                <w:lang w:val="ro-RO"/>
              </w:rPr>
              <w:t>şi</w:t>
            </w:r>
            <w:proofErr w:type="spellEnd"/>
            <w:r w:rsidRPr="00125FAF">
              <w:rPr>
                <w:rFonts w:ascii="Times New Roman" w:eastAsia="Times New Roman" w:hAnsi="Times New Roman"/>
                <w:lang w:val="ro-RO"/>
              </w:rPr>
              <w:t xml:space="preserve"> reducerea de gaze cu efect de seră </w:t>
            </w:r>
            <w:proofErr w:type="spellStart"/>
            <w:r w:rsidRPr="00125FAF">
              <w:rPr>
                <w:rFonts w:ascii="Times New Roman" w:eastAsia="Times New Roman" w:hAnsi="Times New Roman"/>
                <w:lang w:val="ro-RO"/>
              </w:rPr>
              <w:t>condiţionată</w:t>
            </w:r>
            <w:proofErr w:type="spellEnd"/>
            <w:r w:rsidRPr="00125FAF">
              <w:rPr>
                <w:rFonts w:ascii="Times New Roman" w:eastAsia="Times New Roman" w:hAnsi="Times New Roman"/>
                <w:lang w:val="ro-RO"/>
              </w:rPr>
              <w:t xml:space="preserve"> </w:t>
            </w:r>
            <w:proofErr w:type="spellStart"/>
            <w:r w:rsidRPr="00125FAF">
              <w:rPr>
                <w:rFonts w:ascii="Times New Roman" w:eastAsia="Times New Roman" w:hAnsi="Times New Roman"/>
                <w:lang w:val="ro-RO"/>
              </w:rPr>
              <w:t>pînă</w:t>
            </w:r>
            <w:proofErr w:type="spellEnd"/>
            <w:r w:rsidRPr="00125FAF">
              <w:rPr>
                <w:rFonts w:ascii="Times New Roman" w:eastAsia="Times New Roman" w:hAnsi="Times New Roman"/>
                <w:lang w:val="ro-RO"/>
              </w:rPr>
              <w:t xml:space="preserve"> la 18% comparativ cu anul 1990</w:t>
            </w:r>
          </w:p>
        </w:tc>
      </w:tr>
      <w:tr w:rsidR="00DC3FD5" w:rsidRPr="00125FAF" w14:paraId="7590D2DC" w14:textId="77777777" w:rsidTr="00AC461F">
        <w:trPr>
          <w:trHeight w:val="2989"/>
        </w:trPr>
        <w:tc>
          <w:tcPr>
            <w:tcW w:w="627" w:type="dxa"/>
            <w:hideMark/>
          </w:tcPr>
          <w:p w14:paraId="2F07FACA"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7.1</w:t>
            </w:r>
          </w:p>
        </w:tc>
        <w:tc>
          <w:tcPr>
            <w:tcW w:w="3255" w:type="dxa"/>
            <w:hideMark/>
          </w:tcPr>
          <w:p w14:paraId="602CD5F2" w14:textId="41080D80" w:rsidR="00D25293" w:rsidRPr="00125FAF" w:rsidRDefault="00D25293" w:rsidP="00D25293">
            <w:pPr>
              <w:jc w:val="both"/>
              <w:rPr>
                <w:rFonts w:ascii="Times New Roman" w:eastAsia="Times New Roman" w:hAnsi="Times New Roman"/>
                <w:lang w:val="ro-RO"/>
              </w:rPr>
            </w:pPr>
            <w:proofErr w:type="spellStart"/>
            <w:r w:rsidRPr="00125FAF">
              <w:rPr>
                <w:rFonts w:ascii="Times New Roman" w:eastAsia="Times New Roman" w:hAnsi="Times New Roman"/>
                <w:lang w:val="ro-RO"/>
              </w:rPr>
              <w:t>Construcţia</w:t>
            </w:r>
            <w:proofErr w:type="spellEnd"/>
            <w:r w:rsidR="00B566C6" w:rsidRPr="00125FAF">
              <w:rPr>
                <w:rFonts w:ascii="Times New Roman" w:eastAsia="Times New Roman" w:hAnsi="Times New Roman"/>
                <w:lang w:val="ro-RO"/>
              </w:rPr>
              <w:t xml:space="preserve"> </w:t>
            </w:r>
            <w:r w:rsidRPr="00125FAF">
              <w:rPr>
                <w:rFonts w:ascii="Times New Roman" w:eastAsia="Times New Roman" w:hAnsi="Times New Roman"/>
                <w:lang w:val="ro-RO"/>
              </w:rPr>
              <w:t xml:space="preserve">depozitului pentru </w:t>
            </w:r>
            <w:proofErr w:type="spellStart"/>
            <w:r w:rsidRPr="00125FAF">
              <w:rPr>
                <w:rFonts w:ascii="Times New Roman" w:eastAsia="Times New Roman" w:hAnsi="Times New Roman"/>
                <w:lang w:val="ro-RO"/>
              </w:rPr>
              <w:t>deşeurile</w:t>
            </w:r>
            <w:proofErr w:type="spellEnd"/>
            <w:r w:rsidRPr="00125FAF">
              <w:rPr>
                <w:rFonts w:ascii="Times New Roman" w:eastAsia="Times New Roman" w:hAnsi="Times New Roman"/>
                <w:lang w:val="ro-RO"/>
              </w:rPr>
              <w:t xml:space="preserve"> menajere solide regional </w:t>
            </w:r>
            <w:proofErr w:type="spellStart"/>
            <w:r w:rsidRPr="00125FAF">
              <w:rPr>
                <w:rFonts w:ascii="Times New Roman" w:eastAsia="Times New Roman" w:hAnsi="Times New Roman"/>
                <w:lang w:val="ro-RO"/>
              </w:rPr>
              <w:t>şi</w:t>
            </w:r>
            <w:proofErr w:type="spellEnd"/>
            <w:r w:rsidRPr="00125FAF">
              <w:rPr>
                <w:rFonts w:ascii="Times New Roman" w:eastAsia="Times New Roman" w:hAnsi="Times New Roman"/>
                <w:lang w:val="ro-RO"/>
              </w:rPr>
              <w:t xml:space="preserve"> a </w:t>
            </w:r>
            <w:proofErr w:type="spellStart"/>
            <w:r w:rsidRPr="00125FAF">
              <w:rPr>
                <w:rFonts w:ascii="Times New Roman" w:eastAsia="Times New Roman" w:hAnsi="Times New Roman"/>
                <w:lang w:val="ro-RO"/>
              </w:rPr>
              <w:t>staţiilor</w:t>
            </w:r>
            <w:proofErr w:type="spellEnd"/>
            <w:r w:rsidRPr="00125FAF">
              <w:rPr>
                <w:rFonts w:ascii="Times New Roman" w:eastAsia="Times New Roman" w:hAnsi="Times New Roman"/>
                <w:lang w:val="ro-RO"/>
              </w:rPr>
              <w:t xml:space="preserve"> de transfer</w:t>
            </w:r>
            <w:r w:rsidR="00B566C6" w:rsidRPr="00125FAF">
              <w:rPr>
                <w:rFonts w:ascii="Times New Roman" w:eastAsia="Times New Roman" w:hAnsi="Times New Roman"/>
                <w:lang w:val="ro-RO"/>
              </w:rPr>
              <w:t xml:space="preserve"> </w:t>
            </w:r>
            <w:r w:rsidRPr="00125FAF">
              <w:rPr>
                <w:rFonts w:ascii="Times New Roman" w:eastAsia="Times New Roman" w:hAnsi="Times New Roman"/>
                <w:lang w:val="ro-RO"/>
              </w:rPr>
              <w:t xml:space="preserve">în Regiunea 1 – Cahul, Cantemir, Taraclia, </w:t>
            </w:r>
            <w:proofErr w:type="spellStart"/>
            <w:r w:rsidRPr="00125FAF">
              <w:rPr>
                <w:rFonts w:ascii="Times New Roman" w:eastAsia="Times New Roman" w:hAnsi="Times New Roman"/>
                <w:lang w:val="ro-RO"/>
              </w:rPr>
              <w:t>Ceadîr</w:t>
            </w:r>
            <w:proofErr w:type="spellEnd"/>
            <w:r w:rsidRPr="00125FAF">
              <w:rPr>
                <w:rFonts w:ascii="Times New Roman" w:eastAsia="Times New Roman" w:hAnsi="Times New Roman"/>
                <w:lang w:val="ro-RO"/>
              </w:rPr>
              <w:t>-lunga și Vulcănești.</w:t>
            </w:r>
          </w:p>
        </w:tc>
        <w:tc>
          <w:tcPr>
            <w:tcW w:w="1057" w:type="dxa"/>
            <w:hideMark/>
          </w:tcPr>
          <w:p w14:paraId="33189874"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2025</w:t>
            </w:r>
          </w:p>
        </w:tc>
        <w:tc>
          <w:tcPr>
            <w:tcW w:w="1979" w:type="dxa"/>
            <w:hideMark/>
          </w:tcPr>
          <w:p w14:paraId="519D776D" w14:textId="594A5E9C" w:rsidR="00D25293" w:rsidRPr="00125FAF" w:rsidRDefault="002C1CB9" w:rsidP="00D25293">
            <w:pPr>
              <w:jc w:val="both"/>
              <w:rPr>
                <w:rFonts w:ascii="Times New Roman" w:eastAsia="Times New Roman" w:hAnsi="Times New Roman"/>
                <w:lang w:val="ro-RO"/>
              </w:rPr>
            </w:pPr>
            <w:r>
              <w:rPr>
                <w:rFonts w:ascii="Times New Roman" w:eastAsia="Times New Roman" w:hAnsi="Times New Roman"/>
                <w:lang w:val="ro-RO"/>
              </w:rPr>
              <w:t>Ministerul Mediului</w:t>
            </w:r>
          </w:p>
        </w:tc>
        <w:tc>
          <w:tcPr>
            <w:tcW w:w="1726" w:type="dxa"/>
            <w:hideMark/>
          </w:tcPr>
          <w:p w14:paraId="20FB6FE9"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 </w:t>
            </w:r>
          </w:p>
        </w:tc>
        <w:tc>
          <w:tcPr>
            <w:tcW w:w="1736" w:type="dxa"/>
            <w:hideMark/>
          </w:tcPr>
          <w:p w14:paraId="6900F2EB" w14:textId="35797568"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1</w:t>
            </w:r>
            <w:r w:rsidR="00B566C6" w:rsidRPr="00125FAF">
              <w:rPr>
                <w:rFonts w:ascii="Times New Roman" w:eastAsia="Times New Roman" w:hAnsi="Times New Roman"/>
                <w:lang w:val="ro-RO"/>
              </w:rPr>
              <w:t xml:space="preserve"> </w:t>
            </w:r>
            <w:r w:rsidRPr="00125FAF">
              <w:rPr>
                <w:rFonts w:ascii="Times New Roman" w:eastAsia="Times New Roman" w:hAnsi="Times New Roman"/>
                <w:lang w:val="ro-RO"/>
              </w:rPr>
              <w:t xml:space="preserve">depozit regional pentru </w:t>
            </w:r>
            <w:proofErr w:type="spellStart"/>
            <w:r w:rsidRPr="00125FAF">
              <w:rPr>
                <w:rFonts w:ascii="Times New Roman" w:eastAsia="Times New Roman" w:hAnsi="Times New Roman"/>
                <w:lang w:val="ro-RO"/>
              </w:rPr>
              <w:t>deşeurile</w:t>
            </w:r>
            <w:proofErr w:type="spellEnd"/>
            <w:r w:rsidRPr="00125FAF">
              <w:rPr>
                <w:rFonts w:ascii="Times New Roman" w:eastAsia="Times New Roman" w:hAnsi="Times New Roman"/>
                <w:lang w:val="ro-RO"/>
              </w:rPr>
              <w:t xml:space="preserve"> menajere solide construit, 3</w:t>
            </w:r>
            <w:r w:rsidR="00B566C6" w:rsidRPr="00125FAF">
              <w:rPr>
                <w:rFonts w:ascii="Times New Roman" w:eastAsia="Times New Roman" w:hAnsi="Times New Roman"/>
                <w:lang w:val="ro-RO"/>
              </w:rPr>
              <w:t xml:space="preserve"> </w:t>
            </w:r>
            <w:r w:rsidRPr="00125FAF">
              <w:rPr>
                <w:rFonts w:ascii="Times New Roman" w:eastAsia="Times New Roman" w:hAnsi="Times New Roman"/>
                <w:lang w:val="ro-RO"/>
              </w:rPr>
              <w:t>instalații de compostare, 2</w:t>
            </w:r>
            <w:r w:rsidR="00B566C6" w:rsidRPr="00125FAF">
              <w:rPr>
                <w:rFonts w:ascii="Times New Roman" w:eastAsia="Times New Roman" w:hAnsi="Times New Roman"/>
                <w:lang w:val="ro-RO"/>
              </w:rPr>
              <w:t xml:space="preserve"> </w:t>
            </w:r>
            <w:proofErr w:type="spellStart"/>
            <w:r w:rsidRPr="00125FAF">
              <w:rPr>
                <w:rFonts w:ascii="Times New Roman" w:eastAsia="Times New Roman" w:hAnsi="Times New Roman"/>
                <w:lang w:val="ro-RO"/>
              </w:rPr>
              <w:t>staţii</w:t>
            </w:r>
            <w:proofErr w:type="spellEnd"/>
            <w:r w:rsidRPr="00125FAF">
              <w:rPr>
                <w:rFonts w:ascii="Times New Roman" w:eastAsia="Times New Roman" w:hAnsi="Times New Roman"/>
                <w:lang w:val="ro-RO"/>
              </w:rPr>
              <w:t xml:space="preserve"> de transfer</w:t>
            </w:r>
            <w:r w:rsidR="00B566C6" w:rsidRPr="00125FAF">
              <w:rPr>
                <w:rFonts w:ascii="Times New Roman" w:eastAsia="Times New Roman" w:hAnsi="Times New Roman"/>
                <w:lang w:val="ro-RO"/>
              </w:rPr>
              <w:t xml:space="preserve"> </w:t>
            </w:r>
            <w:r w:rsidRPr="00125FAF">
              <w:rPr>
                <w:rFonts w:ascii="Times New Roman" w:eastAsia="Times New Roman" w:hAnsi="Times New Roman"/>
                <w:lang w:val="ro-RO"/>
              </w:rPr>
              <w:t xml:space="preserve">construite, 23 </w:t>
            </w:r>
            <w:proofErr w:type="spellStart"/>
            <w:r w:rsidRPr="00125FAF">
              <w:rPr>
                <w:rFonts w:ascii="Times New Roman" w:eastAsia="Times New Roman" w:hAnsi="Times New Roman"/>
                <w:lang w:val="ro-RO"/>
              </w:rPr>
              <w:t>unităţi</w:t>
            </w:r>
            <w:proofErr w:type="spellEnd"/>
            <w:r w:rsidRPr="00125FAF">
              <w:rPr>
                <w:rFonts w:ascii="Times New Roman" w:eastAsia="Times New Roman" w:hAnsi="Times New Roman"/>
                <w:lang w:val="ro-RO"/>
              </w:rPr>
              <w:t xml:space="preserve"> de transport cu capacitatea de</w:t>
            </w:r>
            <w:r w:rsidR="00B566C6" w:rsidRPr="00125FAF">
              <w:rPr>
                <w:rFonts w:ascii="Times New Roman" w:eastAsia="Times New Roman" w:hAnsi="Times New Roman"/>
                <w:lang w:val="ro-RO"/>
              </w:rPr>
              <w:t xml:space="preserve"> </w:t>
            </w:r>
            <w:r w:rsidRPr="00125FAF">
              <w:rPr>
                <w:rFonts w:ascii="Times New Roman" w:eastAsia="Times New Roman" w:hAnsi="Times New Roman"/>
                <w:lang w:val="ro-RO"/>
              </w:rPr>
              <w:t>16 m3</w:t>
            </w:r>
            <w:r w:rsidR="00B566C6" w:rsidRPr="00125FAF">
              <w:rPr>
                <w:rFonts w:ascii="Times New Roman" w:eastAsia="Times New Roman" w:hAnsi="Times New Roman"/>
                <w:lang w:val="ro-RO"/>
              </w:rPr>
              <w:t xml:space="preserve"> </w:t>
            </w:r>
            <w:r w:rsidRPr="00125FAF">
              <w:rPr>
                <w:rFonts w:ascii="Times New Roman" w:eastAsia="Times New Roman" w:hAnsi="Times New Roman"/>
                <w:lang w:val="ro-RO"/>
              </w:rPr>
              <w:t>și 16 unități de transport</w:t>
            </w:r>
            <w:r w:rsidR="00B566C6" w:rsidRPr="00125FAF">
              <w:rPr>
                <w:rFonts w:ascii="Times New Roman" w:eastAsia="Times New Roman" w:hAnsi="Times New Roman"/>
                <w:lang w:val="ro-RO"/>
              </w:rPr>
              <w:t xml:space="preserve"> </w:t>
            </w:r>
            <w:r w:rsidRPr="00125FAF">
              <w:rPr>
                <w:rFonts w:ascii="Times New Roman" w:eastAsia="Times New Roman" w:hAnsi="Times New Roman"/>
                <w:lang w:val="ro-RO"/>
              </w:rPr>
              <w:t xml:space="preserve">cu capacitatea de 6 m3 pentru transferul </w:t>
            </w:r>
            <w:proofErr w:type="spellStart"/>
            <w:r w:rsidRPr="00125FAF">
              <w:rPr>
                <w:rFonts w:ascii="Times New Roman" w:eastAsia="Times New Roman" w:hAnsi="Times New Roman"/>
                <w:lang w:val="ro-RO"/>
              </w:rPr>
              <w:t>deşeurilor</w:t>
            </w:r>
            <w:proofErr w:type="spellEnd"/>
            <w:r w:rsidRPr="00125FAF">
              <w:rPr>
                <w:rFonts w:ascii="Times New Roman" w:eastAsia="Times New Roman" w:hAnsi="Times New Roman"/>
                <w:lang w:val="ro-RO"/>
              </w:rPr>
              <w:t xml:space="preserve"> la depozit din zonele urbane și rurale. </w:t>
            </w:r>
          </w:p>
        </w:tc>
        <w:tc>
          <w:tcPr>
            <w:tcW w:w="1377" w:type="dxa"/>
            <w:hideMark/>
          </w:tcPr>
          <w:p w14:paraId="647400D4" w14:textId="6244C0B1"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269</w:t>
            </w:r>
            <w:r w:rsidR="008F2629" w:rsidRPr="00125FAF">
              <w:rPr>
                <w:rFonts w:ascii="Times New Roman" w:eastAsia="Times New Roman" w:hAnsi="Times New Roman"/>
                <w:lang w:val="ro-RO"/>
              </w:rPr>
              <w:t>,</w:t>
            </w:r>
            <w:r w:rsidRPr="00125FAF">
              <w:rPr>
                <w:rFonts w:ascii="Times New Roman" w:eastAsia="Times New Roman" w:hAnsi="Times New Roman"/>
                <w:lang w:val="ro-RO"/>
              </w:rPr>
              <w:t>4</w:t>
            </w:r>
          </w:p>
        </w:tc>
        <w:tc>
          <w:tcPr>
            <w:tcW w:w="1444" w:type="dxa"/>
            <w:noWrap/>
            <w:hideMark/>
          </w:tcPr>
          <w:p w14:paraId="5150AE97" w14:textId="02A122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101</w:t>
            </w:r>
            <w:r w:rsidR="008F2629" w:rsidRPr="00125FAF">
              <w:rPr>
                <w:rFonts w:ascii="Times New Roman" w:eastAsia="Times New Roman" w:hAnsi="Times New Roman"/>
                <w:lang w:val="ro-RO"/>
              </w:rPr>
              <w:t>,</w:t>
            </w:r>
            <w:r w:rsidRPr="00125FAF">
              <w:rPr>
                <w:rFonts w:ascii="Times New Roman" w:eastAsia="Times New Roman" w:hAnsi="Times New Roman"/>
                <w:lang w:val="ro-RO"/>
              </w:rPr>
              <w:t>4</w:t>
            </w:r>
          </w:p>
        </w:tc>
        <w:tc>
          <w:tcPr>
            <w:tcW w:w="1238" w:type="dxa"/>
            <w:hideMark/>
          </w:tcPr>
          <w:p w14:paraId="1F46AE13"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 xml:space="preserve">Bugetul de stat, </w:t>
            </w:r>
            <w:proofErr w:type="spellStart"/>
            <w:r w:rsidRPr="00125FAF">
              <w:rPr>
                <w:rFonts w:ascii="Times New Roman" w:eastAsia="Times New Roman" w:hAnsi="Times New Roman"/>
                <w:lang w:val="ro-RO"/>
              </w:rPr>
              <w:t>asistenţă</w:t>
            </w:r>
            <w:proofErr w:type="spellEnd"/>
            <w:r w:rsidRPr="00125FAF">
              <w:rPr>
                <w:rFonts w:ascii="Times New Roman" w:eastAsia="Times New Roman" w:hAnsi="Times New Roman"/>
                <w:lang w:val="ro-RO"/>
              </w:rPr>
              <w:t xml:space="preserve"> externă, alte surse</w:t>
            </w:r>
          </w:p>
        </w:tc>
      </w:tr>
      <w:tr w:rsidR="00DC3FD5" w:rsidRPr="00125FAF" w14:paraId="07126996" w14:textId="77777777" w:rsidTr="00AC461F">
        <w:trPr>
          <w:trHeight w:val="2310"/>
        </w:trPr>
        <w:tc>
          <w:tcPr>
            <w:tcW w:w="627" w:type="dxa"/>
            <w:hideMark/>
          </w:tcPr>
          <w:p w14:paraId="4FF63875"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7.2</w:t>
            </w:r>
          </w:p>
        </w:tc>
        <w:tc>
          <w:tcPr>
            <w:tcW w:w="3255" w:type="dxa"/>
            <w:hideMark/>
          </w:tcPr>
          <w:p w14:paraId="33E0C821" w14:textId="7EB61CE5" w:rsidR="00D25293" w:rsidRPr="00125FAF" w:rsidRDefault="00D25293" w:rsidP="00D25293">
            <w:pPr>
              <w:jc w:val="both"/>
              <w:rPr>
                <w:rFonts w:ascii="Times New Roman" w:eastAsia="Times New Roman" w:hAnsi="Times New Roman"/>
                <w:lang w:val="ro-RO"/>
              </w:rPr>
            </w:pPr>
            <w:proofErr w:type="spellStart"/>
            <w:r w:rsidRPr="00125FAF">
              <w:rPr>
                <w:rFonts w:ascii="Times New Roman" w:eastAsia="Times New Roman" w:hAnsi="Times New Roman"/>
                <w:lang w:val="ro-RO"/>
              </w:rPr>
              <w:t>Construcţia</w:t>
            </w:r>
            <w:proofErr w:type="spellEnd"/>
            <w:r w:rsidR="00B566C6" w:rsidRPr="00125FAF">
              <w:rPr>
                <w:rFonts w:ascii="Times New Roman" w:eastAsia="Times New Roman" w:hAnsi="Times New Roman"/>
                <w:lang w:val="ro-RO"/>
              </w:rPr>
              <w:t xml:space="preserve"> </w:t>
            </w:r>
            <w:r w:rsidRPr="00125FAF">
              <w:rPr>
                <w:rFonts w:ascii="Times New Roman" w:eastAsia="Times New Roman" w:hAnsi="Times New Roman"/>
                <w:lang w:val="ro-RO"/>
              </w:rPr>
              <w:t xml:space="preserve">depozitului pentru </w:t>
            </w:r>
            <w:proofErr w:type="spellStart"/>
            <w:r w:rsidRPr="00125FAF">
              <w:rPr>
                <w:rFonts w:ascii="Times New Roman" w:eastAsia="Times New Roman" w:hAnsi="Times New Roman"/>
                <w:lang w:val="ro-RO"/>
              </w:rPr>
              <w:t>deşeurile</w:t>
            </w:r>
            <w:proofErr w:type="spellEnd"/>
            <w:r w:rsidRPr="00125FAF">
              <w:rPr>
                <w:rFonts w:ascii="Times New Roman" w:eastAsia="Times New Roman" w:hAnsi="Times New Roman"/>
                <w:lang w:val="ro-RO"/>
              </w:rPr>
              <w:t xml:space="preserve"> menajere solide regionale </w:t>
            </w:r>
            <w:proofErr w:type="spellStart"/>
            <w:r w:rsidRPr="00125FAF">
              <w:rPr>
                <w:rFonts w:ascii="Times New Roman" w:eastAsia="Times New Roman" w:hAnsi="Times New Roman"/>
                <w:lang w:val="ro-RO"/>
              </w:rPr>
              <w:t>şi</w:t>
            </w:r>
            <w:proofErr w:type="spellEnd"/>
            <w:r w:rsidRPr="00125FAF">
              <w:rPr>
                <w:rFonts w:ascii="Times New Roman" w:eastAsia="Times New Roman" w:hAnsi="Times New Roman"/>
                <w:lang w:val="ro-RO"/>
              </w:rPr>
              <w:t xml:space="preserve"> a </w:t>
            </w:r>
            <w:proofErr w:type="spellStart"/>
            <w:r w:rsidRPr="00125FAF">
              <w:rPr>
                <w:rFonts w:ascii="Times New Roman" w:eastAsia="Times New Roman" w:hAnsi="Times New Roman"/>
                <w:lang w:val="ro-RO"/>
              </w:rPr>
              <w:t>staţiilor</w:t>
            </w:r>
            <w:proofErr w:type="spellEnd"/>
            <w:r w:rsidRPr="00125FAF">
              <w:rPr>
                <w:rFonts w:ascii="Times New Roman" w:eastAsia="Times New Roman" w:hAnsi="Times New Roman"/>
                <w:lang w:val="ro-RO"/>
              </w:rPr>
              <w:t xml:space="preserve"> de transfer</w:t>
            </w:r>
            <w:r w:rsidR="00B566C6" w:rsidRPr="00125FAF">
              <w:rPr>
                <w:rFonts w:ascii="Times New Roman" w:eastAsia="Times New Roman" w:hAnsi="Times New Roman"/>
                <w:lang w:val="ro-RO"/>
              </w:rPr>
              <w:t xml:space="preserve"> </w:t>
            </w:r>
            <w:r w:rsidRPr="00125FAF">
              <w:rPr>
                <w:rFonts w:ascii="Times New Roman" w:eastAsia="Times New Roman" w:hAnsi="Times New Roman"/>
                <w:lang w:val="ro-RO"/>
              </w:rPr>
              <w:t xml:space="preserve">în regiunea 2 – Leova, </w:t>
            </w:r>
            <w:proofErr w:type="spellStart"/>
            <w:r w:rsidRPr="00125FAF">
              <w:rPr>
                <w:rFonts w:ascii="Times New Roman" w:eastAsia="Times New Roman" w:hAnsi="Times New Roman"/>
                <w:lang w:val="ro-RO"/>
              </w:rPr>
              <w:t>Cimişlia</w:t>
            </w:r>
            <w:proofErr w:type="spellEnd"/>
            <w:r w:rsidRPr="00125FAF">
              <w:rPr>
                <w:rFonts w:ascii="Times New Roman" w:eastAsia="Times New Roman" w:hAnsi="Times New Roman"/>
                <w:lang w:val="ro-RO"/>
              </w:rPr>
              <w:t>, Basarabeasca și Comrat</w:t>
            </w:r>
          </w:p>
        </w:tc>
        <w:tc>
          <w:tcPr>
            <w:tcW w:w="1057" w:type="dxa"/>
            <w:hideMark/>
          </w:tcPr>
          <w:p w14:paraId="516A7BD8"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2030</w:t>
            </w:r>
          </w:p>
        </w:tc>
        <w:tc>
          <w:tcPr>
            <w:tcW w:w="1979" w:type="dxa"/>
            <w:hideMark/>
          </w:tcPr>
          <w:p w14:paraId="7D1DEFD9" w14:textId="151C769E" w:rsidR="00D25293" w:rsidRPr="00125FAF" w:rsidRDefault="002C1CB9" w:rsidP="00D25293">
            <w:pPr>
              <w:jc w:val="both"/>
              <w:rPr>
                <w:rFonts w:ascii="Times New Roman" w:eastAsia="Times New Roman" w:hAnsi="Times New Roman"/>
                <w:lang w:val="ro-RO"/>
              </w:rPr>
            </w:pPr>
            <w:r>
              <w:rPr>
                <w:rFonts w:ascii="Times New Roman" w:eastAsia="Times New Roman" w:hAnsi="Times New Roman"/>
                <w:lang w:val="ro-RO"/>
              </w:rPr>
              <w:t>Ministerul Mediului</w:t>
            </w:r>
          </w:p>
        </w:tc>
        <w:tc>
          <w:tcPr>
            <w:tcW w:w="1726" w:type="dxa"/>
            <w:hideMark/>
          </w:tcPr>
          <w:p w14:paraId="008744A2"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 </w:t>
            </w:r>
          </w:p>
        </w:tc>
        <w:tc>
          <w:tcPr>
            <w:tcW w:w="1736" w:type="dxa"/>
            <w:hideMark/>
          </w:tcPr>
          <w:p w14:paraId="6060A46F" w14:textId="72593480"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1</w:t>
            </w:r>
            <w:r w:rsidR="00B566C6" w:rsidRPr="00125FAF">
              <w:rPr>
                <w:rFonts w:ascii="Times New Roman" w:eastAsia="Times New Roman" w:hAnsi="Times New Roman"/>
                <w:lang w:val="ro-RO"/>
              </w:rPr>
              <w:t xml:space="preserve"> </w:t>
            </w:r>
            <w:r w:rsidRPr="00125FAF">
              <w:rPr>
                <w:rFonts w:ascii="Times New Roman" w:eastAsia="Times New Roman" w:hAnsi="Times New Roman"/>
                <w:lang w:val="ro-RO"/>
              </w:rPr>
              <w:t xml:space="preserve">depozit regional pentru </w:t>
            </w:r>
            <w:proofErr w:type="spellStart"/>
            <w:r w:rsidRPr="00125FAF">
              <w:rPr>
                <w:rFonts w:ascii="Times New Roman" w:eastAsia="Times New Roman" w:hAnsi="Times New Roman"/>
                <w:lang w:val="ro-RO"/>
              </w:rPr>
              <w:t>deşeurile</w:t>
            </w:r>
            <w:proofErr w:type="spellEnd"/>
            <w:r w:rsidRPr="00125FAF">
              <w:rPr>
                <w:rFonts w:ascii="Times New Roman" w:eastAsia="Times New Roman" w:hAnsi="Times New Roman"/>
                <w:lang w:val="ro-RO"/>
              </w:rPr>
              <w:t xml:space="preserve"> menajere solide construit, 2</w:t>
            </w:r>
            <w:r w:rsidR="00B566C6" w:rsidRPr="00125FAF">
              <w:rPr>
                <w:rFonts w:ascii="Times New Roman" w:eastAsia="Times New Roman" w:hAnsi="Times New Roman"/>
                <w:lang w:val="ro-RO"/>
              </w:rPr>
              <w:t xml:space="preserve"> </w:t>
            </w:r>
            <w:proofErr w:type="spellStart"/>
            <w:r w:rsidRPr="00125FAF">
              <w:rPr>
                <w:rFonts w:ascii="Times New Roman" w:eastAsia="Times New Roman" w:hAnsi="Times New Roman"/>
                <w:lang w:val="ro-RO"/>
              </w:rPr>
              <w:t>staţii</w:t>
            </w:r>
            <w:proofErr w:type="spellEnd"/>
            <w:r w:rsidRPr="00125FAF">
              <w:rPr>
                <w:rFonts w:ascii="Times New Roman" w:eastAsia="Times New Roman" w:hAnsi="Times New Roman"/>
                <w:lang w:val="ro-RO"/>
              </w:rPr>
              <w:t xml:space="preserve"> de transfer construite, 11 </w:t>
            </w:r>
            <w:proofErr w:type="spellStart"/>
            <w:r w:rsidRPr="00125FAF">
              <w:rPr>
                <w:rFonts w:ascii="Times New Roman" w:eastAsia="Times New Roman" w:hAnsi="Times New Roman"/>
                <w:lang w:val="ro-RO"/>
              </w:rPr>
              <w:t>unităţi</w:t>
            </w:r>
            <w:proofErr w:type="spellEnd"/>
            <w:r w:rsidRPr="00125FAF">
              <w:rPr>
                <w:rFonts w:ascii="Times New Roman" w:eastAsia="Times New Roman" w:hAnsi="Times New Roman"/>
                <w:lang w:val="ro-RO"/>
              </w:rPr>
              <w:t xml:space="preserve"> de transport cu capacitatea de</w:t>
            </w:r>
            <w:r w:rsidR="00B566C6" w:rsidRPr="00125FAF">
              <w:rPr>
                <w:rFonts w:ascii="Times New Roman" w:eastAsia="Times New Roman" w:hAnsi="Times New Roman"/>
                <w:lang w:val="ro-RO"/>
              </w:rPr>
              <w:t xml:space="preserve"> </w:t>
            </w:r>
            <w:r w:rsidRPr="00125FAF">
              <w:rPr>
                <w:rFonts w:ascii="Times New Roman" w:eastAsia="Times New Roman" w:hAnsi="Times New Roman"/>
                <w:lang w:val="ro-RO"/>
              </w:rPr>
              <w:t xml:space="preserve">16 m3 pentru transferul </w:t>
            </w:r>
            <w:proofErr w:type="spellStart"/>
            <w:r w:rsidRPr="00125FAF">
              <w:rPr>
                <w:rFonts w:ascii="Times New Roman" w:eastAsia="Times New Roman" w:hAnsi="Times New Roman"/>
                <w:lang w:val="ro-RO"/>
              </w:rPr>
              <w:t>deşeurilor</w:t>
            </w:r>
            <w:proofErr w:type="spellEnd"/>
            <w:r w:rsidRPr="00125FAF">
              <w:rPr>
                <w:rFonts w:ascii="Times New Roman" w:eastAsia="Times New Roman" w:hAnsi="Times New Roman"/>
                <w:lang w:val="ro-RO"/>
              </w:rPr>
              <w:t xml:space="preserve"> la depozit </w:t>
            </w:r>
            <w:proofErr w:type="spellStart"/>
            <w:r w:rsidRPr="00125FAF">
              <w:rPr>
                <w:rFonts w:ascii="Times New Roman" w:eastAsia="Times New Roman" w:hAnsi="Times New Roman"/>
                <w:lang w:val="ro-RO"/>
              </w:rPr>
              <w:t>funcţionale</w:t>
            </w:r>
            <w:proofErr w:type="spellEnd"/>
            <w:r w:rsidRPr="00125FAF">
              <w:rPr>
                <w:rFonts w:ascii="Times New Roman" w:eastAsia="Times New Roman" w:hAnsi="Times New Roman"/>
                <w:lang w:val="ro-RO"/>
              </w:rPr>
              <w:t xml:space="preserve"> </w:t>
            </w:r>
          </w:p>
        </w:tc>
        <w:tc>
          <w:tcPr>
            <w:tcW w:w="1377" w:type="dxa"/>
            <w:hideMark/>
          </w:tcPr>
          <w:p w14:paraId="76912F42"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189</w:t>
            </w:r>
          </w:p>
        </w:tc>
        <w:tc>
          <w:tcPr>
            <w:tcW w:w="1444" w:type="dxa"/>
            <w:noWrap/>
            <w:hideMark/>
          </w:tcPr>
          <w:p w14:paraId="3ACEE2B9"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63</w:t>
            </w:r>
          </w:p>
        </w:tc>
        <w:tc>
          <w:tcPr>
            <w:tcW w:w="1238" w:type="dxa"/>
            <w:hideMark/>
          </w:tcPr>
          <w:p w14:paraId="2DDCB4D7"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 xml:space="preserve">Bugetul de stat, </w:t>
            </w:r>
            <w:proofErr w:type="spellStart"/>
            <w:r w:rsidRPr="00125FAF">
              <w:rPr>
                <w:rFonts w:ascii="Times New Roman" w:eastAsia="Times New Roman" w:hAnsi="Times New Roman"/>
                <w:lang w:val="ro-RO"/>
              </w:rPr>
              <w:t>asistenţă</w:t>
            </w:r>
            <w:proofErr w:type="spellEnd"/>
            <w:r w:rsidRPr="00125FAF">
              <w:rPr>
                <w:rFonts w:ascii="Times New Roman" w:eastAsia="Times New Roman" w:hAnsi="Times New Roman"/>
                <w:lang w:val="ro-RO"/>
              </w:rPr>
              <w:t xml:space="preserve"> externă, alte surse</w:t>
            </w:r>
          </w:p>
        </w:tc>
      </w:tr>
      <w:tr w:rsidR="00DC3FD5" w:rsidRPr="00125FAF" w14:paraId="1165BA66" w14:textId="77777777" w:rsidTr="00AC461F">
        <w:trPr>
          <w:trHeight w:val="2265"/>
        </w:trPr>
        <w:tc>
          <w:tcPr>
            <w:tcW w:w="627" w:type="dxa"/>
            <w:hideMark/>
          </w:tcPr>
          <w:p w14:paraId="68694BEC"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lastRenderedPageBreak/>
              <w:t>7.3</w:t>
            </w:r>
          </w:p>
        </w:tc>
        <w:tc>
          <w:tcPr>
            <w:tcW w:w="3255" w:type="dxa"/>
            <w:hideMark/>
          </w:tcPr>
          <w:p w14:paraId="2A9291ED" w14:textId="358E44FF" w:rsidR="00D25293" w:rsidRPr="00125FAF" w:rsidRDefault="00D25293" w:rsidP="00D25293">
            <w:pPr>
              <w:jc w:val="both"/>
              <w:rPr>
                <w:rFonts w:ascii="Times New Roman" w:eastAsia="Times New Roman" w:hAnsi="Times New Roman"/>
                <w:lang w:val="ro-RO"/>
              </w:rPr>
            </w:pPr>
            <w:proofErr w:type="spellStart"/>
            <w:r w:rsidRPr="00125FAF">
              <w:rPr>
                <w:rFonts w:ascii="Times New Roman" w:eastAsia="Times New Roman" w:hAnsi="Times New Roman"/>
                <w:lang w:val="ro-RO"/>
              </w:rPr>
              <w:t>Construcţia</w:t>
            </w:r>
            <w:proofErr w:type="spellEnd"/>
            <w:r w:rsidR="00B566C6" w:rsidRPr="00125FAF">
              <w:rPr>
                <w:rFonts w:ascii="Times New Roman" w:eastAsia="Times New Roman" w:hAnsi="Times New Roman"/>
                <w:lang w:val="ro-RO"/>
              </w:rPr>
              <w:t xml:space="preserve"> </w:t>
            </w:r>
            <w:r w:rsidRPr="00125FAF">
              <w:rPr>
                <w:rFonts w:ascii="Times New Roman" w:eastAsia="Times New Roman" w:hAnsi="Times New Roman"/>
                <w:lang w:val="ro-RO"/>
              </w:rPr>
              <w:t xml:space="preserve">depozitului pentru </w:t>
            </w:r>
            <w:proofErr w:type="spellStart"/>
            <w:r w:rsidRPr="00125FAF">
              <w:rPr>
                <w:rFonts w:ascii="Times New Roman" w:eastAsia="Times New Roman" w:hAnsi="Times New Roman"/>
                <w:lang w:val="ro-RO"/>
              </w:rPr>
              <w:t>deşeurile</w:t>
            </w:r>
            <w:proofErr w:type="spellEnd"/>
            <w:r w:rsidRPr="00125FAF">
              <w:rPr>
                <w:rFonts w:ascii="Times New Roman" w:eastAsia="Times New Roman" w:hAnsi="Times New Roman"/>
                <w:lang w:val="ro-RO"/>
              </w:rPr>
              <w:t xml:space="preserve"> menajere solide regional </w:t>
            </w:r>
            <w:proofErr w:type="spellStart"/>
            <w:r w:rsidRPr="00125FAF">
              <w:rPr>
                <w:rFonts w:ascii="Times New Roman" w:eastAsia="Times New Roman" w:hAnsi="Times New Roman"/>
                <w:lang w:val="ro-RO"/>
              </w:rPr>
              <w:t>şi</w:t>
            </w:r>
            <w:proofErr w:type="spellEnd"/>
            <w:r w:rsidRPr="00125FAF">
              <w:rPr>
                <w:rFonts w:ascii="Times New Roman" w:eastAsia="Times New Roman" w:hAnsi="Times New Roman"/>
                <w:lang w:val="ro-RO"/>
              </w:rPr>
              <w:t xml:space="preserve"> a </w:t>
            </w:r>
            <w:proofErr w:type="spellStart"/>
            <w:r w:rsidRPr="00125FAF">
              <w:rPr>
                <w:rFonts w:ascii="Times New Roman" w:eastAsia="Times New Roman" w:hAnsi="Times New Roman"/>
                <w:lang w:val="ro-RO"/>
              </w:rPr>
              <w:t>staţiilor</w:t>
            </w:r>
            <w:proofErr w:type="spellEnd"/>
            <w:r w:rsidRPr="00125FAF">
              <w:rPr>
                <w:rFonts w:ascii="Times New Roman" w:eastAsia="Times New Roman" w:hAnsi="Times New Roman"/>
                <w:lang w:val="ro-RO"/>
              </w:rPr>
              <w:t xml:space="preserve"> de transfer</w:t>
            </w:r>
            <w:r w:rsidR="00B566C6" w:rsidRPr="00125FAF">
              <w:rPr>
                <w:rFonts w:ascii="Times New Roman" w:eastAsia="Times New Roman" w:hAnsi="Times New Roman"/>
                <w:lang w:val="ro-RO"/>
              </w:rPr>
              <w:t xml:space="preserve"> </w:t>
            </w:r>
            <w:r w:rsidRPr="00125FAF">
              <w:rPr>
                <w:rFonts w:ascii="Times New Roman" w:eastAsia="Times New Roman" w:hAnsi="Times New Roman"/>
                <w:lang w:val="ro-RO"/>
              </w:rPr>
              <w:t xml:space="preserve">în regiunea 3 – </w:t>
            </w:r>
            <w:proofErr w:type="spellStart"/>
            <w:r w:rsidRPr="00125FAF">
              <w:rPr>
                <w:rFonts w:ascii="Times New Roman" w:eastAsia="Times New Roman" w:hAnsi="Times New Roman"/>
                <w:lang w:val="ro-RO"/>
              </w:rPr>
              <w:t>Căuşeni</w:t>
            </w:r>
            <w:proofErr w:type="spellEnd"/>
            <w:r w:rsidRPr="00125FAF">
              <w:rPr>
                <w:rFonts w:ascii="Times New Roman" w:eastAsia="Times New Roman" w:hAnsi="Times New Roman"/>
                <w:lang w:val="ro-RO"/>
              </w:rPr>
              <w:t xml:space="preserve">, </w:t>
            </w:r>
            <w:proofErr w:type="spellStart"/>
            <w:r w:rsidRPr="00125FAF">
              <w:rPr>
                <w:rFonts w:ascii="Times New Roman" w:eastAsia="Times New Roman" w:hAnsi="Times New Roman"/>
                <w:lang w:val="ro-RO"/>
              </w:rPr>
              <w:t>Ştefan</w:t>
            </w:r>
            <w:proofErr w:type="spellEnd"/>
            <w:r w:rsidRPr="00125FAF">
              <w:rPr>
                <w:rFonts w:ascii="Times New Roman" w:eastAsia="Times New Roman" w:hAnsi="Times New Roman"/>
                <w:lang w:val="ro-RO"/>
              </w:rPr>
              <w:t xml:space="preserve"> Vodă </w:t>
            </w:r>
          </w:p>
        </w:tc>
        <w:tc>
          <w:tcPr>
            <w:tcW w:w="1057" w:type="dxa"/>
            <w:hideMark/>
          </w:tcPr>
          <w:p w14:paraId="53F4E7DF"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2030</w:t>
            </w:r>
          </w:p>
        </w:tc>
        <w:tc>
          <w:tcPr>
            <w:tcW w:w="1979" w:type="dxa"/>
            <w:hideMark/>
          </w:tcPr>
          <w:p w14:paraId="75702762" w14:textId="7FFF4D1B" w:rsidR="00D25293" w:rsidRPr="00125FAF" w:rsidRDefault="002C1CB9" w:rsidP="00D25293">
            <w:pPr>
              <w:jc w:val="both"/>
              <w:rPr>
                <w:rFonts w:ascii="Times New Roman" w:eastAsia="Times New Roman" w:hAnsi="Times New Roman"/>
                <w:lang w:val="ro-RO"/>
              </w:rPr>
            </w:pPr>
            <w:r>
              <w:rPr>
                <w:rFonts w:ascii="Times New Roman" w:eastAsia="Times New Roman" w:hAnsi="Times New Roman"/>
                <w:lang w:val="ro-RO"/>
              </w:rPr>
              <w:t>Ministerul Mediului</w:t>
            </w:r>
          </w:p>
        </w:tc>
        <w:tc>
          <w:tcPr>
            <w:tcW w:w="1726" w:type="dxa"/>
            <w:hideMark/>
          </w:tcPr>
          <w:p w14:paraId="6AA3BE7B"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 </w:t>
            </w:r>
          </w:p>
        </w:tc>
        <w:tc>
          <w:tcPr>
            <w:tcW w:w="1736" w:type="dxa"/>
            <w:hideMark/>
          </w:tcPr>
          <w:p w14:paraId="26CF5378" w14:textId="63439EDC"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 xml:space="preserve">1 depozit regional pentru </w:t>
            </w:r>
            <w:proofErr w:type="spellStart"/>
            <w:r w:rsidRPr="00125FAF">
              <w:rPr>
                <w:rFonts w:ascii="Times New Roman" w:eastAsia="Times New Roman" w:hAnsi="Times New Roman"/>
                <w:lang w:val="ro-RO"/>
              </w:rPr>
              <w:t>deşeurile</w:t>
            </w:r>
            <w:proofErr w:type="spellEnd"/>
            <w:r w:rsidRPr="00125FAF">
              <w:rPr>
                <w:rFonts w:ascii="Times New Roman" w:eastAsia="Times New Roman" w:hAnsi="Times New Roman"/>
                <w:lang w:val="ro-RO"/>
              </w:rPr>
              <w:t xml:space="preserve"> menajere solide construit, 2 </w:t>
            </w:r>
            <w:proofErr w:type="spellStart"/>
            <w:r w:rsidRPr="00125FAF">
              <w:rPr>
                <w:rFonts w:ascii="Times New Roman" w:eastAsia="Times New Roman" w:hAnsi="Times New Roman"/>
                <w:lang w:val="ro-RO"/>
              </w:rPr>
              <w:t>staţii</w:t>
            </w:r>
            <w:proofErr w:type="spellEnd"/>
            <w:r w:rsidRPr="00125FAF">
              <w:rPr>
                <w:rFonts w:ascii="Times New Roman" w:eastAsia="Times New Roman" w:hAnsi="Times New Roman"/>
                <w:lang w:val="ro-RO"/>
              </w:rPr>
              <w:t xml:space="preserve"> de transfer construite, 11 </w:t>
            </w:r>
            <w:proofErr w:type="spellStart"/>
            <w:r w:rsidRPr="00125FAF">
              <w:rPr>
                <w:rFonts w:ascii="Times New Roman" w:eastAsia="Times New Roman" w:hAnsi="Times New Roman"/>
                <w:lang w:val="ro-RO"/>
              </w:rPr>
              <w:t>unităţi</w:t>
            </w:r>
            <w:proofErr w:type="spellEnd"/>
            <w:r w:rsidRPr="00125FAF">
              <w:rPr>
                <w:rFonts w:ascii="Times New Roman" w:eastAsia="Times New Roman" w:hAnsi="Times New Roman"/>
                <w:lang w:val="ro-RO"/>
              </w:rPr>
              <w:t xml:space="preserve"> de transport cu capacitatea de</w:t>
            </w:r>
            <w:r w:rsidR="00B566C6" w:rsidRPr="00125FAF">
              <w:rPr>
                <w:rFonts w:ascii="Times New Roman" w:eastAsia="Times New Roman" w:hAnsi="Times New Roman"/>
                <w:lang w:val="ro-RO"/>
              </w:rPr>
              <w:t xml:space="preserve"> </w:t>
            </w:r>
            <w:r w:rsidRPr="00125FAF">
              <w:rPr>
                <w:rFonts w:ascii="Times New Roman" w:eastAsia="Times New Roman" w:hAnsi="Times New Roman"/>
                <w:lang w:val="ro-RO"/>
              </w:rPr>
              <w:t xml:space="preserve">16 m3 pentru transferul </w:t>
            </w:r>
            <w:proofErr w:type="spellStart"/>
            <w:r w:rsidRPr="00125FAF">
              <w:rPr>
                <w:rFonts w:ascii="Times New Roman" w:eastAsia="Times New Roman" w:hAnsi="Times New Roman"/>
                <w:lang w:val="ro-RO"/>
              </w:rPr>
              <w:t>deşeurilor</w:t>
            </w:r>
            <w:proofErr w:type="spellEnd"/>
            <w:r w:rsidRPr="00125FAF">
              <w:rPr>
                <w:rFonts w:ascii="Times New Roman" w:eastAsia="Times New Roman" w:hAnsi="Times New Roman"/>
                <w:lang w:val="ro-RO"/>
              </w:rPr>
              <w:t xml:space="preserve"> la depozit </w:t>
            </w:r>
            <w:proofErr w:type="spellStart"/>
            <w:r w:rsidRPr="00125FAF">
              <w:rPr>
                <w:rFonts w:ascii="Times New Roman" w:eastAsia="Times New Roman" w:hAnsi="Times New Roman"/>
                <w:lang w:val="ro-RO"/>
              </w:rPr>
              <w:t>funcţionale</w:t>
            </w:r>
            <w:proofErr w:type="spellEnd"/>
          </w:p>
        </w:tc>
        <w:tc>
          <w:tcPr>
            <w:tcW w:w="1377" w:type="dxa"/>
            <w:hideMark/>
          </w:tcPr>
          <w:p w14:paraId="7AC1F3D0"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189</w:t>
            </w:r>
          </w:p>
        </w:tc>
        <w:tc>
          <w:tcPr>
            <w:tcW w:w="1444" w:type="dxa"/>
            <w:noWrap/>
            <w:hideMark/>
          </w:tcPr>
          <w:p w14:paraId="7DB36EDD"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63</w:t>
            </w:r>
          </w:p>
        </w:tc>
        <w:tc>
          <w:tcPr>
            <w:tcW w:w="1238" w:type="dxa"/>
            <w:hideMark/>
          </w:tcPr>
          <w:p w14:paraId="67B121AC"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 xml:space="preserve">Bugetul de stat, </w:t>
            </w:r>
            <w:proofErr w:type="spellStart"/>
            <w:r w:rsidRPr="00125FAF">
              <w:rPr>
                <w:rFonts w:ascii="Times New Roman" w:eastAsia="Times New Roman" w:hAnsi="Times New Roman"/>
                <w:lang w:val="ro-RO"/>
              </w:rPr>
              <w:t>asistenţă</w:t>
            </w:r>
            <w:proofErr w:type="spellEnd"/>
            <w:r w:rsidRPr="00125FAF">
              <w:rPr>
                <w:rFonts w:ascii="Times New Roman" w:eastAsia="Times New Roman" w:hAnsi="Times New Roman"/>
                <w:lang w:val="ro-RO"/>
              </w:rPr>
              <w:t xml:space="preserve"> externă, alte surse</w:t>
            </w:r>
          </w:p>
        </w:tc>
      </w:tr>
      <w:tr w:rsidR="00DC3FD5" w:rsidRPr="00125FAF" w14:paraId="1BC18144" w14:textId="77777777" w:rsidTr="00AC461F">
        <w:trPr>
          <w:trHeight w:val="2749"/>
        </w:trPr>
        <w:tc>
          <w:tcPr>
            <w:tcW w:w="627" w:type="dxa"/>
            <w:hideMark/>
          </w:tcPr>
          <w:p w14:paraId="06AC98A6"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7.4</w:t>
            </w:r>
          </w:p>
        </w:tc>
        <w:tc>
          <w:tcPr>
            <w:tcW w:w="3255" w:type="dxa"/>
            <w:hideMark/>
          </w:tcPr>
          <w:p w14:paraId="2668D79F" w14:textId="75890600" w:rsidR="00D25293" w:rsidRPr="00125FAF" w:rsidRDefault="00D25293" w:rsidP="00D25293">
            <w:pPr>
              <w:jc w:val="both"/>
              <w:rPr>
                <w:rFonts w:ascii="Times New Roman" w:eastAsia="Times New Roman" w:hAnsi="Times New Roman"/>
                <w:lang w:val="ro-RO"/>
              </w:rPr>
            </w:pPr>
            <w:proofErr w:type="spellStart"/>
            <w:r w:rsidRPr="00125FAF">
              <w:rPr>
                <w:rFonts w:ascii="Times New Roman" w:eastAsia="Times New Roman" w:hAnsi="Times New Roman"/>
                <w:lang w:val="ro-RO"/>
              </w:rPr>
              <w:t>Construcţia</w:t>
            </w:r>
            <w:proofErr w:type="spellEnd"/>
            <w:r w:rsidR="00B566C6" w:rsidRPr="00125FAF">
              <w:rPr>
                <w:rFonts w:ascii="Times New Roman" w:eastAsia="Times New Roman" w:hAnsi="Times New Roman"/>
                <w:lang w:val="ro-RO"/>
              </w:rPr>
              <w:t xml:space="preserve"> </w:t>
            </w:r>
            <w:r w:rsidRPr="00125FAF">
              <w:rPr>
                <w:rFonts w:ascii="Times New Roman" w:eastAsia="Times New Roman" w:hAnsi="Times New Roman"/>
                <w:lang w:val="ro-RO"/>
              </w:rPr>
              <w:t xml:space="preserve">depozitului pentru </w:t>
            </w:r>
            <w:proofErr w:type="spellStart"/>
            <w:r w:rsidRPr="00125FAF">
              <w:rPr>
                <w:rFonts w:ascii="Times New Roman" w:eastAsia="Times New Roman" w:hAnsi="Times New Roman"/>
                <w:lang w:val="ro-RO"/>
              </w:rPr>
              <w:t>deşeurile</w:t>
            </w:r>
            <w:proofErr w:type="spellEnd"/>
            <w:r w:rsidRPr="00125FAF">
              <w:rPr>
                <w:rFonts w:ascii="Times New Roman" w:eastAsia="Times New Roman" w:hAnsi="Times New Roman"/>
                <w:lang w:val="ro-RO"/>
              </w:rPr>
              <w:t xml:space="preserve"> menajere solide regional </w:t>
            </w:r>
            <w:proofErr w:type="spellStart"/>
            <w:r w:rsidRPr="00125FAF">
              <w:rPr>
                <w:rFonts w:ascii="Times New Roman" w:eastAsia="Times New Roman" w:hAnsi="Times New Roman"/>
                <w:lang w:val="ro-RO"/>
              </w:rPr>
              <w:t>şi</w:t>
            </w:r>
            <w:proofErr w:type="spellEnd"/>
            <w:r w:rsidRPr="00125FAF">
              <w:rPr>
                <w:rFonts w:ascii="Times New Roman" w:eastAsia="Times New Roman" w:hAnsi="Times New Roman"/>
                <w:lang w:val="ro-RO"/>
              </w:rPr>
              <w:t xml:space="preserve"> a </w:t>
            </w:r>
            <w:proofErr w:type="spellStart"/>
            <w:r w:rsidRPr="00125FAF">
              <w:rPr>
                <w:rFonts w:ascii="Times New Roman" w:eastAsia="Times New Roman" w:hAnsi="Times New Roman"/>
                <w:lang w:val="ro-RO"/>
              </w:rPr>
              <w:t>staţiilor</w:t>
            </w:r>
            <w:proofErr w:type="spellEnd"/>
            <w:r w:rsidRPr="00125FAF">
              <w:rPr>
                <w:rFonts w:ascii="Times New Roman" w:eastAsia="Times New Roman" w:hAnsi="Times New Roman"/>
                <w:lang w:val="ro-RO"/>
              </w:rPr>
              <w:t xml:space="preserve"> de transfer</w:t>
            </w:r>
            <w:r w:rsidR="00B566C6" w:rsidRPr="00125FAF">
              <w:rPr>
                <w:rFonts w:ascii="Times New Roman" w:eastAsia="Times New Roman" w:hAnsi="Times New Roman"/>
                <w:lang w:val="ro-RO"/>
              </w:rPr>
              <w:t xml:space="preserve"> </w:t>
            </w:r>
            <w:r w:rsidRPr="00125FAF">
              <w:rPr>
                <w:rFonts w:ascii="Times New Roman" w:eastAsia="Times New Roman" w:hAnsi="Times New Roman"/>
                <w:lang w:val="ro-RO"/>
              </w:rPr>
              <w:t xml:space="preserve">în regiunea 5 – Ungheni, Nisporeni, </w:t>
            </w:r>
            <w:proofErr w:type="spellStart"/>
            <w:r w:rsidRPr="00125FAF">
              <w:rPr>
                <w:rFonts w:ascii="Times New Roman" w:eastAsia="Times New Roman" w:hAnsi="Times New Roman"/>
                <w:lang w:val="ro-RO"/>
              </w:rPr>
              <w:t>Călăraşi</w:t>
            </w:r>
            <w:proofErr w:type="spellEnd"/>
          </w:p>
        </w:tc>
        <w:tc>
          <w:tcPr>
            <w:tcW w:w="1057" w:type="dxa"/>
            <w:hideMark/>
          </w:tcPr>
          <w:p w14:paraId="1F24B4E6"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2025</w:t>
            </w:r>
          </w:p>
        </w:tc>
        <w:tc>
          <w:tcPr>
            <w:tcW w:w="1979" w:type="dxa"/>
            <w:hideMark/>
          </w:tcPr>
          <w:p w14:paraId="5E3C8FA1" w14:textId="003E107B" w:rsidR="00D25293" w:rsidRPr="00125FAF" w:rsidRDefault="002C1CB9" w:rsidP="00D25293">
            <w:pPr>
              <w:jc w:val="both"/>
              <w:rPr>
                <w:rFonts w:ascii="Times New Roman" w:eastAsia="Times New Roman" w:hAnsi="Times New Roman"/>
                <w:lang w:val="ro-RO"/>
              </w:rPr>
            </w:pPr>
            <w:r>
              <w:rPr>
                <w:rFonts w:ascii="Times New Roman" w:eastAsia="Times New Roman" w:hAnsi="Times New Roman"/>
                <w:lang w:val="ro-RO"/>
              </w:rPr>
              <w:t>Ministerul Mediului</w:t>
            </w:r>
          </w:p>
        </w:tc>
        <w:tc>
          <w:tcPr>
            <w:tcW w:w="1726" w:type="dxa"/>
            <w:hideMark/>
          </w:tcPr>
          <w:p w14:paraId="545EF68B"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 </w:t>
            </w:r>
          </w:p>
        </w:tc>
        <w:tc>
          <w:tcPr>
            <w:tcW w:w="1736" w:type="dxa"/>
            <w:hideMark/>
          </w:tcPr>
          <w:p w14:paraId="5A251147" w14:textId="3980E1F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1</w:t>
            </w:r>
            <w:r w:rsidR="00B566C6" w:rsidRPr="00125FAF">
              <w:rPr>
                <w:rFonts w:ascii="Times New Roman" w:eastAsia="Times New Roman" w:hAnsi="Times New Roman"/>
                <w:lang w:val="ro-RO"/>
              </w:rPr>
              <w:t xml:space="preserve"> </w:t>
            </w:r>
            <w:r w:rsidRPr="00125FAF">
              <w:rPr>
                <w:rFonts w:ascii="Times New Roman" w:eastAsia="Times New Roman" w:hAnsi="Times New Roman"/>
                <w:lang w:val="ro-RO"/>
              </w:rPr>
              <w:t xml:space="preserve">depozit regional pentru </w:t>
            </w:r>
            <w:proofErr w:type="spellStart"/>
            <w:r w:rsidRPr="00125FAF">
              <w:rPr>
                <w:rFonts w:ascii="Times New Roman" w:eastAsia="Times New Roman" w:hAnsi="Times New Roman"/>
                <w:lang w:val="ro-RO"/>
              </w:rPr>
              <w:t>deşeurile</w:t>
            </w:r>
            <w:proofErr w:type="spellEnd"/>
            <w:r w:rsidRPr="00125FAF">
              <w:rPr>
                <w:rFonts w:ascii="Times New Roman" w:eastAsia="Times New Roman" w:hAnsi="Times New Roman"/>
                <w:lang w:val="ro-RO"/>
              </w:rPr>
              <w:t xml:space="preserve"> menajere solide construit, 2 stații de sortare, 1 stație de compostare, 2 </w:t>
            </w:r>
            <w:proofErr w:type="spellStart"/>
            <w:r w:rsidRPr="00125FAF">
              <w:rPr>
                <w:rFonts w:ascii="Times New Roman" w:eastAsia="Times New Roman" w:hAnsi="Times New Roman"/>
                <w:lang w:val="ro-RO"/>
              </w:rPr>
              <w:t>staţii</w:t>
            </w:r>
            <w:proofErr w:type="spellEnd"/>
            <w:r w:rsidRPr="00125FAF">
              <w:rPr>
                <w:rFonts w:ascii="Times New Roman" w:eastAsia="Times New Roman" w:hAnsi="Times New Roman"/>
                <w:lang w:val="ro-RO"/>
              </w:rPr>
              <w:t xml:space="preserve"> de transfer construite, 19 </w:t>
            </w:r>
            <w:proofErr w:type="spellStart"/>
            <w:r w:rsidRPr="00125FAF">
              <w:rPr>
                <w:rFonts w:ascii="Times New Roman" w:eastAsia="Times New Roman" w:hAnsi="Times New Roman"/>
                <w:lang w:val="ro-RO"/>
              </w:rPr>
              <w:t>unităţi</w:t>
            </w:r>
            <w:proofErr w:type="spellEnd"/>
            <w:r w:rsidRPr="00125FAF">
              <w:rPr>
                <w:rFonts w:ascii="Times New Roman" w:eastAsia="Times New Roman" w:hAnsi="Times New Roman"/>
                <w:lang w:val="ro-RO"/>
              </w:rPr>
              <w:t xml:space="preserve"> de transport cu capacitatea de</w:t>
            </w:r>
            <w:r w:rsidR="00B566C6" w:rsidRPr="00125FAF">
              <w:rPr>
                <w:rFonts w:ascii="Times New Roman" w:eastAsia="Times New Roman" w:hAnsi="Times New Roman"/>
                <w:lang w:val="ro-RO"/>
              </w:rPr>
              <w:t xml:space="preserve"> </w:t>
            </w:r>
            <w:r w:rsidRPr="00125FAF">
              <w:rPr>
                <w:rFonts w:ascii="Times New Roman" w:eastAsia="Times New Roman" w:hAnsi="Times New Roman"/>
                <w:lang w:val="ro-RO"/>
              </w:rPr>
              <w:t xml:space="preserve">12 m3 pentru transferul </w:t>
            </w:r>
            <w:proofErr w:type="spellStart"/>
            <w:r w:rsidRPr="00125FAF">
              <w:rPr>
                <w:rFonts w:ascii="Times New Roman" w:eastAsia="Times New Roman" w:hAnsi="Times New Roman"/>
                <w:lang w:val="ro-RO"/>
              </w:rPr>
              <w:t>deşeurilor</w:t>
            </w:r>
            <w:proofErr w:type="spellEnd"/>
            <w:r w:rsidRPr="00125FAF">
              <w:rPr>
                <w:rFonts w:ascii="Times New Roman" w:eastAsia="Times New Roman" w:hAnsi="Times New Roman"/>
                <w:lang w:val="ro-RO"/>
              </w:rPr>
              <w:t xml:space="preserve"> la depozite </w:t>
            </w:r>
            <w:proofErr w:type="spellStart"/>
            <w:r w:rsidRPr="00125FAF">
              <w:rPr>
                <w:rFonts w:ascii="Times New Roman" w:eastAsia="Times New Roman" w:hAnsi="Times New Roman"/>
                <w:lang w:val="ro-RO"/>
              </w:rPr>
              <w:t>funcţionale</w:t>
            </w:r>
            <w:proofErr w:type="spellEnd"/>
          </w:p>
        </w:tc>
        <w:tc>
          <w:tcPr>
            <w:tcW w:w="1377" w:type="dxa"/>
            <w:hideMark/>
          </w:tcPr>
          <w:p w14:paraId="5B14C861" w14:textId="7AB3F2BD"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198</w:t>
            </w:r>
            <w:r w:rsidR="008F2629" w:rsidRPr="00125FAF">
              <w:rPr>
                <w:rFonts w:ascii="Times New Roman" w:eastAsia="Times New Roman" w:hAnsi="Times New Roman"/>
                <w:lang w:val="ro-RO"/>
              </w:rPr>
              <w:t>,</w:t>
            </w:r>
            <w:r w:rsidRPr="00125FAF">
              <w:rPr>
                <w:rFonts w:ascii="Times New Roman" w:eastAsia="Times New Roman" w:hAnsi="Times New Roman"/>
                <w:lang w:val="ro-RO"/>
              </w:rPr>
              <w:t>4</w:t>
            </w:r>
          </w:p>
        </w:tc>
        <w:tc>
          <w:tcPr>
            <w:tcW w:w="1444" w:type="dxa"/>
            <w:noWrap/>
            <w:hideMark/>
          </w:tcPr>
          <w:p w14:paraId="4758072E" w14:textId="613D74B1"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66</w:t>
            </w:r>
            <w:r w:rsidR="008F2629" w:rsidRPr="00125FAF">
              <w:rPr>
                <w:rFonts w:ascii="Times New Roman" w:eastAsia="Times New Roman" w:hAnsi="Times New Roman"/>
                <w:lang w:val="ro-RO"/>
              </w:rPr>
              <w:t>,</w:t>
            </w:r>
            <w:r w:rsidR="00D5429D" w:rsidRPr="00125FAF">
              <w:rPr>
                <w:rFonts w:ascii="Times New Roman" w:eastAsia="Times New Roman" w:hAnsi="Times New Roman"/>
                <w:lang w:val="ro-RO"/>
              </w:rPr>
              <w:t>2</w:t>
            </w:r>
          </w:p>
        </w:tc>
        <w:tc>
          <w:tcPr>
            <w:tcW w:w="1238" w:type="dxa"/>
            <w:hideMark/>
          </w:tcPr>
          <w:p w14:paraId="171856AA"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 xml:space="preserve">Bugetul de stat, </w:t>
            </w:r>
            <w:proofErr w:type="spellStart"/>
            <w:r w:rsidRPr="00125FAF">
              <w:rPr>
                <w:rFonts w:ascii="Times New Roman" w:eastAsia="Times New Roman" w:hAnsi="Times New Roman"/>
                <w:lang w:val="ro-RO"/>
              </w:rPr>
              <w:t>asistenţă</w:t>
            </w:r>
            <w:proofErr w:type="spellEnd"/>
            <w:r w:rsidRPr="00125FAF">
              <w:rPr>
                <w:rFonts w:ascii="Times New Roman" w:eastAsia="Times New Roman" w:hAnsi="Times New Roman"/>
                <w:lang w:val="ro-RO"/>
              </w:rPr>
              <w:t xml:space="preserve"> externă, alte surse</w:t>
            </w:r>
          </w:p>
        </w:tc>
      </w:tr>
      <w:tr w:rsidR="00DC3FD5" w:rsidRPr="00125FAF" w14:paraId="34C0B529" w14:textId="77777777" w:rsidTr="00AC461F">
        <w:trPr>
          <w:trHeight w:val="900"/>
        </w:trPr>
        <w:tc>
          <w:tcPr>
            <w:tcW w:w="627" w:type="dxa"/>
            <w:hideMark/>
          </w:tcPr>
          <w:p w14:paraId="6988C872"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7.5</w:t>
            </w:r>
          </w:p>
        </w:tc>
        <w:tc>
          <w:tcPr>
            <w:tcW w:w="3255" w:type="dxa"/>
            <w:hideMark/>
          </w:tcPr>
          <w:p w14:paraId="3F7EA6D7" w14:textId="5D33A3D3" w:rsidR="00D25293" w:rsidRPr="00125FAF" w:rsidRDefault="00D25293" w:rsidP="00D25293">
            <w:pPr>
              <w:jc w:val="both"/>
              <w:rPr>
                <w:rFonts w:ascii="Times New Roman" w:eastAsia="Times New Roman" w:hAnsi="Times New Roman"/>
                <w:lang w:val="ro-RO"/>
              </w:rPr>
            </w:pPr>
            <w:proofErr w:type="spellStart"/>
            <w:r w:rsidRPr="00125FAF">
              <w:rPr>
                <w:rFonts w:ascii="Times New Roman" w:eastAsia="Times New Roman" w:hAnsi="Times New Roman"/>
                <w:lang w:val="ro-RO"/>
              </w:rPr>
              <w:t>Construcţia</w:t>
            </w:r>
            <w:proofErr w:type="spellEnd"/>
            <w:r w:rsidR="00B566C6" w:rsidRPr="00125FAF">
              <w:rPr>
                <w:rFonts w:ascii="Times New Roman" w:eastAsia="Times New Roman" w:hAnsi="Times New Roman"/>
                <w:lang w:val="ro-RO"/>
              </w:rPr>
              <w:t xml:space="preserve"> </w:t>
            </w:r>
            <w:r w:rsidRPr="00125FAF">
              <w:rPr>
                <w:rFonts w:ascii="Times New Roman" w:eastAsia="Times New Roman" w:hAnsi="Times New Roman"/>
                <w:lang w:val="ro-RO"/>
              </w:rPr>
              <w:t xml:space="preserve">depozitului pentru </w:t>
            </w:r>
            <w:proofErr w:type="spellStart"/>
            <w:r w:rsidRPr="00125FAF">
              <w:rPr>
                <w:rFonts w:ascii="Times New Roman" w:eastAsia="Times New Roman" w:hAnsi="Times New Roman"/>
                <w:lang w:val="ro-RO"/>
              </w:rPr>
              <w:t>deşeurile</w:t>
            </w:r>
            <w:proofErr w:type="spellEnd"/>
            <w:r w:rsidRPr="00125FAF">
              <w:rPr>
                <w:rFonts w:ascii="Times New Roman" w:eastAsia="Times New Roman" w:hAnsi="Times New Roman"/>
                <w:lang w:val="ro-RO"/>
              </w:rPr>
              <w:t xml:space="preserve"> menajere solide regional </w:t>
            </w:r>
            <w:proofErr w:type="spellStart"/>
            <w:r w:rsidRPr="00125FAF">
              <w:rPr>
                <w:rFonts w:ascii="Times New Roman" w:eastAsia="Times New Roman" w:hAnsi="Times New Roman"/>
                <w:lang w:val="ro-RO"/>
              </w:rPr>
              <w:t>şi</w:t>
            </w:r>
            <w:proofErr w:type="spellEnd"/>
            <w:r w:rsidRPr="00125FAF">
              <w:rPr>
                <w:rFonts w:ascii="Times New Roman" w:eastAsia="Times New Roman" w:hAnsi="Times New Roman"/>
                <w:lang w:val="ro-RO"/>
              </w:rPr>
              <w:t xml:space="preserve"> a </w:t>
            </w:r>
            <w:proofErr w:type="spellStart"/>
            <w:r w:rsidRPr="00125FAF">
              <w:rPr>
                <w:rFonts w:ascii="Times New Roman" w:eastAsia="Times New Roman" w:hAnsi="Times New Roman"/>
                <w:lang w:val="ro-RO"/>
              </w:rPr>
              <w:t>staţiilor</w:t>
            </w:r>
            <w:proofErr w:type="spellEnd"/>
            <w:r w:rsidRPr="00125FAF">
              <w:rPr>
                <w:rFonts w:ascii="Times New Roman" w:eastAsia="Times New Roman" w:hAnsi="Times New Roman"/>
                <w:lang w:val="ro-RO"/>
              </w:rPr>
              <w:t xml:space="preserve"> de transfer</w:t>
            </w:r>
            <w:r w:rsidR="00B566C6" w:rsidRPr="00125FAF">
              <w:rPr>
                <w:rFonts w:ascii="Times New Roman" w:eastAsia="Times New Roman" w:hAnsi="Times New Roman"/>
                <w:lang w:val="ro-RO"/>
              </w:rPr>
              <w:t xml:space="preserve"> </w:t>
            </w:r>
            <w:r w:rsidRPr="00125FAF">
              <w:rPr>
                <w:rFonts w:ascii="Times New Roman" w:eastAsia="Times New Roman" w:hAnsi="Times New Roman"/>
                <w:lang w:val="ro-RO"/>
              </w:rPr>
              <w:t xml:space="preserve">în regiunea 6 – </w:t>
            </w:r>
            <w:proofErr w:type="spellStart"/>
            <w:r w:rsidRPr="00125FAF">
              <w:rPr>
                <w:rFonts w:ascii="Times New Roman" w:eastAsia="Times New Roman" w:hAnsi="Times New Roman"/>
                <w:lang w:val="ro-RO"/>
              </w:rPr>
              <w:t>Şoldăneşti</w:t>
            </w:r>
            <w:proofErr w:type="spellEnd"/>
            <w:r w:rsidRPr="00125FAF">
              <w:rPr>
                <w:rFonts w:ascii="Times New Roman" w:eastAsia="Times New Roman" w:hAnsi="Times New Roman"/>
                <w:lang w:val="ro-RO"/>
              </w:rPr>
              <w:t xml:space="preserve">, Rezina, </w:t>
            </w:r>
            <w:proofErr w:type="spellStart"/>
            <w:r w:rsidRPr="00125FAF">
              <w:rPr>
                <w:rFonts w:ascii="Times New Roman" w:eastAsia="Times New Roman" w:hAnsi="Times New Roman"/>
                <w:lang w:val="ro-RO"/>
              </w:rPr>
              <w:t>Teleneşti</w:t>
            </w:r>
            <w:proofErr w:type="spellEnd"/>
            <w:r w:rsidRPr="00125FAF">
              <w:rPr>
                <w:rFonts w:ascii="Times New Roman" w:eastAsia="Times New Roman" w:hAnsi="Times New Roman"/>
                <w:lang w:val="ro-RO"/>
              </w:rPr>
              <w:t>, Orhei</w:t>
            </w:r>
          </w:p>
        </w:tc>
        <w:tc>
          <w:tcPr>
            <w:tcW w:w="1057" w:type="dxa"/>
            <w:hideMark/>
          </w:tcPr>
          <w:p w14:paraId="78D34F62"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2030</w:t>
            </w:r>
          </w:p>
        </w:tc>
        <w:tc>
          <w:tcPr>
            <w:tcW w:w="1979" w:type="dxa"/>
            <w:hideMark/>
          </w:tcPr>
          <w:p w14:paraId="5D99552A" w14:textId="680AE1F9" w:rsidR="00D25293" w:rsidRPr="00125FAF" w:rsidRDefault="002C1CB9" w:rsidP="00D25293">
            <w:pPr>
              <w:jc w:val="both"/>
              <w:rPr>
                <w:rFonts w:ascii="Times New Roman" w:eastAsia="Times New Roman" w:hAnsi="Times New Roman"/>
                <w:lang w:val="ro-RO"/>
              </w:rPr>
            </w:pPr>
            <w:r>
              <w:rPr>
                <w:rFonts w:ascii="Times New Roman" w:eastAsia="Times New Roman" w:hAnsi="Times New Roman"/>
                <w:lang w:val="ro-RO"/>
              </w:rPr>
              <w:t>Ministerul Mediului</w:t>
            </w:r>
          </w:p>
        </w:tc>
        <w:tc>
          <w:tcPr>
            <w:tcW w:w="1726" w:type="dxa"/>
            <w:hideMark/>
          </w:tcPr>
          <w:p w14:paraId="5E65221E"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 </w:t>
            </w:r>
          </w:p>
        </w:tc>
        <w:tc>
          <w:tcPr>
            <w:tcW w:w="1736" w:type="dxa"/>
            <w:hideMark/>
          </w:tcPr>
          <w:p w14:paraId="68DACE62" w14:textId="18FDF18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1</w:t>
            </w:r>
            <w:r w:rsidR="00B566C6" w:rsidRPr="00125FAF">
              <w:rPr>
                <w:rFonts w:ascii="Times New Roman" w:eastAsia="Times New Roman" w:hAnsi="Times New Roman"/>
                <w:lang w:val="ro-RO"/>
              </w:rPr>
              <w:t xml:space="preserve"> </w:t>
            </w:r>
            <w:r w:rsidRPr="00125FAF">
              <w:rPr>
                <w:rFonts w:ascii="Times New Roman" w:eastAsia="Times New Roman" w:hAnsi="Times New Roman"/>
                <w:lang w:val="ro-RO"/>
              </w:rPr>
              <w:t xml:space="preserve">depozit regional pentru </w:t>
            </w:r>
            <w:proofErr w:type="spellStart"/>
            <w:r w:rsidRPr="00125FAF">
              <w:rPr>
                <w:rFonts w:ascii="Times New Roman" w:eastAsia="Times New Roman" w:hAnsi="Times New Roman"/>
                <w:lang w:val="ro-RO"/>
              </w:rPr>
              <w:t>deşeurile</w:t>
            </w:r>
            <w:proofErr w:type="spellEnd"/>
            <w:r w:rsidRPr="00125FAF">
              <w:rPr>
                <w:rFonts w:ascii="Times New Roman" w:eastAsia="Times New Roman" w:hAnsi="Times New Roman"/>
                <w:lang w:val="ro-RO"/>
              </w:rPr>
              <w:t xml:space="preserve"> menajere solide construit, 4 </w:t>
            </w:r>
            <w:proofErr w:type="spellStart"/>
            <w:r w:rsidRPr="00125FAF">
              <w:rPr>
                <w:rFonts w:ascii="Times New Roman" w:eastAsia="Times New Roman" w:hAnsi="Times New Roman"/>
                <w:lang w:val="ro-RO"/>
              </w:rPr>
              <w:t>staţii</w:t>
            </w:r>
            <w:proofErr w:type="spellEnd"/>
            <w:r w:rsidRPr="00125FAF">
              <w:rPr>
                <w:rFonts w:ascii="Times New Roman" w:eastAsia="Times New Roman" w:hAnsi="Times New Roman"/>
                <w:lang w:val="ro-RO"/>
              </w:rPr>
              <w:t xml:space="preserve"> de transfer construite, 19 </w:t>
            </w:r>
            <w:proofErr w:type="spellStart"/>
            <w:r w:rsidRPr="00125FAF">
              <w:rPr>
                <w:rFonts w:ascii="Times New Roman" w:eastAsia="Times New Roman" w:hAnsi="Times New Roman"/>
                <w:lang w:val="ro-RO"/>
              </w:rPr>
              <w:t>unităţi</w:t>
            </w:r>
            <w:proofErr w:type="spellEnd"/>
            <w:r w:rsidRPr="00125FAF">
              <w:rPr>
                <w:rFonts w:ascii="Times New Roman" w:eastAsia="Times New Roman" w:hAnsi="Times New Roman"/>
                <w:lang w:val="ro-RO"/>
              </w:rPr>
              <w:t xml:space="preserve"> de transport cu capacitatea de</w:t>
            </w:r>
            <w:r w:rsidR="00B566C6" w:rsidRPr="00125FAF">
              <w:rPr>
                <w:rFonts w:ascii="Times New Roman" w:eastAsia="Times New Roman" w:hAnsi="Times New Roman"/>
                <w:lang w:val="ro-RO"/>
              </w:rPr>
              <w:t xml:space="preserve"> </w:t>
            </w:r>
            <w:r w:rsidRPr="00125FAF">
              <w:rPr>
                <w:rFonts w:ascii="Times New Roman" w:eastAsia="Times New Roman" w:hAnsi="Times New Roman"/>
                <w:lang w:val="ro-RO"/>
              </w:rPr>
              <w:t xml:space="preserve">13 m3 pentru transferul </w:t>
            </w:r>
            <w:proofErr w:type="spellStart"/>
            <w:r w:rsidRPr="00125FAF">
              <w:rPr>
                <w:rFonts w:ascii="Times New Roman" w:eastAsia="Times New Roman" w:hAnsi="Times New Roman"/>
                <w:lang w:val="ro-RO"/>
              </w:rPr>
              <w:lastRenderedPageBreak/>
              <w:t>deşeurilor</w:t>
            </w:r>
            <w:proofErr w:type="spellEnd"/>
            <w:r w:rsidRPr="00125FAF">
              <w:rPr>
                <w:rFonts w:ascii="Times New Roman" w:eastAsia="Times New Roman" w:hAnsi="Times New Roman"/>
                <w:lang w:val="ro-RO"/>
              </w:rPr>
              <w:t xml:space="preserve"> la depozite </w:t>
            </w:r>
            <w:proofErr w:type="spellStart"/>
            <w:r w:rsidRPr="00125FAF">
              <w:rPr>
                <w:rFonts w:ascii="Times New Roman" w:eastAsia="Times New Roman" w:hAnsi="Times New Roman"/>
                <w:lang w:val="ro-RO"/>
              </w:rPr>
              <w:t>funcţionale</w:t>
            </w:r>
            <w:proofErr w:type="spellEnd"/>
          </w:p>
        </w:tc>
        <w:tc>
          <w:tcPr>
            <w:tcW w:w="1377" w:type="dxa"/>
            <w:hideMark/>
          </w:tcPr>
          <w:p w14:paraId="2D2C7E9D"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lastRenderedPageBreak/>
              <w:t>315</w:t>
            </w:r>
          </w:p>
        </w:tc>
        <w:tc>
          <w:tcPr>
            <w:tcW w:w="1444" w:type="dxa"/>
            <w:noWrap/>
            <w:hideMark/>
          </w:tcPr>
          <w:p w14:paraId="1F020DED"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105</w:t>
            </w:r>
          </w:p>
        </w:tc>
        <w:tc>
          <w:tcPr>
            <w:tcW w:w="1238" w:type="dxa"/>
            <w:hideMark/>
          </w:tcPr>
          <w:p w14:paraId="2CDCFC1D"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 xml:space="preserve">Bugetul de stat, </w:t>
            </w:r>
            <w:proofErr w:type="spellStart"/>
            <w:r w:rsidRPr="00125FAF">
              <w:rPr>
                <w:rFonts w:ascii="Times New Roman" w:eastAsia="Times New Roman" w:hAnsi="Times New Roman"/>
                <w:lang w:val="ro-RO"/>
              </w:rPr>
              <w:t>asistenţă</w:t>
            </w:r>
            <w:proofErr w:type="spellEnd"/>
            <w:r w:rsidRPr="00125FAF">
              <w:rPr>
                <w:rFonts w:ascii="Times New Roman" w:eastAsia="Times New Roman" w:hAnsi="Times New Roman"/>
                <w:lang w:val="ro-RO"/>
              </w:rPr>
              <w:t xml:space="preserve"> externă, alte surse</w:t>
            </w:r>
          </w:p>
        </w:tc>
      </w:tr>
      <w:tr w:rsidR="00DC3FD5" w:rsidRPr="00125FAF" w14:paraId="42CF7C9C" w14:textId="77777777" w:rsidTr="00AC461F">
        <w:trPr>
          <w:trHeight w:val="900"/>
        </w:trPr>
        <w:tc>
          <w:tcPr>
            <w:tcW w:w="627" w:type="dxa"/>
            <w:hideMark/>
          </w:tcPr>
          <w:p w14:paraId="5FF2AA74"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7.6</w:t>
            </w:r>
          </w:p>
        </w:tc>
        <w:tc>
          <w:tcPr>
            <w:tcW w:w="3255" w:type="dxa"/>
            <w:hideMark/>
          </w:tcPr>
          <w:p w14:paraId="7B8205B2" w14:textId="278AD554" w:rsidR="00D25293" w:rsidRPr="00125FAF" w:rsidRDefault="00D25293" w:rsidP="00D25293">
            <w:pPr>
              <w:jc w:val="both"/>
              <w:rPr>
                <w:rFonts w:ascii="Times New Roman" w:eastAsia="Times New Roman" w:hAnsi="Times New Roman"/>
                <w:lang w:val="ro-RO"/>
              </w:rPr>
            </w:pPr>
            <w:proofErr w:type="spellStart"/>
            <w:r w:rsidRPr="00125FAF">
              <w:rPr>
                <w:rFonts w:ascii="Times New Roman" w:eastAsia="Times New Roman" w:hAnsi="Times New Roman"/>
                <w:lang w:val="ro-RO"/>
              </w:rPr>
              <w:t>Construcţia</w:t>
            </w:r>
            <w:proofErr w:type="spellEnd"/>
            <w:r w:rsidR="00B566C6" w:rsidRPr="00125FAF">
              <w:rPr>
                <w:rFonts w:ascii="Times New Roman" w:eastAsia="Times New Roman" w:hAnsi="Times New Roman"/>
                <w:lang w:val="ro-RO"/>
              </w:rPr>
              <w:t xml:space="preserve"> </w:t>
            </w:r>
            <w:r w:rsidRPr="00125FAF">
              <w:rPr>
                <w:rFonts w:ascii="Times New Roman" w:eastAsia="Times New Roman" w:hAnsi="Times New Roman"/>
                <w:lang w:val="ro-RO"/>
              </w:rPr>
              <w:t xml:space="preserve">depozitului pentru </w:t>
            </w:r>
            <w:proofErr w:type="spellStart"/>
            <w:r w:rsidRPr="00125FAF">
              <w:rPr>
                <w:rFonts w:ascii="Times New Roman" w:eastAsia="Times New Roman" w:hAnsi="Times New Roman"/>
                <w:lang w:val="ro-RO"/>
              </w:rPr>
              <w:t>deşeurile</w:t>
            </w:r>
            <w:proofErr w:type="spellEnd"/>
            <w:r w:rsidRPr="00125FAF">
              <w:rPr>
                <w:rFonts w:ascii="Times New Roman" w:eastAsia="Times New Roman" w:hAnsi="Times New Roman"/>
                <w:lang w:val="ro-RO"/>
              </w:rPr>
              <w:t xml:space="preserve"> menajere solide regional </w:t>
            </w:r>
            <w:proofErr w:type="spellStart"/>
            <w:r w:rsidRPr="00125FAF">
              <w:rPr>
                <w:rFonts w:ascii="Times New Roman" w:eastAsia="Times New Roman" w:hAnsi="Times New Roman"/>
                <w:lang w:val="ro-RO"/>
              </w:rPr>
              <w:t>şi</w:t>
            </w:r>
            <w:proofErr w:type="spellEnd"/>
            <w:r w:rsidRPr="00125FAF">
              <w:rPr>
                <w:rFonts w:ascii="Times New Roman" w:eastAsia="Times New Roman" w:hAnsi="Times New Roman"/>
                <w:lang w:val="ro-RO"/>
              </w:rPr>
              <w:t xml:space="preserve"> a </w:t>
            </w:r>
            <w:proofErr w:type="spellStart"/>
            <w:r w:rsidRPr="00125FAF">
              <w:rPr>
                <w:rFonts w:ascii="Times New Roman" w:eastAsia="Times New Roman" w:hAnsi="Times New Roman"/>
                <w:lang w:val="ro-RO"/>
              </w:rPr>
              <w:t>staţiilor</w:t>
            </w:r>
            <w:proofErr w:type="spellEnd"/>
            <w:r w:rsidRPr="00125FAF">
              <w:rPr>
                <w:rFonts w:ascii="Times New Roman" w:eastAsia="Times New Roman" w:hAnsi="Times New Roman"/>
                <w:lang w:val="ro-RO"/>
              </w:rPr>
              <w:t xml:space="preserve"> de transfer</w:t>
            </w:r>
            <w:r w:rsidR="00B566C6" w:rsidRPr="00125FAF">
              <w:rPr>
                <w:rFonts w:ascii="Times New Roman" w:eastAsia="Times New Roman" w:hAnsi="Times New Roman"/>
                <w:lang w:val="ro-RO"/>
              </w:rPr>
              <w:t xml:space="preserve"> </w:t>
            </w:r>
            <w:r w:rsidRPr="00125FAF">
              <w:rPr>
                <w:rFonts w:ascii="Times New Roman" w:eastAsia="Times New Roman" w:hAnsi="Times New Roman"/>
                <w:lang w:val="ro-RO"/>
              </w:rPr>
              <w:t xml:space="preserve">în regiunea 8 – Briceni, </w:t>
            </w:r>
            <w:proofErr w:type="spellStart"/>
            <w:r w:rsidRPr="00125FAF">
              <w:rPr>
                <w:rFonts w:ascii="Times New Roman" w:eastAsia="Times New Roman" w:hAnsi="Times New Roman"/>
                <w:lang w:val="ro-RO"/>
              </w:rPr>
              <w:t>Ocniţa</w:t>
            </w:r>
            <w:proofErr w:type="spellEnd"/>
            <w:r w:rsidRPr="00125FAF">
              <w:rPr>
                <w:rFonts w:ascii="Times New Roman" w:eastAsia="Times New Roman" w:hAnsi="Times New Roman"/>
                <w:lang w:val="ro-RO"/>
              </w:rPr>
              <w:t xml:space="preserve">, </w:t>
            </w:r>
            <w:proofErr w:type="spellStart"/>
            <w:r w:rsidRPr="00125FAF">
              <w:rPr>
                <w:rFonts w:ascii="Times New Roman" w:eastAsia="Times New Roman" w:hAnsi="Times New Roman"/>
                <w:lang w:val="ro-RO"/>
              </w:rPr>
              <w:t>Edineţ</w:t>
            </w:r>
            <w:proofErr w:type="spellEnd"/>
            <w:r w:rsidRPr="00125FAF">
              <w:rPr>
                <w:rFonts w:ascii="Times New Roman" w:eastAsia="Times New Roman" w:hAnsi="Times New Roman"/>
                <w:lang w:val="ro-RO"/>
              </w:rPr>
              <w:t xml:space="preserve">, </w:t>
            </w:r>
            <w:proofErr w:type="spellStart"/>
            <w:r w:rsidRPr="00125FAF">
              <w:rPr>
                <w:rFonts w:ascii="Times New Roman" w:eastAsia="Times New Roman" w:hAnsi="Times New Roman"/>
                <w:lang w:val="ro-RO"/>
              </w:rPr>
              <w:t>Donduşeni</w:t>
            </w:r>
            <w:proofErr w:type="spellEnd"/>
          </w:p>
        </w:tc>
        <w:tc>
          <w:tcPr>
            <w:tcW w:w="1057" w:type="dxa"/>
            <w:hideMark/>
          </w:tcPr>
          <w:p w14:paraId="46216A89"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2025</w:t>
            </w:r>
          </w:p>
        </w:tc>
        <w:tc>
          <w:tcPr>
            <w:tcW w:w="1979" w:type="dxa"/>
            <w:hideMark/>
          </w:tcPr>
          <w:p w14:paraId="0B00E0C4" w14:textId="048BFC82" w:rsidR="00D25293" w:rsidRPr="00125FAF" w:rsidRDefault="002C1CB9" w:rsidP="00D25293">
            <w:pPr>
              <w:jc w:val="both"/>
              <w:rPr>
                <w:rFonts w:ascii="Times New Roman" w:eastAsia="Times New Roman" w:hAnsi="Times New Roman"/>
                <w:lang w:val="ro-RO"/>
              </w:rPr>
            </w:pPr>
            <w:r>
              <w:rPr>
                <w:rFonts w:ascii="Times New Roman" w:eastAsia="Times New Roman" w:hAnsi="Times New Roman"/>
                <w:lang w:val="ro-RO"/>
              </w:rPr>
              <w:t>Ministerul Mediului</w:t>
            </w:r>
          </w:p>
        </w:tc>
        <w:tc>
          <w:tcPr>
            <w:tcW w:w="1726" w:type="dxa"/>
            <w:hideMark/>
          </w:tcPr>
          <w:p w14:paraId="3BBB6E42"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 </w:t>
            </w:r>
          </w:p>
        </w:tc>
        <w:tc>
          <w:tcPr>
            <w:tcW w:w="1736" w:type="dxa"/>
            <w:hideMark/>
          </w:tcPr>
          <w:p w14:paraId="2081B684" w14:textId="4A5FA95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1</w:t>
            </w:r>
            <w:r w:rsidR="00B566C6" w:rsidRPr="00125FAF">
              <w:rPr>
                <w:rFonts w:ascii="Times New Roman" w:eastAsia="Times New Roman" w:hAnsi="Times New Roman"/>
                <w:lang w:val="ro-RO"/>
              </w:rPr>
              <w:t xml:space="preserve"> </w:t>
            </w:r>
            <w:r w:rsidRPr="00125FAF">
              <w:rPr>
                <w:rFonts w:ascii="Times New Roman" w:eastAsia="Times New Roman" w:hAnsi="Times New Roman"/>
                <w:lang w:val="ro-RO"/>
              </w:rPr>
              <w:t xml:space="preserve">depozit regional pentru </w:t>
            </w:r>
            <w:proofErr w:type="spellStart"/>
            <w:r w:rsidRPr="00125FAF">
              <w:rPr>
                <w:rFonts w:ascii="Times New Roman" w:eastAsia="Times New Roman" w:hAnsi="Times New Roman"/>
                <w:lang w:val="ro-RO"/>
              </w:rPr>
              <w:t>deşeurile</w:t>
            </w:r>
            <w:proofErr w:type="spellEnd"/>
            <w:r w:rsidRPr="00125FAF">
              <w:rPr>
                <w:rFonts w:ascii="Times New Roman" w:eastAsia="Times New Roman" w:hAnsi="Times New Roman"/>
                <w:lang w:val="ro-RO"/>
              </w:rPr>
              <w:t xml:space="preserve"> menajere solide construit, 1 stație de compostare, 2</w:t>
            </w:r>
            <w:r w:rsidR="00B566C6" w:rsidRPr="00125FAF">
              <w:rPr>
                <w:rFonts w:ascii="Times New Roman" w:eastAsia="Times New Roman" w:hAnsi="Times New Roman"/>
                <w:lang w:val="ro-RO"/>
              </w:rPr>
              <w:t xml:space="preserve"> </w:t>
            </w:r>
            <w:proofErr w:type="spellStart"/>
            <w:r w:rsidRPr="00125FAF">
              <w:rPr>
                <w:rFonts w:ascii="Times New Roman" w:eastAsia="Times New Roman" w:hAnsi="Times New Roman"/>
                <w:lang w:val="ro-RO"/>
              </w:rPr>
              <w:t>staţii</w:t>
            </w:r>
            <w:proofErr w:type="spellEnd"/>
            <w:r w:rsidRPr="00125FAF">
              <w:rPr>
                <w:rFonts w:ascii="Times New Roman" w:eastAsia="Times New Roman" w:hAnsi="Times New Roman"/>
                <w:lang w:val="ro-RO"/>
              </w:rPr>
              <w:t xml:space="preserve"> de transfer construite, 11 </w:t>
            </w:r>
            <w:proofErr w:type="spellStart"/>
            <w:r w:rsidRPr="00125FAF">
              <w:rPr>
                <w:rFonts w:ascii="Times New Roman" w:eastAsia="Times New Roman" w:hAnsi="Times New Roman"/>
                <w:lang w:val="ro-RO"/>
              </w:rPr>
              <w:t>unităţi</w:t>
            </w:r>
            <w:proofErr w:type="spellEnd"/>
            <w:r w:rsidRPr="00125FAF">
              <w:rPr>
                <w:rFonts w:ascii="Times New Roman" w:eastAsia="Times New Roman" w:hAnsi="Times New Roman"/>
                <w:lang w:val="ro-RO"/>
              </w:rPr>
              <w:t xml:space="preserve"> de transport cu capacitatea de</w:t>
            </w:r>
            <w:r w:rsidR="00B566C6" w:rsidRPr="00125FAF">
              <w:rPr>
                <w:rFonts w:ascii="Times New Roman" w:eastAsia="Times New Roman" w:hAnsi="Times New Roman"/>
                <w:lang w:val="ro-RO"/>
              </w:rPr>
              <w:t xml:space="preserve"> </w:t>
            </w:r>
            <w:r w:rsidRPr="00125FAF">
              <w:rPr>
                <w:rFonts w:ascii="Times New Roman" w:eastAsia="Times New Roman" w:hAnsi="Times New Roman"/>
                <w:lang w:val="ro-RO"/>
              </w:rPr>
              <w:t xml:space="preserve">16 m3 pentru transferul </w:t>
            </w:r>
            <w:proofErr w:type="spellStart"/>
            <w:r w:rsidRPr="00125FAF">
              <w:rPr>
                <w:rFonts w:ascii="Times New Roman" w:eastAsia="Times New Roman" w:hAnsi="Times New Roman"/>
                <w:lang w:val="ro-RO"/>
              </w:rPr>
              <w:t>deşeurilor</w:t>
            </w:r>
            <w:proofErr w:type="spellEnd"/>
            <w:r w:rsidRPr="00125FAF">
              <w:rPr>
                <w:rFonts w:ascii="Times New Roman" w:eastAsia="Times New Roman" w:hAnsi="Times New Roman"/>
                <w:lang w:val="ro-RO"/>
              </w:rPr>
              <w:t xml:space="preserve"> la depozite </w:t>
            </w:r>
            <w:proofErr w:type="spellStart"/>
            <w:r w:rsidRPr="00125FAF">
              <w:rPr>
                <w:rFonts w:ascii="Times New Roman" w:eastAsia="Times New Roman" w:hAnsi="Times New Roman"/>
                <w:lang w:val="ro-RO"/>
              </w:rPr>
              <w:t>funcţionale</w:t>
            </w:r>
            <w:proofErr w:type="spellEnd"/>
          </w:p>
        </w:tc>
        <w:tc>
          <w:tcPr>
            <w:tcW w:w="1377" w:type="dxa"/>
            <w:hideMark/>
          </w:tcPr>
          <w:p w14:paraId="2B43A5F2" w14:textId="0DB2A6C3"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198</w:t>
            </w:r>
            <w:r w:rsidR="008F2629" w:rsidRPr="00125FAF">
              <w:rPr>
                <w:rFonts w:ascii="Times New Roman" w:eastAsia="Times New Roman" w:hAnsi="Times New Roman"/>
                <w:lang w:val="ro-RO"/>
              </w:rPr>
              <w:t>,</w:t>
            </w:r>
            <w:r w:rsidRPr="00125FAF">
              <w:rPr>
                <w:rFonts w:ascii="Times New Roman" w:eastAsia="Times New Roman" w:hAnsi="Times New Roman"/>
                <w:lang w:val="ro-RO"/>
              </w:rPr>
              <w:t>4</w:t>
            </w:r>
          </w:p>
        </w:tc>
        <w:tc>
          <w:tcPr>
            <w:tcW w:w="1444" w:type="dxa"/>
            <w:noWrap/>
            <w:hideMark/>
          </w:tcPr>
          <w:p w14:paraId="5D41ED09" w14:textId="1F4AADFC"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66</w:t>
            </w:r>
            <w:r w:rsidR="008F2629" w:rsidRPr="00125FAF">
              <w:rPr>
                <w:rFonts w:ascii="Times New Roman" w:eastAsia="Times New Roman" w:hAnsi="Times New Roman"/>
                <w:lang w:val="ro-RO"/>
              </w:rPr>
              <w:t>,</w:t>
            </w:r>
            <w:r w:rsidR="00D5429D" w:rsidRPr="00125FAF">
              <w:rPr>
                <w:rFonts w:ascii="Times New Roman" w:eastAsia="Times New Roman" w:hAnsi="Times New Roman"/>
                <w:lang w:val="ro-RO"/>
              </w:rPr>
              <w:t>2</w:t>
            </w:r>
          </w:p>
        </w:tc>
        <w:tc>
          <w:tcPr>
            <w:tcW w:w="1238" w:type="dxa"/>
            <w:hideMark/>
          </w:tcPr>
          <w:p w14:paraId="452F4DFB"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 xml:space="preserve">Bugetul de stat, </w:t>
            </w:r>
            <w:proofErr w:type="spellStart"/>
            <w:r w:rsidRPr="00125FAF">
              <w:rPr>
                <w:rFonts w:ascii="Times New Roman" w:eastAsia="Times New Roman" w:hAnsi="Times New Roman"/>
                <w:lang w:val="ro-RO"/>
              </w:rPr>
              <w:t>asistenţă</w:t>
            </w:r>
            <w:proofErr w:type="spellEnd"/>
            <w:r w:rsidRPr="00125FAF">
              <w:rPr>
                <w:rFonts w:ascii="Times New Roman" w:eastAsia="Times New Roman" w:hAnsi="Times New Roman"/>
                <w:lang w:val="ro-RO"/>
              </w:rPr>
              <w:t xml:space="preserve"> externă, alte surse</w:t>
            </w:r>
          </w:p>
        </w:tc>
      </w:tr>
      <w:tr w:rsidR="00DC3FD5" w:rsidRPr="00125FAF" w14:paraId="768144B7" w14:textId="77777777" w:rsidTr="00AC461F">
        <w:trPr>
          <w:trHeight w:val="2940"/>
        </w:trPr>
        <w:tc>
          <w:tcPr>
            <w:tcW w:w="627" w:type="dxa"/>
            <w:hideMark/>
          </w:tcPr>
          <w:p w14:paraId="2CEC5220"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7.7</w:t>
            </w:r>
          </w:p>
        </w:tc>
        <w:tc>
          <w:tcPr>
            <w:tcW w:w="3255" w:type="dxa"/>
            <w:hideMark/>
          </w:tcPr>
          <w:p w14:paraId="01176D38" w14:textId="68A79D1C" w:rsidR="00D25293" w:rsidRPr="00125FAF" w:rsidRDefault="00D25293" w:rsidP="00D25293">
            <w:pPr>
              <w:jc w:val="both"/>
              <w:rPr>
                <w:rFonts w:ascii="Times New Roman" w:eastAsia="Times New Roman" w:hAnsi="Times New Roman"/>
                <w:lang w:val="ro-RO"/>
              </w:rPr>
            </w:pPr>
            <w:proofErr w:type="spellStart"/>
            <w:r w:rsidRPr="00125FAF">
              <w:rPr>
                <w:rFonts w:ascii="Times New Roman" w:eastAsia="Times New Roman" w:hAnsi="Times New Roman"/>
                <w:lang w:val="ro-RO"/>
              </w:rPr>
              <w:t>Construcţia</w:t>
            </w:r>
            <w:proofErr w:type="spellEnd"/>
            <w:r w:rsidR="00B566C6" w:rsidRPr="00125FAF">
              <w:rPr>
                <w:rFonts w:ascii="Times New Roman" w:eastAsia="Times New Roman" w:hAnsi="Times New Roman"/>
                <w:lang w:val="ro-RO"/>
              </w:rPr>
              <w:t xml:space="preserve"> </w:t>
            </w:r>
            <w:r w:rsidRPr="00125FAF">
              <w:rPr>
                <w:rFonts w:ascii="Times New Roman" w:eastAsia="Times New Roman" w:hAnsi="Times New Roman"/>
                <w:lang w:val="ro-RO"/>
              </w:rPr>
              <w:t xml:space="preserve">centrului de tratare </w:t>
            </w:r>
            <w:proofErr w:type="spellStart"/>
            <w:r w:rsidRPr="00125FAF">
              <w:rPr>
                <w:rFonts w:ascii="Times New Roman" w:eastAsia="Times New Roman" w:hAnsi="Times New Roman"/>
                <w:lang w:val="ro-RO"/>
              </w:rPr>
              <w:t>mecanico</w:t>
            </w:r>
            <w:proofErr w:type="spellEnd"/>
            <w:r w:rsidRPr="00125FAF">
              <w:rPr>
                <w:rFonts w:ascii="Times New Roman" w:eastAsia="Times New Roman" w:hAnsi="Times New Roman"/>
                <w:lang w:val="ro-RO"/>
              </w:rPr>
              <w:t xml:space="preserve">-biologică în regiunea 4 – mun. </w:t>
            </w:r>
            <w:proofErr w:type="spellStart"/>
            <w:r w:rsidRPr="00125FAF">
              <w:rPr>
                <w:rFonts w:ascii="Times New Roman" w:eastAsia="Times New Roman" w:hAnsi="Times New Roman"/>
                <w:lang w:val="ro-RO"/>
              </w:rPr>
              <w:t>Chişinău</w:t>
            </w:r>
            <w:proofErr w:type="spellEnd"/>
            <w:r w:rsidRPr="00125FAF">
              <w:rPr>
                <w:rFonts w:ascii="Times New Roman" w:eastAsia="Times New Roman" w:hAnsi="Times New Roman"/>
                <w:lang w:val="ro-RO"/>
              </w:rPr>
              <w:t xml:space="preserve">, </w:t>
            </w:r>
            <w:proofErr w:type="spellStart"/>
            <w:r w:rsidRPr="00125FAF">
              <w:rPr>
                <w:rFonts w:ascii="Times New Roman" w:eastAsia="Times New Roman" w:hAnsi="Times New Roman"/>
                <w:lang w:val="ro-RO"/>
              </w:rPr>
              <w:t>Străşeni</w:t>
            </w:r>
            <w:proofErr w:type="spellEnd"/>
            <w:r w:rsidRPr="00125FAF">
              <w:rPr>
                <w:rFonts w:ascii="Times New Roman" w:eastAsia="Times New Roman" w:hAnsi="Times New Roman"/>
                <w:lang w:val="ro-RO"/>
              </w:rPr>
              <w:t xml:space="preserve">, Ialoveni, </w:t>
            </w:r>
            <w:proofErr w:type="spellStart"/>
            <w:r w:rsidRPr="00125FAF">
              <w:rPr>
                <w:rFonts w:ascii="Times New Roman" w:eastAsia="Times New Roman" w:hAnsi="Times New Roman"/>
                <w:lang w:val="ro-RO"/>
              </w:rPr>
              <w:t>Hînceşti</w:t>
            </w:r>
            <w:proofErr w:type="spellEnd"/>
            <w:r w:rsidRPr="00125FAF">
              <w:rPr>
                <w:rFonts w:ascii="Times New Roman" w:eastAsia="Times New Roman" w:hAnsi="Times New Roman"/>
                <w:lang w:val="ro-RO"/>
              </w:rPr>
              <w:t>, Criuleni, Cocieri, Anenii Noi</w:t>
            </w:r>
          </w:p>
        </w:tc>
        <w:tc>
          <w:tcPr>
            <w:tcW w:w="1057" w:type="dxa"/>
            <w:hideMark/>
          </w:tcPr>
          <w:p w14:paraId="7AC5BDC7"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2025</w:t>
            </w:r>
          </w:p>
        </w:tc>
        <w:tc>
          <w:tcPr>
            <w:tcW w:w="1979" w:type="dxa"/>
            <w:hideMark/>
          </w:tcPr>
          <w:p w14:paraId="0F0E8398" w14:textId="0962AA12" w:rsidR="00D25293" w:rsidRPr="00125FAF" w:rsidRDefault="002C1CB9" w:rsidP="00D25293">
            <w:pPr>
              <w:jc w:val="both"/>
              <w:rPr>
                <w:rFonts w:ascii="Times New Roman" w:eastAsia="Times New Roman" w:hAnsi="Times New Roman"/>
                <w:lang w:val="ro-RO"/>
              </w:rPr>
            </w:pPr>
            <w:r>
              <w:rPr>
                <w:rFonts w:ascii="Times New Roman" w:eastAsia="Times New Roman" w:hAnsi="Times New Roman"/>
                <w:lang w:val="ro-RO"/>
              </w:rPr>
              <w:t>Ministerul Mediului</w:t>
            </w:r>
          </w:p>
        </w:tc>
        <w:tc>
          <w:tcPr>
            <w:tcW w:w="1726" w:type="dxa"/>
            <w:hideMark/>
          </w:tcPr>
          <w:p w14:paraId="3ADB0675"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 </w:t>
            </w:r>
          </w:p>
        </w:tc>
        <w:tc>
          <w:tcPr>
            <w:tcW w:w="1736" w:type="dxa"/>
            <w:hideMark/>
          </w:tcPr>
          <w:p w14:paraId="7F937EBB" w14:textId="05DD4204"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 xml:space="preserve">1 </w:t>
            </w:r>
            <w:proofErr w:type="spellStart"/>
            <w:r w:rsidRPr="00125FAF">
              <w:rPr>
                <w:rFonts w:ascii="Times New Roman" w:eastAsia="Times New Roman" w:hAnsi="Times New Roman"/>
                <w:lang w:val="ro-RO"/>
              </w:rPr>
              <w:t>staţie</w:t>
            </w:r>
            <w:proofErr w:type="spellEnd"/>
            <w:r w:rsidRPr="00125FAF">
              <w:rPr>
                <w:rFonts w:ascii="Times New Roman" w:eastAsia="Times New Roman" w:hAnsi="Times New Roman"/>
                <w:lang w:val="ro-RO"/>
              </w:rPr>
              <w:t xml:space="preserve"> de tratare </w:t>
            </w:r>
            <w:proofErr w:type="spellStart"/>
            <w:r w:rsidRPr="00125FAF">
              <w:rPr>
                <w:rFonts w:ascii="Times New Roman" w:eastAsia="Times New Roman" w:hAnsi="Times New Roman"/>
                <w:lang w:val="ro-RO"/>
              </w:rPr>
              <w:t>mecanico</w:t>
            </w:r>
            <w:proofErr w:type="spellEnd"/>
            <w:r w:rsidRPr="00125FAF">
              <w:rPr>
                <w:rFonts w:ascii="Times New Roman" w:eastAsia="Times New Roman" w:hAnsi="Times New Roman"/>
                <w:lang w:val="ro-RO"/>
              </w:rPr>
              <w:t xml:space="preserve">-biologică construită, 1-3 depozite regionale pentru </w:t>
            </w:r>
            <w:proofErr w:type="spellStart"/>
            <w:r w:rsidRPr="00125FAF">
              <w:rPr>
                <w:rFonts w:ascii="Times New Roman" w:eastAsia="Times New Roman" w:hAnsi="Times New Roman"/>
                <w:lang w:val="ro-RO"/>
              </w:rPr>
              <w:t>deşeurile</w:t>
            </w:r>
            <w:proofErr w:type="spellEnd"/>
            <w:r w:rsidRPr="00125FAF">
              <w:rPr>
                <w:rFonts w:ascii="Times New Roman" w:eastAsia="Times New Roman" w:hAnsi="Times New Roman"/>
                <w:lang w:val="ro-RO"/>
              </w:rPr>
              <w:t xml:space="preserve"> menajere solide construite, 4 </w:t>
            </w:r>
            <w:proofErr w:type="spellStart"/>
            <w:r w:rsidRPr="00125FAF">
              <w:rPr>
                <w:rFonts w:ascii="Times New Roman" w:eastAsia="Times New Roman" w:hAnsi="Times New Roman"/>
                <w:lang w:val="ro-RO"/>
              </w:rPr>
              <w:t>staţii</w:t>
            </w:r>
            <w:proofErr w:type="spellEnd"/>
            <w:r w:rsidRPr="00125FAF">
              <w:rPr>
                <w:rFonts w:ascii="Times New Roman" w:eastAsia="Times New Roman" w:hAnsi="Times New Roman"/>
                <w:lang w:val="ro-RO"/>
              </w:rPr>
              <w:t xml:space="preserve"> de transfer construite, 48 de </w:t>
            </w:r>
            <w:proofErr w:type="spellStart"/>
            <w:r w:rsidRPr="00125FAF">
              <w:rPr>
                <w:rFonts w:ascii="Times New Roman" w:eastAsia="Times New Roman" w:hAnsi="Times New Roman"/>
                <w:lang w:val="ro-RO"/>
              </w:rPr>
              <w:t>unităţi</w:t>
            </w:r>
            <w:proofErr w:type="spellEnd"/>
            <w:r w:rsidRPr="00125FAF">
              <w:rPr>
                <w:rFonts w:ascii="Times New Roman" w:eastAsia="Times New Roman" w:hAnsi="Times New Roman"/>
                <w:lang w:val="ro-RO"/>
              </w:rPr>
              <w:t xml:space="preserve"> de transport cu capacitatea de</w:t>
            </w:r>
            <w:r w:rsidR="00B566C6" w:rsidRPr="00125FAF">
              <w:rPr>
                <w:rFonts w:ascii="Times New Roman" w:eastAsia="Times New Roman" w:hAnsi="Times New Roman"/>
                <w:lang w:val="ro-RO"/>
              </w:rPr>
              <w:t xml:space="preserve"> </w:t>
            </w:r>
            <w:r w:rsidRPr="00125FAF">
              <w:rPr>
                <w:rFonts w:ascii="Times New Roman" w:eastAsia="Times New Roman" w:hAnsi="Times New Roman"/>
                <w:lang w:val="ro-RO"/>
              </w:rPr>
              <w:t xml:space="preserve">16 m3 pentru transferul </w:t>
            </w:r>
            <w:proofErr w:type="spellStart"/>
            <w:r w:rsidRPr="00125FAF">
              <w:rPr>
                <w:rFonts w:ascii="Times New Roman" w:eastAsia="Times New Roman" w:hAnsi="Times New Roman"/>
                <w:lang w:val="ro-RO"/>
              </w:rPr>
              <w:t>deşeurilor</w:t>
            </w:r>
            <w:proofErr w:type="spellEnd"/>
            <w:r w:rsidRPr="00125FAF">
              <w:rPr>
                <w:rFonts w:ascii="Times New Roman" w:eastAsia="Times New Roman" w:hAnsi="Times New Roman"/>
                <w:lang w:val="ro-RO"/>
              </w:rPr>
              <w:t xml:space="preserve"> </w:t>
            </w:r>
            <w:proofErr w:type="spellStart"/>
            <w:r w:rsidRPr="00125FAF">
              <w:rPr>
                <w:rFonts w:ascii="Times New Roman" w:eastAsia="Times New Roman" w:hAnsi="Times New Roman"/>
                <w:lang w:val="ro-RO"/>
              </w:rPr>
              <w:t>funcţionale</w:t>
            </w:r>
            <w:proofErr w:type="spellEnd"/>
          </w:p>
        </w:tc>
        <w:tc>
          <w:tcPr>
            <w:tcW w:w="1377" w:type="dxa"/>
            <w:hideMark/>
          </w:tcPr>
          <w:p w14:paraId="5871D008"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630</w:t>
            </w:r>
          </w:p>
        </w:tc>
        <w:tc>
          <w:tcPr>
            <w:tcW w:w="1444" w:type="dxa"/>
            <w:hideMark/>
          </w:tcPr>
          <w:p w14:paraId="2146A5BD"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210</w:t>
            </w:r>
          </w:p>
        </w:tc>
        <w:tc>
          <w:tcPr>
            <w:tcW w:w="1238" w:type="dxa"/>
            <w:hideMark/>
          </w:tcPr>
          <w:p w14:paraId="2E510D8A"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 xml:space="preserve">Bugetul de stat, </w:t>
            </w:r>
            <w:proofErr w:type="spellStart"/>
            <w:r w:rsidRPr="00125FAF">
              <w:rPr>
                <w:rFonts w:ascii="Times New Roman" w:eastAsia="Times New Roman" w:hAnsi="Times New Roman"/>
                <w:lang w:val="ro-RO"/>
              </w:rPr>
              <w:t>asistenţă</w:t>
            </w:r>
            <w:proofErr w:type="spellEnd"/>
            <w:r w:rsidRPr="00125FAF">
              <w:rPr>
                <w:rFonts w:ascii="Times New Roman" w:eastAsia="Times New Roman" w:hAnsi="Times New Roman"/>
                <w:lang w:val="ro-RO"/>
              </w:rPr>
              <w:t xml:space="preserve"> externă, alte surse</w:t>
            </w:r>
          </w:p>
        </w:tc>
      </w:tr>
      <w:tr w:rsidR="00DC3FD5" w:rsidRPr="00125FAF" w14:paraId="19DF5B13" w14:textId="77777777" w:rsidTr="00AC461F">
        <w:trPr>
          <w:trHeight w:val="2865"/>
        </w:trPr>
        <w:tc>
          <w:tcPr>
            <w:tcW w:w="627" w:type="dxa"/>
            <w:hideMark/>
          </w:tcPr>
          <w:p w14:paraId="58361BA9"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lastRenderedPageBreak/>
              <w:t>7.8</w:t>
            </w:r>
          </w:p>
        </w:tc>
        <w:tc>
          <w:tcPr>
            <w:tcW w:w="3255" w:type="dxa"/>
            <w:hideMark/>
          </w:tcPr>
          <w:p w14:paraId="2ED013EA" w14:textId="1A051E0A" w:rsidR="00D25293" w:rsidRPr="00125FAF" w:rsidRDefault="00D25293" w:rsidP="00D25293">
            <w:pPr>
              <w:jc w:val="both"/>
              <w:rPr>
                <w:rFonts w:ascii="Times New Roman" w:eastAsia="Times New Roman" w:hAnsi="Times New Roman"/>
                <w:lang w:val="ro-RO"/>
              </w:rPr>
            </w:pPr>
            <w:proofErr w:type="spellStart"/>
            <w:r w:rsidRPr="00125FAF">
              <w:rPr>
                <w:rFonts w:ascii="Times New Roman" w:eastAsia="Times New Roman" w:hAnsi="Times New Roman"/>
                <w:lang w:val="ro-RO"/>
              </w:rPr>
              <w:t>Construcţia</w:t>
            </w:r>
            <w:proofErr w:type="spellEnd"/>
            <w:r w:rsidR="00B566C6" w:rsidRPr="00125FAF">
              <w:rPr>
                <w:rFonts w:ascii="Times New Roman" w:eastAsia="Times New Roman" w:hAnsi="Times New Roman"/>
                <w:lang w:val="ro-RO"/>
              </w:rPr>
              <w:t xml:space="preserve"> </w:t>
            </w:r>
            <w:r w:rsidRPr="00125FAF">
              <w:rPr>
                <w:rFonts w:ascii="Times New Roman" w:eastAsia="Times New Roman" w:hAnsi="Times New Roman"/>
                <w:lang w:val="ro-RO"/>
              </w:rPr>
              <w:t xml:space="preserve">centrului de tratare </w:t>
            </w:r>
            <w:proofErr w:type="spellStart"/>
            <w:r w:rsidRPr="00125FAF">
              <w:rPr>
                <w:rFonts w:ascii="Times New Roman" w:eastAsia="Times New Roman" w:hAnsi="Times New Roman"/>
                <w:lang w:val="ro-RO"/>
              </w:rPr>
              <w:t>mecanico</w:t>
            </w:r>
            <w:proofErr w:type="spellEnd"/>
            <w:r w:rsidRPr="00125FAF">
              <w:rPr>
                <w:rFonts w:ascii="Times New Roman" w:eastAsia="Times New Roman" w:hAnsi="Times New Roman"/>
                <w:lang w:val="ro-RO"/>
              </w:rPr>
              <w:t xml:space="preserve">-biologică în regiunea 7 –mun. </w:t>
            </w:r>
            <w:proofErr w:type="spellStart"/>
            <w:r w:rsidRPr="00125FAF">
              <w:rPr>
                <w:rFonts w:ascii="Times New Roman" w:eastAsia="Times New Roman" w:hAnsi="Times New Roman"/>
                <w:lang w:val="ro-RO"/>
              </w:rPr>
              <w:t>Bălţi</w:t>
            </w:r>
            <w:proofErr w:type="spellEnd"/>
            <w:r w:rsidRPr="00125FAF">
              <w:rPr>
                <w:rFonts w:ascii="Times New Roman" w:eastAsia="Times New Roman" w:hAnsi="Times New Roman"/>
                <w:lang w:val="ro-RO"/>
              </w:rPr>
              <w:t xml:space="preserve">, Drochia, </w:t>
            </w:r>
            <w:proofErr w:type="spellStart"/>
            <w:r w:rsidRPr="00125FAF">
              <w:rPr>
                <w:rFonts w:ascii="Times New Roman" w:eastAsia="Times New Roman" w:hAnsi="Times New Roman"/>
                <w:lang w:val="ro-RO"/>
              </w:rPr>
              <w:t>Rîşcani</w:t>
            </w:r>
            <w:proofErr w:type="spellEnd"/>
            <w:r w:rsidRPr="00125FAF">
              <w:rPr>
                <w:rFonts w:ascii="Times New Roman" w:eastAsia="Times New Roman" w:hAnsi="Times New Roman"/>
                <w:lang w:val="ro-RO"/>
              </w:rPr>
              <w:t xml:space="preserve">, Glodeni, </w:t>
            </w:r>
            <w:proofErr w:type="spellStart"/>
            <w:r w:rsidRPr="00125FAF">
              <w:rPr>
                <w:rFonts w:ascii="Times New Roman" w:eastAsia="Times New Roman" w:hAnsi="Times New Roman"/>
                <w:lang w:val="ro-RO"/>
              </w:rPr>
              <w:t>Floreşti</w:t>
            </w:r>
            <w:proofErr w:type="spellEnd"/>
            <w:r w:rsidRPr="00125FAF">
              <w:rPr>
                <w:rFonts w:ascii="Times New Roman" w:eastAsia="Times New Roman" w:hAnsi="Times New Roman"/>
                <w:lang w:val="ro-RO"/>
              </w:rPr>
              <w:t xml:space="preserve">, </w:t>
            </w:r>
            <w:proofErr w:type="spellStart"/>
            <w:r w:rsidRPr="00125FAF">
              <w:rPr>
                <w:rFonts w:ascii="Times New Roman" w:eastAsia="Times New Roman" w:hAnsi="Times New Roman"/>
                <w:lang w:val="ro-RO"/>
              </w:rPr>
              <w:t>Făleşti</w:t>
            </w:r>
            <w:proofErr w:type="spellEnd"/>
            <w:r w:rsidRPr="00125FAF">
              <w:rPr>
                <w:rFonts w:ascii="Times New Roman" w:eastAsia="Times New Roman" w:hAnsi="Times New Roman"/>
                <w:lang w:val="ro-RO"/>
              </w:rPr>
              <w:t xml:space="preserve">, </w:t>
            </w:r>
            <w:proofErr w:type="spellStart"/>
            <w:r w:rsidRPr="00125FAF">
              <w:rPr>
                <w:rFonts w:ascii="Times New Roman" w:eastAsia="Times New Roman" w:hAnsi="Times New Roman"/>
                <w:lang w:val="ro-RO"/>
              </w:rPr>
              <w:t>Sîngerei</w:t>
            </w:r>
            <w:proofErr w:type="spellEnd"/>
            <w:r w:rsidRPr="00125FAF">
              <w:rPr>
                <w:rFonts w:ascii="Times New Roman" w:eastAsia="Times New Roman" w:hAnsi="Times New Roman"/>
                <w:lang w:val="ro-RO"/>
              </w:rPr>
              <w:t>, Soroca</w:t>
            </w:r>
          </w:p>
        </w:tc>
        <w:tc>
          <w:tcPr>
            <w:tcW w:w="1057" w:type="dxa"/>
            <w:hideMark/>
          </w:tcPr>
          <w:p w14:paraId="7F98B299"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2030</w:t>
            </w:r>
          </w:p>
        </w:tc>
        <w:tc>
          <w:tcPr>
            <w:tcW w:w="1979" w:type="dxa"/>
            <w:hideMark/>
          </w:tcPr>
          <w:p w14:paraId="2008996F" w14:textId="292339C6" w:rsidR="00D25293" w:rsidRPr="00125FAF" w:rsidRDefault="002C1CB9" w:rsidP="00D25293">
            <w:pPr>
              <w:jc w:val="both"/>
              <w:rPr>
                <w:rFonts w:ascii="Times New Roman" w:eastAsia="Times New Roman" w:hAnsi="Times New Roman"/>
                <w:lang w:val="ro-RO"/>
              </w:rPr>
            </w:pPr>
            <w:r>
              <w:rPr>
                <w:rFonts w:ascii="Times New Roman" w:eastAsia="Times New Roman" w:hAnsi="Times New Roman"/>
                <w:lang w:val="ro-RO"/>
              </w:rPr>
              <w:t>Ministerul Mediului</w:t>
            </w:r>
          </w:p>
        </w:tc>
        <w:tc>
          <w:tcPr>
            <w:tcW w:w="1726" w:type="dxa"/>
            <w:hideMark/>
          </w:tcPr>
          <w:p w14:paraId="04F308ED"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 </w:t>
            </w:r>
          </w:p>
        </w:tc>
        <w:tc>
          <w:tcPr>
            <w:tcW w:w="1736" w:type="dxa"/>
            <w:hideMark/>
          </w:tcPr>
          <w:p w14:paraId="7AAA1827" w14:textId="22D876A9"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 xml:space="preserve">1 </w:t>
            </w:r>
            <w:proofErr w:type="spellStart"/>
            <w:r w:rsidRPr="00125FAF">
              <w:rPr>
                <w:rFonts w:ascii="Times New Roman" w:eastAsia="Times New Roman" w:hAnsi="Times New Roman"/>
                <w:lang w:val="ro-RO"/>
              </w:rPr>
              <w:t>staţie</w:t>
            </w:r>
            <w:proofErr w:type="spellEnd"/>
            <w:r w:rsidRPr="00125FAF">
              <w:rPr>
                <w:rFonts w:ascii="Times New Roman" w:eastAsia="Times New Roman" w:hAnsi="Times New Roman"/>
                <w:lang w:val="ro-RO"/>
              </w:rPr>
              <w:t xml:space="preserve"> de tratare </w:t>
            </w:r>
            <w:proofErr w:type="spellStart"/>
            <w:r w:rsidRPr="00125FAF">
              <w:rPr>
                <w:rFonts w:ascii="Times New Roman" w:eastAsia="Times New Roman" w:hAnsi="Times New Roman"/>
                <w:lang w:val="ro-RO"/>
              </w:rPr>
              <w:t>mecanico</w:t>
            </w:r>
            <w:proofErr w:type="spellEnd"/>
            <w:r w:rsidRPr="00125FAF">
              <w:rPr>
                <w:rFonts w:ascii="Times New Roman" w:eastAsia="Times New Roman" w:hAnsi="Times New Roman"/>
                <w:lang w:val="ro-RO"/>
              </w:rPr>
              <w:t xml:space="preserve">-biologică construită, 1-2 depozite regionale pentru </w:t>
            </w:r>
            <w:proofErr w:type="spellStart"/>
            <w:r w:rsidRPr="00125FAF">
              <w:rPr>
                <w:rFonts w:ascii="Times New Roman" w:eastAsia="Times New Roman" w:hAnsi="Times New Roman"/>
                <w:lang w:val="ro-RO"/>
              </w:rPr>
              <w:t>deşeurile</w:t>
            </w:r>
            <w:proofErr w:type="spellEnd"/>
            <w:r w:rsidRPr="00125FAF">
              <w:rPr>
                <w:rFonts w:ascii="Times New Roman" w:eastAsia="Times New Roman" w:hAnsi="Times New Roman"/>
                <w:lang w:val="ro-RO"/>
              </w:rPr>
              <w:t xml:space="preserve"> menajere solide construite, 7 </w:t>
            </w:r>
            <w:proofErr w:type="spellStart"/>
            <w:r w:rsidRPr="00125FAF">
              <w:rPr>
                <w:rFonts w:ascii="Times New Roman" w:eastAsia="Times New Roman" w:hAnsi="Times New Roman"/>
                <w:lang w:val="ro-RO"/>
              </w:rPr>
              <w:t>staţii</w:t>
            </w:r>
            <w:proofErr w:type="spellEnd"/>
            <w:r w:rsidRPr="00125FAF">
              <w:rPr>
                <w:rFonts w:ascii="Times New Roman" w:eastAsia="Times New Roman" w:hAnsi="Times New Roman"/>
                <w:lang w:val="ro-RO"/>
              </w:rPr>
              <w:t xml:space="preserve"> de transfer construite, 33 de </w:t>
            </w:r>
            <w:proofErr w:type="spellStart"/>
            <w:r w:rsidRPr="00125FAF">
              <w:rPr>
                <w:rFonts w:ascii="Times New Roman" w:eastAsia="Times New Roman" w:hAnsi="Times New Roman"/>
                <w:lang w:val="ro-RO"/>
              </w:rPr>
              <w:t>unităţi</w:t>
            </w:r>
            <w:proofErr w:type="spellEnd"/>
            <w:r w:rsidRPr="00125FAF">
              <w:rPr>
                <w:rFonts w:ascii="Times New Roman" w:eastAsia="Times New Roman" w:hAnsi="Times New Roman"/>
                <w:lang w:val="ro-RO"/>
              </w:rPr>
              <w:t xml:space="preserve"> de transport cu capacitatea de</w:t>
            </w:r>
            <w:r w:rsidR="00B566C6" w:rsidRPr="00125FAF">
              <w:rPr>
                <w:rFonts w:ascii="Times New Roman" w:eastAsia="Times New Roman" w:hAnsi="Times New Roman"/>
                <w:lang w:val="ro-RO"/>
              </w:rPr>
              <w:t xml:space="preserve"> </w:t>
            </w:r>
            <w:r w:rsidRPr="00125FAF">
              <w:rPr>
                <w:rFonts w:ascii="Times New Roman" w:eastAsia="Times New Roman" w:hAnsi="Times New Roman"/>
                <w:lang w:val="ro-RO"/>
              </w:rPr>
              <w:t xml:space="preserve">16 m3 pentru transferul </w:t>
            </w:r>
            <w:proofErr w:type="spellStart"/>
            <w:r w:rsidRPr="00125FAF">
              <w:rPr>
                <w:rFonts w:ascii="Times New Roman" w:eastAsia="Times New Roman" w:hAnsi="Times New Roman"/>
                <w:lang w:val="ro-RO"/>
              </w:rPr>
              <w:t>deşeurilor</w:t>
            </w:r>
            <w:proofErr w:type="spellEnd"/>
            <w:r w:rsidRPr="00125FAF">
              <w:rPr>
                <w:rFonts w:ascii="Times New Roman" w:eastAsia="Times New Roman" w:hAnsi="Times New Roman"/>
                <w:lang w:val="ro-RO"/>
              </w:rPr>
              <w:t xml:space="preserve"> </w:t>
            </w:r>
            <w:proofErr w:type="spellStart"/>
            <w:r w:rsidRPr="00125FAF">
              <w:rPr>
                <w:rFonts w:ascii="Times New Roman" w:eastAsia="Times New Roman" w:hAnsi="Times New Roman"/>
                <w:lang w:val="ro-RO"/>
              </w:rPr>
              <w:t>funcţionale</w:t>
            </w:r>
            <w:proofErr w:type="spellEnd"/>
            <w:r w:rsidRPr="00125FAF">
              <w:rPr>
                <w:rFonts w:ascii="Times New Roman" w:eastAsia="Times New Roman" w:hAnsi="Times New Roman"/>
                <w:lang w:val="ro-RO"/>
              </w:rPr>
              <w:t>.</w:t>
            </w:r>
          </w:p>
        </w:tc>
        <w:tc>
          <w:tcPr>
            <w:tcW w:w="1377" w:type="dxa"/>
            <w:hideMark/>
          </w:tcPr>
          <w:p w14:paraId="6A6D88E0" w14:textId="5A709C3F"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556</w:t>
            </w:r>
            <w:r w:rsidR="008F2629" w:rsidRPr="00125FAF">
              <w:rPr>
                <w:rFonts w:ascii="Times New Roman" w:eastAsia="Times New Roman" w:hAnsi="Times New Roman"/>
                <w:lang w:val="ro-RO"/>
              </w:rPr>
              <w:t>,</w:t>
            </w:r>
            <w:r w:rsidRPr="00125FAF">
              <w:rPr>
                <w:rFonts w:ascii="Times New Roman" w:eastAsia="Times New Roman" w:hAnsi="Times New Roman"/>
                <w:lang w:val="ro-RO"/>
              </w:rPr>
              <w:t>5</w:t>
            </w:r>
          </w:p>
        </w:tc>
        <w:tc>
          <w:tcPr>
            <w:tcW w:w="1444" w:type="dxa"/>
            <w:noWrap/>
            <w:hideMark/>
          </w:tcPr>
          <w:p w14:paraId="0728EB32" w14:textId="4E43A7AB"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178</w:t>
            </w:r>
            <w:r w:rsidR="008F2629" w:rsidRPr="00125FAF">
              <w:rPr>
                <w:rFonts w:ascii="Times New Roman" w:eastAsia="Times New Roman" w:hAnsi="Times New Roman"/>
                <w:lang w:val="ro-RO"/>
              </w:rPr>
              <w:t>,</w:t>
            </w:r>
            <w:r w:rsidRPr="00125FAF">
              <w:rPr>
                <w:rFonts w:ascii="Times New Roman" w:eastAsia="Times New Roman" w:hAnsi="Times New Roman"/>
                <w:lang w:val="ro-RO"/>
              </w:rPr>
              <w:t>5</w:t>
            </w:r>
          </w:p>
        </w:tc>
        <w:tc>
          <w:tcPr>
            <w:tcW w:w="1238" w:type="dxa"/>
            <w:hideMark/>
          </w:tcPr>
          <w:p w14:paraId="47D38D45"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 xml:space="preserve">Bugetul de stat, </w:t>
            </w:r>
            <w:proofErr w:type="spellStart"/>
            <w:r w:rsidRPr="00125FAF">
              <w:rPr>
                <w:rFonts w:ascii="Times New Roman" w:eastAsia="Times New Roman" w:hAnsi="Times New Roman"/>
                <w:lang w:val="ro-RO"/>
              </w:rPr>
              <w:t>asistenţă</w:t>
            </w:r>
            <w:proofErr w:type="spellEnd"/>
            <w:r w:rsidRPr="00125FAF">
              <w:rPr>
                <w:rFonts w:ascii="Times New Roman" w:eastAsia="Times New Roman" w:hAnsi="Times New Roman"/>
                <w:lang w:val="ro-RO"/>
              </w:rPr>
              <w:t xml:space="preserve"> externă, alte surse</w:t>
            </w:r>
          </w:p>
        </w:tc>
      </w:tr>
      <w:tr w:rsidR="00DC3FD5" w:rsidRPr="00125FAF" w14:paraId="41DD360D" w14:textId="77777777" w:rsidTr="00AC461F">
        <w:trPr>
          <w:trHeight w:val="1080"/>
        </w:trPr>
        <w:tc>
          <w:tcPr>
            <w:tcW w:w="627" w:type="dxa"/>
            <w:tcBorders>
              <w:bottom w:val="single" w:sz="4" w:space="0" w:color="auto"/>
            </w:tcBorders>
            <w:hideMark/>
          </w:tcPr>
          <w:p w14:paraId="28B59490"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7.9</w:t>
            </w:r>
          </w:p>
        </w:tc>
        <w:tc>
          <w:tcPr>
            <w:tcW w:w="3255" w:type="dxa"/>
            <w:tcBorders>
              <w:bottom w:val="single" w:sz="4" w:space="0" w:color="auto"/>
            </w:tcBorders>
            <w:hideMark/>
          </w:tcPr>
          <w:p w14:paraId="591115AD"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 xml:space="preserve">Recuperarea biogazului de la depozitul pentru </w:t>
            </w:r>
            <w:proofErr w:type="spellStart"/>
            <w:r w:rsidRPr="00125FAF">
              <w:rPr>
                <w:rFonts w:ascii="Times New Roman" w:eastAsia="Times New Roman" w:hAnsi="Times New Roman"/>
                <w:lang w:val="ro-RO"/>
              </w:rPr>
              <w:t>deşeurile</w:t>
            </w:r>
            <w:proofErr w:type="spellEnd"/>
            <w:r w:rsidRPr="00125FAF">
              <w:rPr>
                <w:rFonts w:ascii="Times New Roman" w:eastAsia="Times New Roman" w:hAnsi="Times New Roman"/>
                <w:lang w:val="ro-RO"/>
              </w:rPr>
              <w:t xml:space="preserve"> menajere solide din </w:t>
            </w:r>
            <w:proofErr w:type="spellStart"/>
            <w:r w:rsidRPr="00125FAF">
              <w:rPr>
                <w:rFonts w:ascii="Times New Roman" w:eastAsia="Times New Roman" w:hAnsi="Times New Roman"/>
                <w:lang w:val="ro-RO"/>
              </w:rPr>
              <w:t>Ţînţăreni</w:t>
            </w:r>
            <w:proofErr w:type="spellEnd"/>
          </w:p>
        </w:tc>
        <w:tc>
          <w:tcPr>
            <w:tcW w:w="1057" w:type="dxa"/>
            <w:tcBorders>
              <w:bottom w:val="single" w:sz="4" w:space="0" w:color="auto"/>
            </w:tcBorders>
            <w:hideMark/>
          </w:tcPr>
          <w:p w14:paraId="7F7984FB"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2025</w:t>
            </w:r>
          </w:p>
        </w:tc>
        <w:tc>
          <w:tcPr>
            <w:tcW w:w="1979" w:type="dxa"/>
            <w:tcBorders>
              <w:bottom w:val="single" w:sz="4" w:space="0" w:color="auto"/>
            </w:tcBorders>
            <w:hideMark/>
          </w:tcPr>
          <w:p w14:paraId="73EF8A0A" w14:textId="476C3479" w:rsidR="00D25293" w:rsidRPr="00125FAF" w:rsidRDefault="002C1CB9" w:rsidP="00D25293">
            <w:pPr>
              <w:jc w:val="both"/>
              <w:rPr>
                <w:rFonts w:ascii="Times New Roman" w:eastAsia="Times New Roman" w:hAnsi="Times New Roman"/>
                <w:lang w:val="ro-RO"/>
              </w:rPr>
            </w:pPr>
            <w:r>
              <w:rPr>
                <w:rFonts w:ascii="Times New Roman" w:eastAsia="Times New Roman" w:hAnsi="Times New Roman"/>
                <w:lang w:val="ro-RO"/>
              </w:rPr>
              <w:t>Ministerul Mediului</w:t>
            </w:r>
          </w:p>
        </w:tc>
        <w:tc>
          <w:tcPr>
            <w:tcW w:w="1726" w:type="dxa"/>
            <w:tcBorders>
              <w:bottom w:val="single" w:sz="4" w:space="0" w:color="auto"/>
            </w:tcBorders>
            <w:hideMark/>
          </w:tcPr>
          <w:p w14:paraId="478FA163"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Generator de 825 kW construit</w:t>
            </w:r>
          </w:p>
        </w:tc>
        <w:tc>
          <w:tcPr>
            <w:tcW w:w="1736" w:type="dxa"/>
            <w:tcBorders>
              <w:bottom w:val="single" w:sz="4" w:space="0" w:color="auto"/>
            </w:tcBorders>
            <w:hideMark/>
          </w:tcPr>
          <w:p w14:paraId="6C2F2143"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 </w:t>
            </w:r>
          </w:p>
        </w:tc>
        <w:tc>
          <w:tcPr>
            <w:tcW w:w="1377" w:type="dxa"/>
            <w:tcBorders>
              <w:bottom w:val="single" w:sz="4" w:space="0" w:color="auto"/>
            </w:tcBorders>
            <w:hideMark/>
          </w:tcPr>
          <w:p w14:paraId="671C006C" w14:textId="2D373B48"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58</w:t>
            </w:r>
            <w:r w:rsidR="008F2629" w:rsidRPr="00125FAF">
              <w:rPr>
                <w:rFonts w:ascii="Times New Roman" w:eastAsia="Times New Roman" w:hAnsi="Times New Roman"/>
                <w:lang w:val="ro-RO"/>
              </w:rPr>
              <w:t>,</w:t>
            </w:r>
            <w:r w:rsidRPr="00125FAF">
              <w:rPr>
                <w:rFonts w:ascii="Times New Roman" w:eastAsia="Times New Roman" w:hAnsi="Times New Roman"/>
                <w:lang w:val="ro-RO"/>
              </w:rPr>
              <w:t>5</w:t>
            </w:r>
          </w:p>
        </w:tc>
        <w:tc>
          <w:tcPr>
            <w:tcW w:w="1444" w:type="dxa"/>
            <w:tcBorders>
              <w:bottom w:val="single" w:sz="4" w:space="0" w:color="auto"/>
            </w:tcBorders>
            <w:noWrap/>
            <w:hideMark/>
          </w:tcPr>
          <w:p w14:paraId="38491D74"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 </w:t>
            </w:r>
          </w:p>
        </w:tc>
        <w:tc>
          <w:tcPr>
            <w:tcW w:w="1238" w:type="dxa"/>
            <w:tcBorders>
              <w:bottom w:val="single" w:sz="4" w:space="0" w:color="auto"/>
            </w:tcBorders>
            <w:hideMark/>
          </w:tcPr>
          <w:p w14:paraId="67FBCC65"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Bugetul de stat, alte surse</w:t>
            </w:r>
          </w:p>
        </w:tc>
      </w:tr>
      <w:tr w:rsidR="00DC3FD5" w:rsidRPr="00125FAF" w14:paraId="528BEF7F" w14:textId="77777777" w:rsidTr="00AC461F">
        <w:trPr>
          <w:trHeight w:val="2910"/>
        </w:trPr>
        <w:tc>
          <w:tcPr>
            <w:tcW w:w="627" w:type="dxa"/>
            <w:tcBorders>
              <w:bottom w:val="single" w:sz="4" w:space="0" w:color="auto"/>
            </w:tcBorders>
            <w:hideMark/>
          </w:tcPr>
          <w:p w14:paraId="5E6F781F"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7.1</w:t>
            </w:r>
          </w:p>
        </w:tc>
        <w:tc>
          <w:tcPr>
            <w:tcW w:w="3255" w:type="dxa"/>
            <w:tcBorders>
              <w:bottom w:val="single" w:sz="4" w:space="0" w:color="auto"/>
            </w:tcBorders>
            <w:hideMark/>
          </w:tcPr>
          <w:p w14:paraId="75603093" w14:textId="566FFD15"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 xml:space="preserve">Dotarea schemei tehnologice de epurare a apelor uzate aferente </w:t>
            </w:r>
            <w:proofErr w:type="spellStart"/>
            <w:r w:rsidRPr="00125FAF">
              <w:rPr>
                <w:rFonts w:ascii="Times New Roman" w:eastAsia="Times New Roman" w:hAnsi="Times New Roman"/>
                <w:lang w:val="ro-RO"/>
              </w:rPr>
              <w:t>staţiilor</w:t>
            </w:r>
            <w:proofErr w:type="spellEnd"/>
            <w:r w:rsidRPr="00125FAF">
              <w:rPr>
                <w:rFonts w:ascii="Times New Roman" w:eastAsia="Times New Roman" w:hAnsi="Times New Roman"/>
                <w:lang w:val="ro-RO"/>
              </w:rPr>
              <w:t xml:space="preserve"> apă-canal din municipiile </w:t>
            </w:r>
            <w:proofErr w:type="spellStart"/>
            <w:r w:rsidRPr="00125FAF">
              <w:rPr>
                <w:rFonts w:ascii="Times New Roman" w:eastAsia="Times New Roman" w:hAnsi="Times New Roman"/>
                <w:lang w:val="ro-RO"/>
              </w:rPr>
              <w:t>Chişinău</w:t>
            </w:r>
            <w:proofErr w:type="spellEnd"/>
            <w:r w:rsidR="00B566C6" w:rsidRPr="00125FAF">
              <w:rPr>
                <w:rFonts w:ascii="Times New Roman" w:eastAsia="Times New Roman" w:hAnsi="Times New Roman"/>
                <w:lang w:val="ro-RO"/>
              </w:rPr>
              <w:t xml:space="preserve"> </w:t>
            </w:r>
            <w:r w:rsidRPr="00125FAF">
              <w:rPr>
                <w:rFonts w:ascii="Times New Roman" w:eastAsia="Times New Roman" w:hAnsi="Times New Roman"/>
                <w:lang w:val="ro-RO"/>
              </w:rPr>
              <w:t xml:space="preserve">cu tehnologii de tratare a nămolului în </w:t>
            </w:r>
            <w:proofErr w:type="spellStart"/>
            <w:r w:rsidRPr="00125FAF">
              <w:rPr>
                <w:rFonts w:ascii="Times New Roman" w:eastAsia="Times New Roman" w:hAnsi="Times New Roman"/>
                <w:lang w:val="ro-RO"/>
              </w:rPr>
              <w:t>condiţii</w:t>
            </w:r>
            <w:proofErr w:type="spellEnd"/>
            <w:r w:rsidRPr="00125FAF">
              <w:rPr>
                <w:rFonts w:ascii="Times New Roman" w:eastAsia="Times New Roman" w:hAnsi="Times New Roman"/>
                <w:lang w:val="ro-RO"/>
              </w:rPr>
              <w:t xml:space="preserve"> anaerobe.</w:t>
            </w:r>
          </w:p>
        </w:tc>
        <w:tc>
          <w:tcPr>
            <w:tcW w:w="1057" w:type="dxa"/>
            <w:tcBorders>
              <w:bottom w:val="single" w:sz="4" w:space="0" w:color="auto"/>
            </w:tcBorders>
            <w:hideMark/>
          </w:tcPr>
          <w:p w14:paraId="06346626"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2025</w:t>
            </w:r>
          </w:p>
        </w:tc>
        <w:tc>
          <w:tcPr>
            <w:tcW w:w="1979" w:type="dxa"/>
            <w:tcBorders>
              <w:bottom w:val="single" w:sz="4" w:space="0" w:color="auto"/>
            </w:tcBorders>
            <w:hideMark/>
          </w:tcPr>
          <w:p w14:paraId="233F8544" w14:textId="2E9CAE8C" w:rsidR="00D25293" w:rsidRPr="00125FAF" w:rsidRDefault="002C1CB9" w:rsidP="00D25293">
            <w:pPr>
              <w:jc w:val="both"/>
              <w:rPr>
                <w:rFonts w:ascii="Times New Roman" w:eastAsia="Times New Roman" w:hAnsi="Times New Roman"/>
                <w:lang w:val="ro-RO"/>
              </w:rPr>
            </w:pPr>
            <w:r>
              <w:rPr>
                <w:rFonts w:ascii="Times New Roman" w:eastAsia="Times New Roman" w:hAnsi="Times New Roman"/>
                <w:lang w:val="ro-RO"/>
              </w:rPr>
              <w:t>Ministerul Mediului</w:t>
            </w:r>
            <w:r w:rsidR="00D25293" w:rsidRPr="00125FAF">
              <w:rPr>
                <w:rFonts w:ascii="Times New Roman" w:eastAsia="Times New Roman" w:hAnsi="Times New Roman"/>
                <w:lang w:val="ro-RO"/>
              </w:rPr>
              <w:t xml:space="preserve">, </w:t>
            </w:r>
            <w:r w:rsidR="0024706D">
              <w:rPr>
                <w:rFonts w:ascii="Times New Roman" w:eastAsia="Times New Roman" w:hAnsi="Times New Roman"/>
                <w:lang w:val="ro-RO"/>
              </w:rPr>
              <w:t>Ministerul Infrastructurii și Dezvoltării Regionale</w:t>
            </w:r>
          </w:p>
        </w:tc>
        <w:tc>
          <w:tcPr>
            <w:tcW w:w="1726" w:type="dxa"/>
            <w:tcBorders>
              <w:bottom w:val="single" w:sz="4" w:space="0" w:color="auto"/>
            </w:tcBorders>
            <w:hideMark/>
          </w:tcPr>
          <w:p w14:paraId="56E843CA"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 xml:space="preserve">Metan-tancul, </w:t>
            </w:r>
            <w:proofErr w:type="spellStart"/>
            <w:r w:rsidRPr="00125FAF">
              <w:rPr>
                <w:rFonts w:ascii="Times New Roman" w:eastAsia="Times New Roman" w:hAnsi="Times New Roman"/>
                <w:lang w:val="ro-RO"/>
              </w:rPr>
              <w:t>staţia</w:t>
            </w:r>
            <w:proofErr w:type="spellEnd"/>
            <w:r w:rsidRPr="00125FAF">
              <w:rPr>
                <w:rFonts w:ascii="Times New Roman" w:eastAsia="Times New Roman" w:hAnsi="Times New Roman"/>
                <w:lang w:val="ro-RO"/>
              </w:rPr>
              <w:t xml:space="preserve"> de pompare, concentratorul de nămol, sistemele de depozitare </w:t>
            </w:r>
            <w:proofErr w:type="spellStart"/>
            <w:r w:rsidRPr="00125FAF">
              <w:rPr>
                <w:rFonts w:ascii="Times New Roman" w:eastAsia="Times New Roman" w:hAnsi="Times New Roman"/>
                <w:lang w:val="ro-RO"/>
              </w:rPr>
              <w:t>şi</w:t>
            </w:r>
            <w:proofErr w:type="spellEnd"/>
            <w:r w:rsidRPr="00125FAF">
              <w:rPr>
                <w:rFonts w:ascii="Times New Roman" w:eastAsia="Times New Roman" w:hAnsi="Times New Roman"/>
                <w:lang w:val="ro-RO"/>
              </w:rPr>
              <w:t xml:space="preserve"> arderea metanului, rezervorul de deshidratare, </w:t>
            </w:r>
            <w:proofErr w:type="spellStart"/>
            <w:r w:rsidRPr="00125FAF">
              <w:rPr>
                <w:rFonts w:ascii="Times New Roman" w:eastAsia="Times New Roman" w:hAnsi="Times New Roman"/>
                <w:lang w:val="ro-RO"/>
              </w:rPr>
              <w:t>reţelele</w:t>
            </w:r>
            <w:proofErr w:type="spellEnd"/>
            <w:r w:rsidRPr="00125FAF">
              <w:rPr>
                <w:rFonts w:ascii="Times New Roman" w:eastAsia="Times New Roman" w:hAnsi="Times New Roman"/>
                <w:lang w:val="ro-RO"/>
              </w:rPr>
              <w:t xml:space="preserve"> de </w:t>
            </w:r>
            <w:proofErr w:type="spellStart"/>
            <w:r w:rsidRPr="00125FAF">
              <w:rPr>
                <w:rFonts w:ascii="Times New Roman" w:eastAsia="Times New Roman" w:hAnsi="Times New Roman"/>
                <w:lang w:val="ro-RO"/>
              </w:rPr>
              <w:t>distribuţie</w:t>
            </w:r>
            <w:proofErr w:type="spellEnd"/>
            <w:r w:rsidRPr="00125FAF">
              <w:rPr>
                <w:rFonts w:ascii="Times New Roman" w:eastAsia="Times New Roman" w:hAnsi="Times New Roman"/>
                <w:lang w:val="ro-RO"/>
              </w:rPr>
              <w:t xml:space="preserve"> </w:t>
            </w:r>
            <w:proofErr w:type="spellStart"/>
            <w:r w:rsidRPr="00125FAF">
              <w:rPr>
                <w:rFonts w:ascii="Times New Roman" w:eastAsia="Times New Roman" w:hAnsi="Times New Roman"/>
                <w:lang w:val="ro-RO"/>
              </w:rPr>
              <w:t>şi</w:t>
            </w:r>
            <w:proofErr w:type="spellEnd"/>
            <w:r w:rsidRPr="00125FAF">
              <w:rPr>
                <w:rFonts w:ascii="Times New Roman" w:eastAsia="Times New Roman" w:hAnsi="Times New Roman"/>
                <w:lang w:val="ro-RO"/>
              </w:rPr>
              <w:t xml:space="preserve"> </w:t>
            </w:r>
            <w:proofErr w:type="spellStart"/>
            <w:r w:rsidRPr="00125FAF">
              <w:rPr>
                <w:rFonts w:ascii="Times New Roman" w:eastAsia="Times New Roman" w:hAnsi="Times New Roman"/>
                <w:lang w:val="ro-RO"/>
              </w:rPr>
              <w:t>comunicaţii</w:t>
            </w:r>
            <w:proofErr w:type="spellEnd"/>
            <w:r w:rsidRPr="00125FAF">
              <w:rPr>
                <w:rFonts w:ascii="Times New Roman" w:eastAsia="Times New Roman" w:hAnsi="Times New Roman"/>
                <w:lang w:val="ro-RO"/>
              </w:rPr>
              <w:t xml:space="preserve"> instalate la </w:t>
            </w:r>
            <w:proofErr w:type="spellStart"/>
            <w:r w:rsidRPr="00125FAF">
              <w:rPr>
                <w:rFonts w:ascii="Times New Roman" w:eastAsia="Times New Roman" w:hAnsi="Times New Roman"/>
                <w:lang w:val="ro-RO"/>
              </w:rPr>
              <w:t>staţiile</w:t>
            </w:r>
            <w:proofErr w:type="spellEnd"/>
            <w:r w:rsidRPr="00125FAF">
              <w:rPr>
                <w:rFonts w:ascii="Times New Roman" w:eastAsia="Times New Roman" w:hAnsi="Times New Roman"/>
                <w:lang w:val="ro-RO"/>
              </w:rPr>
              <w:t xml:space="preserve"> de epurare a apelor uzate din </w:t>
            </w:r>
            <w:proofErr w:type="spellStart"/>
            <w:r w:rsidRPr="00125FAF">
              <w:rPr>
                <w:rFonts w:ascii="Times New Roman" w:eastAsia="Times New Roman" w:hAnsi="Times New Roman"/>
                <w:lang w:val="ro-RO"/>
              </w:rPr>
              <w:t>mun.Chişinău</w:t>
            </w:r>
            <w:proofErr w:type="spellEnd"/>
            <w:r w:rsidRPr="00125FAF">
              <w:rPr>
                <w:rFonts w:ascii="Times New Roman" w:eastAsia="Times New Roman" w:hAnsi="Times New Roman"/>
                <w:lang w:val="ro-RO"/>
              </w:rPr>
              <w:t xml:space="preserve"> </w:t>
            </w:r>
            <w:proofErr w:type="spellStart"/>
            <w:r w:rsidRPr="00125FAF">
              <w:rPr>
                <w:rFonts w:ascii="Times New Roman" w:eastAsia="Times New Roman" w:hAnsi="Times New Roman"/>
                <w:lang w:val="ro-RO"/>
              </w:rPr>
              <w:t>şi</w:t>
            </w:r>
            <w:proofErr w:type="spellEnd"/>
            <w:r w:rsidRPr="00125FAF">
              <w:rPr>
                <w:rFonts w:ascii="Times New Roman" w:eastAsia="Times New Roman" w:hAnsi="Times New Roman"/>
                <w:lang w:val="ro-RO"/>
              </w:rPr>
              <w:t xml:space="preserve"> </w:t>
            </w:r>
            <w:proofErr w:type="spellStart"/>
            <w:r w:rsidRPr="00125FAF">
              <w:rPr>
                <w:rFonts w:ascii="Times New Roman" w:eastAsia="Times New Roman" w:hAnsi="Times New Roman"/>
                <w:lang w:val="ro-RO"/>
              </w:rPr>
              <w:t>Bălţi</w:t>
            </w:r>
            <w:proofErr w:type="spellEnd"/>
          </w:p>
        </w:tc>
        <w:tc>
          <w:tcPr>
            <w:tcW w:w="1736" w:type="dxa"/>
            <w:tcBorders>
              <w:bottom w:val="single" w:sz="4" w:space="0" w:color="auto"/>
            </w:tcBorders>
            <w:hideMark/>
          </w:tcPr>
          <w:p w14:paraId="277D7E2B"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 </w:t>
            </w:r>
          </w:p>
        </w:tc>
        <w:tc>
          <w:tcPr>
            <w:tcW w:w="1377" w:type="dxa"/>
            <w:tcBorders>
              <w:bottom w:val="single" w:sz="4" w:space="0" w:color="auto"/>
            </w:tcBorders>
            <w:hideMark/>
          </w:tcPr>
          <w:p w14:paraId="145DECAC" w14:textId="3E46F092"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112</w:t>
            </w:r>
            <w:r w:rsidR="008F2629" w:rsidRPr="00125FAF">
              <w:rPr>
                <w:rFonts w:ascii="Times New Roman" w:eastAsia="Times New Roman" w:hAnsi="Times New Roman"/>
                <w:lang w:val="ro-RO"/>
              </w:rPr>
              <w:t>,</w:t>
            </w:r>
            <w:r w:rsidRPr="00125FAF">
              <w:rPr>
                <w:rFonts w:ascii="Times New Roman" w:eastAsia="Times New Roman" w:hAnsi="Times New Roman"/>
                <w:lang w:val="ro-RO"/>
              </w:rPr>
              <w:t>4</w:t>
            </w:r>
          </w:p>
        </w:tc>
        <w:tc>
          <w:tcPr>
            <w:tcW w:w="1444" w:type="dxa"/>
            <w:tcBorders>
              <w:bottom w:val="single" w:sz="4" w:space="0" w:color="auto"/>
            </w:tcBorders>
            <w:noWrap/>
            <w:hideMark/>
          </w:tcPr>
          <w:p w14:paraId="724D4D09"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 </w:t>
            </w:r>
          </w:p>
        </w:tc>
        <w:tc>
          <w:tcPr>
            <w:tcW w:w="1238" w:type="dxa"/>
            <w:tcBorders>
              <w:bottom w:val="single" w:sz="4" w:space="0" w:color="auto"/>
            </w:tcBorders>
            <w:hideMark/>
          </w:tcPr>
          <w:p w14:paraId="1A914836" w14:textId="77777777" w:rsidR="00D25293" w:rsidRPr="00125FAF" w:rsidRDefault="00D25293" w:rsidP="00D25293">
            <w:pPr>
              <w:jc w:val="both"/>
              <w:rPr>
                <w:rFonts w:ascii="Times New Roman" w:eastAsia="Times New Roman" w:hAnsi="Times New Roman"/>
                <w:lang w:val="ro-RO"/>
              </w:rPr>
            </w:pPr>
            <w:r w:rsidRPr="00125FAF">
              <w:rPr>
                <w:rFonts w:ascii="Times New Roman" w:eastAsia="Times New Roman" w:hAnsi="Times New Roman"/>
                <w:lang w:val="ro-RO"/>
              </w:rPr>
              <w:t>Bugetul de stat, alte surse, BEI/BERD</w:t>
            </w:r>
          </w:p>
        </w:tc>
      </w:tr>
      <w:tr w:rsidR="00D25293" w:rsidRPr="00125FAF" w14:paraId="207F1A11" w14:textId="77777777" w:rsidTr="00AC461F">
        <w:trPr>
          <w:trHeight w:val="300"/>
        </w:trPr>
        <w:tc>
          <w:tcPr>
            <w:tcW w:w="14439" w:type="dxa"/>
            <w:gridSpan w:val="9"/>
            <w:tcBorders>
              <w:top w:val="single" w:sz="4" w:space="0" w:color="auto"/>
              <w:left w:val="nil"/>
              <w:bottom w:val="nil"/>
              <w:right w:val="nil"/>
            </w:tcBorders>
            <w:noWrap/>
            <w:hideMark/>
          </w:tcPr>
          <w:p w14:paraId="48953E2D" w14:textId="2D0F153E" w:rsidR="00D25293" w:rsidRPr="00125FAF" w:rsidRDefault="00D25293" w:rsidP="001F2F2D">
            <w:pPr>
              <w:jc w:val="right"/>
              <w:rPr>
                <w:rFonts w:ascii="Times New Roman" w:eastAsia="Times New Roman" w:hAnsi="Times New Roman"/>
                <w:b/>
                <w:bCs/>
                <w:lang w:val="ro-RO"/>
              </w:rPr>
            </w:pPr>
            <w:r w:rsidRPr="00125FAF">
              <w:rPr>
                <w:rFonts w:ascii="Times New Roman" w:eastAsia="Times New Roman" w:hAnsi="Times New Roman"/>
                <w:b/>
                <w:bCs/>
                <w:lang w:val="ro-RO"/>
              </w:rPr>
              <w:t xml:space="preserve">TOTAL </w:t>
            </w:r>
            <w:proofErr w:type="spellStart"/>
            <w:r w:rsidRPr="00125FAF">
              <w:rPr>
                <w:rFonts w:ascii="Times New Roman" w:eastAsia="Times New Roman" w:hAnsi="Times New Roman"/>
                <w:b/>
                <w:bCs/>
                <w:lang w:val="ro-RO"/>
              </w:rPr>
              <w:t>necondiţionat</w:t>
            </w:r>
            <w:proofErr w:type="spellEnd"/>
            <w:r w:rsidRPr="00125FAF">
              <w:rPr>
                <w:rFonts w:ascii="Times New Roman" w:eastAsia="Times New Roman" w:hAnsi="Times New Roman"/>
                <w:b/>
                <w:bCs/>
                <w:lang w:val="ro-RO"/>
              </w:rPr>
              <w:t>: 14</w:t>
            </w:r>
            <w:r w:rsidR="00A62B38">
              <w:rPr>
                <w:rFonts w:ascii="Times New Roman" w:eastAsia="Times New Roman" w:hAnsi="Times New Roman"/>
                <w:b/>
                <w:bCs/>
                <w:lang w:val="ro-RO"/>
              </w:rPr>
              <w:t>5</w:t>
            </w:r>
            <w:r w:rsidRPr="00125FAF">
              <w:rPr>
                <w:rFonts w:ascii="Times New Roman" w:eastAsia="Times New Roman" w:hAnsi="Times New Roman"/>
                <w:b/>
                <w:bCs/>
                <w:lang w:val="ro-RO"/>
              </w:rPr>
              <w:t xml:space="preserve"> </w:t>
            </w:r>
            <w:r w:rsidR="00A62B38">
              <w:rPr>
                <w:rFonts w:ascii="Times New Roman" w:eastAsia="Times New Roman" w:hAnsi="Times New Roman"/>
                <w:b/>
                <w:bCs/>
                <w:lang w:val="ro-RO"/>
              </w:rPr>
              <w:t>840</w:t>
            </w:r>
            <w:r w:rsidRPr="00125FAF">
              <w:rPr>
                <w:rFonts w:ascii="Times New Roman" w:eastAsia="Times New Roman" w:hAnsi="Times New Roman"/>
                <w:b/>
                <w:bCs/>
                <w:lang w:val="ro-RO"/>
              </w:rPr>
              <w:t xml:space="preserve"> mil lei;</w:t>
            </w:r>
            <w:r w:rsidR="00B566C6" w:rsidRPr="00125FAF">
              <w:rPr>
                <w:rFonts w:ascii="Times New Roman" w:eastAsia="Times New Roman" w:hAnsi="Times New Roman"/>
                <w:b/>
                <w:bCs/>
                <w:lang w:val="ro-RO"/>
              </w:rPr>
              <w:t xml:space="preserve"> </w:t>
            </w:r>
            <w:proofErr w:type="spellStart"/>
            <w:r w:rsidRPr="00125FAF">
              <w:rPr>
                <w:rFonts w:ascii="Times New Roman" w:eastAsia="Times New Roman" w:hAnsi="Times New Roman"/>
                <w:b/>
                <w:bCs/>
                <w:lang w:val="ro-RO"/>
              </w:rPr>
              <w:t>condiţionat</w:t>
            </w:r>
            <w:proofErr w:type="spellEnd"/>
            <w:r w:rsidRPr="00125FAF">
              <w:rPr>
                <w:rFonts w:ascii="Times New Roman" w:eastAsia="Times New Roman" w:hAnsi="Times New Roman"/>
                <w:b/>
                <w:bCs/>
                <w:lang w:val="ro-RO"/>
              </w:rPr>
              <w:t>: 47 213 mil lei</w:t>
            </w:r>
          </w:p>
        </w:tc>
      </w:tr>
    </w:tbl>
    <w:p w14:paraId="68E2DDD6" w14:textId="77777777" w:rsidR="006364B2" w:rsidRPr="00125FAF" w:rsidRDefault="006364B2" w:rsidP="006364B2">
      <w:pPr>
        <w:spacing w:after="0" w:line="240" w:lineRule="auto"/>
        <w:jc w:val="both"/>
        <w:rPr>
          <w:rFonts w:ascii="Times New Roman" w:eastAsia="Times New Roman" w:hAnsi="Times New Roman" w:cs="Times New Roman"/>
        </w:rPr>
      </w:pPr>
    </w:p>
    <w:sectPr w:rsidR="006364B2" w:rsidRPr="00125FAF" w:rsidSect="00F11CCD">
      <w:pgSz w:w="16838" w:h="11906" w:orient="landscape"/>
      <w:pgMar w:top="850" w:right="1138" w:bottom="2160" w:left="113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44346" w14:textId="77777777" w:rsidR="009E54B3" w:rsidRDefault="009E54B3" w:rsidP="006364B2">
      <w:pPr>
        <w:spacing w:after="0" w:line="240" w:lineRule="auto"/>
      </w:pPr>
      <w:r>
        <w:separator/>
      </w:r>
    </w:p>
  </w:endnote>
  <w:endnote w:type="continuationSeparator" w:id="0">
    <w:p w14:paraId="3BDA7062" w14:textId="77777777" w:rsidR="009E54B3" w:rsidRDefault="009E54B3" w:rsidP="00636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 Benguiat_Bold">
    <w:altName w:val="Impact"/>
    <w:charset w:val="00"/>
    <w:family w:val="swiss"/>
    <w:pitch w:val="variable"/>
    <w:sig w:usb0="00000003" w:usb1="00000000" w:usb2="00000000" w:usb3="00000000" w:csb0="00000001" w:csb1="00000000"/>
  </w:font>
  <w:font w:name="$Caslon">
    <w:altName w:val="Vrinda"/>
    <w:charset w:val="00"/>
    <w:family w:val="swiss"/>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pitch w:val="fixed"/>
    <w:sig w:usb0="00000001" w:usb1="09060000" w:usb2="00000010" w:usb3="00000000" w:csb0="00080000"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F3E14" w14:textId="77777777" w:rsidR="009E54B3" w:rsidRDefault="009E54B3" w:rsidP="006364B2">
      <w:pPr>
        <w:spacing w:after="0" w:line="240" w:lineRule="auto"/>
      </w:pPr>
      <w:r>
        <w:separator/>
      </w:r>
    </w:p>
  </w:footnote>
  <w:footnote w:type="continuationSeparator" w:id="0">
    <w:p w14:paraId="2ED03B11" w14:textId="77777777" w:rsidR="009E54B3" w:rsidRDefault="009E54B3" w:rsidP="006364B2">
      <w:pPr>
        <w:spacing w:after="0" w:line="240" w:lineRule="auto"/>
      </w:pPr>
      <w:r>
        <w:continuationSeparator/>
      </w:r>
    </w:p>
  </w:footnote>
  <w:footnote w:id="1">
    <w:p w14:paraId="3A13BE63" w14:textId="77777777" w:rsidR="00E72318" w:rsidRPr="001F2F2D" w:rsidRDefault="00E72318" w:rsidP="006364B2">
      <w:pPr>
        <w:pStyle w:val="Textnotdesubsol"/>
        <w:rPr>
          <w:sz w:val="16"/>
          <w:szCs w:val="16"/>
          <w:lang w:val="ro-RO"/>
        </w:rPr>
      </w:pPr>
      <w:r w:rsidRPr="001F2F2D">
        <w:rPr>
          <w:rStyle w:val="Referinnotdesubsol"/>
          <w:sz w:val="16"/>
          <w:szCs w:val="16"/>
        </w:rPr>
        <w:footnoteRef/>
      </w:r>
      <w:r w:rsidRPr="001F2F2D">
        <w:rPr>
          <w:sz w:val="16"/>
          <w:szCs w:val="16"/>
          <w:lang w:val="ro-RO"/>
        </w:rPr>
        <w:t xml:space="preserve"> TEPL – total energie primară livrată</w:t>
      </w:r>
    </w:p>
  </w:footnote>
  <w:footnote w:id="2">
    <w:p w14:paraId="129799D3" w14:textId="7E4611F5" w:rsidR="00E72318" w:rsidRPr="001F2F2D" w:rsidRDefault="00E72318">
      <w:pPr>
        <w:pStyle w:val="Textnotdesubsol"/>
        <w:rPr>
          <w:sz w:val="16"/>
          <w:szCs w:val="16"/>
          <w:lang w:val="ro-RO"/>
        </w:rPr>
      </w:pPr>
      <w:r w:rsidRPr="001F2F2D">
        <w:rPr>
          <w:rStyle w:val="Referinnotdesubsol"/>
          <w:sz w:val="16"/>
          <w:szCs w:val="16"/>
        </w:rPr>
        <w:footnoteRef/>
      </w:r>
      <w:r w:rsidRPr="001F2F2D">
        <w:rPr>
          <w:sz w:val="16"/>
          <w:szCs w:val="16"/>
          <w:lang w:val="ro-RO"/>
        </w:rPr>
        <w:t xml:space="preserve"> Balanţa energetică a Republicii Moldova. Culegere statisticăă 2020. Biroul Naţţional de statisticăă al Republicii Moldova. Chișinăău. – 2020.  &lt;https://statistica.gov.md/public/files/publicatii_electronice/balanta_energetica/BE_editia_2020_rom.pdf&gt;</w:t>
      </w:r>
    </w:p>
  </w:footnote>
  <w:footnote w:id="3">
    <w:p w14:paraId="65900DEA" w14:textId="77777777" w:rsidR="00E72318" w:rsidRPr="001F2F2D" w:rsidRDefault="00E72318">
      <w:pPr>
        <w:pStyle w:val="Textnotdesubsol"/>
        <w:rPr>
          <w:sz w:val="16"/>
          <w:szCs w:val="16"/>
          <w:lang w:val="ro-RO"/>
        </w:rPr>
      </w:pPr>
      <w:r w:rsidRPr="001F2F2D">
        <w:rPr>
          <w:rStyle w:val="Referinnotdesubsol"/>
          <w:sz w:val="16"/>
          <w:szCs w:val="16"/>
        </w:rPr>
        <w:footnoteRef/>
      </w:r>
      <w:r w:rsidRPr="001F2F2D">
        <w:rPr>
          <w:sz w:val="16"/>
          <w:szCs w:val="16"/>
          <w:lang w:val="ro-RO"/>
        </w:rPr>
        <w:t xml:space="preserve"> </w:t>
      </w:r>
      <w:r>
        <w:rPr>
          <w:sz w:val="16"/>
          <w:szCs w:val="16"/>
          <w:lang w:val="ro-RO"/>
        </w:rPr>
        <w:t>&lt;</w:t>
      </w:r>
      <w:r w:rsidRPr="001F2F2D">
        <w:rPr>
          <w:sz w:val="16"/>
          <w:szCs w:val="16"/>
          <w:lang w:val="ro-RO"/>
        </w:rPr>
        <w:t>https://www.iea.org/data-and-statistics?country=EU28&amp;fuel=Energy%20supply&amp;indicator=TPESbyGDP</w:t>
      </w:r>
      <w:r>
        <w:rPr>
          <w:sz w:val="16"/>
          <w:szCs w:val="16"/>
          <w:lang w:val="ro-RO"/>
        </w:rPr>
        <w:t>&gt;</w:t>
      </w:r>
    </w:p>
  </w:footnote>
  <w:footnote w:id="4">
    <w:p w14:paraId="17B1F6A9" w14:textId="082DA1A5" w:rsidR="00F41290" w:rsidRDefault="00F41290" w:rsidP="00F41290">
      <w:pPr>
        <w:pStyle w:val="Textnotdesubsol"/>
        <w:rPr>
          <w:lang w:val="ro-RO"/>
        </w:rPr>
      </w:pPr>
      <w:r>
        <w:rPr>
          <w:rStyle w:val="Referinnotdesubsol"/>
        </w:rPr>
        <w:footnoteRef/>
      </w:r>
      <w:r w:rsidRPr="00D632D2">
        <w:rPr>
          <w:lang w:val="ro-RO"/>
        </w:rPr>
        <w:t xml:space="preserve"> </w:t>
      </w:r>
      <w:r w:rsidRPr="00F41290">
        <w:rPr>
          <w:lang w:val="ro-RO"/>
        </w:rPr>
        <w:t>Nivelul sărăciei în Republica Moldova în anul 2019</w:t>
      </w:r>
      <w:r>
        <w:rPr>
          <w:lang w:val="ro-RO"/>
        </w:rPr>
        <w:t xml:space="preserve">. BNS, </w:t>
      </w:r>
      <w:r w:rsidRPr="00F41290">
        <w:rPr>
          <w:lang w:val="ro-RO"/>
        </w:rPr>
        <w:t>31.12.2020</w:t>
      </w:r>
    </w:p>
    <w:p w14:paraId="2FBB2235" w14:textId="3FB331A2" w:rsidR="00F41290" w:rsidRPr="00D632D2" w:rsidRDefault="00F41290">
      <w:pPr>
        <w:pStyle w:val="Textnotdesubsol"/>
        <w:rPr>
          <w:lang w:val="ro-RO"/>
        </w:rPr>
      </w:pPr>
      <w:r w:rsidRPr="00D632D2">
        <w:rPr>
          <w:lang w:val="ro-RO"/>
        </w:rPr>
        <w:t>&lt;https://statistica.gov.md/newsview.php?l=ro&amp;idc=168&amp;id=6865</w:t>
      </w:r>
      <w:r>
        <w:rPr>
          <w:lang w:val="ro-RO"/>
        </w:rPr>
        <w:t>&gt;</w:t>
      </w:r>
    </w:p>
  </w:footnote>
  <w:footnote w:id="5">
    <w:p w14:paraId="3B637926" w14:textId="54BFB8CE" w:rsidR="00002C79" w:rsidRPr="00002C79" w:rsidRDefault="001C45C0">
      <w:pPr>
        <w:pStyle w:val="Textnotdesubsol"/>
      </w:pPr>
      <w:r>
        <w:rPr>
          <w:rStyle w:val="Referinnotdesubsol"/>
        </w:rPr>
        <w:footnoteRef/>
      </w:r>
      <w:r w:rsidRPr="00D632D2">
        <w:rPr>
          <w:lang w:val="es-ES"/>
        </w:rPr>
        <w:t xml:space="preserve"> </w:t>
      </w:r>
      <w:r w:rsidR="00002C79" w:rsidRPr="00D632D2">
        <w:rPr>
          <w:lang w:val="es-ES"/>
        </w:rPr>
        <w:t xml:space="preserve">Principalele rezultate ale cercetării “Dezvoltarea Mediului de Afaceri”. </w:t>
      </w:r>
      <w:r w:rsidR="00002C79" w:rsidRPr="00002C79">
        <w:t xml:space="preserve">Notă analitică, BNS, 2019, </w:t>
      </w:r>
      <w:r w:rsidR="00002C79" w:rsidRPr="00D632D2">
        <w:rPr>
          <w:rFonts w:eastAsiaTheme="minorHAnsi"/>
          <w:lang w:val="ro-RO"/>
        </w:rPr>
        <w:t>p.9</w:t>
      </w:r>
    </w:p>
    <w:p w14:paraId="3E1FB74B" w14:textId="7CC5873B" w:rsidR="001C45C0" w:rsidRPr="00002C79" w:rsidRDefault="00002C79" w:rsidP="00D632D2">
      <w:pPr>
        <w:pStyle w:val="Textnotdesubsol"/>
        <w:ind w:firstLine="0"/>
      </w:pPr>
      <w:r w:rsidRPr="00002C79">
        <w:t>&lt;</w:t>
      </w:r>
      <w:r w:rsidRPr="00D632D2">
        <w:rPr>
          <w:rFonts w:eastAsiaTheme="minorHAnsi"/>
        </w:rPr>
        <w:t>https://statistica.gov.md/public/files/ComPresa/Antreprenoriat_feminin/Antreprenoriat_femei_barbati_2018.pdf&gt;</w:t>
      </w:r>
    </w:p>
  </w:footnote>
  <w:footnote w:id="6">
    <w:p w14:paraId="17BBA537" w14:textId="6B5E16A7" w:rsidR="00E72318" w:rsidRDefault="00E72318" w:rsidP="00C538DF">
      <w:pPr>
        <w:pStyle w:val="Textnotdesubsol"/>
        <w:rPr>
          <w:sz w:val="12"/>
          <w:szCs w:val="12"/>
          <w:lang w:val="ro-RO"/>
        </w:rPr>
      </w:pPr>
      <w:r>
        <w:rPr>
          <w:rStyle w:val="Referinnotdesubsol"/>
          <w:sz w:val="12"/>
          <w:szCs w:val="12"/>
        </w:rPr>
        <w:footnoteRef/>
      </w:r>
      <w:r w:rsidRPr="001F2F2D">
        <w:rPr>
          <w:sz w:val="12"/>
          <w:szCs w:val="12"/>
          <w:lang w:val="es-ES"/>
        </w:rPr>
        <w:t xml:space="preserve"> Legea Nr. 172 din 19.12.2019 bugetului de stat pentru anul 2020. </w:t>
      </w:r>
      <w:r>
        <w:rPr>
          <w:sz w:val="12"/>
          <w:szCs w:val="12"/>
        </w:rPr>
        <w:t>Publicat: 27.12.2019 în Monitorul Oficial Nr. 393-399, Art. Nr. 321. &lt;https://www.legis.md/cautare/getResults?doc_id=123193&amp;lang=ro&gt;</w:t>
      </w:r>
    </w:p>
  </w:footnote>
  <w:footnote w:id="7">
    <w:p w14:paraId="14BDF4BE" w14:textId="1397F523" w:rsidR="00E72318" w:rsidRPr="001F2F2D" w:rsidRDefault="00E72318" w:rsidP="00C538DF">
      <w:pPr>
        <w:pStyle w:val="Textnotdesubsol"/>
        <w:rPr>
          <w:sz w:val="12"/>
          <w:szCs w:val="12"/>
          <w:lang w:val="ro-RO"/>
        </w:rPr>
      </w:pPr>
      <w:r>
        <w:rPr>
          <w:rStyle w:val="Referinnotdesubsol"/>
          <w:sz w:val="12"/>
          <w:szCs w:val="12"/>
        </w:rPr>
        <w:footnoteRef/>
      </w:r>
      <w:r w:rsidRPr="001F2F2D">
        <w:rPr>
          <w:sz w:val="12"/>
          <w:szCs w:val="12"/>
          <w:lang w:val="ro-RO"/>
        </w:rPr>
        <w:t xml:space="preserve"> Legea Nr. 154 din 01.07.2016 bugetului de stat pe anul 2016. Publicat: 26.07.2016 în Monitorul Oficial Nr. 230-231, Art. Nr. 486. &lt;https://www.legis.md/cautare/getResults?doc_id=94065&amp;lang=ro&gt;</w:t>
      </w:r>
    </w:p>
  </w:footnote>
  <w:footnote w:id="8">
    <w:p w14:paraId="5662D49F" w14:textId="77777777" w:rsidR="00E72318" w:rsidRPr="001F2F2D" w:rsidRDefault="00E72318" w:rsidP="004A1CB2">
      <w:pPr>
        <w:pStyle w:val="Textnotdesubsol"/>
        <w:rPr>
          <w:sz w:val="16"/>
          <w:szCs w:val="16"/>
          <w:lang w:val="ro-RO"/>
        </w:rPr>
      </w:pPr>
      <w:r w:rsidRPr="00A02B75">
        <w:rPr>
          <w:rStyle w:val="Referinnotdesubsol"/>
          <w:sz w:val="16"/>
          <w:szCs w:val="16"/>
        </w:rPr>
        <w:footnoteRef/>
      </w:r>
      <w:r w:rsidRPr="001F2F2D">
        <w:rPr>
          <w:sz w:val="16"/>
          <w:szCs w:val="16"/>
          <w:lang w:val="ro-RO"/>
        </w:rPr>
        <w:t xml:space="preserve"> În septembrie 2015, Republica Moldova, alături de alte 192 state membre ale ONU, a adoptat Declarația Summit-ului privind Dezvoltarea Durabilă, prin care s-a angajat să pună în aplicare Agenda 2030 pentru Dezvoltare Durabilă.</w:t>
      </w:r>
    </w:p>
  </w:footnote>
  <w:footnote w:id="9">
    <w:p w14:paraId="22D96F60" w14:textId="0F32A96C" w:rsidR="00C100F3" w:rsidRPr="00E867EC" w:rsidRDefault="00C100F3">
      <w:pPr>
        <w:pStyle w:val="Textnotdesubsol"/>
      </w:pPr>
      <w:r w:rsidRPr="00E867EC">
        <w:rPr>
          <w:rStyle w:val="Referinnotdesubsol"/>
        </w:rPr>
        <w:footnoteRef/>
      </w:r>
      <w:r w:rsidRPr="00E867EC">
        <w:t xml:space="preserve"> </w:t>
      </w:r>
      <w:r w:rsidR="006C059B" w:rsidRPr="00E867EC">
        <w:t>Low Emission Development Strategies Global Partnership. Promote gender equality. To realize the benefits of low emission development /LEDS in Practice, June 2016</w:t>
      </w:r>
      <w:r w:rsidR="00E867EC">
        <w:t>.</w:t>
      </w:r>
    </w:p>
    <w:p w14:paraId="3568E8FA" w14:textId="52EC2941" w:rsidR="006C059B" w:rsidRPr="00E867EC" w:rsidRDefault="006C059B">
      <w:pPr>
        <w:pStyle w:val="Textnotdesubsol"/>
      </w:pPr>
      <w:r w:rsidRPr="00E867EC">
        <w:t>&lt;</w:t>
      </w:r>
      <w:hyperlink r:id="rId1" w:history="1">
        <w:r w:rsidRPr="00E867EC">
          <w:rPr>
            <w:rStyle w:val="Hyperlink"/>
            <w:color w:val="auto"/>
          </w:rPr>
          <w:t>https://www.climatelinks.org/resources/leds-practice-promote-gender-equality-realize-benefits-low-emission-development</w:t>
        </w:r>
      </w:hyperlink>
      <w:r w:rsidRPr="00E867EC">
        <w:t>&gt;</w:t>
      </w:r>
      <w:r w:rsidR="00B37CC5" w:rsidRPr="00E867EC">
        <w:t xml:space="preserve"> </w:t>
      </w:r>
    </w:p>
  </w:footnote>
  <w:footnote w:id="10">
    <w:p w14:paraId="26D1DCCE" w14:textId="76259113" w:rsidR="00FD2683" w:rsidRPr="00D632D2" w:rsidRDefault="00FD2683">
      <w:pPr>
        <w:pStyle w:val="Textnotdesubsol"/>
        <w:rPr>
          <w:lang w:val="es-ES"/>
        </w:rPr>
      </w:pPr>
      <w:r w:rsidRPr="00E867EC">
        <w:rPr>
          <w:rStyle w:val="Referinnotdesubsol"/>
        </w:rPr>
        <w:footnoteRef/>
      </w:r>
      <w:r w:rsidRPr="00E867EC">
        <w:t xml:space="preserve"> </w:t>
      </w:r>
      <w:r w:rsidR="00B37CC5" w:rsidRPr="00E867EC">
        <w:t>De ex</w:t>
      </w:r>
      <w:r w:rsidR="00E867EC">
        <w:t>emplu,</w:t>
      </w:r>
      <w:r w:rsidR="00B37CC5" w:rsidRPr="00E867EC">
        <w:t xml:space="preserve"> fabricile mici de biogaz alimentate cu gunoi de grajd care alimentează aragazul fără fum, reducând semnificativ emisiile în aceste sectoare, îmbunătățind </w:t>
      </w:r>
      <w:r w:rsidR="00B37CC5" w:rsidRPr="00B37CC5">
        <w:t xml:space="preserve">în același timp sănătatea femeilor, copiilor și bărbaților și producția agricolă. </w:t>
      </w:r>
      <w:r w:rsidR="00B37CC5" w:rsidRPr="00D632D2">
        <w:rPr>
          <w:lang w:val="es-ES"/>
        </w:rPr>
        <w:t>Timpul și costurile alocate de către femei anterior pentru obținerea combustibilului pot fi investite în activități generatoare de venituri ș.a.</w:t>
      </w:r>
    </w:p>
  </w:footnote>
  <w:footnote w:id="11">
    <w:p w14:paraId="29026555" w14:textId="77777777" w:rsidR="00E72318" w:rsidRPr="00D632D2" w:rsidRDefault="00E72318" w:rsidP="00151E6F">
      <w:pPr>
        <w:pStyle w:val="Textnotdesubsol"/>
        <w:rPr>
          <w:sz w:val="12"/>
          <w:szCs w:val="12"/>
          <w:lang w:val="es-ES"/>
        </w:rPr>
      </w:pPr>
      <w:r w:rsidRPr="00EC2CE2">
        <w:rPr>
          <w:rStyle w:val="Referinnotdesubsol"/>
          <w:sz w:val="12"/>
          <w:szCs w:val="12"/>
        </w:rPr>
        <w:footnoteRef/>
      </w:r>
      <w:r w:rsidRPr="00D632D2">
        <w:rPr>
          <w:sz w:val="12"/>
          <w:szCs w:val="12"/>
          <w:lang w:val="es-ES"/>
        </w:rPr>
        <w:t xml:space="preserve"> </w:t>
      </w:r>
      <w:r w:rsidRPr="00D632D2">
        <w:rPr>
          <w:rFonts w:eastAsia="Calibri"/>
          <w:bCs/>
          <w:sz w:val="12"/>
          <w:szCs w:val="12"/>
          <w:lang w:val="es-ES" w:eastAsia="ru-RU"/>
        </w:rPr>
        <w:t>Sursă: în baza datelor incluse în Platforma de Management a Asistenței Externe (AMP)</w:t>
      </w:r>
      <w:r w:rsidRPr="00EC2CE2">
        <w:rPr>
          <w:rFonts w:eastAsia="Calibri"/>
          <w:bCs/>
          <w:sz w:val="12"/>
          <w:szCs w:val="12"/>
          <w:vertAlign w:val="superscript"/>
          <w:lang w:eastAsia="ru-RU"/>
        </w:rPr>
        <w:footnoteRef/>
      </w:r>
    </w:p>
  </w:footnote>
  <w:footnote w:id="12">
    <w:p w14:paraId="6BBBEB09" w14:textId="136E220A" w:rsidR="00E72318" w:rsidRPr="00E867EC" w:rsidRDefault="00E72318" w:rsidP="00076B19">
      <w:pPr>
        <w:pStyle w:val="Textnotdesubsol"/>
        <w:rPr>
          <w:sz w:val="12"/>
          <w:szCs w:val="12"/>
          <w:lang w:val="es-ES"/>
        </w:rPr>
      </w:pPr>
      <w:r w:rsidRPr="00E867EC">
        <w:rPr>
          <w:rStyle w:val="Referinnotdesubsol"/>
          <w:sz w:val="12"/>
          <w:szCs w:val="12"/>
        </w:rPr>
        <w:footnoteRef/>
      </w:r>
      <w:r w:rsidRPr="00E867EC">
        <w:rPr>
          <w:sz w:val="12"/>
          <w:szCs w:val="12"/>
          <w:lang w:val="es-ES"/>
        </w:rPr>
        <w:t xml:space="preserve"> &lt;</w:t>
      </w:r>
      <w:hyperlink r:id="rId2" w:history="1">
        <w:r w:rsidR="00002C79" w:rsidRPr="00E867EC">
          <w:rPr>
            <w:rStyle w:val="Hyperlink"/>
            <w:color w:val="auto"/>
            <w:sz w:val="12"/>
            <w:szCs w:val="12"/>
            <w:lang w:val="es-ES"/>
          </w:rPr>
          <w:t>https://mei.gov.md/sites/default/files/matricea_proiectelor_de_asistenta_externa_pe_domeniul_economic_2019_ro.docx</w:t>
        </w:r>
      </w:hyperlink>
      <w:r w:rsidRPr="00E867EC">
        <w:rPr>
          <w:rStyle w:val="Hyperlink1"/>
          <w:color w:val="auto"/>
          <w:sz w:val="12"/>
          <w:szCs w:val="12"/>
          <w:lang w:val="es-ES"/>
        </w:rPr>
        <w:t>&gt;</w:t>
      </w:r>
    </w:p>
  </w:footnote>
  <w:footnote w:id="13">
    <w:p w14:paraId="2334B8EC" w14:textId="77777777" w:rsidR="00E72318" w:rsidRPr="00E867EC" w:rsidRDefault="00E72318" w:rsidP="00076B19">
      <w:pPr>
        <w:pStyle w:val="Textnotdesubsol"/>
        <w:rPr>
          <w:sz w:val="12"/>
          <w:szCs w:val="12"/>
          <w:lang w:val="es-ES"/>
        </w:rPr>
      </w:pPr>
      <w:r w:rsidRPr="00E867EC">
        <w:rPr>
          <w:rStyle w:val="Referinnotdesubsol"/>
          <w:sz w:val="12"/>
          <w:szCs w:val="12"/>
        </w:rPr>
        <w:footnoteRef/>
      </w:r>
      <w:r w:rsidRPr="00E867EC">
        <w:rPr>
          <w:sz w:val="12"/>
          <w:szCs w:val="12"/>
          <w:lang w:val="es-ES"/>
        </w:rPr>
        <w:t xml:space="preserve"> &lt;</w:t>
      </w:r>
      <w:hyperlink r:id="rId3" w:history="1">
        <w:r w:rsidRPr="00E867EC">
          <w:rPr>
            <w:rStyle w:val="Hyperlink"/>
            <w:color w:val="auto"/>
            <w:sz w:val="12"/>
            <w:szCs w:val="12"/>
            <w:lang w:val="es-ES"/>
          </w:rPr>
          <w:t>http://amp.gov.md/aim/viewActivityPreview.do~public=true~pageId=2~activityId=12217~language=ro</w:t>
        </w:r>
      </w:hyperlink>
      <w:r w:rsidRPr="00E867EC">
        <w:rPr>
          <w:rStyle w:val="Hyperlink1"/>
          <w:color w:val="auto"/>
          <w:sz w:val="12"/>
          <w:szCs w:val="12"/>
          <w:lang w:val="es-ES"/>
        </w:rPr>
        <w:t>&gt;</w:t>
      </w:r>
      <w:r w:rsidRPr="00E867EC">
        <w:rPr>
          <w:sz w:val="12"/>
          <w:szCs w:val="12"/>
          <w:lang w:val="es-ES"/>
        </w:rPr>
        <w:t xml:space="preserve"> </w:t>
      </w:r>
    </w:p>
  </w:footnote>
  <w:footnote w:id="14">
    <w:p w14:paraId="38A70AEE" w14:textId="77777777" w:rsidR="00E72318" w:rsidRPr="00E867EC" w:rsidRDefault="00E72318" w:rsidP="00076B19">
      <w:pPr>
        <w:pStyle w:val="Textnotdesubsol"/>
        <w:rPr>
          <w:sz w:val="12"/>
          <w:szCs w:val="12"/>
          <w:lang w:val="es-ES"/>
        </w:rPr>
      </w:pPr>
      <w:r w:rsidRPr="00E867EC">
        <w:rPr>
          <w:rStyle w:val="Referinnotdesubsol"/>
          <w:sz w:val="12"/>
          <w:szCs w:val="12"/>
        </w:rPr>
        <w:footnoteRef/>
      </w:r>
      <w:r w:rsidRPr="00E867EC">
        <w:rPr>
          <w:sz w:val="12"/>
          <w:szCs w:val="12"/>
          <w:lang w:val="es-ES"/>
        </w:rPr>
        <w:t xml:space="preserve"> &lt;</w:t>
      </w:r>
      <w:hyperlink r:id="rId4" w:history="1">
        <w:r w:rsidRPr="00E867EC">
          <w:rPr>
            <w:rStyle w:val="Hyperlink"/>
            <w:color w:val="auto"/>
            <w:sz w:val="12"/>
            <w:szCs w:val="12"/>
            <w:lang w:val="es-ES"/>
          </w:rPr>
          <w:t>https://www.ucipifad.md/en/programe/programe-in-derulare/proiectul-de-rezilienta-rurala-ifad-vii/</w:t>
        </w:r>
      </w:hyperlink>
      <w:r w:rsidRPr="00E867EC">
        <w:rPr>
          <w:rStyle w:val="Hyperlink1"/>
          <w:color w:val="auto"/>
          <w:sz w:val="12"/>
          <w:szCs w:val="12"/>
          <w:lang w:val="es-ES"/>
        </w:rPr>
        <w:t>&gt;</w:t>
      </w:r>
    </w:p>
  </w:footnote>
  <w:footnote w:id="15">
    <w:p w14:paraId="7B5B1417" w14:textId="77777777" w:rsidR="00E72318" w:rsidRPr="00D632D2" w:rsidRDefault="00E72318" w:rsidP="00076B19">
      <w:pPr>
        <w:pStyle w:val="Textnotdesubsol"/>
        <w:rPr>
          <w:color w:val="000000" w:themeColor="text1"/>
          <w:sz w:val="12"/>
          <w:szCs w:val="12"/>
          <w:lang w:val="es-ES"/>
        </w:rPr>
      </w:pPr>
      <w:r w:rsidRPr="00E867EC">
        <w:rPr>
          <w:rStyle w:val="Referinnotdesubsol"/>
          <w:sz w:val="12"/>
          <w:szCs w:val="12"/>
        </w:rPr>
        <w:footnoteRef/>
      </w:r>
      <w:r w:rsidRPr="00E867EC">
        <w:rPr>
          <w:sz w:val="12"/>
          <w:szCs w:val="12"/>
          <w:lang w:val="es-ES"/>
        </w:rPr>
        <w:t xml:space="preserve"> &lt;</w:t>
      </w:r>
      <w:hyperlink r:id="rId5" w:history="1">
        <w:r w:rsidRPr="00E867EC">
          <w:rPr>
            <w:rStyle w:val="Hyperlink"/>
            <w:color w:val="auto"/>
            <w:sz w:val="12"/>
            <w:szCs w:val="12"/>
            <w:lang w:val="es-ES"/>
          </w:rPr>
          <w:t>https://www.ucipifad.md/en/programe/programe-in-derulare/programul-rural-de-rezilienta-economico-climatica-incluziva-ifad-vi/</w:t>
        </w:r>
      </w:hyperlink>
      <w:r w:rsidRPr="00D632D2">
        <w:rPr>
          <w:color w:val="000000" w:themeColor="text1"/>
          <w:sz w:val="12"/>
          <w:szCs w:val="12"/>
          <w:lang w:val="es-ES"/>
        </w:rPr>
        <w:t>&gt;</w:t>
      </w:r>
    </w:p>
  </w:footnote>
  <w:footnote w:id="16">
    <w:p w14:paraId="701EA911" w14:textId="77777777" w:rsidR="00E72318" w:rsidRPr="00D632D2" w:rsidRDefault="00E72318" w:rsidP="00076B19">
      <w:pPr>
        <w:pStyle w:val="Textnotdesubsol"/>
        <w:rPr>
          <w:color w:val="000000" w:themeColor="text1"/>
          <w:sz w:val="12"/>
          <w:szCs w:val="12"/>
          <w:lang w:val="es-ES"/>
        </w:rPr>
      </w:pPr>
      <w:r w:rsidRPr="000B742A">
        <w:rPr>
          <w:rStyle w:val="Referinnotdesubsol"/>
          <w:color w:val="000000" w:themeColor="text1"/>
          <w:sz w:val="12"/>
          <w:szCs w:val="12"/>
        </w:rPr>
        <w:footnoteRef/>
      </w:r>
      <w:r w:rsidRPr="00D632D2">
        <w:rPr>
          <w:color w:val="000000" w:themeColor="text1"/>
          <w:sz w:val="12"/>
          <w:szCs w:val="12"/>
          <w:lang w:val="es-ES"/>
        </w:rPr>
        <w:t xml:space="preserve"> &lt;</w:t>
      </w:r>
      <w:hyperlink r:id="rId6" w:history="1">
        <w:r w:rsidRPr="00D632D2">
          <w:rPr>
            <w:rStyle w:val="Hyperlink"/>
            <w:color w:val="000000" w:themeColor="text1"/>
            <w:sz w:val="12"/>
            <w:szCs w:val="12"/>
            <w:lang w:val="es-ES"/>
          </w:rPr>
          <w:t>https://www.md.undp.org/content/moldova/en/home/projects/Promotion-of-climate-change-disaster-risk-reduction.html</w:t>
        </w:r>
      </w:hyperlink>
      <w:r w:rsidRPr="00D632D2">
        <w:rPr>
          <w:rStyle w:val="Hyperlink1"/>
          <w:color w:val="000000" w:themeColor="text1"/>
          <w:sz w:val="12"/>
          <w:szCs w:val="12"/>
          <w:lang w:val="es-ES"/>
        </w:rPr>
        <w:t>&gt;</w:t>
      </w:r>
    </w:p>
  </w:footnote>
  <w:footnote w:id="17">
    <w:p w14:paraId="7D0E1CA7" w14:textId="77777777" w:rsidR="00580268" w:rsidRPr="00505AD8" w:rsidRDefault="00580268">
      <w:pPr>
        <w:pStyle w:val="Textnotdesubsol"/>
        <w:rPr>
          <w:sz w:val="12"/>
          <w:szCs w:val="12"/>
          <w:lang w:val="es-ES"/>
        </w:rPr>
      </w:pPr>
      <w:r w:rsidRPr="00505AD8">
        <w:rPr>
          <w:rStyle w:val="Referinnotdesubsol"/>
          <w:sz w:val="12"/>
          <w:szCs w:val="12"/>
        </w:rPr>
        <w:footnoteRef/>
      </w:r>
      <w:r w:rsidRPr="00505AD8">
        <w:rPr>
          <w:sz w:val="12"/>
          <w:szCs w:val="12"/>
          <w:lang w:val="es-ES"/>
        </w:rPr>
        <w:t xml:space="preserve"> http://www.capmu.md/2020/11/plan-de-implicare-a-partilor-interesate/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2E66"/>
    <w:multiLevelType w:val="hybridMultilevel"/>
    <w:tmpl w:val="8E82BDC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7A50214"/>
    <w:multiLevelType w:val="hybridMultilevel"/>
    <w:tmpl w:val="0B74D8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A65BD"/>
    <w:multiLevelType w:val="hybridMultilevel"/>
    <w:tmpl w:val="65E8E252"/>
    <w:lvl w:ilvl="0" w:tplc="E96EDCFC">
      <w:start w:val="1"/>
      <w:numFmt w:val="decimal"/>
      <w:lvlText w:val="%1)"/>
      <w:lvlJc w:val="left"/>
      <w:pPr>
        <w:tabs>
          <w:tab w:val="num" w:pos="795"/>
        </w:tabs>
        <w:ind w:left="795" w:hanging="43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0D995318"/>
    <w:multiLevelType w:val="hybridMultilevel"/>
    <w:tmpl w:val="60FC1156"/>
    <w:lvl w:ilvl="0" w:tplc="0409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EE51547"/>
    <w:multiLevelType w:val="hybridMultilevel"/>
    <w:tmpl w:val="60E829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2A5526"/>
    <w:multiLevelType w:val="hybridMultilevel"/>
    <w:tmpl w:val="B66614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F14E28"/>
    <w:multiLevelType w:val="hybridMultilevel"/>
    <w:tmpl w:val="310CE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133203"/>
    <w:multiLevelType w:val="hybridMultilevel"/>
    <w:tmpl w:val="A92A2442"/>
    <w:lvl w:ilvl="0" w:tplc="0E1497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950CC9"/>
    <w:multiLevelType w:val="hybridMultilevel"/>
    <w:tmpl w:val="EBCEE470"/>
    <w:lvl w:ilvl="0" w:tplc="2C842158">
      <w:start w:val="1"/>
      <w:numFmt w:val="decimal"/>
      <w:lvlText w:val="%1)"/>
      <w:lvlJc w:val="left"/>
      <w:pPr>
        <w:tabs>
          <w:tab w:val="num" w:pos="393"/>
        </w:tabs>
        <w:ind w:left="393" w:hanging="390"/>
      </w:pPr>
      <w:rPr>
        <w:sz w:val="24"/>
        <w:szCs w:val="24"/>
      </w:rPr>
    </w:lvl>
    <w:lvl w:ilvl="1" w:tplc="04190019">
      <w:start w:val="1"/>
      <w:numFmt w:val="lowerLetter"/>
      <w:lvlText w:val="%2."/>
      <w:lvlJc w:val="left"/>
      <w:pPr>
        <w:tabs>
          <w:tab w:val="num" w:pos="1083"/>
        </w:tabs>
        <w:ind w:left="1083" w:hanging="360"/>
      </w:pPr>
    </w:lvl>
    <w:lvl w:ilvl="2" w:tplc="0419001B">
      <w:start w:val="1"/>
      <w:numFmt w:val="lowerRoman"/>
      <w:lvlText w:val="%3."/>
      <w:lvlJc w:val="right"/>
      <w:pPr>
        <w:tabs>
          <w:tab w:val="num" w:pos="1803"/>
        </w:tabs>
        <w:ind w:left="1803" w:hanging="180"/>
      </w:pPr>
    </w:lvl>
    <w:lvl w:ilvl="3" w:tplc="0419000F">
      <w:start w:val="1"/>
      <w:numFmt w:val="decimal"/>
      <w:lvlText w:val="%4."/>
      <w:lvlJc w:val="left"/>
      <w:pPr>
        <w:tabs>
          <w:tab w:val="num" w:pos="2523"/>
        </w:tabs>
        <w:ind w:left="2523" w:hanging="360"/>
      </w:pPr>
    </w:lvl>
    <w:lvl w:ilvl="4" w:tplc="04190019">
      <w:start w:val="1"/>
      <w:numFmt w:val="lowerLetter"/>
      <w:lvlText w:val="%5."/>
      <w:lvlJc w:val="left"/>
      <w:pPr>
        <w:tabs>
          <w:tab w:val="num" w:pos="3243"/>
        </w:tabs>
        <w:ind w:left="3243" w:hanging="360"/>
      </w:pPr>
    </w:lvl>
    <w:lvl w:ilvl="5" w:tplc="0419001B">
      <w:start w:val="1"/>
      <w:numFmt w:val="lowerRoman"/>
      <w:lvlText w:val="%6."/>
      <w:lvlJc w:val="right"/>
      <w:pPr>
        <w:tabs>
          <w:tab w:val="num" w:pos="3963"/>
        </w:tabs>
        <w:ind w:left="3963" w:hanging="180"/>
      </w:pPr>
    </w:lvl>
    <w:lvl w:ilvl="6" w:tplc="0419000F">
      <w:start w:val="1"/>
      <w:numFmt w:val="decimal"/>
      <w:lvlText w:val="%7."/>
      <w:lvlJc w:val="left"/>
      <w:pPr>
        <w:tabs>
          <w:tab w:val="num" w:pos="4683"/>
        </w:tabs>
        <w:ind w:left="4683" w:hanging="360"/>
      </w:pPr>
    </w:lvl>
    <w:lvl w:ilvl="7" w:tplc="04190019">
      <w:start w:val="1"/>
      <w:numFmt w:val="lowerLetter"/>
      <w:lvlText w:val="%8."/>
      <w:lvlJc w:val="left"/>
      <w:pPr>
        <w:tabs>
          <w:tab w:val="num" w:pos="5403"/>
        </w:tabs>
        <w:ind w:left="5403" w:hanging="360"/>
      </w:pPr>
    </w:lvl>
    <w:lvl w:ilvl="8" w:tplc="0419001B">
      <w:start w:val="1"/>
      <w:numFmt w:val="lowerRoman"/>
      <w:lvlText w:val="%9."/>
      <w:lvlJc w:val="right"/>
      <w:pPr>
        <w:tabs>
          <w:tab w:val="num" w:pos="6123"/>
        </w:tabs>
        <w:ind w:left="6123" w:hanging="180"/>
      </w:pPr>
    </w:lvl>
  </w:abstractNum>
  <w:abstractNum w:abstractNumId="9" w15:restartNumberingAfterBreak="0">
    <w:nsid w:val="2CD21E3F"/>
    <w:multiLevelType w:val="hybridMultilevel"/>
    <w:tmpl w:val="1A080118"/>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0" w15:restartNumberingAfterBreak="0">
    <w:nsid w:val="31D461DC"/>
    <w:multiLevelType w:val="hybridMultilevel"/>
    <w:tmpl w:val="F47CD958"/>
    <w:lvl w:ilvl="0" w:tplc="0E1497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286935"/>
    <w:multiLevelType w:val="hybridMultilevel"/>
    <w:tmpl w:val="7CC648B8"/>
    <w:lvl w:ilvl="0" w:tplc="E96EDCFC">
      <w:start w:val="1"/>
      <w:numFmt w:val="decimal"/>
      <w:lvlText w:val="%1)"/>
      <w:lvlJc w:val="left"/>
      <w:pPr>
        <w:tabs>
          <w:tab w:val="num" w:pos="795"/>
        </w:tabs>
        <w:ind w:left="795" w:hanging="43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15:restartNumberingAfterBreak="0">
    <w:nsid w:val="379A4C09"/>
    <w:multiLevelType w:val="hybridMultilevel"/>
    <w:tmpl w:val="70D61D18"/>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 w15:restartNumberingAfterBreak="0">
    <w:nsid w:val="3A2D1DB5"/>
    <w:multiLevelType w:val="hybridMultilevel"/>
    <w:tmpl w:val="FCB6992C"/>
    <w:lvl w:ilvl="0" w:tplc="0E1497CC">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4" w15:restartNumberingAfterBreak="0">
    <w:nsid w:val="3D8C5E20"/>
    <w:multiLevelType w:val="hybridMultilevel"/>
    <w:tmpl w:val="984C49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0A96181"/>
    <w:multiLevelType w:val="hybridMultilevel"/>
    <w:tmpl w:val="0284D51A"/>
    <w:lvl w:ilvl="0" w:tplc="E6305458">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3612F36"/>
    <w:multiLevelType w:val="hybridMultilevel"/>
    <w:tmpl w:val="AF9EA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9E2A5B"/>
    <w:multiLevelType w:val="hybridMultilevel"/>
    <w:tmpl w:val="3BEA04E4"/>
    <w:lvl w:ilvl="0" w:tplc="0E1497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1677DB"/>
    <w:multiLevelType w:val="hybridMultilevel"/>
    <w:tmpl w:val="980A2BA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51AD28B9"/>
    <w:multiLevelType w:val="hybridMultilevel"/>
    <w:tmpl w:val="EA62725A"/>
    <w:lvl w:ilvl="0" w:tplc="0E1497CC">
      <w:numFmt w:val="bullet"/>
      <w:lvlText w:val="–"/>
      <w:lvlJc w:val="left"/>
      <w:pPr>
        <w:ind w:left="720" w:hanging="360"/>
      </w:pPr>
      <w:rPr>
        <w:rFonts w:ascii="Times New Roman" w:eastAsia="Times New Roman" w:hAnsi="Times New Roman" w:cs="Times New Roman" w:hint="default"/>
      </w:rPr>
    </w:lvl>
    <w:lvl w:ilvl="1" w:tplc="65E479E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BB4700"/>
    <w:multiLevelType w:val="hybridMultilevel"/>
    <w:tmpl w:val="00C4A804"/>
    <w:lvl w:ilvl="0" w:tplc="2D660530">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21369442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890306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1372755">
    <w:abstractNumId w:val="11"/>
  </w:num>
  <w:num w:numId="4" w16cid:durableId="11095414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35226399">
    <w:abstractNumId w:val="18"/>
  </w:num>
  <w:num w:numId="6" w16cid:durableId="1533375556">
    <w:abstractNumId w:val="0"/>
  </w:num>
  <w:num w:numId="7" w16cid:durableId="188569692">
    <w:abstractNumId w:val="14"/>
  </w:num>
  <w:num w:numId="8" w16cid:durableId="740566237">
    <w:abstractNumId w:val="20"/>
  </w:num>
  <w:num w:numId="9" w16cid:durableId="1250500730">
    <w:abstractNumId w:val="3"/>
  </w:num>
  <w:num w:numId="10" w16cid:durableId="1972635293">
    <w:abstractNumId w:val="10"/>
  </w:num>
  <w:num w:numId="11" w16cid:durableId="744835020">
    <w:abstractNumId w:val="17"/>
  </w:num>
  <w:num w:numId="12" w16cid:durableId="742609914">
    <w:abstractNumId w:val="19"/>
  </w:num>
  <w:num w:numId="13" w16cid:durableId="532381013">
    <w:abstractNumId w:val="7"/>
  </w:num>
  <w:num w:numId="14" w16cid:durableId="1266157094">
    <w:abstractNumId w:val="13"/>
  </w:num>
  <w:num w:numId="15" w16cid:durableId="1382748867">
    <w:abstractNumId w:val="1"/>
  </w:num>
  <w:num w:numId="16" w16cid:durableId="753933494">
    <w:abstractNumId w:val="4"/>
  </w:num>
  <w:num w:numId="17" w16cid:durableId="1131483481">
    <w:abstractNumId w:val="5"/>
  </w:num>
  <w:num w:numId="18" w16cid:durableId="715161147">
    <w:abstractNumId w:val="9"/>
  </w:num>
  <w:num w:numId="19" w16cid:durableId="954560426">
    <w:abstractNumId w:val="6"/>
  </w:num>
  <w:num w:numId="20" w16cid:durableId="802847476">
    <w:abstractNumId w:val="16"/>
  </w:num>
  <w:num w:numId="21" w16cid:durableId="1180046314">
    <w:abstractNumId w:val="11"/>
  </w:num>
  <w:num w:numId="22" w16cid:durableId="1576088778">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4B2"/>
    <w:rsid w:val="00002C79"/>
    <w:rsid w:val="00002E83"/>
    <w:rsid w:val="00005C28"/>
    <w:rsid w:val="00006D5F"/>
    <w:rsid w:val="00011B8E"/>
    <w:rsid w:val="00012CD6"/>
    <w:rsid w:val="00013996"/>
    <w:rsid w:val="00013FCC"/>
    <w:rsid w:val="00023774"/>
    <w:rsid w:val="00025F77"/>
    <w:rsid w:val="00027908"/>
    <w:rsid w:val="0003121D"/>
    <w:rsid w:val="0003362B"/>
    <w:rsid w:val="000354D9"/>
    <w:rsid w:val="000359D6"/>
    <w:rsid w:val="0004312F"/>
    <w:rsid w:val="00052ABD"/>
    <w:rsid w:val="00054907"/>
    <w:rsid w:val="000619D6"/>
    <w:rsid w:val="00063572"/>
    <w:rsid w:val="000663DE"/>
    <w:rsid w:val="000716F2"/>
    <w:rsid w:val="0007409F"/>
    <w:rsid w:val="000756AE"/>
    <w:rsid w:val="00075F5F"/>
    <w:rsid w:val="000767EA"/>
    <w:rsid w:val="00076B19"/>
    <w:rsid w:val="00076C37"/>
    <w:rsid w:val="00082772"/>
    <w:rsid w:val="00086427"/>
    <w:rsid w:val="000928E1"/>
    <w:rsid w:val="00092913"/>
    <w:rsid w:val="00094495"/>
    <w:rsid w:val="00097A38"/>
    <w:rsid w:val="000A64D2"/>
    <w:rsid w:val="000B18D0"/>
    <w:rsid w:val="000B1E18"/>
    <w:rsid w:val="000B2062"/>
    <w:rsid w:val="000B3E5E"/>
    <w:rsid w:val="000B7072"/>
    <w:rsid w:val="000C155B"/>
    <w:rsid w:val="000C16CF"/>
    <w:rsid w:val="000C47E2"/>
    <w:rsid w:val="000C7626"/>
    <w:rsid w:val="000D287A"/>
    <w:rsid w:val="000D2A8C"/>
    <w:rsid w:val="000D6179"/>
    <w:rsid w:val="000E3669"/>
    <w:rsid w:val="000E403A"/>
    <w:rsid w:val="000F0ADE"/>
    <w:rsid w:val="000F189C"/>
    <w:rsid w:val="000F39BD"/>
    <w:rsid w:val="000F4AA4"/>
    <w:rsid w:val="000F68D1"/>
    <w:rsid w:val="001016F0"/>
    <w:rsid w:val="0010273C"/>
    <w:rsid w:val="0010295D"/>
    <w:rsid w:val="00105341"/>
    <w:rsid w:val="00105CFE"/>
    <w:rsid w:val="001065C1"/>
    <w:rsid w:val="00106D12"/>
    <w:rsid w:val="00115F2A"/>
    <w:rsid w:val="001179EC"/>
    <w:rsid w:val="00125FAF"/>
    <w:rsid w:val="001268ED"/>
    <w:rsid w:val="0013147D"/>
    <w:rsid w:val="00134432"/>
    <w:rsid w:val="0013638C"/>
    <w:rsid w:val="00145722"/>
    <w:rsid w:val="00147EDA"/>
    <w:rsid w:val="00151E6F"/>
    <w:rsid w:val="0015636B"/>
    <w:rsid w:val="00157F4E"/>
    <w:rsid w:val="001625C3"/>
    <w:rsid w:val="00162BBC"/>
    <w:rsid w:val="00162F1A"/>
    <w:rsid w:val="001636E6"/>
    <w:rsid w:val="0016575E"/>
    <w:rsid w:val="001674E1"/>
    <w:rsid w:val="00167645"/>
    <w:rsid w:val="00172BE3"/>
    <w:rsid w:val="00182846"/>
    <w:rsid w:val="00186DF1"/>
    <w:rsid w:val="00187539"/>
    <w:rsid w:val="001922BB"/>
    <w:rsid w:val="001925DE"/>
    <w:rsid w:val="00196986"/>
    <w:rsid w:val="001A1E1A"/>
    <w:rsid w:val="001A28B2"/>
    <w:rsid w:val="001A531B"/>
    <w:rsid w:val="001B2940"/>
    <w:rsid w:val="001B2C56"/>
    <w:rsid w:val="001B3EF6"/>
    <w:rsid w:val="001C278D"/>
    <w:rsid w:val="001C372E"/>
    <w:rsid w:val="001C45C0"/>
    <w:rsid w:val="001C4F49"/>
    <w:rsid w:val="001D3F82"/>
    <w:rsid w:val="001D478C"/>
    <w:rsid w:val="001D6532"/>
    <w:rsid w:val="001F27D0"/>
    <w:rsid w:val="001F2F2D"/>
    <w:rsid w:val="001F43B3"/>
    <w:rsid w:val="001F5277"/>
    <w:rsid w:val="001F58CB"/>
    <w:rsid w:val="001F779A"/>
    <w:rsid w:val="002016FC"/>
    <w:rsid w:val="0020344E"/>
    <w:rsid w:val="00204095"/>
    <w:rsid w:val="00204507"/>
    <w:rsid w:val="00205503"/>
    <w:rsid w:val="00206EAA"/>
    <w:rsid w:val="002079F5"/>
    <w:rsid w:val="00211CAD"/>
    <w:rsid w:val="0021233E"/>
    <w:rsid w:val="00214ED2"/>
    <w:rsid w:val="00217A3D"/>
    <w:rsid w:val="002206A5"/>
    <w:rsid w:val="00220DC1"/>
    <w:rsid w:val="00225B4D"/>
    <w:rsid w:val="0023129A"/>
    <w:rsid w:val="002358C5"/>
    <w:rsid w:val="00240039"/>
    <w:rsid w:val="00240049"/>
    <w:rsid w:val="00240845"/>
    <w:rsid w:val="00240992"/>
    <w:rsid w:val="002446B1"/>
    <w:rsid w:val="0024706D"/>
    <w:rsid w:val="00251B1E"/>
    <w:rsid w:val="00252B89"/>
    <w:rsid w:val="002545BD"/>
    <w:rsid w:val="002567EA"/>
    <w:rsid w:val="00260B85"/>
    <w:rsid w:val="00262895"/>
    <w:rsid w:val="00265EC0"/>
    <w:rsid w:val="0027514C"/>
    <w:rsid w:val="00276000"/>
    <w:rsid w:val="00281682"/>
    <w:rsid w:val="00281B4D"/>
    <w:rsid w:val="00284537"/>
    <w:rsid w:val="00286388"/>
    <w:rsid w:val="0028664A"/>
    <w:rsid w:val="00287BF4"/>
    <w:rsid w:val="00293BD3"/>
    <w:rsid w:val="00297117"/>
    <w:rsid w:val="00297173"/>
    <w:rsid w:val="002A6316"/>
    <w:rsid w:val="002B0DCF"/>
    <w:rsid w:val="002C1CB9"/>
    <w:rsid w:val="002C51BD"/>
    <w:rsid w:val="002C7A78"/>
    <w:rsid w:val="002D2B8D"/>
    <w:rsid w:val="002D4CD3"/>
    <w:rsid w:val="002D5884"/>
    <w:rsid w:val="002D7EC5"/>
    <w:rsid w:val="002E45B5"/>
    <w:rsid w:val="002E5DC6"/>
    <w:rsid w:val="002F5853"/>
    <w:rsid w:val="002F6949"/>
    <w:rsid w:val="002F783F"/>
    <w:rsid w:val="003010B4"/>
    <w:rsid w:val="00303D41"/>
    <w:rsid w:val="00303FCD"/>
    <w:rsid w:val="00310749"/>
    <w:rsid w:val="00310C1D"/>
    <w:rsid w:val="00311AFC"/>
    <w:rsid w:val="00313D40"/>
    <w:rsid w:val="00317D62"/>
    <w:rsid w:val="003218FD"/>
    <w:rsid w:val="00322C3F"/>
    <w:rsid w:val="003242D8"/>
    <w:rsid w:val="00333DD7"/>
    <w:rsid w:val="0033762D"/>
    <w:rsid w:val="0034003B"/>
    <w:rsid w:val="00340159"/>
    <w:rsid w:val="00340373"/>
    <w:rsid w:val="003438BC"/>
    <w:rsid w:val="00347FDA"/>
    <w:rsid w:val="003511D6"/>
    <w:rsid w:val="0035156B"/>
    <w:rsid w:val="003525EF"/>
    <w:rsid w:val="00353B3D"/>
    <w:rsid w:val="00355F6A"/>
    <w:rsid w:val="00361764"/>
    <w:rsid w:val="00367325"/>
    <w:rsid w:val="00373A71"/>
    <w:rsid w:val="003754BE"/>
    <w:rsid w:val="00380A0C"/>
    <w:rsid w:val="003931BE"/>
    <w:rsid w:val="0039403B"/>
    <w:rsid w:val="00394C54"/>
    <w:rsid w:val="003A177D"/>
    <w:rsid w:val="003A238A"/>
    <w:rsid w:val="003A257C"/>
    <w:rsid w:val="003B13DE"/>
    <w:rsid w:val="003B3CF1"/>
    <w:rsid w:val="003B48F8"/>
    <w:rsid w:val="003B671D"/>
    <w:rsid w:val="003C21B6"/>
    <w:rsid w:val="003C3E3C"/>
    <w:rsid w:val="003C5A27"/>
    <w:rsid w:val="003C7373"/>
    <w:rsid w:val="003D4067"/>
    <w:rsid w:val="003E24C5"/>
    <w:rsid w:val="003E3D0D"/>
    <w:rsid w:val="003F2518"/>
    <w:rsid w:val="003F28BE"/>
    <w:rsid w:val="003F4940"/>
    <w:rsid w:val="003F65B4"/>
    <w:rsid w:val="003F67C2"/>
    <w:rsid w:val="003F76C3"/>
    <w:rsid w:val="00403E3C"/>
    <w:rsid w:val="0040468E"/>
    <w:rsid w:val="004067FF"/>
    <w:rsid w:val="00412387"/>
    <w:rsid w:val="004136CD"/>
    <w:rsid w:val="00415854"/>
    <w:rsid w:val="00422F4E"/>
    <w:rsid w:val="004246A5"/>
    <w:rsid w:val="00426D22"/>
    <w:rsid w:val="00434819"/>
    <w:rsid w:val="00434D55"/>
    <w:rsid w:val="00446F14"/>
    <w:rsid w:val="00453DA5"/>
    <w:rsid w:val="00454011"/>
    <w:rsid w:val="00455D91"/>
    <w:rsid w:val="004573D0"/>
    <w:rsid w:val="004578CD"/>
    <w:rsid w:val="00463882"/>
    <w:rsid w:val="004676FF"/>
    <w:rsid w:val="00470065"/>
    <w:rsid w:val="0048189B"/>
    <w:rsid w:val="00495A2C"/>
    <w:rsid w:val="004A1CB2"/>
    <w:rsid w:val="004A5A44"/>
    <w:rsid w:val="004B204F"/>
    <w:rsid w:val="004B5B65"/>
    <w:rsid w:val="004B7E41"/>
    <w:rsid w:val="004C0041"/>
    <w:rsid w:val="004C400C"/>
    <w:rsid w:val="004C50AD"/>
    <w:rsid w:val="004C58DC"/>
    <w:rsid w:val="004C5D94"/>
    <w:rsid w:val="004C6B78"/>
    <w:rsid w:val="004D0A77"/>
    <w:rsid w:val="004D3364"/>
    <w:rsid w:val="004D4B44"/>
    <w:rsid w:val="004D51B7"/>
    <w:rsid w:val="004E2700"/>
    <w:rsid w:val="004E37D6"/>
    <w:rsid w:val="004E58F4"/>
    <w:rsid w:val="004F3578"/>
    <w:rsid w:val="00500401"/>
    <w:rsid w:val="00511CE0"/>
    <w:rsid w:val="00513F50"/>
    <w:rsid w:val="00514B83"/>
    <w:rsid w:val="00516B7F"/>
    <w:rsid w:val="00517501"/>
    <w:rsid w:val="00520BE0"/>
    <w:rsid w:val="0052158F"/>
    <w:rsid w:val="0052752F"/>
    <w:rsid w:val="00531386"/>
    <w:rsid w:val="005318ED"/>
    <w:rsid w:val="00532F00"/>
    <w:rsid w:val="00535F1C"/>
    <w:rsid w:val="00536230"/>
    <w:rsid w:val="00536FC5"/>
    <w:rsid w:val="005450C3"/>
    <w:rsid w:val="005469F5"/>
    <w:rsid w:val="005471DD"/>
    <w:rsid w:val="005572E0"/>
    <w:rsid w:val="00562789"/>
    <w:rsid w:val="00572EBC"/>
    <w:rsid w:val="00573146"/>
    <w:rsid w:val="005733AA"/>
    <w:rsid w:val="0057430F"/>
    <w:rsid w:val="005748B7"/>
    <w:rsid w:val="00575512"/>
    <w:rsid w:val="00577421"/>
    <w:rsid w:val="00580268"/>
    <w:rsid w:val="00583E3D"/>
    <w:rsid w:val="0058666D"/>
    <w:rsid w:val="00596E80"/>
    <w:rsid w:val="005A18BA"/>
    <w:rsid w:val="005A44AE"/>
    <w:rsid w:val="005B6893"/>
    <w:rsid w:val="005B77BB"/>
    <w:rsid w:val="005D175D"/>
    <w:rsid w:val="005D2A30"/>
    <w:rsid w:val="005D2FA7"/>
    <w:rsid w:val="005D2FCE"/>
    <w:rsid w:val="005D76F2"/>
    <w:rsid w:val="005E00FA"/>
    <w:rsid w:val="005E0B55"/>
    <w:rsid w:val="005E1830"/>
    <w:rsid w:val="005E6D4D"/>
    <w:rsid w:val="005F198A"/>
    <w:rsid w:val="0060512E"/>
    <w:rsid w:val="0060721D"/>
    <w:rsid w:val="006077D9"/>
    <w:rsid w:val="00611779"/>
    <w:rsid w:val="006148A5"/>
    <w:rsid w:val="0062354B"/>
    <w:rsid w:val="006242B9"/>
    <w:rsid w:val="00625684"/>
    <w:rsid w:val="00627164"/>
    <w:rsid w:val="00630E90"/>
    <w:rsid w:val="0063237D"/>
    <w:rsid w:val="00632744"/>
    <w:rsid w:val="00632E60"/>
    <w:rsid w:val="006343B8"/>
    <w:rsid w:val="006364B2"/>
    <w:rsid w:val="00640F79"/>
    <w:rsid w:val="00642C5D"/>
    <w:rsid w:val="00643432"/>
    <w:rsid w:val="00651D46"/>
    <w:rsid w:val="0065325D"/>
    <w:rsid w:val="00654EB5"/>
    <w:rsid w:val="006574CB"/>
    <w:rsid w:val="00660FBD"/>
    <w:rsid w:val="00663D46"/>
    <w:rsid w:val="0066452A"/>
    <w:rsid w:val="0067021F"/>
    <w:rsid w:val="006705C2"/>
    <w:rsid w:val="0067099E"/>
    <w:rsid w:val="00676777"/>
    <w:rsid w:val="006816D1"/>
    <w:rsid w:val="00682B1F"/>
    <w:rsid w:val="0069230A"/>
    <w:rsid w:val="006949B5"/>
    <w:rsid w:val="006A6D49"/>
    <w:rsid w:val="006A7CAB"/>
    <w:rsid w:val="006B2158"/>
    <w:rsid w:val="006B5778"/>
    <w:rsid w:val="006B59E2"/>
    <w:rsid w:val="006C0019"/>
    <w:rsid w:val="006C059B"/>
    <w:rsid w:val="006C235E"/>
    <w:rsid w:val="006C3E43"/>
    <w:rsid w:val="006C45CE"/>
    <w:rsid w:val="006C4721"/>
    <w:rsid w:val="006C4C6E"/>
    <w:rsid w:val="006C4F2C"/>
    <w:rsid w:val="006D0231"/>
    <w:rsid w:val="006D11C1"/>
    <w:rsid w:val="006D16AC"/>
    <w:rsid w:val="006D4012"/>
    <w:rsid w:val="006D440D"/>
    <w:rsid w:val="006E078B"/>
    <w:rsid w:val="006E0A94"/>
    <w:rsid w:val="006E1A09"/>
    <w:rsid w:val="006E1F9D"/>
    <w:rsid w:val="006E3C28"/>
    <w:rsid w:val="006F09AE"/>
    <w:rsid w:val="006F1244"/>
    <w:rsid w:val="006F15B7"/>
    <w:rsid w:val="006F27B9"/>
    <w:rsid w:val="006F3303"/>
    <w:rsid w:val="006F7BA8"/>
    <w:rsid w:val="007010FB"/>
    <w:rsid w:val="00701660"/>
    <w:rsid w:val="00702324"/>
    <w:rsid w:val="007038CB"/>
    <w:rsid w:val="00703EA8"/>
    <w:rsid w:val="00711494"/>
    <w:rsid w:val="007124D5"/>
    <w:rsid w:val="007157B9"/>
    <w:rsid w:val="0071605A"/>
    <w:rsid w:val="00716ADE"/>
    <w:rsid w:val="00721E84"/>
    <w:rsid w:val="00725BC8"/>
    <w:rsid w:val="00726442"/>
    <w:rsid w:val="00726497"/>
    <w:rsid w:val="00727820"/>
    <w:rsid w:val="00732B4A"/>
    <w:rsid w:val="00734749"/>
    <w:rsid w:val="00744FA9"/>
    <w:rsid w:val="0075358A"/>
    <w:rsid w:val="00755BD4"/>
    <w:rsid w:val="00756437"/>
    <w:rsid w:val="007640E6"/>
    <w:rsid w:val="007717CD"/>
    <w:rsid w:val="007740BE"/>
    <w:rsid w:val="007746E0"/>
    <w:rsid w:val="0077667B"/>
    <w:rsid w:val="007860CF"/>
    <w:rsid w:val="007909C8"/>
    <w:rsid w:val="00791B4D"/>
    <w:rsid w:val="00792C8A"/>
    <w:rsid w:val="00792CCF"/>
    <w:rsid w:val="0079362E"/>
    <w:rsid w:val="00795493"/>
    <w:rsid w:val="00795A29"/>
    <w:rsid w:val="00795BFC"/>
    <w:rsid w:val="007A03F4"/>
    <w:rsid w:val="007A1A7D"/>
    <w:rsid w:val="007A2C39"/>
    <w:rsid w:val="007A704D"/>
    <w:rsid w:val="007B07ED"/>
    <w:rsid w:val="007B4E94"/>
    <w:rsid w:val="007B531A"/>
    <w:rsid w:val="007B58BE"/>
    <w:rsid w:val="007B6D5A"/>
    <w:rsid w:val="007B7986"/>
    <w:rsid w:val="007C1C04"/>
    <w:rsid w:val="007C1E4E"/>
    <w:rsid w:val="007C2D1C"/>
    <w:rsid w:val="007C63EF"/>
    <w:rsid w:val="007C732A"/>
    <w:rsid w:val="007D3F26"/>
    <w:rsid w:val="007D60DD"/>
    <w:rsid w:val="007E5357"/>
    <w:rsid w:val="007E5B59"/>
    <w:rsid w:val="007E6531"/>
    <w:rsid w:val="008011CF"/>
    <w:rsid w:val="00803311"/>
    <w:rsid w:val="0080628D"/>
    <w:rsid w:val="0081389A"/>
    <w:rsid w:val="00814DF8"/>
    <w:rsid w:val="0081672E"/>
    <w:rsid w:val="00816EAD"/>
    <w:rsid w:val="008203D6"/>
    <w:rsid w:val="00827950"/>
    <w:rsid w:val="008302DD"/>
    <w:rsid w:val="008308D4"/>
    <w:rsid w:val="00830B0A"/>
    <w:rsid w:val="0083308D"/>
    <w:rsid w:val="00842939"/>
    <w:rsid w:val="008438AF"/>
    <w:rsid w:val="00843CEB"/>
    <w:rsid w:val="008454D3"/>
    <w:rsid w:val="00850C20"/>
    <w:rsid w:val="00851482"/>
    <w:rsid w:val="00856CDF"/>
    <w:rsid w:val="00860A28"/>
    <w:rsid w:val="00861423"/>
    <w:rsid w:val="00861B18"/>
    <w:rsid w:val="008636FE"/>
    <w:rsid w:val="00863E9F"/>
    <w:rsid w:val="00871703"/>
    <w:rsid w:val="00871A19"/>
    <w:rsid w:val="008809EC"/>
    <w:rsid w:val="00880CE1"/>
    <w:rsid w:val="00885687"/>
    <w:rsid w:val="008877DB"/>
    <w:rsid w:val="00893E0C"/>
    <w:rsid w:val="008A1076"/>
    <w:rsid w:val="008A165A"/>
    <w:rsid w:val="008A2F37"/>
    <w:rsid w:val="008A3367"/>
    <w:rsid w:val="008B1589"/>
    <w:rsid w:val="008B15C8"/>
    <w:rsid w:val="008B189E"/>
    <w:rsid w:val="008B28D5"/>
    <w:rsid w:val="008B2FBC"/>
    <w:rsid w:val="008B4CFE"/>
    <w:rsid w:val="008B73C8"/>
    <w:rsid w:val="008C4C1C"/>
    <w:rsid w:val="008D1851"/>
    <w:rsid w:val="008D36E3"/>
    <w:rsid w:val="008D746C"/>
    <w:rsid w:val="008D7AF6"/>
    <w:rsid w:val="008E17D8"/>
    <w:rsid w:val="008E1CF3"/>
    <w:rsid w:val="008F110B"/>
    <w:rsid w:val="008F1D2F"/>
    <w:rsid w:val="008F254B"/>
    <w:rsid w:val="008F2624"/>
    <w:rsid w:val="008F2629"/>
    <w:rsid w:val="008F2D60"/>
    <w:rsid w:val="008F353B"/>
    <w:rsid w:val="008F406D"/>
    <w:rsid w:val="00902B11"/>
    <w:rsid w:val="0090374A"/>
    <w:rsid w:val="0090446B"/>
    <w:rsid w:val="00911B25"/>
    <w:rsid w:val="00920B06"/>
    <w:rsid w:val="00920F23"/>
    <w:rsid w:val="00921969"/>
    <w:rsid w:val="00925B6E"/>
    <w:rsid w:val="00925D14"/>
    <w:rsid w:val="00930231"/>
    <w:rsid w:val="00934CB9"/>
    <w:rsid w:val="00941901"/>
    <w:rsid w:val="00942EB8"/>
    <w:rsid w:val="0095623D"/>
    <w:rsid w:val="0095689C"/>
    <w:rsid w:val="009621C0"/>
    <w:rsid w:val="0096271D"/>
    <w:rsid w:val="009653C9"/>
    <w:rsid w:val="00966D07"/>
    <w:rsid w:val="009678C3"/>
    <w:rsid w:val="009741C2"/>
    <w:rsid w:val="009777F8"/>
    <w:rsid w:val="009820C0"/>
    <w:rsid w:val="009861AB"/>
    <w:rsid w:val="009937A6"/>
    <w:rsid w:val="009949D8"/>
    <w:rsid w:val="00997D16"/>
    <w:rsid w:val="009A2A4E"/>
    <w:rsid w:val="009A6FA5"/>
    <w:rsid w:val="009A7609"/>
    <w:rsid w:val="009B379A"/>
    <w:rsid w:val="009B5050"/>
    <w:rsid w:val="009B637B"/>
    <w:rsid w:val="009B73BB"/>
    <w:rsid w:val="009C38E2"/>
    <w:rsid w:val="009C634E"/>
    <w:rsid w:val="009C67ED"/>
    <w:rsid w:val="009C72FF"/>
    <w:rsid w:val="009D15FB"/>
    <w:rsid w:val="009E3543"/>
    <w:rsid w:val="009E54B3"/>
    <w:rsid w:val="009E56D1"/>
    <w:rsid w:val="009E5CF7"/>
    <w:rsid w:val="009E5E19"/>
    <w:rsid w:val="009F0C71"/>
    <w:rsid w:val="009F2819"/>
    <w:rsid w:val="009F3DFC"/>
    <w:rsid w:val="009F51F1"/>
    <w:rsid w:val="009F5FE0"/>
    <w:rsid w:val="009F7948"/>
    <w:rsid w:val="00A01C61"/>
    <w:rsid w:val="00A022F8"/>
    <w:rsid w:val="00A06512"/>
    <w:rsid w:val="00A1156B"/>
    <w:rsid w:val="00A115F4"/>
    <w:rsid w:val="00A13E20"/>
    <w:rsid w:val="00A17791"/>
    <w:rsid w:val="00A207AC"/>
    <w:rsid w:val="00A209BD"/>
    <w:rsid w:val="00A230CD"/>
    <w:rsid w:val="00A24007"/>
    <w:rsid w:val="00A24DCA"/>
    <w:rsid w:val="00A24E9B"/>
    <w:rsid w:val="00A33F4D"/>
    <w:rsid w:val="00A341DA"/>
    <w:rsid w:val="00A344BE"/>
    <w:rsid w:val="00A36605"/>
    <w:rsid w:val="00A37501"/>
    <w:rsid w:val="00A45DEA"/>
    <w:rsid w:val="00A47B91"/>
    <w:rsid w:val="00A50F82"/>
    <w:rsid w:val="00A543B9"/>
    <w:rsid w:val="00A549B6"/>
    <w:rsid w:val="00A54AA8"/>
    <w:rsid w:val="00A56433"/>
    <w:rsid w:val="00A62B38"/>
    <w:rsid w:val="00A64107"/>
    <w:rsid w:val="00A65BA2"/>
    <w:rsid w:val="00A67902"/>
    <w:rsid w:val="00A70510"/>
    <w:rsid w:val="00A70B47"/>
    <w:rsid w:val="00A71065"/>
    <w:rsid w:val="00A81DF2"/>
    <w:rsid w:val="00A83724"/>
    <w:rsid w:val="00A860AC"/>
    <w:rsid w:val="00A879FE"/>
    <w:rsid w:val="00A907FA"/>
    <w:rsid w:val="00A91AD8"/>
    <w:rsid w:val="00A938AC"/>
    <w:rsid w:val="00A93CCC"/>
    <w:rsid w:val="00A969D7"/>
    <w:rsid w:val="00AA28D8"/>
    <w:rsid w:val="00AA29C9"/>
    <w:rsid w:val="00AA4494"/>
    <w:rsid w:val="00AA63F9"/>
    <w:rsid w:val="00AB0C5A"/>
    <w:rsid w:val="00AB3F92"/>
    <w:rsid w:val="00AB52E7"/>
    <w:rsid w:val="00AB7667"/>
    <w:rsid w:val="00AC0774"/>
    <w:rsid w:val="00AC461F"/>
    <w:rsid w:val="00AC6C3B"/>
    <w:rsid w:val="00AD0351"/>
    <w:rsid w:val="00AD2337"/>
    <w:rsid w:val="00AD4EBF"/>
    <w:rsid w:val="00AD62D8"/>
    <w:rsid w:val="00AD6FD5"/>
    <w:rsid w:val="00AE0836"/>
    <w:rsid w:val="00AE1D2A"/>
    <w:rsid w:val="00AE1D2B"/>
    <w:rsid w:val="00AE3898"/>
    <w:rsid w:val="00AE557F"/>
    <w:rsid w:val="00AE6C0C"/>
    <w:rsid w:val="00AE7B36"/>
    <w:rsid w:val="00AF11E2"/>
    <w:rsid w:val="00AF4926"/>
    <w:rsid w:val="00B00893"/>
    <w:rsid w:val="00B04AE6"/>
    <w:rsid w:val="00B0538B"/>
    <w:rsid w:val="00B11BFB"/>
    <w:rsid w:val="00B12233"/>
    <w:rsid w:val="00B1375D"/>
    <w:rsid w:val="00B1599D"/>
    <w:rsid w:val="00B166B9"/>
    <w:rsid w:val="00B20BD9"/>
    <w:rsid w:val="00B276D2"/>
    <w:rsid w:val="00B3479A"/>
    <w:rsid w:val="00B36396"/>
    <w:rsid w:val="00B37CC5"/>
    <w:rsid w:val="00B41107"/>
    <w:rsid w:val="00B42BFF"/>
    <w:rsid w:val="00B52A72"/>
    <w:rsid w:val="00B5358E"/>
    <w:rsid w:val="00B566C6"/>
    <w:rsid w:val="00B614FB"/>
    <w:rsid w:val="00B63B48"/>
    <w:rsid w:val="00B64717"/>
    <w:rsid w:val="00B67E4C"/>
    <w:rsid w:val="00B70589"/>
    <w:rsid w:val="00B72D56"/>
    <w:rsid w:val="00B72EA2"/>
    <w:rsid w:val="00B771EC"/>
    <w:rsid w:val="00B80085"/>
    <w:rsid w:val="00B81C95"/>
    <w:rsid w:val="00B81E3E"/>
    <w:rsid w:val="00B87164"/>
    <w:rsid w:val="00B94958"/>
    <w:rsid w:val="00BA04C5"/>
    <w:rsid w:val="00BA0E65"/>
    <w:rsid w:val="00BA14A5"/>
    <w:rsid w:val="00BA3738"/>
    <w:rsid w:val="00BA395F"/>
    <w:rsid w:val="00BA570E"/>
    <w:rsid w:val="00BA7CE5"/>
    <w:rsid w:val="00BB2D54"/>
    <w:rsid w:val="00BB3E26"/>
    <w:rsid w:val="00BB3FDA"/>
    <w:rsid w:val="00BB6279"/>
    <w:rsid w:val="00BB6BD1"/>
    <w:rsid w:val="00BB751B"/>
    <w:rsid w:val="00BC1068"/>
    <w:rsid w:val="00BC10FD"/>
    <w:rsid w:val="00BC2A2A"/>
    <w:rsid w:val="00BC5733"/>
    <w:rsid w:val="00BC5C61"/>
    <w:rsid w:val="00BC70D6"/>
    <w:rsid w:val="00BD05B1"/>
    <w:rsid w:val="00BD7339"/>
    <w:rsid w:val="00BD7C9D"/>
    <w:rsid w:val="00BE1697"/>
    <w:rsid w:val="00BE19B0"/>
    <w:rsid w:val="00BF05CD"/>
    <w:rsid w:val="00BF1225"/>
    <w:rsid w:val="00BF6330"/>
    <w:rsid w:val="00BF65C0"/>
    <w:rsid w:val="00BF70E2"/>
    <w:rsid w:val="00C050CE"/>
    <w:rsid w:val="00C074BC"/>
    <w:rsid w:val="00C100F3"/>
    <w:rsid w:val="00C12325"/>
    <w:rsid w:val="00C13119"/>
    <w:rsid w:val="00C15813"/>
    <w:rsid w:val="00C20032"/>
    <w:rsid w:val="00C204CA"/>
    <w:rsid w:val="00C22CF7"/>
    <w:rsid w:val="00C30504"/>
    <w:rsid w:val="00C40116"/>
    <w:rsid w:val="00C41D88"/>
    <w:rsid w:val="00C473B4"/>
    <w:rsid w:val="00C47F7A"/>
    <w:rsid w:val="00C538DF"/>
    <w:rsid w:val="00C57128"/>
    <w:rsid w:val="00C60A01"/>
    <w:rsid w:val="00C61128"/>
    <w:rsid w:val="00C61A4F"/>
    <w:rsid w:val="00C61CD0"/>
    <w:rsid w:val="00C63464"/>
    <w:rsid w:val="00C7049B"/>
    <w:rsid w:val="00C71100"/>
    <w:rsid w:val="00C7385A"/>
    <w:rsid w:val="00C758A4"/>
    <w:rsid w:val="00C76518"/>
    <w:rsid w:val="00C81185"/>
    <w:rsid w:val="00C84B87"/>
    <w:rsid w:val="00C85B1D"/>
    <w:rsid w:val="00C8603B"/>
    <w:rsid w:val="00C872B7"/>
    <w:rsid w:val="00C87C28"/>
    <w:rsid w:val="00C87DAB"/>
    <w:rsid w:val="00C905AB"/>
    <w:rsid w:val="00C90CE4"/>
    <w:rsid w:val="00C92E74"/>
    <w:rsid w:val="00CA1995"/>
    <w:rsid w:val="00CA1BB6"/>
    <w:rsid w:val="00CA2514"/>
    <w:rsid w:val="00CA384F"/>
    <w:rsid w:val="00CA7E29"/>
    <w:rsid w:val="00CB1EA3"/>
    <w:rsid w:val="00CB3AB8"/>
    <w:rsid w:val="00CB4AF2"/>
    <w:rsid w:val="00CC291E"/>
    <w:rsid w:val="00CC2B1C"/>
    <w:rsid w:val="00CC2EE5"/>
    <w:rsid w:val="00CC3136"/>
    <w:rsid w:val="00CD5502"/>
    <w:rsid w:val="00CE016A"/>
    <w:rsid w:val="00CE0DC0"/>
    <w:rsid w:val="00CE217C"/>
    <w:rsid w:val="00CE464D"/>
    <w:rsid w:val="00CE4D44"/>
    <w:rsid w:val="00CE5F07"/>
    <w:rsid w:val="00CE6E84"/>
    <w:rsid w:val="00CF36D3"/>
    <w:rsid w:val="00CF7ED8"/>
    <w:rsid w:val="00D0239A"/>
    <w:rsid w:val="00D02EC8"/>
    <w:rsid w:val="00D0668D"/>
    <w:rsid w:val="00D0750A"/>
    <w:rsid w:val="00D11E51"/>
    <w:rsid w:val="00D224B2"/>
    <w:rsid w:val="00D24102"/>
    <w:rsid w:val="00D24896"/>
    <w:rsid w:val="00D24C7F"/>
    <w:rsid w:val="00D25293"/>
    <w:rsid w:val="00D26E0B"/>
    <w:rsid w:val="00D3252B"/>
    <w:rsid w:val="00D40319"/>
    <w:rsid w:val="00D41169"/>
    <w:rsid w:val="00D419DC"/>
    <w:rsid w:val="00D4322A"/>
    <w:rsid w:val="00D43F0A"/>
    <w:rsid w:val="00D46936"/>
    <w:rsid w:val="00D50583"/>
    <w:rsid w:val="00D5429D"/>
    <w:rsid w:val="00D546CF"/>
    <w:rsid w:val="00D607F6"/>
    <w:rsid w:val="00D63035"/>
    <w:rsid w:val="00D632D2"/>
    <w:rsid w:val="00D66772"/>
    <w:rsid w:val="00D66F70"/>
    <w:rsid w:val="00D7009E"/>
    <w:rsid w:val="00D72D8A"/>
    <w:rsid w:val="00D744AE"/>
    <w:rsid w:val="00D76D2E"/>
    <w:rsid w:val="00D7776F"/>
    <w:rsid w:val="00D81A4E"/>
    <w:rsid w:val="00D81BE2"/>
    <w:rsid w:val="00D828E9"/>
    <w:rsid w:val="00D85730"/>
    <w:rsid w:val="00D912FA"/>
    <w:rsid w:val="00DA49BF"/>
    <w:rsid w:val="00DA57CD"/>
    <w:rsid w:val="00DA7991"/>
    <w:rsid w:val="00DB0571"/>
    <w:rsid w:val="00DB0C8B"/>
    <w:rsid w:val="00DB3587"/>
    <w:rsid w:val="00DB3EEE"/>
    <w:rsid w:val="00DB4D14"/>
    <w:rsid w:val="00DC0FCE"/>
    <w:rsid w:val="00DC3FD5"/>
    <w:rsid w:val="00DD036E"/>
    <w:rsid w:val="00DD2AE0"/>
    <w:rsid w:val="00DE043B"/>
    <w:rsid w:val="00DE2087"/>
    <w:rsid w:val="00DE3019"/>
    <w:rsid w:val="00DE37E8"/>
    <w:rsid w:val="00DE3C30"/>
    <w:rsid w:val="00DE452D"/>
    <w:rsid w:val="00DE6638"/>
    <w:rsid w:val="00DF1C33"/>
    <w:rsid w:val="00DF22F1"/>
    <w:rsid w:val="00DF2B95"/>
    <w:rsid w:val="00DF329F"/>
    <w:rsid w:val="00DF42B1"/>
    <w:rsid w:val="00DF5E23"/>
    <w:rsid w:val="00E0052F"/>
    <w:rsid w:val="00E01205"/>
    <w:rsid w:val="00E05666"/>
    <w:rsid w:val="00E07545"/>
    <w:rsid w:val="00E07878"/>
    <w:rsid w:val="00E10260"/>
    <w:rsid w:val="00E12140"/>
    <w:rsid w:val="00E1320D"/>
    <w:rsid w:val="00E13B78"/>
    <w:rsid w:val="00E15E0C"/>
    <w:rsid w:val="00E171C8"/>
    <w:rsid w:val="00E17E7F"/>
    <w:rsid w:val="00E2055E"/>
    <w:rsid w:val="00E22F3F"/>
    <w:rsid w:val="00E26C59"/>
    <w:rsid w:val="00E26C6C"/>
    <w:rsid w:val="00E30B47"/>
    <w:rsid w:val="00E342AB"/>
    <w:rsid w:val="00E349F9"/>
    <w:rsid w:val="00E34BFE"/>
    <w:rsid w:val="00E370C8"/>
    <w:rsid w:val="00E401FB"/>
    <w:rsid w:val="00E40737"/>
    <w:rsid w:val="00E41A94"/>
    <w:rsid w:val="00E4241A"/>
    <w:rsid w:val="00E4633E"/>
    <w:rsid w:val="00E46978"/>
    <w:rsid w:val="00E52D06"/>
    <w:rsid w:val="00E52DE8"/>
    <w:rsid w:val="00E54D26"/>
    <w:rsid w:val="00E63FEF"/>
    <w:rsid w:val="00E672C3"/>
    <w:rsid w:val="00E672EC"/>
    <w:rsid w:val="00E70219"/>
    <w:rsid w:val="00E72318"/>
    <w:rsid w:val="00E85102"/>
    <w:rsid w:val="00E85913"/>
    <w:rsid w:val="00E867EC"/>
    <w:rsid w:val="00E8690D"/>
    <w:rsid w:val="00E90EC6"/>
    <w:rsid w:val="00E9196A"/>
    <w:rsid w:val="00E94252"/>
    <w:rsid w:val="00E95230"/>
    <w:rsid w:val="00E97E0E"/>
    <w:rsid w:val="00EA0610"/>
    <w:rsid w:val="00EA13AD"/>
    <w:rsid w:val="00EA1D72"/>
    <w:rsid w:val="00EA2948"/>
    <w:rsid w:val="00EA3099"/>
    <w:rsid w:val="00EA645D"/>
    <w:rsid w:val="00EA661C"/>
    <w:rsid w:val="00EB0306"/>
    <w:rsid w:val="00EB249B"/>
    <w:rsid w:val="00EB3ECC"/>
    <w:rsid w:val="00EB3FA8"/>
    <w:rsid w:val="00EC2B1D"/>
    <w:rsid w:val="00EC49F3"/>
    <w:rsid w:val="00EC539A"/>
    <w:rsid w:val="00EE3136"/>
    <w:rsid w:val="00EE488E"/>
    <w:rsid w:val="00EF1F94"/>
    <w:rsid w:val="00EF7585"/>
    <w:rsid w:val="00F02E7E"/>
    <w:rsid w:val="00F05F2E"/>
    <w:rsid w:val="00F11966"/>
    <w:rsid w:val="00F11CCD"/>
    <w:rsid w:val="00F13925"/>
    <w:rsid w:val="00F158F1"/>
    <w:rsid w:val="00F164E2"/>
    <w:rsid w:val="00F20F5F"/>
    <w:rsid w:val="00F23E94"/>
    <w:rsid w:val="00F27FE3"/>
    <w:rsid w:val="00F308B7"/>
    <w:rsid w:val="00F3165D"/>
    <w:rsid w:val="00F33164"/>
    <w:rsid w:val="00F3380F"/>
    <w:rsid w:val="00F33E6A"/>
    <w:rsid w:val="00F36BEC"/>
    <w:rsid w:val="00F37E4B"/>
    <w:rsid w:val="00F40010"/>
    <w:rsid w:val="00F41100"/>
    <w:rsid w:val="00F41290"/>
    <w:rsid w:val="00F4252F"/>
    <w:rsid w:val="00F4365E"/>
    <w:rsid w:val="00F44C22"/>
    <w:rsid w:val="00F53210"/>
    <w:rsid w:val="00F54C2B"/>
    <w:rsid w:val="00F578F7"/>
    <w:rsid w:val="00F651DA"/>
    <w:rsid w:val="00F6625F"/>
    <w:rsid w:val="00F7298A"/>
    <w:rsid w:val="00F730CE"/>
    <w:rsid w:val="00F773CB"/>
    <w:rsid w:val="00F77F47"/>
    <w:rsid w:val="00F82ED4"/>
    <w:rsid w:val="00F83B6C"/>
    <w:rsid w:val="00F84D18"/>
    <w:rsid w:val="00F868C9"/>
    <w:rsid w:val="00FA0C4E"/>
    <w:rsid w:val="00FA0FD2"/>
    <w:rsid w:val="00FA2374"/>
    <w:rsid w:val="00FA39BD"/>
    <w:rsid w:val="00FB0A4D"/>
    <w:rsid w:val="00FB555F"/>
    <w:rsid w:val="00FB699F"/>
    <w:rsid w:val="00FB775B"/>
    <w:rsid w:val="00FC0BAA"/>
    <w:rsid w:val="00FC3234"/>
    <w:rsid w:val="00FC57C8"/>
    <w:rsid w:val="00FC5E37"/>
    <w:rsid w:val="00FC7A1D"/>
    <w:rsid w:val="00FD2683"/>
    <w:rsid w:val="00FD2B25"/>
    <w:rsid w:val="00FD2D5D"/>
    <w:rsid w:val="00FD79B9"/>
    <w:rsid w:val="00FE1522"/>
    <w:rsid w:val="00FE3E1D"/>
    <w:rsid w:val="00FE6E86"/>
    <w:rsid w:val="00FF0733"/>
    <w:rsid w:val="00FF1B32"/>
    <w:rsid w:val="00FF72F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D5B5C"/>
  <w15:docId w15:val="{3AFEC602-F977-4295-9F31-3359DAED1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9B6"/>
  </w:style>
  <w:style w:type="paragraph" w:styleId="Titlu1">
    <w:name w:val="heading 1"/>
    <w:basedOn w:val="Normal"/>
    <w:next w:val="Normal"/>
    <w:link w:val="Titlu1Caracter"/>
    <w:qFormat/>
    <w:rsid w:val="006364B2"/>
    <w:pPr>
      <w:keepNext/>
      <w:spacing w:before="240" w:after="60" w:line="240" w:lineRule="auto"/>
      <w:ind w:firstLine="720"/>
      <w:jc w:val="both"/>
      <w:outlineLvl w:val="0"/>
    </w:pPr>
    <w:rPr>
      <w:rFonts w:ascii="Arial" w:eastAsia="Times New Roman" w:hAnsi="Arial" w:cs="Times New Roman"/>
      <w:b/>
      <w:kern w:val="28"/>
      <w:sz w:val="28"/>
      <w:szCs w:val="20"/>
      <w:lang w:val="en-US"/>
    </w:rPr>
  </w:style>
  <w:style w:type="paragraph" w:styleId="Titlu2">
    <w:name w:val="heading 2"/>
    <w:basedOn w:val="Normal"/>
    <w:next w:val="Normal"/>
    <w:link w:val="Titlu2Caracter"/>
    <w:semiHidden/>
    <w:unhideWhenUsed/>
    <w:qFormat/>
    <w:rsid w:val="006364B2"/>
    <w:pPr>
      <w:keepNext/>
      <w:spacing w:after="0" w:line="240" w:lineRule="auto"/>
      <w:ind w:firstLine="720"/>
      <w:jc w:val="center"/>
      <w:outlineLvl w:val="1"/>
    </w:pPr>
    <w:rPr>
      <w:rFonts w:ascii="$ Benguiat_Bold" w:eastAsia="Times New Roman" w:hAnsi="$ Benguiat_Bold" w:cs="Times New Roman"/>
      <w:b/>
      <w:sz w:val="132"/>
      <w:szCs w:val="20"/>
      <w:lang w:val="x-none"/>
    </w:rPr>
  </w:style>
  <w:style w:type="paragraph" w:styleId="Titlu3">
    <w:name w:val="heading 3"/>
    <w:basedOn w:val="Normal"/>
    <w:next w:val="Normal"/>
    <w:link w:val="Titlu3Caracter"/>
    <w:semiHidden/>
    <w:unhideWhenUsed/>
    <w:qFormat/>
    <w:rsid w:val="006364B2"/>
    <w:pPr>
      <w:keepNext/>
      <w:spacing w:after="0" w:line="240" w:lineRule="auto"/>
      <w:ind w:firstLine="720"/>
      <w:jc w:val="center"/>
      <w:outlineLvl w:val="2"/>
    </w:pPr>
    <w:rPr>
      <w:rFonts w:ascii="$Caslon" w:eastAsia="Times New Roman" w:hAnsi="$Caslon" w:cs="Times New Roman"/>
      <w:b/>
      <w:sz w:val="20"/>
      <w:szCs w:val="20"/>
      <w:lang w:val="x-none"/>
    </w:rPr>
  </w:style>
  <w:style w:type="paragraph" w:styleId="Titlu4">
    <w:name w:val="heading 4"/>
    <w:basedOn w:val="Normal"/>
    <w:next w:val="Normal"/>
    <w:link w:val="Titlu4Caracter"/>
    <w:semiHidden/>
    <w:unhideWhenUsed/>
    <w:qFormat/>
    <w:rsid w:val="006364B2"/>
    <w:pPr>
      <w:keepNext/>
      <w:spacing w:after="0" w:line="240" w:lineRule="auto"/>
      <w:ind w:firstLine="720"/>
      <w:jc w:val="center"/>
      <w:outlineLvl w:val="3"/>
    </w:pPr>
    <w:rPr>
      <w:rFonts w:ascii="$Caslon" w:eastAsia="Times New Roman" w:hAnsi="$Caslon" w:cs="Times New Roman"/>
      <w:b/>
      <w:sz w:val="26"/>
      <w:szCs w:val="20"/>
      <w:lang w:val="x-none"/>
    </w:rPr>
  </w:style>
  <w:style w:type="paragraph" w:styleId="Titlu5">
    <w:name w:val="heading 5"/>
    <w:basedOn w:val="Normal"/>
    <w:next w:val="Normal"/>
    <w:link w:val="Titlu5Caracter"/>
    <w:semiHidden/>
    <w:unhideWhenUsed/>
    <w:qFormat/>
    <w:rsid w:val="006364B2"/>
    <w:pPr>
      <w:keepNext/>
      <w:spacing w:after="0" w:line="240" w:lineRule="auto"/>
      <w:ind w:firstLine="720"/>
      <w:jc w:val="center"/>
      <w:outlineLvl w:val="4"/>
    </w:pPr>
    <w:rPr>
      <w:rFonts w:ascii="$Caslon" w:eastAsia="Times New Roman" w:hAnsi="$Caslon" w:cs="Times New Roman"/>
      <w:sz w:val="24"/>
      <w:szCs w:val="20"/>
      <w:lang w:val="x-none"/>
    </w:rPr>
  </w:style>
  <w:style w:type="paragraph" w:styleId="Titlu6">
    <w:name w:val="heading 6"/>
    <w:basedOn w:val="Normal"/>
    <w:next w:val="Normal"/>
    <w:link w:val="Titlu6Caracter"/>
    <w:semiHidden/>
    <w:unhideWhenUsed/>
    <w:qFormat/>
    <w:rsid w:val="006364B2"/>
    <w:pPr>
      <w:keepNext/>
      <w:spacing w:after="0" w:line="240" w:lineRule="auto"/>
      <w:ind w:firstLine="720"/>
      <w:jc w:val="center"/>
      <w:outlineLvl w:val="5"/>
    </w:pPr>
    <w:rPr>
      <w:rFonts w:ascii="$Caslon" w:eastAsia="Times New Roman" w:hAnsi="$Caslon" w:cs="Times New Roman"/>
      <w:b/>
      <w:szCs w:val="20"/>
      <w:lang w:val="x-none"/>
    </w:rPr>
  </w:style>
  <w:style w:type="paragraph" w:styleId="Titlu7">
    <w:name w:val="heading 7"/>
    <w:basedOn w:val="Normal"/>
    <w:next w:val="Normal"/>
    <w:link w:val="Titlu7Caracter"/>
    <w:semiHidden/>
    <w:unhideWhenUsed/>
    <w:qFormat/>
    <w:rsid w:val="006364B2"/>
    <w:pPr>
      <w:keepNext/>
      <w:spacing w:after="0" w:line="240" w:lineRule="auto"/>
      <w:ind w:firstLine="720"/>
      <w:jc w:val="center"/>
      <w:outlineLvl w:val="6"/>
    </w:pPr>
    <w:rPr>
      <w:rFonts w:ascii="Garamond" w:eastAsia="Times New Roman" w:hAnsi="Garamond" w:cs="Times New Roman"/>
      <w:b/>
      <w:sz w:val="28"/>
      <w:szCs w:val="20"/>
      <w:lang w:val="en-US"/>
    </w:rPr>
  </w:style>
  <w:style w:type="paragraph" w:styleId="Titlu8">
    <w:name w:val="heading 8"/>
    <w:basedOn w:val="Normal"/>
    <w:next w:val="Normal"/>
    <w:link w:val="Titlu8Caracter"/>
    <w:semiHidden/>
    <w:unhideWhenUsed/>
    <w:qFormat/>
    <w:rsid w:val="006364B2"/>
    <w:pPr>
      <w:keepNext/>
      <w:spacing w:after="0" w:line="240" w:lineRule="auto"/>
      <w:ind w:firstLine="720"/>
      <w:jc w:val="center"/>
      <w:outlineLvl w:val="7"/>
    </w:pPr>
    <w:rPr>
      <w:rFonts w:ascii="$Caslon" w:eastAsia="Times New Roman" w:hAnsi="$Caslon" w:cs="Times New Roman"/>
      <w:b/>
      <w:sz w:val="24"/>
      <w:szCs w:val="20"/>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semiHidden/>
    <w:unhideWhenUsed/>
    <w:rsid w:val="006364B2"/>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semiHidden/>
    <w:rsid w:val="006364B2"/>
    <w:rPr>
      <w:rFonts w:ascii="Tahoma" w:hAnsi="Tahoma" w:cs="Tahoma"/>
      <w:sz w:val="16"/>
      <w:szCs w:val="16"/>
    </w:rPr>
  </w:style>
  <w:style w:type="character" w:customStyle="1" w:styleId="Titlu1Caracter">
    <w:name w:val="Titlu 1 Caracter"/>
    <w:basedOn w:val="Fontdeparagrafimplicit"/>
    <w:link w:val="Titlu1"/>
    <w:rsid w:val="006364B2"/>
    <w:rPr>
      <w:rFonts w:ascii="Arial" w:eastAsia="Times New Roman" w:hAnsi="Arial" w:cs="Times New Roman"/>
      <w:b/>
      <w:kern w:val="28"/>
      <w:sz w:val="28"/>
      <w:szCs w:val="20"/>
      <w:lang w:val="en-US"/>
    </w:rPr>
  </w:style>
  <w:style w:type="character" w:customStyle="1" w:styleId="Titlu2Caracter">
    <w:name w:val="Titlu 2 Caracter"/>
    <w:basedOn w:val="Fontdeparagrafimplicit"/>
    <w:link w:val="Titlu2"/>
    <w:semiHidden/>
    <w:rsid w:val="006364B2"/>
    <w:rPr>
      <w:rFonts w:ascii="$ Benguiat_Bold" w:eastAsia="Times New Roman" w:hAnsi="$ Benguiat_Bold" w:cs="Times New Roman"/>
      <w:b/>
      <w:sz w:val="132"/>
      <w:szCs w:val="20"/>
      <w:lang w:val="x-none"/>
    </w:rPr>
  </w:style>
  <w:style w:type="character" w:customStyle="1" w:styleId="Titlu3Caracter">
    <w:name w:val="Titlu 3 Caracter"/>
    <w:basedOn w:val="Fontdeparagrafimplicit"/>
    <w:link w:val="Titlu3"/>
    <w:semiHidden/>
    <w:rsid w:val="006364B2"/>
    <w:rPr>
      <w:rFonts w:ascii="$Caslon" w:eastAsia="Times New Roman" w:hAnsi="$Caslon" w:cs="Times New Roman"/>
      <w:b/>
      <w:sz w:val="20"/>
      <w:szCs w:val="20"/>
      <w:lang w:val="x-none"/>
    </w:rPr>
  </w:style>
  <w:style w:type="character" w:customStyle="1" w:styleId="Titlu4Caracter">
    <w:name w:val="Titlu 4 Caracter"/>
    <w:basedOn w:val="Fontdeparagrafimplicit"/>
    <w:link w:val="Titlu4"/>
    <w:semiHidden/>
    <w:rsid w:val="006364B2"/>
    <w:rPr>
      <w:rFonts w:ascii="$Caslon" w:eastAsia="Times New Roman" w:hAnsi="$Caslon" w:cs="Times New Roman"/>
      <w:b/>
      <w:sz w:val="26"/>
      <w:szCs w:val="20"/>
      <w:lang w:val="x-none"/>
    </w:rPr>
  </w:style>
  <w:style w:type="character" w:customStyle="1" w:styleId="Titlu5Caracter">
    <w:name w:val="Titlu 5 Caracter"/>
    <w:basedOn w:val="Fontdeparagrafimplicit"/>
    <w:link w:val="Titlu5"/>
    <w:semiHidden/>
    <w:rsid w:val="006364B2"/>
    <w:rPr>
      <w:rFonts w:ascii="$Caslon" w:eastAsia="Times New Roman" w:hAnsi="$Caslon" w:cs="Times New Roman"/>
      <w:sz w:val="24"/>
      <w:szCs w:val="20"/>
      <w:lang w:val="x-none"/>
    </w:rPr>
  </w:style>
  <w:style w:type="character" w:customStyle="1" w:styleId="Titlu6Caracter">
    <w:name w:val="Titlu 6 Caracter"/>
    <w:basedOn w:val="Fontdeparagrafimplicit"/>
    <w:link w:val="Titlu6"/>
    <w:semiHidden/>
    <w:rsid w:val="006364B2"/>
    <w:rPr>
      <w:rFonts w:ascii="$Caslon" w:eastAsia="Times New Roman" w:hAnsi="$Caslon" w:cs="Times New Roman"/>
      <w:b/>
      <w:szCs w:val="20"/>
      <w:lang w:val="x-none"/>
    </w:rPr>
  </w:style>
  <w:style w:type="character" w:customStyle="1" w:styleId="Titlu7Caracter">
    <w:name w:val="Titlu 7 Caracter"/>
    <w:basedOn w:val="Fontdeparagrafimplicit"/>
    <w:link w:val="Titlu7"/>
    <w:semiHidden/>
    <w:rsid w:val="006364B2"/>
    <w:rPr>
      <w:rFonts w:ascii="Garamond" w:eastAsia="Times New Roman" w:hAnsi="Garamond" w:cs="Times New Roman"/>
      <w:b/>
      <w:sz w:val="28"/>
      <w:szCs w:val="20"/>
      <w:lang w:val="en-US"/>
    </w:rPr>
  </w:style>
  <w:style w:type="character" w:customStyle="1" w:styleId="Titlu8Caracter">
    <w:name w:val="Titlu 8 Caracter"/>
    <w:basedOn w:val="Fontdeparagrafimplicit"/>
    <w:link w:val="Titlu8"/>
    <w:semiHidden/>
    <w:rsid w:val="006364B2"/>
    <w:rPr>
      <w:rFonts w:ascii="$Caslon" w:eastAsia="Times New Roman" w:hAnsi="$Caslon" w:cs="Times New Roman"/>
      <w:b/>
      <w:sz w:val="24"/>
      <w:szCs w:val="20"/>
      <w:lang w:val="en-US"/>
    </w:rPr>
  </w:style>
  <w:style w:type="numbering" w:customStyle="1" w:styleId="NoList1">
    <w:name w:val="No List1"/>
    <w:next w:val="FrListare"/>
    <w:uiPriority w:val="99"/>
    <w:semiHidden/>
    <w:unhideWhenUsed/>
    <w:rsid w:val="006364B2"/>
  </w:style>
  <w:style w:type="paragraph" w:styleId="NormalWeb">
    <w:name w:val="Normal (Web)"/>
    <w:basedOn w:val="Normal"/>
    <w:semiHidden/>
    <w:unhideWhenUsed/>
    <w:rsid w:val="006364B2"/>
    <w:pPr>
      <w:spacing w:after="0" w:line="240" w:lineRule="auto"/>
      <w:ind w:firstLine="567"/>
      <w:jc w:val="both"/>
    </w:pPr>
    <w:rPr>
      <w:rFonts w:ascii="Times New Roman" w:eastAsia="Times New Roman" w:hAnsi="Times New Roman" w:cs="Times New Roman"/>
      <w:sz w:val="24"/>
      <w:szCs w:val="24"/>
      <w:lang w:val="ru-RU" w:eastAsia="ru-RU"/>
    </w:rPr>
  </w:style>
  <w:style w:type="paragraph" w:styleId="Textnotdesubsol">
    <w:name w:val="footnote text"/>
    <w:basedOn w:val="Normal"/>
    <w:link w:val="TextnotdesubsolCaracter"/>
    <w:unhideWhenUsed/>
    <w:rsid w:val="006364B2"/>
    <w:pPr>
      <w:spacing w:after="0" w:line="240" w:lineRule="auto"/>
      <w:ind w:firstLine="720"/>
      <w:jc w:val="both"/>
    </w:pPr>
    <w:rPr>
      <w:rFonts w:ascii="Times New Roman" w:eastAsia="Times New Roman" w:hAnsi="Times New Roman" w:cs="Times New Roman"/>
      <w:sz w:val="20"/>
      <w:szCs w:val="20"/>
      <w:lang w:val="en-US"/>
    </w:rPr>
  </w:style>
  <w:style w:type="character" w:customStyle="1" w:styleId="TextnotdesubsolCaracter">
    <w:name w:val="Text notă de subsol Caracter"/>
    <w:basedOn w:val="Fontdeparagrafimplicit"/>
    <w:link w:val="Textnotdesubsol"/>
    <w:rsid w:val="006364B2"/>
    <w:rPr>
      <w:rFonts w:ascii="Times New Roman" w:eastAsia="Times New Roman" w:hAnsi="Times New Roman" w:cs="Times New Roman"/>
      <w:sz w:val="20"/>
      <w:szCs w:val="20"/>
      <w:lang w:val="en-US"/>
    </w:rPr>
  </w:style>
  <w:style w:type="paragraph" w:styleId="Textcomentariu">
    <w:name w:val="annotation text"/>
    <w:basedOn w:val="Normal"/>
    <w:link w:val="TextcomentariuCaracter"/>
    <w:unhideWhenUsed/>
    <w:rsid w:val="006364B2"/>
    <w:pPr>
      <w:spacing w:after="0" w:line="240" w:lineRule="auto"/>
    </w:pPr>
    <w:rPr>
      <w:rFonts w:ascii="Times New Roman" w:eastAsia="Times New Roman" w:hAnsi="Times New Roman" w:cs="Times New Roman"/>
      <w:sz w:val="20"/>
      <w:szCs w:val="20"/>
      <w:lang w:eastAsia="ru-RU"/>
    </w:rPr>
  </w:style>
  <w:style w:type="character" w:customStyle="1" w:styleId="TextcomentariuCaracter">
    <w:name w:val="Text comentariu Caracter"/>
    <w:basedOn w:val="Fontdeparagrafimplicit"/>
    <w:link w:val="Textcomentariu"/>
    <w:rsid w:val="006364B2"/>
    <w:rPr>
      <w:rFonts w:ascii="Times New Roman" w:eastAsia="Times New Roman" w:hAnsi="Times New Roman" w:cs="Times New Roman"/>
      <w:sz w:val="20"/>
      <w:szCs w:val="20"/>
      <w:lang w:eastAsia="ru-RU"/>
    </w:rPr>
  </w:style>
  <w:style w:type="paragraph" w:styleId="Antet">
    <w:name w:val="header"/>
    <w:basedOn w:val="Normal"/>
    <w:link w:val="AntetCaracter"/>
    <w:semiHidden/>
    <w:unhideWhenUsed/>
    <w:rsid w:val="006364B2"/>
    <w:pPr>
      <w:tabs>
        <w:tab w:val="center" w:pos="4677"/>
        <w:tab w:val="right" w:pos="9355"/>
      </w:tabs>
      <w:spacing w:after="0" w:line="240" w:lineRule="auto"/>
      <w:ind w:firstLine="720"/>
      <w:jc w:val="both"/>
    </w:pPr>
    <w:rPr>
      <w:rFonts w:ascii="Times New Roman" w:eastAsia="Times New Roman" w:hAnsi="Times New Roman" w:cs="Times New Roman"/>
      <w:sz w:val="20"/>
      <w:szCs w:val="20"/>
      <w:lang w:val="en-US"/>
    </w:rPr>
  </w:style>
  <w:style w:type="character" w:customStyle="1" w:styleId="AntetCaracter">
    <w:name w:val="Antet Caracter"/>
    <w:basedOn w:val="Fontdeparagrafimplicit"/>
    <w:link w:val="Antet"/>
    <w:semiHidden/>
    <w:rsid w:val="006364B2"/>
    <w:rPr>
      <w:rFonts w:ascii="Times New Roman" w:eastAsia="Times New Roman" w:hAnsi="Times New Roman" w:cs="Times New Roman"/>
      <w:sz w:val="20"/>
      <w:szCs w:val="20"/>
      <w:lang w:val="en-US"/>
    </w:rPr>
  </w:style>
  <w:style w:type="paragraph" w:styleId="Subsol">
    <w:name w:val="footer"/>
    <w:basedOn w:val="Normal"/>
    <w:link w:val="SubsolCaracter"/>
    <w:semiHidden/>
    <w:unhideWhenUsed/>
    <w:rsid w:val="006364B2"/>
    <w:pPr>
      <w:tabs>
        <w:tab w:val="center" w:pos="4677"/>
        <w:tab w:val="right" w:pos="9355"/>
      </w:tabs>
      <w:spacing w:after="0" w:line="240" w:lineRule="auto"/>
      <w:ind w:firstLine="720"/>
      <w:jc w:val="both"/>
    </w:pPr>
    <w:rPr>
      <w:rFonts w:ascii="Times New Roman" w:eastAsia="Times New Roman" w:hAnsi="Times New Roman" w:cs="Times New Roman"/>
      <w:sz w:val="20"/>
      <w:szCs w:val="20"/>
      <w:lang w:val="en-US"/>
    </w:rPr>
  </w:style>
  <w:style w:type="character" w:customStyle="1" w:styleId="SubsolCaracter">
    <w:name w:val="Subsol Caracter"/>
    <w:basedOn w:val="Fontdeparagrafimplicit"/>
    <w:link w:val="Subsol"/>
    <w:semiHidden/>
    <w:rsid w:val="006364B2"/>
    <w:rPr>
      <w:rFonts w:ascii="Times New Roman" w:eastAsia="Times New Roman" w:hAnsi="Times New Roman" w:cs="Times New Roman"/>
      <w:sz w:val="20"/>
      <w:szCs w:val="20"/>
      <w:lang w:val="en-US"/>
    </w:rPr>
  </w:style>
  <w:style w:type="paragraph" w:styleId="SubiectComentariu">
    <w:name w:val="annotation subject"/>
    <w:basedOn w:val="Textcomentariu"/>
    <w:next w:val="Textcomentariu"/>
    <w:link w:val="SubiectComentariuCaracter"/>
    <w:semiHidden/>
    <w:unhideWhenUsed/>
    <w:rsid w:val="006364B2"/>
    <w:rPr>
      <w:b/>
      <w:bCs/>
    </w:rPr>
  </w:style>
  <w:style w:type="character" w:customStyle="1" w:styleId="SubiectComentariuCaracter">
    <w:name w:val="Subiect Comentariu Caracter"/>
    <w:basedOn w:val="TextcomentariuCaracter"/>
    <w:link w:val="SubiectComentariu"/>
    <w:semiHidden/>
    <w:rsid w:val="006364B2"/>
    <w:rPr>
      <w:rFonts w:ascii="Times New Roman" w:eastAsia="Times New Roman" w:hAnsi="Times New Roman" w:cs="Times New Roman"/>
      <w:b/>
      <w:bCs/>
      <w:sz w:val="20"/>
      <w:szCs w:val="20"/>
      <w:lang w:eastAsia="ru-RU"/>
    </w:rPr>
  </w:style>
  <w:style w:type="paragraph" w:customStyle="1" w:styleId="CharChar">
    <w:name w:val="Знак Знак Char Char Знак"/>
    <w:basedOn w:val="Normal"/>
    <w:rsid w:val="006364B2"/>
    <w:pPr>
      <w:spacing w:after="160" w:line="240" w:lineRule="exact"/>
    </w:pPr>
    <w:rPr>
      <w:rFonts w:ascii="Arial" w:eastAsia="Batang" w:hAnsi="Arial" w:cs="Arial"/>
      <w:sz w:val="20"/>
      <w:szCs w:val="20"/>
    </w:rPr>
  </w:style>
  <w:style w:type="paragraph" w:customStyle="1" w:styleId="cn">
    <w:name w:val="cn"/>
    <w:basedOn w:val="Normal"/>
    <w:rsid w:val="006364B2"/>
    <w:pPr>
      <w:spacing w:after="0" w:line="240" w:lineRule="auto"/>
      <w:jc w:val="center"/>
    </w:pPr>
    <w:rPr>
      <w:rFonts w:ascii="Times New Roman" w:eastAsia="Times New Roman" w:hAnsi="Times New Roman" w:cs="Times New Roman"/>
      <w:sz w:val="24"/>
      <w:szCs w:val="24"/>
      <w:lang w:val="ru-RU" w:eastAsia="ru-RU"/>
    </w:rPr>
  </w:style>
  <w:style w:type="paragraph" w:customStyle="1" w:styleId="cb">
    <w:name w:val="cb"/>
    <w:basedOn w:val="Normal"/>
    <w:semiHidden/>
    <w:rsid w:val="006364B2"/>
    <w:pPr>
      <w:spacing w:after="0" w:line="240" w:lineRule="auto"/>
      <w:jc w:val="center"/>
    </w:pPr>
    <w:rPr>
      <w:rFonts w:ascii="Times New Roman" w:eastAsia="Times New Roman" w:hAnsi="Times New Roman" w:cs="Times New Roman"/>
      <w:b/>
      <w:bCs/>
      <w:sz w:val="24"/>
      <w:szCs w:val="24"/>
      <w:lang w:val="ru-RU" w:eastAsia="ru-RU"/>
    </w:rPr>
  </w:style>
  <w:style w:type="paragraph" w:customStyle="1" w:styleId="news">
    <w:name w:val="news"/>
    <w:basedOn w:val="Normal"/>
    <w:rsid w:val="006364B2"/>
    <w:pPr>
      <w:spacing w:after="0" w:line="240" w:lineRule="auto"/>
    </w:pPr>
    <w:rPr>
      <w:rFonts w:ascii="Arial" w:eastAsia="Times New Roman" w:hAnsi="Arial" w:cs="Arial"/>
      <w:sz w:val="20"/>
      <w:szCs w:val="20"/>
      <w:lang w:val="ru-RU" w:eastAsia="ru-RU"/>
    </w:rPr>
  </w:style>
  <w:style w:type="paragraph" w:customStyle="1" w:styleId="1">
    <w:name w:val="Абзац списка1"/>
    <w:basedOn w:val="Normal"/>
    <w:qFormat/>
    <w:rsid w:val="006364B2"/>
    <w:pPr>
      <w:spacing w:after="0" w:line="240" w:lineRule="auto"/>
      <w:ind w:left="720" w:firstLine="720"/>
      <w:contextualSpacing/>
      <w:jc w:val="both"/>
    </w:pPr>
    <w:rPr>
      <w:rFonts w:ascii="Times New Roman" w:eastAsia="Times New Roman" w:hAnsi="Times New Roman" w:cs="Times New Roman"/>
      <w:sz w:val="20"/>
      <w:szCs w:val="20"/>
      <w:lang w:val="en-US"/>
    </w:rPr>
  </w:style>
  <w:style w:type="paragraph" w:customStyle="1" w:styleId="tt">
    <w:name w:val="tt"/>
    <w:basedOn w:val="Normal"/>
    <w:rsid w:val="006364B2"/>
    <w:pPr>
      <w:spacing w:after="0" w:line="240" w:lineRule="auto"/>
      <w:jc w:val="center"/>
    </w:pPr>
    <w:rPr>
      <w:rFonts w:ascii="Times New Roman" w:eastAsia="Times New Roman" w:hAnsi="Times New Roman" w:cs="Times New Roman"/>
      <w:b/>
      <w:bCs/>
      <w:sz w:val="24"/>
      <w:szCs w:val="24"/>
      <w:lang w:val="ru-RU" w:eastAsia="ru-RU"/>
    </w:rPr>
  </w:style>
  <w:style w:type="paragraph" w:customStyle="1" w:styleId="CharChar0">
    <w:name w:val="Char Char Знак Знак"/>
    <w:basedOn w:val="Normal"/>
    <w:rsid w:val="006364B2"/>
    <w:pPr>
      <w:spacing w:after="160" w:line="240" w:lineRule="exact"/>
    </w:pPr>
    <w:rPr>
      <w:rFonts w:ascii="Arial" w:eastAsia="Batang" w:hAnsi="Arial" w:cs="Arial"/>
      <w:sz w:val="20"/>
      <w:szCs w:val="20"/>
      <w:lang w:val="en-US"/>
    </w:rPr>
  </w:style>
  <w:style w:type="paragraph" w:customStyle="1" w:styleId="justify">
    <w:name w:val="justify"/>
    <w:basedOn w:val="Normal"/>
    <w:rsid w:val="006364B2"/>
    <w:pPr>
      <w:spacing w:before="100" w:beforeAutospacing="1" w:after="100" w:afterAutospacing="1" w:line="240" w:lineRule="auto"/>
      <w:ind w:firstLine="200"/>
      <w:jc w:val="both"/>
    </w:pPr>
    <w:rPr>
      <w:rFonts w:ascii="Verdana" w:eastAsia="Times New Roman" w:hAnsi="Verdana" w:cs="Times New Roman"/>
      <w:color w:val="033778"/>
      <w:sz w:val="21"/>
      <w:szCs w:val="21"/>
      <w:lang w:val="en-US" w:eastAsia="zh-CN"/>
    </w:rPr>
  </w:style>
  <w:style w:type="paragraph" w:customStyle="1" w:styleId="cnam1">
    <w:name w:val="cnam1"/>
    <w:basedOn w:val="Normal"/>
    <w:rsid w:val="006364B2"/>
    <w:pPr>
      <w:spacing w:before="100" w:beforeAutospacing="1" w:after="100" w:afterAutospacing="1" w:line="240" w:lineRule="auto"/>
    </w:pPr>
    <w:rPr>
      <w:rFonts w:ascii="Times New Roman" w:eastAsia="Times New Roman" w:hAnsi="Times New Roman" w:cs="Times New Roman"/>
      <w:color w:val="2D2D2D"/>
      <w:sz w:val="29"/>
      <w:szCs w:val="29"/>
      <w:lang w:val="en-US" w:eastAsia="zh-CN"/>
    </w:rPr>
  </w:style>
  <w:style w:type="character" w:styleId="Referinnotdesubsol">
    <w:name w:val="footnote reference"/>
    <w:aliases w:val="16 Point,Superscript 6 Point,Superscript 6 Point + 11 pt,ftref,BVI fnr,BVI fnr Car Car,BVI fnr Car,BVI fnr Car Car Car Car,Footnote text,Footnotes refss,Footnote Reference1,Footnote Reference Number,Footnote Reference_LVL6,fr"/>
    <w:uiPriority w:val="99"/>
    <w:unhideWhenUsed/>
    <w:rsid w:val="006364B2"/>
    <w:rPr>
      <w:vertAlign w:val="superscript"/>
    </w:rPr>
  </w:style>
  <w:style w:type="character" w:styleId="Referincomentariu">
    <w:name w:val="annotation reference"/>
    <w:semiHidden/>
    <w:unhideWhenUsed/>
    <w:rsid w:val="006364B2"/>
    <w:rPr>
      <w:sz w:val="16"/>
      <w:szCs w:val="16"/>
    </w:rPr>
  </w:style>
  <w:style w:type="character" w:customStyle="1" w:styleId="docheader1">
    <w:name w:val="doc_header1"/>
    <w:rsid w:val="006364B2"/>
    <w:rPr>
      <w:rFonts w:ascii="Times New Roman" w:hAnsi="Times New Roman" w:cs="Times New Roman" w:hint="default"/>
      <w:b/>
      <w:bCs/>
      <w:color w:val="000000"/>
      <w:sz w:val="24"/>
      <w:szCs w:val="24"/>
    </w:rPr>
  </w:style>
  <w:style w:type="character" w:customStyle="1" w:styleId="docsign11">
    <w:name w:val="doc_sign11"/>
    <w:rsid w:val="006364B2"/>
    <w:rPr>
      <w:rFonts w:ascii="Times New Roman" w:hAnsi="Times New Roman" w:cs="Times New Roman" w:hint="default"/>
      <w:b/>
      <w:bCs/>
      <w:color w:val="000000"/>
      <w:sz w:val="22"/>
      <w:szCs w:val="22"/>
    </w:rPr>
  </w:style>
  <w:style w:type="character" w:customStyle="1" w:styleId="sttart">
    <w:name w:val="st_tart"/>
    <w:basedOn w:val="Fontdeparagrafimplicit"/>
    <w:rsid w:val="006364B2"/>
  </w:style>
  <w:style w:type="character" w:customStyle="1" w:styleId="tal1">
    <w:name w:val="tal1"/>
    <w:rsid w:val="006364B2"/>
  </w:style>
  <w:style w:type="character" w:customStyle="1" w:styleId="def">
    <w:name w:val="def"/>
    <w:rsid w:val="006364B2"/>
  </w:style>
  <w:style w:type="character" w:customStyle="1" w:styleId="apple-converted-space">
    <w:name w:val="apple-converted-space"/>
    <w:rsid w:val="006364B2"/>
  </w:style>
  <w:style w:type="character" w:customStyle="1" w:styleId="docheader">
    <w:name w:val="doc_header"/>
    <w:rsid w:val="006364B2"/>
  </w:style>
  <w:style w:type="character" w:customStyle="1" w:styleId="apple-tab-span">
    <w:name w:val="apple-tab-span"/>
    <w:basedOn w:val="Fontdeparagrafimplicit"/>
    <w:rsid w:val="006364B2"/>
  </w:style>
  <w:style w:type="table" w:styleId="Tabelgril">
    <w:name w:val="Table Grid"/>
    <w:basedOn w:val="TabelNormal"/>
    <w:rsid w:val="006364B2"/>
    <w:pPr>
      <w:spacing w:after="0" w:line="240" w:lineRule="auto"/>
    </w:pPr>
    <w:rPr>
      <w:rFonts w:ascii="Calibri" w:eastAsia="Calibri" w:hAnsi="Calibri" w:cs="Times New Roman"/>
      <w:sz w:val="20"/>
      <w:szCs w:val="20"/>
      <w:lang w:val="en-US"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1">
    <w:name w:val="Grilă Tabel1"/>
    <w:basedOn w:val="TabelNormal"/>
    <w:rsid w:val="006364B2"/>
    <w:pPr>
      <w:spacing w:after="0" w:line="240" w:lineRule="auto"/>
    </w:pPr>
    <w:rPr>
      <w:rFonts w:ascii="Calibri" w:eastAsia="Calibri"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Tabel2">
    <w:name w:val="Grilă Tabel2"/>
    <w:basedOn w:val="TabelNormal"/>
    <w:rsid w:val="006364B2"/>
    <w:pPr>
      <w:spacing w:after="0" w:line="240" w:lineRule="auto"/>
    </w:pPr>
    <w:rPr>
      <w:rFonts w:ascii="Times New Roman" w:eastAsia="Times New Roman" w:hAnsi="Times New Roman" w:cs="Times New Roman"/>
      <w:sz w:val="20"/>
      <w:szCs w:val="20"/>
      <w:lang w:val="en-US"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FrListare"/>
    <w:uiPriority w:val="99"/>
    <w:semiHidden/>
    <w:unhideWhenUsed/>
    <w:rsid w:val="006364B2"/>
  </w:style>
  <w:style w:type="paragraph" w:styleId="Listparagraf">
    <w:name w:val="List Paragraph"/>
    <w:basedOn w:val="Normal"/>
    <w:uiPriority w:val="34"/>
    <w:qFormat/>
    <w:rsid w:val="006077D9"/>
    <w:pPr>
      <w:ind w:left="720"/>
      <w:contextualSpacing/>
    </w:pPr>
  </w:style>
  <w:style w:type="character" w:styleId="Hyperlink">
    <w:name w:val="Hyperlink"/>
    <w:uiPriority w:val="99"/>
    <w:rsid w:val="00076B19"/>
    <w:rPr>
      <w:strike w:val="0"/>
      <w:dstrike w:val="0"/>
      <w:color w:val="0000FF"/>
      <w:u w:val="none"/>
      <w:effect w:val="none"/>
    </w:rPr>
  </w:style>
  <w:style w:type="table" w:customStyle="1" w:styleId="TableGrid4">
    <w:name w:val="Table Grid4"/>
    <w:basedOn w:val="TabelNormal"/>
    <w:next w:val="Tabelgril"/>
    <w:uiPriority w:val="39"/>
    <w:rsid w:val="00076B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Fontdeparagrafimplicit"/>
    <w:uiPriority w:val="99"/>
    <w:unhideWhenUsed/>
    <w:rsid w:val="00076B19"/>
    <w:rPr>
      <w:color w:val="0563C1"/>
      <w:u w:val="single"/>
    </w:rPr>
  </w:style>
  <w:style w:type="character" w:customStyle="1" w:styleId="UnresolvedMention1">
    <w:name w:val="Unresolved Mention1"/>
    <w:basedOn w:val="Fontdeparagrafimplicit"/>
    <w:uiPriority w:val="99"/>
    <w:semiHidden/>
    <w:unhideWhenUsed/>
    <w:rsid w:val="00002C79"/>
    <w:rPr>
      <w:color w:val="605E5C"/>
      <w:shd w:val="clear" w:color="auto" w:fill="E1DFDD"/>
    </w:rPr>
  </w:style>
  <w:style w:type="paragraph" w:styleId="Corptext">
    <w:name w:val="Body Text"/>
    <w:basedOn w:val="Normal"/>
    <w:link w:val="CorptextCaracter"/>
    <w:rsid w:val="003242D8"/>
    <w:pPr>
      <w:spacing w:after="0" w:line="360" w:lineRule="auto"/>
      <w:jc w:val="both"/>
    </w:pPr>
    <w:rPr>
      <w:rFonts w:ascii="Times New Roman" w:eastAsia="Times New Roman" w:hAnsi="Times New Roman" w:cs="Times New Roman"/>
      <w:sz w:val="24"/>
      <w:szCs w:val="20"/>
      <w:lang w:eastAsia="ru-RU"/>
    </w:rPr>
  </w:style>
  <w:style w:type="character" w:customStyle="1" w:styleId="CorptextCaracter">
    <w:name w:val="Corp text Caracter"/>
    <w:basedOn w:val="Fontdeparagrafimplicit"/>
    <w:link w:val="Corptext"/>
    <w:rsid w:val="003242D8"/>
    <w:rPr>
      <w:rFonts w:ascii="Times New Roman" w:eastAsia="Times New Roman" w:hAnsi="Times New Roman" w:cs="Times New Roman"/>
      <w:sz w:val="24"/>
      <w:szCs w:val="20"/>
      <w:lang w:eastAsia="ru-RU"/>
    </w:rPr>
  </w:style>
  <w:style w:type="paragraph" w:styleId="Revizuire">
    <w:name w:val="Revision"/>
    <w:hidden/>
    <w:uiPriority w:val="99"/>
    <w:semiHidden/>
    <w:rsid w:val="005748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88639">
      <w:bodyDiv w:val="1"/>
      <w:marLeft w:val="0"/>
      <w:marRight w:val="0"/>
      <w:marTop w:val="0"/>
      <w:marBottom w:val="0"/>
      <w:divBdr>
        <w:top w:val="none" w:sz="0" w:space="0" w:color="auto"/>
        <w:left w:val="none" w:sz="0" w:space="0" w:color="auto"/>
        <w:bottom w:val="none" w:sz="0" w:space="0" w:color="auto"/>
        <w:right w:val="none" w:sz="0" w:space="0" w:color="auto"/>
      </w:divBdr>
    </w:div>
    <w:div w:id="52698928">
      <w:bodyDiv w:val="1"/>
      <w:marLeft w:val="0"/>
      <w:marRight w:val="0"/>
      <w:marTop w:val="0"/>
      <w:marBottom w:val="0"/>
      <w:divBdr>
        <w:top w:val="none" w:sz="0" w:space="0" w:color="auto"/>
        <w:left w:val="none" w:sz="0" w:space="0" w:color="auto"/>
        <w:bottom w:val="none" w:sz="0" w:space="0" w:color="auto"/>
        <w:right w:val="none" w:sz="0" w:space="0" w:color="auto"/>
      </w:divBdr>
    </w:div>
    <w:div w:id="57368798">
      <w:bodyDiv w:val="1"/>
      <w:marLeft w:val="0"/>
      <w:marRight w:val="0"/>
      <w:marTop w:val="0"/>
      <w:marBottom w:val="0"/>
      <w:divBdr>
        <w:top w:val="none" w:sz="0" w:space="0" w:color="auto"/>
        <w:left w:val="none" w:sz="0" w:space="0" w:color="auto"/>
        <w:bottom w:val="none" w:sz="0" w:space="0" w:color="auto"/>
        <w:right w:val="none" w:sz="0" w:space="0" w:color="auto"/>
      </w:divBdr>
    </w:div>
    <w:div w:id="127287377">
      <w:bodyDiv w:val="1"/>
      <w:marLeft w:val="0"/>
      <w:marRight w:val="0"/>
      <w:marTop w:val="0"/>
      <w:marBottom w:val="0"/>
      <w:divBdr>
        <w:top w:val="none" w:sz="0" w:space="0" w:color="auto"/>
        <w:left w:val="none" w:sz="0" w:space="0" w:color="auto"/>
        <w:bottom w:val="none" w:sz="0" w:space="0" w:color="auto"/>
        <w:right w:val="none" w:sz="0" w:space="0" w:color="auto"/>
      </w:divBdr>
    </w:div>
    <w:div w:id="207109870">
      <w:bodyDiv w:val="1"/>
      <w:marLeft w:val="0"/>
      <w:marRight w:val="0"/>
      <w:marTop w:val="0"/>
      <w:marBottom w:val="0"/>
      <w:divBdr>
        <w:top w:val="none" w:sz="0" w:space="0" w:color="auto"/>
        <w:left w:val="none" w:sz="0" w:space="0" w:color="auto"/>
        <w:bottom w:val="none" w:sz="0" w:space="0" w:color="auto"/>
        <w:right w:val="none" w:sz="0" w:space="0" w:color="auto"/>
      </w:divBdr>
    </w:div>
    <w:div w:id="230434795">
      <w:bodyDiv w:val="1"/>
      <w:marLeft w:val="0"/>
      <w:marRight w:val="0"/>
      <w:marTop w:val="0"/>
      <w:marBottom w:val="0"/>
      <w:divBdr>
        <w:top w:val="none" w:sz="0" w:space="0" w:color="auto"/>
        <w:left w:val="none" w:sz="0" w:space="0" w:color="auto"/>
        <w:bottom w:val="none" w:sz="0" w:space="0" w:color="auto"/>
        <w:right w:val="none" w:sz="0" w:space="0" w:color="auto"/>
      </w:divBdr>
    </w:div>
    <w:div w:id="248853399">
      <w:bodyDiv w:val="1"/>
      <w:marLeft w:val="0"/>
      <w:marRight w:val="0"/>
      <w:marTop w:val="0"/>
      <w:marBottom w:val="0"/>
      <w:divBdr>
        <w:top w:val="none" w:sz="0" w:space="0" w:color="auto"/>
        <w:left w:val="none" w:sz="0" w:space="0" w:color="auto"/>
        <w:bottom w:val="none" w:sz="0" w:space="0" w:color="auto"/>
        <w:right w:val="none" w:sz="0" w:space="0" w:color="auto"/>
      </w:divBdr>
    </w:div>
    <w:div w:id="257446211">
      <w:bodyDiv w:val="1"/>
      <w:marLeft w:val="0"/>
      <w:marRight w:val="0"/>
      <w:marTop w:val="0"/>
      <w:marBottom w:val="0"/>
      <w:divBdr>
        <w:top w:val="none" w:sz="0" w:space="0" w:color="auto"/>
        <w:left w:val="none" w:sz="0" w:space="0" w:color="auto"/>
        <w:bottom w:val="none" w:sz="0" w:space="0" w:color="auto"/>
        <w:right w:val="none" w:sz="0" w:space="0" w:color="auto"/>
      </w:divBdr>
    </w:div>
    <w:div w:id="288050313">
      <w:bodyDiv w:val="1"/>
      <w:marLeft w:val="0"/>
      <w:marRight w:val="0"/>
      <w:marTop w:val="0"/>
      <w:marBottom w:val="0"/>
      <w:divBdr>
        <w:top w:val="none" w:sz="0" w:space="0" w:color="auto"/>
        <w:left w:val="none" w:sz="0" w:space="0" w:color="auto"/>
        <w:bottom w:val="none" w:sz="0" w:space="0" w:color="auto"/>
        <w:right w:val="none" w:sz="0" w:space="0" w:color="auto"/>
      </w:divBdr>
    </w:div>
    <w:div w:id="301037325">
      <w:bodyDiv w:val="1"/>
      <w:marLeft w:val="0"/>
      <w:marRight w:val="0"/>
      <w:marTop w:val="0"/>
      <w:marBottom w:val="0"/>
      <w:divBdr>
        <w:top w:val="none" w:sz="0" w:space="0" w:color="auto"/>
        <w:left w:val="none" w:sz="0" w:space="0" w:color="auto"/>
        <w:bottom w:val="none" w:sz="0" w:space="0" w:color="auto"/>
        <w:right w:val="none" w:sz="0" w:space="0" w:color="auto"/>
      </w:divBdr>
    </w:div>
    <w:div w:id="354771011">
      <w:bodyDiv w:val="1"/>
      <w:marLeft w:val="0"/>
      <w:marRight w:val="0"/>
      <w:marTop w:val="0"/>
      <w:marBottom w:val="0"/>
      <w:divBdr>
        <w:top w:val="none" w:sz="0" w:space="0" w:color="auto"/>
        <w:left w:val="none" w:sz="0" w:space="0" w:color="auto"/>
        <w:bottom w:val="none" w:sz="0" w:space="0" w:color="auto"/>
        <w:right w:val="none" w:sz="0" w:space="0" w:color="auto"/>
      </w:divBdr>
    </w:div>
    <w:div w:id="438645792">
      <w:bodyDiv w:val="1"/>
      <w:marLeft w:val="0"/>
      <w:marRight w:val="0"/>
      <w:marTop w:val="0"/>
      <w:marBottom w:val="0"/>
      <w:divBdr>
        <w:top w:val="none" w:sz="0" w:space="0" w:color="auto"/>
        <w:left w:val="none" w:sz="0" w:space="0" w:color="auto"/>
        <w:bottom w:val="none" w:sz="0" w:space="0" w:color="auto"/>
        <w:right w:val="none" w:sz="0" w:space="0" w:color="auto"/>
      </w:divBdr>
    </w:div>
    <w:div w:id="452094758">
      <w:bodyDiv w:val="1"/>
      <w:marLeft w:val="0"/>
      <w:marRight w:val="0"/>
      <w:marTop w:val="0"/>
      <w:marBottom w:val="0"/>
      <w:divBdr>
        <w:top w:val="none" w:sz="0" w:space="0" w:color="auto"/>
        <w:left w:val="none" w:sz="0" w:space="0" w:color="auto"/>
        <w:bottom w:val="none" w:sz="0" w:space="0" w:color="auto"/>
        <w:right w:val="none" w:sz="0" w:space="0" w:color="auto"/>
      </w:divBdr>
    </w:div>
    <w:div w:id="497698815">
      <w:bodyDiv w:val="1"/>
      <w:marLeft w:val="0"/>
      <w:marRight w:val="0"/>
      <w:marTop w:val="0"/>
      <w:marBottom w:val="0"/>
      <w:divBdr>
        <w:top w:val="none" w:sz="0" w:space="0" w:color="auto"/>
        <w:left w:val="none" w:sz="0" w:space="0" w:color="auto"/>
        <w:bottom w:val="none" w:sz="0" w:space="0" w:color="auto"/>
        <w:right w:val="none" w:sz="0" w:space="0" w:color="auto"/>
      </w:divBdr>
    </w:div>
    <w:div w:id="546725049">
      <w:bodyDiv w:val="1"/>
      <w:marLeft w:val="0"/>
      <w:marRight w:val="0"/>
      <w:marTop w:val="0"/>
      <w:marBottom w:val="0"/>
      <w:divBdr>
        <w:top w:val="none" w:sz="0" w:space="0" w:color="auto"/>
        <w:left w:val="none" w:sz="0" w:space="0" w:color="auto"/>
        <w:bottom w:val="none" w:sz="0" w:space="0" w:color="auto"/>
        <w:right w:val="none" w:sz="0" w:space="0" w:color="auto"/>
      </w:divBdr>
    </w:div>
    <w:div w:id="615136007">
      <w:bodyDiv w:val="1"/>
      <w:marLeft w:val="0"/>
      <w:marRight w:val="0"/>
      <w:marTop w:val="0"/>
      <w:marBottom w:val="0"/>
      <w:divBdr>
        <w:top w:val="none" w:sz="0" w:space="0" w:color="auto"/>
        <w:left w:val="none" w:sz="0" w:space="0" w:color="auto"/>
        <w:bottom w:val="none" w:sz="0" w:space="0" w:color="auto"/>
        <w:right w:val="none" w:sz="0" w:space="0" w:color="auto"/>
      </w:divBdr>
    </w:div>
    <w:div w:id="660734841">
      <w:bodyDiv w:val="1"/>
      <w:marLeft w:val="0"/>
      <w:marRight w:val="0"/>
      <w:marTop w:val="0"/>
      <w:marBottom w:val="0"/>
      <w:divBdr>
        <w:top w:val="none" w:sz="0" w:space="0" w:color="auto"/>
        <w:left w:val="none" w:sz="0" w:space="0" w:color="auto"/>
        <w:bottom w:val="none" w:sz="0" w:space="0" w:color="auto"/>
        <w:right w:val="none" w:sz="0" w:space="0" w:color="auto"/>
      </w:divBdr>
    </w:div>
    <w:div w:id="747507493">
      <w:bodyDiv w:val="1"/>
      <w:marLeft w:val="0"/>
      <w:marRight w:val="0"/>
      <w:marTop w:val="0"/>
      <w:marBottom w:val="0"/>
      <w:divBdr>
        <w:top w:val="none" w:sz="0" w:space="0" w:color="auto"/>
        <w:left w:val="none" w:sz="0" w:space="0" w:color="auto"/>
        <w:bottom w:val="none" w:sz="0" w:space="0" w:color="auto"/>
        <w:right w:val="none" w:sz="0" w:space="0" w:color="auto"/>
      </w:divBdr>
      <w:divsChild>
        <w:div w:id="1361125623">
          <w:marLeft w:val="0"/>
          <w:marRight w:val="0"/>
          <w:marTop w:val="0"/>
          <w:marBottom w:val="0"/>
          <w:divBdr>
            <w:top w:val="none" w:sz="0" w:space="0" w:color="auto"/>
            <w:left w:val="none" w:sz="0" w:space="0" w:color="auto"/>
            <w:bottom w:val="none" w:sz="0" w:space="0" w:color="auto"/>
            <w:right w:val="none" w:sz="0" w:space="0" w:color="auto"/>
          </w:divBdr>
        </w:div>
        <w:div w:id="1714228924">
          <w:marLeft w:val="0"/>
          <w:marRight w:val="0"/>
          <w:marTop w:val="0"/>
          <w:marBottom w:val="0"/>
          <w:divBdr>
            <w:top w:val="none" w:sz="0" w:space="0" w:color="auto"/>
            <w:left w:val="none" w:sz="0" w:space="0" w:color="auto"/>
            <w:bottom w:val="none" w:sz="0" w:space="0" w:color="auto"/>
            <w:right w:val="none" w:sz="0" w:space="0" w:color="auto"/>
          </w:divBdr>
          <w:divsChild>
            <w:div w:id="1045183402">
              <w:marLeft w:val="-225"/>
              <w:marRight w:val="-225"/>
              <w:marTop w:val="0"/>
              <w:marBottom w:val="0"/>
              <w:divBdr>
                <w:top w:val="none" w:sz="0" w:space="0" w:color="auto"/>
                <w:left w:val="none" w:sz="0" w:space="0" w:color="auto"/>
                <w:bottom w:val="none" w:sz="0" w:space="0" w:color="auto"/>
                <w:right w:val="none" w:sz="0" w:space="0" w:color="auto"/>
              </w:divBdr>
            </w:div>
            <w:div w:id="2078672555">
              <w:marLeft w:val="0"/>
              <w:marRight w:val="0"/>
              <w:marTop w:val="0"/>
              <w:marBottom w:val="0"/>
              <w:divBdr>
                <w:top w:val="none" w:sz="0" w:space="0" w:color="auto"/>
                <w:left w:val="none" w:sz="0" w:space="0" w:color="auto"/>
                <w:bottom w:val="none" w:sz="0" w:space="0" w:color="auto"/>
                <w:right w:val="none" w:sz="0" w:space="0" w:color="auto"/>
              </w:divBdr>
              <w:divsChild>
                <w:div w:id="889338834">
                  <w:marLeft w:val="-225"/>
                  <w:marRight w:val="-225"/>
                  <w:marTop w:val="225"/>
                  <w:marBottom w:val="0"/>
                  <w:divBdr>
                    <w:top w:val="none" w:sz="0" w:space="0" w:color="auto"/>
                    <w:left w:val="none" w:sz="0" w:space="0" w:color="auto"/>
                    <w:bottom w:val="none" w:sz="0" w:space="0" w:color="auto"/>
                    <w:right w:val="none" w:sz="0" w:space="0" w:color="auto"/>
                  </w:divBdr>
                  <w:divsChild>
                    <w:div w:id="380441426">
                      <w:marLeft w:val="0"/>
                      <w:marRight w:val="0"/>
                      <w:marTop w:val="0"/>
                      <w:marBottom w:val="0"/>
                      <w:divBdr>
                        <w:top w:val="none" w:sz="0" w:space="0" w:color="auto"/>
                        <w:left w:val="none" w:sz="0" w:space="0" w:color="auto"/>
                        <w:bottom w:val="none" w:sz="0" w:space="0" w:color="auto"/>
                        <w:right w:val="none" w:sz="0" w:space="0" w:color="auto"/>
                      </w:divBdr>
                      <w:divsChild>
                        <w:div w:id="1673946913">
                          <w:marLeft w:val="0"/>
                          <w:marRight w:val="0"/>
                          <w:marTop w:val="0"/>
                          <w:marBottom w:val="0"/>
                          <w:divBdr>
                            <w:top w:val="none" w:sz="0" w:space="0" w:color="auto"/>
                            <w:left w:val="none" w:sz="0" w:space="0" w:color="auto"/>
                            <w:bottom w:val="none" w:sz="0" w:space="0" w:color="auto"/>
                            <w:right w:val="none" w:sz="0" w:space="0" w:color="auto"/>
                          </w:divBdr>
                          <w:divsChild>
                            <w:div w:id="1098983833">
                              <w:marLeft w:val="0"/>
                              <w:marRight w:val="0"/>
                              <w:marTop w:val="0"/>
                              <w:marBottom w:val="330"/>
                              <w:divBdr>
                                <w:top w:val="single" w:sz="6" w:space="0" w:color="DDDDDD"/>
                                <w:left w:val="single" w:sz="6" w:space="0" w:color="DDDDDD"/>
                                <w:bottom w:val="single" w:sz="6" w:space="0" w:color="DDDDDD"/>
                                <w:right w:val="single" w:sz="6" w:space="0" w:color="DDDDDD"/>
                              </w:divBdr>
                              <w:divsChild>
                                <w:div w:id="730691744">
                                  <w:marLeft w:val="0"/>
                                  <w:marRight w:val="0"/>
                                  <w:marTop w:val="0"/>
                                  <w:marBottom w:val="0"/>
                                  <w:divBdr>
                                    <w:top w:val="none" w:sz="0" w:space="0" w:color="auto"/>
                                    <w:left w:val="none" w:sz="0" w:space="0" w:color="auto"/>
                                    <w:bottom w:val="none" w:sz="0" w:space="0" w:color="auto"/>
                                    <w:right w:val="none" w:sz="0" w:space="0" w:color="auto"/>
                                  </w:divBdr>
                                  <w:divsChild>
                                    <w:div w:id="515967218">
                                      <w:marLeft w:val="0"/>
                                      <w:marRight w:val="0"/>
                                      <w:marTop w:val="0"/>
                                      <w:marBottom w:val="0"/>
                                      <w:divBdr>
                                        <w:top w:val="none" w:sz="0" w:space="0" w:color="auto"/>
                                        <w:left w:val="none" w:sz="0" w:space="0" w:color="auto"/>
                                        <w:bottom w:val="none" w:sz="0" w:space="0" w:color="auto"/>
                                        <w:right w:val="none" w:sz="0" w:space="0" w:color="auto"/>
                                      </w:divBdr>
                                    </w:div>
                                    <w:div w:id="1400252396">
                                      <w:marLeft w:val="0"/>
                                      <w:marRight w:val="0"/>
                                      <w:marTop w:val="0"/>
                                      <w:marBottom w:val="0"/>
                                      <w:divBdr>
                                        <w:top w:val="none" w:sz="0" w:space="0" w:color="auto"/>
                                        <w:left w:val="none" w:sz="0" w:space="0" w:color="auto"/>
                                        <w:bottom w:val="none" w:sz="0" w:space="0" w:color="auto"/>
                                        <w:right w:val="none" w:sz="0" w:space="0" w:color="auto"/>
                                      </w:divBdr>
                                    </w:div>
                                    <w:div w:id="1845624846">
                                      <w:marLeft w:val="0"/>
                                      <w:marRight w:val="0"/>
                                      <w:marTop w:val="0"/>
                                      <w:marBottom w:val="0"/>
                                      <w:divBdr>
                                        <w:top w:val="none" w:sz="0" w:space="0" w:color="auto"/>
                                        <w:left w:val="none" w:sz="0" w:space="0" w:color="auto"/>
                                        <w:bottom w:val="none" w:sz="0" w:space="0" w:color="auto"/>
                                        <w:right w:val="none" w:sz="0" w:space="0" w:color="auto"/>
                                      </w:divBdr>
                                      <w:divsChild>
                                        <w:div w:id="785122450">
                                          <w:marLeft w:val="0"/>
                                          <w:marRight w:val="0"/>
                                          <w:marTop w:val="0"/>
                                          <w:marBottom w:val="0"/>
                                          <w:divBdr>
                                            <w:top w:val="none" w:sz="0" w:space="0" w:color="auto"/>
                                            <w:left w:val="none" w:sz="0" w:space="0" w:color="auto"/>
                                            <w:bottom w:val="none" w:sz="0" w:space="0" w:color="auto"/>
                                            <w:right w:val="none" w:sz="0" w:space="0" w:color="auto"/>
                                          </w:divBdr>
                                          <w:divsChild>
                                            <w:div w:id="165242925">
                                              <w:marLeft w:val="0"/>
                                              <w:marRight w:val="0"/>
                                              <w:marTop w:val="0"/>
                                              <w:marBottom w:val="0"/>
                                              <w:divBdr>
                                                <w:top w:val="none" w:sz="0" w:space="0" w:color="auto"/>
                                                <w:left w:val="none" w:sz="0" w:space="0" w:color="auto"/>
                                                <w:bottom w:val="none" w:sz="0" w:space="0" w:color="auto"/>
                                                <w:right w:val="none" w:sz="0" w:space="0" w:color="auto"/>
                                              </w:divBdr>
                                            </w:div>
                                          </w:divsChild>
                                        </w:div>
                                        <w:div w:id="2061517799">
                                          <w:marLeft w:val="0"/>
                                          <w:marRight w:val="0"/>
                                          <w:marTop w:val="0"/>
                                          <w:marBottom w:val="0"/>
                                          <w:divBdr>
                                            <w:top w:val="none" w:sz="0" w:space="0" w:color="auto"/>
                                            <w:left w:val="none" w:sz="0" w:space="0" w:color="auto"/>
                                            <w:bottom w:val="none" w:sz="0" w:space="0" w:color="auto"/>
                                            <w:right w:val="none" w:sz="0" w:space="0" w:color="auto"/>
                                          </w:divBdr>
                                          <w:divsChild>
                                            <w:div w:id="67249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9967683">
                      <w:marLeft w:val="0"/>
                      <w:marRight w:val="0"/>
                      <w:marTop w:val="0"/>
                      <w:marBottom w:val="0"/>
                      <w:divBdr>
                        <w:top w:val="none" w:sz="0" w:space="0" w:color="auto"/>
                        <w:left w:val="none" w:sz="0" w:space="0" w:color="auto"/>
                        <w:bottom w:val="none" w:sz="0" w:space="0" w:color="auto"/>
                        <w:right w:val="none" w:sz="0" w:space="0" w:color="auto"/>
                      </w:divBdr>
                      <w:divsChild>
                        <w:div w:id="984091021">
                          <w:marLeft w:val="0"/>
                          <w:marRight w:val="0"/>
                          <w:marTop w:val="0"/>
                          <w:marBottom w:val="0"/>
                          <w:divBdr>
                            <w:top w:val="none" w:sz="0" w:space="0" w:color="auto"/>
                            <w:left w:val="none" w:sz="0" w:space="0" w:color="auto"/>
                            <w:bottom w:val="none" w:sz="0" w:space="0" w:color="auto"/>
                            <w:right w:val="none" w:sz="0" w:space="0" w:color="auto"/>
                          </w:divBdr>
                          <w:divsChild>
                            <w:div w:id="1926646994">
                              <w:marLeft w:val="0"/>
                              <w:marRight w:val="0"/>
                              <w:marTop w:val="0"/>
                              <w:marBottom w:val="0"/>
                              <w:divBdr>
                                <w:top w:val="none" w:sz="0" w:space="0" w:color="auto"/>
                                <w:left w:val="none" w:sz="0" w:space="0" w:color="auto"/>
                                <w:bottom w:val="none" w:sz="0" w:space="0" w:color="auto"/>
                                <w:right w:val="none" w:sz="0" w:space="0" w:color="auto"/>
                              </w:divBdr>
                              <w:divsChild>
                                <w:div w:id="193686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809882">
                      <w:marLeft w:val="0"/>
                      <w:marRight w:val="0"/>
                      <w:marTop w:val="0"/>
                      <w:marBottom w:val="0"/>
                      <w:divBdr>
                        <w:top w:val="none" w:sz="0" w:space="0" w:color="auto"/>
                        <w:left w:val="none" w:sz="0" w:space="0" w:color="auto"/>
                        <w:bottom w:val="none" w:sz="0" w:space="0" w:color="auto"/>
                        <w:right w:val="none" w:sz="0" w:space="0" w:color="auto"/>
                      </w:divBdr>
                      <w:divsChild>
                        <w:div w:id="471753641">
                          <w:marLeft w:val="0"/>
                          <w:marRight w:val="0"/>
                          <w:marTop w:val="0"/>
                          <w:marBottom w:val="0"/>
                          <w:divBdr>
                            <w:top w:val="none" w:sz="0" w:space="0" w:color="auto"/>
                            <w:left w:val="none" w:sz="0" w:space="0" w:color="auto"/>
                            <w:bottom w:val="none" w:sz="0" w:space="0" w:color="auto"/>
                            <w:right w:val="none" w:sz="0" w:space="0" w:color="auto"/>
                          </w:divBdr>
                          <w:divsChild>
                            <w:div w:id="1550993500">
                              <w:marLeft w:val="0"/>
                              <w:marRight w:val="0"/>
                              <w:marTop w:val="0"/>
                              <w:marBottom w:val="0"/>
                              <w:divBdr>
                                <w:top w:val="none" w:sz="0" w:space="0" w:color="auto"/>
                                <w:left w:val="none" w:sz="0" w:space="0" w:color="auto"/>
                                <w:bottom w:val="none" w:sz="0" w:space="0" w:color="auto"/>
                                <w:right w:val="none" w:sz="0" w:space="0" w:color="auto"/>
                              </w:divBdr>
                              <w:divsChild>
                                <w:div w:id="20703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415605">
      <w:bodyDiv w:val="1"/>
      <w:marLeft w:val="0"/>
      <w:marRight w:val="0"/>
      <w:marTop w:val="0"/>
      <w:marBottom w:val="0"/>
      <w:divBdr>
        <w:top w:val="none" w:sz="0" w:space="0" w:color="auto"/>
        <w:left w:val="none" w:sz="0" w:space="0" w:color="auto"/>
        <w:bottom w:val="none" w:sz="0" w:space="0" w:color="auto"/>
        <w:right w:val="none" w:sz="0" w:space="0" w:color="auto"/>
      </w:divBdr>
    </w:div>
    <w:div w:id="815099431">
      <w:bodyDiv w:val="1"/>
      <w:marLeft w:val="0"/>
      <w:marRight w:val="0"/>
      <w:marTop w:val="0"/>
      <w:marBottom w:val="0"/>
      <w:divBdr>
        <w:top w:val="none" w:sz="0" w:space="0" w:color="auto"/>
        <w:left w:val="none" w:sz="0" w:space="0" w:color="auto"/>
        <w:bottom w:val="none" w:sz="0" w:space="0" w:color="auto"/>
        <w:right w:val="none" w:sz="0" w:space="0" w:color="auto"/>
      </w:divBdr>
    </w:div>
    <w:div w:id="944842797">
      <w:bodyDiv w:val="1"/>
      <w:marLeft w:val="0"/>
      <w:marRight w:val="0"/>
      <w:marTop w:val="0"/>
      <w:marBottom w:val="0"/>
      <w:divBdr>
        <w:top w:val="none" w:sz="0" w:space="0" w:color="auto"/>
        <w:left w:val="none" w:sz="0" w:space="0" w:color="auto"/>
        <w:bottom w:val="none" w:sz="0" w:space="0" w:color="auto"/>
        <w:right w:val="none" w:sz="0" w:space="0" w:color="auto"/>
      </w:divBdr>
    </w:div>
    <w:div w:id="951981232">
      <w:bodyDiv w:val="1"/>
      <w:marLeft w:val="0"/>
      <w:marRight w:val="0"/>
      <w:marTop w:val="0"/>
      <w:marBottom w:val="0"/>
      <w:divBdr>
        <w:top w:val="none" w:sz="0" w:space="0" w:color="auto"/>
        <w:left w:val="none" w:sz="0" w:space="0" w:color="auto"/>
        <w:bottom w:val="none" w:sz="0" w:space="0" w:color="auto"/>
        <w:right w:val="none" w:sz="0" w:space="0" w:color="auto"/>
      </w:divBdr>
    </w:div>
    <w:div w:id="1005136867">
      <w:bodyDiv w:val="1"/>
      <w:marLeft w:val="0"/>
      <w:marRight w:val="0"/>
      <w:marTop w:val="0"/>
      <w:marBottom w:val="0"/>
      <w:divBdr>
        <w:top w:val="none" w:sz="0" w:space="0" w:color="auto"/>
        <w:left w:val="none" w:sz="0" w:space="0" w:color="auto"/>
        <w:bottom w:val="none" w:sz="0" w:space="0" w:color="auto"/>
        <w:right w:val="none" w:sz="0" w:space="0" w:color="auto"/>
      </w:divBdr>
    </w:div>
    <w:div w:id="1017542279">
      <w:bodyDiv w:val="1"/>
      <w:marLeft w:val="0"/>
      <w:marRight w:val="0"/>
      <w:marTop w:val="0"/>
      <w:marBottom w:val="0"/>
      <w:divBdr>
        <w:top w:val="none" w:sz="0" w:space="0" w:color="auto"/>
        <w:left w:val="none" w:sz="0" w:space="0" w:color="auto"/>
        <w:bottom w:val="none" w:sz="0" w:space="0" w:color="auto"/>
        <w:right w:val="none" w:sz="0" w:space="0" w:color="auto"/>
      </w:divBdr>
    </w:div>
    <w:div w:id="1037504256">
      <w:bodyDiv w:val="1"/>
      <w:marLeft w:val="0"/>
      <w:marRight w:val="0"/>
      <w:marTop w:val="0"/>
      <w:marBottom w:val="0"/>
      <w:divBdr>
        <w:top w:val="none" w:sz="0" w:space="0" w:color="auto"/>
        <w:left w:val="none" w:sz="0" w:space="0" w:color="auto"/>
        <w:bottom w:val="none" w:sz="0" w:space="0" w:color="auto"/>
        <w:right w:val="none" w:sz="0" w:space="0" w:color="auto"/>
      </w:divBdr>
    </w:div>
    <w:div w:id="1077245705">
      <w:bodyDiv w:val="1"/>
      <w:marLeft w:val="0"/>
      <w:marRight w:val="0"/>
      <w:marTop w:val="0"/>
      <w:marBottom w:val="0"/>
      <w:divBdr>
        <w:top w:val="none" w:sz="0" w:space="0" w:color="auto"/>
        <w:left w:val="none" w:sz="0" w:space="0" w:color="auto"/>
        <w:bottom w:val="none" w:sz="0" w:space="0" w:color="auto"/>
        <w:right w:val="none" w:sz="0" w:space="0" w:color="auto"/>
      </w:divBdr>
    </w:div>
    <w:div w:id="1113553473">
      <w:bodyDiv w:val="1"/>
      <w:marLeft w:val="0"/>
      <w:marRight w:val="0"/>
      <w:marTop w:val="0"/>
      <w:marBottom w:val="0"/>
      <w:divBdr>
        <w:top w:val="none" w:sz="0" w:space="0" w:color="auto"/>
        <w:left w:val="none" w:sz="0" w:space="0" w:color="auto"/>
        <w:bottom w:val="none" w:sz="0" w:space="0" w:color="auto"/>
        <w:right w:val="none" w:sz="0" w:space="0" w:color="auto"/>
      </w:divBdr>
    </w:div>
    <w:div w:id="1156608530">
      <w:bodyDiv w:val="1"/>
      <w:marLeft w:val="0"/>
      <w:marRight w:val="0"/>
      <w:marTop w:val="0"/>
      <w:marBottom w:val="0"/>
      <w:divBdr>
        <w:top w:val="none" w:sz="0" w:space="0" w:color="auto"/>
        <w:left w:val="none" w:sz="0" w:space="0" w:color="auto"/>
        <w:bottom w:val="none" w:sz="0" w:space="0" w:color="auto"/>
        <w:right w:val="none" w:sz="0" w:space="0" w:color="auto"/>
      </w:divBdr>
    </w:div>
    <w:div w:id="1213929430">
      <w:bodyDiv w:val="1"/>
      <w:marLeft w:val="0"/>
      <w:marRight w:val="0"/>
      <w:marTop w:val="0"/>
      <w:marBottom w:val="0"/>
      <w:divBdr>
        <w:top w:val="none" w:sz="0" w:space="0" w:color="auto"/>
        <w:left w:val="none" w:sz="0" w:space="0" w:color="auto"/>
        <w:bottom w:val="none" w:sz="0" w:space="0" w:color="auto"/>
        <w:right w:val="none" w:sz="0" w:space="0" w:color="auto"/>
      </w:divBdr>
    </w:div>
    <w:div w:id="1217090138">
      <w:bodyDiv w:val="1"/>
      <w:marLeft w:val="0"/>
      <w:marRight w:val="0"/>
      <w:marTop w:val="0"/>
      <w:marBottom w:val="0"/>
      <w:divBdr>
        <w:top w:val="none" w:sz="0" w:space="0" w:color="auto"/>
        <w:left w:val="none" w:sz="0" w:space="0" w:color="auto"/>
        <w:bottom w:val="none" w:sz="0" w:space="0" w:color="auto"/>
        <w:right w:val="none" w:sz="0" w:space="0" w:color="auto"/>
      </w:divBdr>
    </w:div>
    <w:div w:id="1258756129">
      <w:bodyDiv w:val="1"/>
      <w:marLeft w:val="0"/>
      <w:marRight w:val="0"/>
      <w:marTop w:val="0"/>
      <w:marBottom w:val="0"/>
      <w:divBdr>
        <w:top w:val="none" w:sz="0" w:space="0" w:color="auto"/>
        <w:left w:val="none" w:sz="0" w:space="0" w:color="auto"/>
        <w:bottom w:val="none" w:sz="0" w:space="0" w:color="auto"/>
        <w:right w:val="none" w:sz="0" w:space="0" w:color="auto"/>
      </w:divBdr>
    </w:div>
    <w:div w:id="1315723758">
      <w:bodyDiv w:val="1"/>
      <w:marLeft w:val="0"/>
      <w:marRight w:val="0"/>
      <w:marTop w:val="0"/>
      <w:marBottom w:val="0"/>
      <w:divBdr>
        <w:top w:val="none" w:sz="0" w:space="0" w:color="auto"/>
        <w:left w:val="none" w:sz="0" w:space="0" w:color="auto"/>
        <w:bottom w:val="none" w:sz="0" w:space="0" w:color="auto"/>
        <w:right w:val="none" w:sz="0" w:space="0" w:color="auto"/>
      </w:divBdr>
    </w:div>
    <w:div w:id="1557549547">
      <w:bodyDiv w:val="1"/>
      <w:marLeft w:val="0"/>
      <w:marRight w:val="0"/>
      <w:marTop w:val="0"/>
      <w:marBottom w:val="0"/>
      <w:divBdr>
        <w:top w:val="none" w:sz="0" w:space="0" w:color="auto"/>
        <w:left w:val="none" w:sz="0" w:space="0" w:color="auto"/>
        <w:bottom w:val="none" w:sz="0" w:space="0" w:color="auto"/>
        <w:right w:val="none" w:sz="0" w:space="0" w:color="auto"/>
      </w:divBdr>
    </w:div>
    <w:div w:id="1563247430">
      <w:bodyDiv w:val="1"/>
      <w:marLeft w:val="0"/>
      <w:marRight w:val="0"/>
      <w:marTop w:val="0"/>
      <w:marBottom w:val="0"/>
      <w:divBdr>
        <w:top w:val="none" w:sz="0" w:space="0" w:color="auto"/>
        <w:left w:val="none" w:sz="0" w:space="0" w:color="auto"/>
        <w:bottom w:val="none" w:sz="0" w:space="0" w:color="auto"/>
        <w:right w:val="none" w:sz="0" w:space="0" w:color="auto"/>
      </w:divBdr>
    </w:div>
    <w:div w:id="1575776396">
      <w:bodyDiv w:val="1"/>
      <w:marLeft w:val="0"/>
      <w:marRight w:val="0"/>
      <w:marTop w:val="0"/>
      <w:marBottom w:val="0"/>
      <w:divBdr>
        <w:top w:val="none" w:sz="0" w:space="0" w:color="auto"/>
        <w:left w:val="none" w:sz="0" w:space="0" w:color="auto"/>
        <w:bottom w:val="none" w:sz="0" w:space="0" w:color="auto"/>
        <w:right w:val="none" w:sz="0" w:space="0" w:color="auto"/>
      </w:divBdr>
    </w:div>
    <w:div w:id="1582135851">
      <w:bodyDiv w:val="1"/>
      <w:marLeft w:val="0"/>
      <w:marRight w:val="0"/>
      <w:marTop w:val="0"/>
      <w:marBottom w:val="0"/>
      <w:divBdr>
        <w:top w:val="none" w:sz="0" w:space="0" w:color="auto"/>
        <w:left w:val="none" w:sz="0" w:space="0" w:color="auto"/>
        <w:bottom w:val="none" w:sz="0" w:space="0" w:color="auto"/>
        <w:right w:val="none" w:sz="0" w:space="0" w:color="auto"/>
      </w:divBdr>
    </w:div>
    <w:div w:id="1658919597">
      <w:bodyDiv w:val="1"/>
      <w:marLeft w:val="0"/>
      <w:marRight w:val="0"/>
      <w:marTop w:val="0"/>
      <w:marBottom w:val="0"/>
      <w:divBdr>
        <w:top w:val="none" w:sz="0" w:space="0" w:color="auto"/>
        <w:left w:val="none" w:sz="0" w:space="0" w:color="auto"/>
        <w:bottom w:val="none" w:sz="0" w:space="0" w:color="auto"/>
        <w:right w:val="none" w:sz="0" w:space="0" w:color="auto"/>
      </w:divBdr>
    </w:div>
    <w:div w:id="1702433271">
      <w:bodyDiv w:val="1"/>
      <w:marLeft w:val="0"/>
      <w:marRight w:val="0"/>
      <w:marTop w:val="0"/>
      <w:marBottom w:val="0"/>
      <w:divBdr>
        <w:top w:val="none" w:sz="0" w:space="0" w:color="auto"/>
        <w:left w:val="none" w:sz="0" w:space="0" w:color="auto"/>
        <w:bottom w:val="none" w:sz="0" w:space="0" w:color="auto"/>
        <w:right w:val="none" w:sz="0" w:space="0" w:color="auto"/>
      </w:divBdr>
    </w:div>
    <w:div w:id="1754202394">
      <w:bodyDiv w:val="1"/>
      <w:marLeft w:val="0"/>
      <w:marRight w:val="0"/>
      <w:marTop w:val="0"/>
      <w:marBottom w:val="0"/>
      <w:divBdr>
        <w:top w:val="none" w:sz="0" w:space="0" w:color="auto"/>
        <w:left w:val="none" w:sz="0" w:space="0" w:color="auto"/>
        <w:bottom w:val="none" w:sz="0" w:space="0" w:color="auto"/>
        <w:right w:val="none" w:sz="0" w:space="0" w:color="auto"/>
      </w:divBdr>
    </w:div>
    <w:div w:id="1869677524">
      <w:bodyDiv w:val="1"/>
      <w:marLeft w:val="0"/>
      <w:marRight w:val="0"/>
      <w:marTop w:val="0"/>
      <w:marBottom w:val="0"/>
      <w:divBdr>
        <w:top w:val="none" w:sz="0" w:space="0" w:color="auto"/>
        <w:left w:val="none" w:sz="0" w:space="0" w:color="auto"/>
        <w:bottom w:val="none" w:sz="0" w:space="0" w:color="auto"/>
        <w:right w:val="none" w:sz="0" w:space="0" w:color="auto"/>
      </w:divBdr>
    </w:div>
    <w:div w:id="1888104769">
      <w:bodyDiv w:val="1"/>
      <w:marLeft w:val="0"/>
      <w:marRight w:val="0"/>
      <w:marTop w:val="0"/>
      <w:marBottom w:val="0"/>
      <w:divBdr>
        <w:top w:val="none" w:sz="0" w:space="0" w:color="auto"/>
        <w:left w:val="none" w:sz="0" w:space="0" w:color="auto"/>
        <w:bottom w:val="none" w:sz="0" w:space="0" w:color="auto"/>
        <w:right w:val="none" w:sz="0" w:space="0" w:color="auto"/>
      </w:divBdr>
    </w:div>
    <w:div w:id="1945923204">
      <w:bodyDiv w:val="1"/>
      <w:marLeft w:val="0"/>
      <w:marRight w:val="0"/>
      <w:marTop w:val="0"/>
      <w:marBottom w:val="0"/>
      <w:divBdr>
        <w:top w:val="none" w:sz="0" w:space="0" w:color="auto"/>
        <w:left w:val="none" w:sz="0" w:space="0" w:color="auto"/>
        <w:bottom w:val="none" w:sz="0" w:space="0" w:color="auto"/>
        <w:right w:val="none" w:sz="0" w:space="0" w:color="auto"/>
      </w:divBdr>
    </w:div>
    <w:div w:id="1949656717">
      <w:bodyDiv w:val="1"/>
      <w:marLeft w:val="0"/>
      <w:marRight w:val="0"/>
      <w:marTop w:val="0"/>
      <w:marBottom w:val="0"/>
      <w:divBdr>
        <w:top w:val="none" w:sz="0" w:space="0" w:color="auto"/>
        <w:left w:val="none" w:sz="0" w:space="0" w:color="auto"/>
        <w:bottom w:val="none" w:sz="0" w:space="0" w:color="auto"/>
        <w:right w:val="none" w:sz="0" w:space="0" w:color="auto"/>
      </w:divBdr>
    </w:div>
    <w:div w:id="1960646512">
      <w:bodyDiv w:val="1"/>
      <w:marLeft w:val="0"/>
      <w:marRight w:val="0"/>
      <w:marTop w:val="0"/>
      <w:marBottom w:val="0"/>
      <w:divBdr>
        <w:top w:val="none" w:sz="0" w:space="0" w:color="auto"/>
        <w:left w:val="none" w:sz="0" w:space="0" w:color="auto"/>
        <w:bottom w:val="none" w:sz="0" w:space="0" w:color="auto"/>
        <w:right w:val="none" w:sz="0" w:space="0" w:color="auto"/>
      </w:divBdr>
    </w:div>
    <w:div w:id="1990287768">
      <w:bodyDiv w:val="1"/>
      <w:marLeft w:val="0"/>
      <w:marRight w:val="0"/>
      <w:marTop w:val="0"/>
      <w:marBottom w:val="0"/>
      <w:divBdr>
        <w:top w:val="none" w:sz="0" w:space="0" w:color="auto"/>
        <w:left w:val="none" w:sz="0" w:space="0" w:color="auto"/>
        <w:bottom w:val="none" w:sz="0" w:space="0" w:color="auto"/>
        <w:right w:val="none" w:sz="0" w:space="0" w:color="auto"/>
      </w:divBdr>
    </w:div>
    <w:div w:id="2007900986">
      <w:bodyDiv w:val="1"/>
      <w:marLeft w:val="0"/>
      <w:marRight w:val="0"/>
      <w:marTop w:val="0"/>
      <w:marBottom w:val="0"/>
      <w:divBdr>
        <w:top w:val="none" w:sz="0" w:space="0" w:color="auto"/>
        <w:left w:val="none" w:sz="0" w:space="0" w:color="auto"/>
        <w:bottom w:val="none" w:sz="0" w:space="0" w:color="auto"/>
        <w:right w:val="none" w:sz="0" w:space="0" w:color="auto"/>
      </w:divBdr>
    </w:div>
    <w:div w:id="2039893254">
      <w:bodyDiv w:val="1"/>
      <w:marLeft w:val="0"/>
      <w:marRight w:val="0"/>
      <w:marTop w:val="0"/>
      <w:marBottom w:val="0"/>
      <w:divBdr>
        <w:top w:val="none" w:sz="0" w:space="0" w:color="auto"/>
        <w:left w:val="none" w:sz="0" w:space="0" w:color="auto"/>
        <w:bottom w:val="none" w:sz="0" w:space="0" w:color="auto"/>
        <w:right w:val="none" w:sz="0" w:space="0" w:color="auto"/>
      </w:divBdr>
    </w:div>
    <w:div w:id="2066756764">
      <w:bodyDiv w:val="1"/>
      <w:marLeft w:val="0"/>
      <w:marRight w:val="0"/>
      <w:marTop w:val="0"/>
      <w:marBottom w:val="0"/>
      <w:divBdr>
        <w:top w:val="none" w:sz="0" w:space="0" w:color="auto"/>
        <w:left w:val="none" w:sz="0" w:space="0" w:color="auto"/>
        <w:bottom w:val="none" w:sz="0" w:space="0" w:color="auto"/>
        <w:right w:val="none" w:sz="0" w:space="0" w:color="auto"/>
      </w:divBdr>
    </w:div>
    <w:div w:id="2091073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amp.gov.md/aim/viewActivityPreview.do~public=true~pageId=2~activityId=12217~language=ro" TargetMode="External"/><Relationship Id="rId2" Type="http://schemas.openxmlformats.org/officeDocument/2006/relationships/hyperlink" Target="https://mei.gov.md/sites/default/files/matricea_proiectelor_de_asistenta_externa_pe_domeniul_economic_2019_ro.docx" TargetMode="External"/><Relationship Id="rId1" Type="http://schemas.openxmlformats.org/officeDocument/2006/relationships/hyperlink" Target="https://www.climatelinks.org/resources/leds-practice-promote-gender-equality-realize-benefits-low-emission-development" TargetMode="External"/><Relationship Id="rId6" Type="http://schemas.openxmlformats.org/officeDocument/2006/relationships/hyperlink" Target="https://www.md.undp.org/content/moldova/en/home/projects/Promotion-of-climate-change-disaster-risk-reduction.html" TargetMode="External"/><Relationship Id="rId5" Type="http://schemas.openxmlformats.org/officeDocument/2006/relationships/hyperlink" Target="https://www.ucipifad.md/en/programe/programe-in-derulare/programul-rural-de-rezilienta-economico-climatica-incluziva-ifad-vi/" TargetMode="External"/><Relationship Id="rId4" Type="http://schemas.openxmlformats.org/officeDocument/2006/relationships/hyperlink" Target="https://www.ucipifad.md/en/programe/programe-in-derulare/proiectul-de-rezilienta-rurala-ifad-vii/"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oleObject" Target="file:///D:\Flasca\Scorpan\LEDS\2020\ONG\Emissions%20and%20Projections_BUR2_NDC2_LEDS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Flasca\Scorpan\LEDS\2020\ONG\Emissions%20and%20Projections_BUR2_NDC2_LEDS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Sheet2!$B$12</c:f>
              <c:strCache>
                <c:ptCount val="1"/>
                <c:pt idx="0">
                  <c:v>Total emisii</c:v>
                </c:pt>
              </c:strCache>
            </c:strRef>
          </c:tx>
          <c:spPr>
            <a:solidFill>
              <a:schemeClr val="accent1"/>
            </a:solidFill>
            <a:ln>
              <a:noFill/>
            </a:ln>
            <a:effectLst/>
          </c:spPr>
          <c:invertIfNegative val="0"/>
          <c:cat>
            <c:numRef>
              <c:f>Sheet2!$C$3:$AF$3</c:f>
              <c:numCache>
                <c:formatCode>0</c:formatCode>
                <c:ptCount val="30"/>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numCache>
            </c:numRef>
          </c:cat>
          <c:val>
            <c:numRef>
              <c:f>Sheet2!$C$12:$AF$12</c:f>
              <c:numCache>
                <c:formatCode>#,##0</c:formatCode>
                <c:ptCount val="30"/>
                <c:pt idx="0">
                  <c:v>45.348712786620986</c:v>
                </c:pt>
                <c:pt idx="1">
                  <c:v>39.125547479694376</c:v>
                </c:pt>
                <c:pt idx="2">
                  <c:v>31.269907489236985</c:v>
                </c:pt>
                <c:pt idx="3">
                  <c:v>24.523485954863105</c:v>
                </c:pt>
                <c:pt idx="4">
                  <c:v>21.174571030850501</c:v>
                </c:pt>
                <c:pt idx="5">
                  <c:v>17.7665634228374</c:v>
                </c:pt>
                <c:pt idx="6">
                  <c:v>17.553317245103923</c:v>
                </c:pt>
                <c:pt idx="7">
                  <c:v>15.877254596121112</c:v>
                </c:pt>
                <c:pt idx="8">
                  <c:v>14.229160337814168</c:v>
                </c:pt>
                <c:pt idx="9">
                  <c:v>11.951054849708182</c:v>
                </c:pt>
                <c:pt idx="10">
                  <c:v>11.03908383297639</c:v>
                </c:pt>
                <c:pt idx="11">
                  <c:v>11.73648152000734</c:v>
                </c:pt>
                <c:pt idx="12">
                  <c:v>11.639221577383372</c:v>
                </c:pt>
                <c:pt idx="13">
                  <c:v>12.073262105093564</c:v>
                </c:pt>
                <c:pt idx="14">
                  <c:v>12.631027667511008</c:v>
                </c:pt>
                <c:pt idx="15">
                  <c:v>13.025231023006892</c:v>
                </c:pt>
                <c:pt idx="16">
                  <c:v>12.216319180446197</c:v>
                </c:pt>
                <c:pt idx="17">
                  <c:v>12.221967951698524</c:v>
                </c:pt>
                <c:pt idx="18">
                  <c:v>12.696358747474891</c:v>
                </c:pt>
                <c:pt idx="19">
                  <c:v>12.669770533652134</c:v>
                </c:pt>
                <c:pt idx="20">
                  <c:v>13.333111487192179</c:v>
                </c:pt>
                <c:pt idx="21">
                  <c:v>13.759484600620828</c:v>
                </c:pt>
                <c:pt idx="22">
                  <c:v>13.234928338752319</c:v>
                </c:pt>
                <c:pt idx="23">
                  <c:v>13.043882094286724</c:v>
                </c:pt>
                <c:pt idx="24">
                  <c:v>13.173003276894306</c:v>
                </c:pt>
                <c:pt idx="25">
                  <c:v>13.199627977806303</c:v>
                </c:pt>
                <c:pt idx="26">
                  <c:v>13.503483811396395</c:v>
                </c:pt>
                <c:pt idx="27">
                  <c:v>13.244460870121108</c:v>
                </c:pt>
                <c:pt idx="28">
                  <c:v>13.90776768676591</c:v>
                </c:pt>
                <c:pt idx="29">
                  <c:v>13.809976980543466</c:v>
                </c:pt>
              </c:numCache>
            </c:numRef>
          </c:val>
          <c:extLst>
            <c:ext xmlns:c16="http://schemas.microsoft.com/office/drawing/2014/chart" uri="{C3380CC4-5D6E-409C-BE32-E72D297353CC}">
              <c16:uniqueId val="{00000000-9EC1-4262-BF74-969BE1A8B9F9}"/>
            </c:ext>
          </c:extLst>
        </c:ser>
        <c:ser>
          <c:idx val="1"/>
          <c:order val="1"/>
          <c:tx>
            <c:strRef>
              <c:f>Sheet2!$B$13</c:f>
              <c:strCache>
                <c:ptCount val="1"/>
                <c:pt idx="0">
                  <c:v>Total sechestrări</c:v>
                </c:pt>
              </c:strCache>
            </c:strRef>
          </c:tx>
          <c:spPr>
            <a:solidFill>
              <a:srgbClr val="00B050"/>
            </a:solidFill>
            <a:ln>
              <a:noFill/>
            </a:ln>
            <a:effectLst/>
          </c:spPr>
          <c:invertIfNegative val="0"/>
          <c:cat>
            <c:numRef>
              <c:f>Sheet2!$C$3:$AF$3</c:f>
              <c:numCache>
                <c:formatCode>0</c:formatCode>
                <c:ptCount val="30"/>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numCache>
            </c:numRef>
          </c:cat>
          <c:val>
            <c:numRef>
              <c:f>Sheet2!$C$13:$AF$13</c:f>
              <c:numCache>
                <c:formatCode>#,##0</c:formatCode>
                <c:ptCount val="30"/>
                <c:pt idx="0">
                  <c:v>-1.3878168712559873</c:v>
                </c:pt>
                <c:pt idx="1">
                  <c:v>-2.4530969032829177</c:v>
                </c:pt>
                <c:pt idx="2">
                  <c:v>-1.8463532414574089</c:v>
                </c:pt>
                <c:pt idx="3">
                  <c:v>-1.8691446905308677</c:v>
                </c:pt>
                <c:pt idx="4">
                  <c:v>-1.803186347763585</c:v>
                </c:pt>
                <c:pt idx="5">
                  <c:v>-1.7615693438065256</c:v>
                </c:pt>
                <c:pt idx="6">
                  <c:v>-2.2070417722594144</c:v>
                </c:pt>
                <c:pt idx="7">
                  <c:v>-1.8446960588232704</c:v>
                </c:pt>
                <c:pt idx="8">
                  <c:v>-1.8638887615876518</c:v>
                </c:pt>
                <c:pt idx="9">
                  <c:v>-1.5728134791719262</c:v>
                </c:pt>
                <c:pt idx="10">
                  <c:v>-1.853898974410751</c:v>
                </c:pt>
                <c:pt idx="11">
                  <c:v>-1.4988419384905642</c:v>
                </c:pt>
                <c:pt idx="12">
                  <c:v>-1.5862111142372686</c:v>
                </c:pt>
                <c:pt idx="13">
                  <c:v>-1.5165502573193721</c:v>
                </c:pt>
                <c:pt idx="14">
                  <c:v>-1.6901801094269497</c:v>
                </c:pt>
                <c:pt idx="15">
                  <c:v>-1.3959593771947039</c:v>
                </c:pt>
                <c:pt idx="16">
                  <c:v>-1.5190363641674312</c:v>
                </c:pt>
                <c:pt idx="17">
                  <c:v>-1.7149006366959321</c:v>
                </c:pt>
                <c:pt idx="18">
                  <c:v>-1.4094275776146989</c:v>
                </c:pt>
                <c:pt idx="19">
                  <c:v>-1.0206908473626266</c:v>
                </c:pt>
                <c:pt idx="20">
                  <c:v>-0.95392846543256993</c:v>
                </c:pt>
                <c:pt idx="21">
                  <c:v>-0.89596847399460722</c:v>
                </c:pt>
                <c:pt idx="22">
                  <c:v>-0.92681058969344776</c:v>
                </c:pt>
                <c:pt idx="23">
                  <c:v>-0.79756096056960313</c:v>
                </c:pt>
                <c:pt idx="24">
                  <c:v>-0.44888425888845884</c:v>
                </c:pt>
                <c:pt idx="25">
                  <c:v>-0.90349220475417813</c:v>
                </c:pt>
                <c:pt idx="26">
                  <c:v>-0.65755796751923301</c:v>
                </c:pt>
                <c:pt idx="27">
                  <c:v>-0.71379885103725083</c:v>
                </c:pt>
                <c:pt idx="28">
                  <c:v>-0.56008832298196276</c:v>
                </c:pt>
                <c:pt idx="29">
                  <c:v>0.29578691318035655</c:v>
                </c:pt>
              </c:numCache>
            </c:numRef>
          </c:val>
          <c:extLst>
            <c:ext xmlns:c16="http://schemas.microsoft.com/office/drawing/2014/chart" uri="{C3380CC4-5D6E-409C-BE32-E72D297353CC}">
              <c16:uniqueId val="{00000001-9EC1-4262-BF74-969BE1A8B9F9}"/>
            </c:ext>
          </c:extLst>
        </c:ser>
        <c:ser>
          <c:idx val="2"/>
          <c:order val="2"/>
          <c:tx>
            <c:strRef>
              <c:f>Sheet2!$B$14</c:f>
              <c:strCache>
                <c:ptCount val="1"/>
                <c:pt idx="0">
                  <c:v>Emisii nete</c:v>
                </c:pt>
              </c:strCache>
            </c:strRef>
          </c:tx>
          <c:spPr>
            <a:solidFill>
              <a:srgbClr val="FFC000"/>
            </a:solidFill>
            <a:ln>
              <a:noFill/>
            </a:ln>
            <a:effectLst/>
          </c:spPr>
          <c:invertIfNegative val="0"/>
          <c:cat>
            <c:numRef>
              <c:f>Sheet2!$C$3:$AF$3</c:f>
              <c:numCache>
                <c:formatCode>0</c:formatCode>
                <c:ptCount val="30"/>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numCache>
            </c:numRef>
          </c:cat>
          <c:val>
            <c:numRef>
              <c:f>Sheet2!$C$14:$AF$14</c:f>
              <c:numCache>
                <c:formatCode>#,##0</c:formatCode>
                <c:ptCount val="30"/>
                <c:pt idx="0">
                  <c:v>43.960895915365001</c:v>
                </c:pt>
                <c:pt idx="1">
                  <c:v>36.672450576411457</c:v>
                </c:pt>
                <c:pt idx="2">
                  <c:v>29.423554247779578</c:v>
                </c:pt>
                <c:pt idx="3">
                  <c:v>22.654341264332238</c:v>
                </c:pt>
                <c:pt idx="4">
                  <c:v>19.371384683086916</c:v>
                </c:pt>
                <c:pt idx="5">
                  <c:v>16.004994079030876</c:v>
                </c:pt>
                <c:pt idx="6">
                  <c:v>15.346275472844509</c:v>
                </c:pt>
                <c:pt idx="7">
                  <c:v>14.032558537297842</c:v>
                </c:pt>
                <c:pt idx="8">
                  <c:v>12.365271576226515</c:v>
                </c:pt>
                <c:pt idx="9">
                  <c:v>10.378241370536257</c:v>
                </c:pt>
                <c:pt idx="10">
                  <c:v>9.1851848585656395</c:v>
                </c:pt>
                <c:pt idx="11">
                  <c:v>10.237639581516774</c:v>
                </c:pt>
                <c:pt idx="12">
                  <c:v>10.053010463146103</c:v>
                </c:pt>
                <c:pt idx="13">
                  <c:v>10.556711847774192</c:v>
                </c:pt>
                <c:pt idx="14">
                  <c:v>10.940847558084057</c:v>
                </c:pt>
                <c:pt idx="15">
                  <c:v>11.629271645812189</c:v>
                </c:pt>
                <c:pt idx="16">
                  <c:v>10.697282816278765</c:v>
                </c:pt>
                <c:pt idx="17">
                  <c:v>10.507067315002592</c:v>
                </c:pt>
                <c:pt idx="18">
                  <c:v>11.286931169860193</c:v>
                </c:pt>
                <c:pt idx="19">
                  <c:v>11.649079686289507</c:v>
                </c:pt>
                <c:pt idx="20">
                  <c:v>12.379183021759609</c:v>
                </c:pt>
                <c:pt idx="21">
                  <c:v>12.863516126626219</c:v>
                </c:pt>
                <c:pt idx="22">
                  <c:v>12.308117749058871</c:v>
                </c:pt>
                <c:pt idx="23">
                  <c:v>12.246321133717121</c:v>
                </c:pt>
                <c:pt idx="24">
                  <c:v>12.724119018005847</c:v>
                </c:pt>
                <c:pt idx="25">
                  <c:v>12.296135773052125</c:v>
                </c:pt>
                <c:pt idx="26">
                  <c:v>12.845925843877161</c:v>
                </c:pt>
                <c:pt idx="27">
                  <c:v>12.530662019083856</c:v>
                </c:pt>
                <c:pt idx="28">
                  <c:v>13.347679363783948</c:v>
                </c:pt>
                <c:pt idx="29">
                  <c:v>14.105763893723822</c:v>
                </c:pt>
              </c:numCache>
            </c:numRef>
          </c:val>
          <c:extLst>
            <c:ext xmlns:c16="http://schemas.microsoft.com/office/drawing/2014/chart" uri="{C3380CC4-5D6E-409C-BE32-E72D297353CC}">
              <c16:uniqueId val="{00000002-9EC1-4262-BF74-969BE1A8B9F9}"/>
            </c:ext>
          </c:extLst>
        </c:ser>
        <c:dLbls>
          <c:showLegendKey val="0"/>
          <c:showVal val="0"/>
          <c:showCatName val="0"/>
          <c:showSerName val="0"/>
          <c:showPercent val="0"/>
          <c:showBubbleSize val="0"/>
        </c:dLbls>
        <c:gapWidth val="219"/>
        <c:overlap val="-27"/>
        <c:axId val="-425492320"/>
        <c:axId val="-425493952"/>
      </c:barChart>
      <c:catAx>
        <c:axId val="-425492320"/>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o-RO"/>
          </a:p>
        </c:txPr>
        <c:crossAx val="-425493952"/>
        <c:crosses val="autoZero"/>
        <c:auto val="1"/>
        <c:lblAlgn val="ctr"/>
        <c:lblOffset val="100"/>
        <c:noMultiLvlLbl val="0"/>
      </c:catAx>
      <c:valAx>
        <c:axId val="-4254939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Mt CO</a:t>
                </a:r>
                <a:r>
                  <a:rPr lang="en-US" baseline="-25000"/>
                  <a:t>2</a:t>
                </a:r>
                <a:r>
                  <a:rPr lang="en-US"/>
                  <a:t> echivalent</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o-RO"/>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o-RO"/>
          </a:p>
        </c:txPr>
        <c:crossAx val="-4254923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o-RO"/>
        </a:p>
      </c:txPr>
    </c:legend>
    <c:plotVisOnly val="1"/>
    <c:dispBlanksAs val="gap"/>
    <c:showDLblsOverMax val="0"/>
  </c:chart>
  <c:spPr>
    <a:solidFill>
      <a:schemeClr val="bg1"/>
    </a:solidFill>
    <a:ln w="9525" cap="flat" cmpd="sng" algn="ctr">
      <a:noFill/>
      <a:round/>
    </a:ln>
    <a:effectLst/>
  </c:spPr>
  <c:txPr>
    <a:bodyPr/>
    <a:lstStyle/>
    <a:p>
      <a:pPr>
        <a:defRPr sz="700">
          <a:latin typeface="Times New Roman" panose="02020603050405020304" pitchFamily="18" charset="0"/>
          <a:cs typeface="Times New Roman" panose="02020603050405020304" pitchFamily="18" charset="0"/>
        </a:defRPr>
      </a:pPr>
      <a:endParaRPr lang="ro-RO"/>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TOTAL!$A$606</c:f>
              <c:strCache>
                <c:ptCount val="1"/>
                <c:pt idx="0">
                  <c:v>Energetic</c:v>
                </c:pt>
              </c:strCache>
            </c:strRef>
          </c:tx>
          <c:invertIfNegative val="0"/>
          <c:cat>
            <c:numRef>
              <c:f>TOTAL!$C$604:$E$604</c:f>
              <c:numCache>
                <c:formatCode>General</c:formatCode>
                <c:ptCount val="3"/>
                <c:pt idx="0">
                  <c:v>1990</c:v>
                </c:pt>
                <c:pt idx="1">
                  <c:v>2025</c:v>
                </c:pt>
                <c:pt idx="2">
                  <c:v>2030</c:v>
                </c:pt>
              </c:numCache>
            </c:numRef>
          </c:cat>
          <c:val>
            <c:numRef>
              <c:f>TOTAL!$C$606:$E$606</c:f>
              <c:numCache>
                <c:formatCode>0</c:formatCode>
                <c:ptCount val="3"/>
                <c:pt idx="0">
                  <c:v>21308.205649228923</c:v>
                </c:pt>
                <c:pt idx="1">
                  <c:v>3624.2661542070223</c:v>
                </c:pt>
                <c:pt idx="2">
                  <c:v>4013.6385742628026</c:v>
                </c:pt>
              </c:numCache>
            </c:numRef>
          </c:val>
          <c:extLst>
            <c:ext xmlns:c16="http://schemas.microsoft.com/office/drawing/2014/chart" uri="{C3380CC4-5D6E-409C-BE32-E72D297353CC}">
              <c16:uniqueId val="{00000000-F34E-414B-832E-537E5D45A4AD}"/>
            </c:ext>
          </c:extLst>
        </c:ser>
        <c:ser>
          <c:idx val="1"/>
          <c:order val="1"/>
          <c:tx>
            <c:strRef>
              <c:f>TOTAL!$A$607</c:f>
              <c:strCache>
                <c:ptCount val="1"/>
                <c:pt idx="0">
                  <c:v>Transporturi</c:v>
                </c:pt>
              </c:strCache>
            </c:strRef>
          </c:tx>
          <c:invertIfNegative val="0"/>
          <c:cat>
            <c:numRef>
              <c:f>TOTAL!$C$604:$E$604</c:f>
              <c:numCache>
                <c:formatCode>General</c:formatCode>
                <c:ptCount val="3"/>
                <c:pt idx="0">
                  <c:v>1990</c:v>
                </c:pt>
                <c:pt idx="1">
                  <c:v>2025</c:v>
                </c:pt>
                <c:pt idx="2">
                  <c:v>2030</c:v>
                </c:pt>
              </c:numCache>
            </c:numRef>
          </c:cat>
          <c:val>
            <c:numRef>
              <c:f>TOTAL!$C$607:$E$607</c:f>
              <c:numCache>
                <c:formatCode>0</c:formatCode>
                <c:ptCount val="3"/>
                <c:pt idx="0">
                  <c:v>4479.4542487781118</c:v>
                </c:pt>
                <c:pt idx="1">
                  <c:v>1965.9</c:v>
                </c:pt>
                <c:pt idx="2">
                  <c:v>2150.1999999999998</c:v>
                </c:pt>
              </c:numCache>
            </c:numRef>
          </c:val>
          <c:extLst>
            <c:ext xmlns:c16="http://schemas.microsoft.com/office/drawing/2014/chart" uri="{C3380CC4-5D6E-409C-BE32-E72D297353CC}">
              <c16:uniqueId val="{00000001-F34E-414B-832E-537E5D45A4AD}"/>
            </c:ext>
          </c:extLst>
        </c:ser>
        <c:ser>
          <c:idx val="2"/>
          <c:order val="2"/>
          <c:tx>
            <c:strRef>
              <c:f>TOTAL!$A$608</c:f>
              <c:strCache>
                <c:ptCount val="1"/>
                <c:pt idx="0">
                  <c:v>Clădiri</c:v>
                </c:pt>
              </c:strCache>
            </c:strRef>
          </c:tx>
          <c:invertIfNegative val="0"/>
          <c:cat>
            <c:numRef>
              <c:f>TOTAL!$C$604:$E$604</c:f>
              <c:numCache>
                <c:formatCode>General</c:formatCode>
                <c:ptCount val="3"/>
                <c:pt idx="0">
                  <c:v>1990</c:v>
                </c:pt>
                <c:pt idx="1">
                  <c:v>2025</c:v>
                </c:pt>
                <c:pt idx="2">
                  <c:v>2030</c:v>
                </c:pt>
              </c:numCache>
            </c:numRef>
          </c:cat>
          <c:val>
            <c:numRef>
              <c:f>TOTAL!$C$608:$E$608</c:f>
              <c:numCache>
                <c:formatCode>0</c:formatCode>
                <c:ptCount val="3"/>
                <c:pt idx="0">
                  <c:v>9902.1220475093287</c:v>
                </c:pt>
                <c:pt idx="1">
                  <c:v>2402.71</c:v>
                </c:pt>
                <c:pt idx="2">
                  <c:v>2538.14</c:v>
                </c:pt>
              </c:numCache>
            </c:numRef>
          </c:val>
          <c:extLst>
            <c:ext xmlns:c16="http://schemas.microsoft.com/office/drawing/2014/chart" uri="{C3380CC4-5D6E-409C-BE32-E72D297353CC}">
              <c16:uniqueId val="{00000002-F34E-414B-832E-537E5D45A4AD}"/>
            </c:ext>
          </c:extLst>
        </c:ser>
        <c:ser>
          <c:idx val="3"/>
          <c:order val="3"/>
          <c:tx>
            <c:strRef>
              <c:f>TOTAL!$A$609</c:f>
              <c:strCache>
                <c:ptCount val="1"/>
                <c:pt idx="0">
                  <c:v>Industrial </c:v>
                </c:pt>
              </c:strCache>
            </c:strRef>
          </c:tx>
          <c:invertIfNegative val="0"/>
          <c:cat>
            <c:numRef>
              <c:f>TOTAL!$C$604:$E$604</c:f>
              <c:numCache>
                <c:formatCode>General</c:formatCode>
                <c:ptCount val="3"/>
                <c:pt idx="0">
                  <c:v>1990</c:v>
                </c:pt>
                <c:pt idx="1">
                  <c:v>2025</c:v>
                </c:pt>
                <c:pt idx="2">
                  <c:v>2030</c:v>
                </c:pt>
              </c:numCache>
            </c:numRef>
          </c:cat>
          <c:val>
            <c:numRef>
              <c:f>TOTAL!$C$609:$E$609</c:f>
              <c:numCache>
                <c:formatCode>0</c:formatCode>
                <c:ptCount val="3"/>
                <c:pt idx="0">
                  <c:v>1572.3201735215887</c:v>
                </c:pt>
                <c:pt idx="1">
                  <c:v>1035.5368999999998</c:v>
                </c:pt>
                <c:pt idx="2">
                  <c:v>1144.2629999999999</c:v>
                </c:pt>
              </c:numCache>
            </c:numRef>
          </c:val>
          <c:extLst>
            <c:ext xmlns:c16="http://schemas.microsoft.com/office/drawing/2014/chart" uri="{C3380CC4-5D6E-409C-BE32-E72D297353CC}">
              <c16:uniqueId val="{00000003-F34E-414B-832E-537E5D45A4AD}"/>
            </c:ext>
          </c:extLst>
        </c:ser>
        <c:ser>
          <c:idx val="4"/>
          <c:order val="4"/>
          <c:tx>
            <c:strRef>
              <c:f>TOTAL!$A$610</c:f>
              <c:strCache>
                <c:ptCount val="1"/>
                <c:pt idx="0">
                  <c:v>Agricol</c:v>
                </c:pt>
              </c:strCache>
            </c:strRef>
          </c:tx>
          <c:invertIfNegative val="0"/>
          <c:cat>
            <c:numRef>
              <c:f>TOTAL!$C$604:$E$604</c:f>
              <c:numCache>
                <c:formatCode>General</c:formatCode>
                <c:ptCount val="3"/>
                <c:pt idx="0">
                  <c:v>1990</c:v>
                </c:pt>
                <c:pt idx="1">
                  <c:v>2025</c:v>
                </c:pt>
                <c:pt idx="2">
                  <c:v>2030</c:v>
                </c:pt>
              </c:numCache>
            </c:numRef>
          </c:cat>
          <c:val>
            <c:numRef>
              <c:f>TOTAL!$C$610:$E$610</c:f>
              <c:numCache>
                <c:formatCode>0</c:formatCode>
                <c:ptCount val="3"/>
                <c:pt idx="0">
                  <c:v>5220.5739797519454</c:v>
                </c:pt>
                <c:pt idx="1">
                  <c:v>2702.9129000000003</c:v>
                </c:pt>
                <c:pt idx="2">
                  <c:v>2928.9163999999996</c:v>
                </c:pt>
              </c:numCache>
            </c:numRef>
          </c:val>
          <c:extLst>
            <c:ext xmlns:c16="http://schemas.microsoft.com/office/drawing/2014/chart" uri="{C3380CC4-5D6E-409C-BE32-E72D297353CC}">
              <c16:uniqueId val="{00000004-F34E-414B-832E-537E5D45A4AD}"/>
            </c:ext>
          </c:extLst>
        </c:ser>
        <c:ser>
          <c:idx val="5"/>
          <c:order val="5"/>
          <c:tx>
            <c:strRef>
              <c:f>TOTAL!$A$611</c:f>
              <c:strCache>
                <c:ptCount val="1"/>
                <c:pt idx="0">
                  <c:v>FTSCFTS</c:v>
                </c:pt>
              </c:strCache>
            </c:strRef>
          </c:tx>
          <c:invertIfNegative val="0"/>
          <c:cat>
            <c:numRef>
              <c:f>TOTAL!$C$604:$E$604</c:f>
              <c:numCache>
                <c:formatCode>General</c:formatCode>
                <c:ptCount val="3"/>
                <c:pt idx="0">
                  <c:v>1990</c:v>
                </c:pt>
                <c:pt idx="1">
                  <c:v>2025</c:v>
                </c:pt>
                <c:pt idx="2">
                  <c:v>2030</c:v>
                </c:pt>
              </c:numCache>
            </c:numRef>
          </c:cat>
          <c:val>
            <c:numRef>
              <c:f>TOTAL!$C$611:$E$611</c:f>
              <c:numCache>
                <c:formatCode>0</c:formatCode>
                <c:ptCount val="3"/>
                <c:pt idx="0">
                  <c:v>-1527.584568247895</c:v>
                </c:pt>
                <c:pt idx="1">
                  <c:v>-1023.7824478268925</c:v>
                </c:pt>
                <c:pt idx="2">
                  <c:v>-1686.082447826893</c:v>
                </c:pt>
              </c:numCache>
            </c:numRef>
          </c:val>
          <c:extLst>
            <c:ext xmlns:c16="http://schemas.microsoft.com/office/drawing/2014/chart" uri="{C3380CC4-5D6E-409C-BE32-E72D297353CC}">
              <c16:uniqueId val="{00000005-F34E-414B-832E-537E5D45A4AD}"/>
            </c:ext>
          </c:extLst>
        </c:ser>
        <c:ser>
          <c:idx val="6"/>
          <c:order val="6"/>
          <c:tx>
            <c:strRef>
              <c:f>TOTAL!$A$612</c:f>
              <c:strCache>
                <c:ptCount val="1"/>
                <c:pt idx="0">
                  <c:v>Deşeuri</c:v>
                </c:pt>
              </c:strCache>
            </c:strRef>
          </c:tx>
          <c:invertIfNegative val="0"/>
          <c:cat>
            <c:numRef>
              <c:f>TOTAL!$C$604:$E$604</c:f>
              <c:numCache>
                <c:formatCode>General</c:formatCode>
                <c:ptCount val="3"/>
                <c:pt idx="0">
                  <c:v>1990</c:v>
                </c:pt>
                <c:pt idx="1">
                  <c:v>2025</c:v>
                </c:pt>
                <c:pt idx="2">
                  <c:v>2030</c:v>
                </c:pt>
              </c:numCache>
            </c:numRef>
          </c:cat>
          <c:val>
            <c:numRef>
              <c:f>TOTAL!$C$612:$E$612</c:f>
              <c:numCache>
                <c:formatCode>0</c:formatCode>
                <c:ptCount val="3"/>
                <c:pt idx="0">
                  <c:v>1515.3695300671143</c:v>
                </c:pt>
                <c:pt idx="1">
                  <c:v>1273.1809571198305</c:v>
                </c:pt>
                <c:pt idx="2">
                  <c:v>1309.0474538902081</c:v>
                </c:pt>
              </c:numCache>
            </c:numRef>
          </c:val>
          <c:extLst>
            <c:ext xmlns:c16="http://schemas.microsoft.com/office/drawing/2014/chart" uri="{C3380CC4-5D6E-409C-BE32-E72D297353CC}">
              <c16:uniqueId val="{00000006-F34E-414B-832E-537E5D45A4AD}"/>
            </c:ext>
          </c:extLst>
        </c:ser>
        <c:dLbls>
          <c:showLegendKey val="0"/>
          <c:showVal val="0"/>
          <c:showCatName val="0"/>
          <c:showSerName val="0"/>
          <c:showPercent val="0"/>
          <c:showBubbleSize val="0"/>
        </c:dLbls>
        <c:gapWidth val="150"/>
        <c:axId val="-425490144"/>
        <c:axId val="-425493408"/>
      </c:barChart>
      <c:catAx>
        <c:axId val="-425490144"/>
        <c:scaling>
          <c:orientation val="minMax"/>
        </c:scaling>
        <c:delete val="0"/>
        <c:axPos val="b"/>
        <c:numFmt formatCode="General" sourceLinked="1"/>
        <c:majorTickMark val="out"/>
        <c:minorTickMark val="none"/>
        <c:tickLblPos val="nextTo"/>
        <c:crossAx val="-425493408"/>
        <c:crosses val="autoZero"/>
        <c:auto val="1"/>
        <c:lblAlgn val="ctr"/>
        <c:lblOffset val="100"/>
        <c:noMultiLvlLbl val="0"/>
      </c:catAx>
      <c:valAx>
        <c:axId val="-425493408"/>
        <c:scaling>
          <c:orientation val="minMax"/>
        </c:scaling>
        <c:delete val="0"/>
        <c:axPos val="l"/>
        <c:majorGridlines/>
        <c:numFmt formatCode="0" sourceLinked="1"/>
        <c:majorTickMark val="out"/>
        <c:minorTickMark val="none"/>
        <c:tickLblPos val="nextTo"/>
        <c:crossAx val="-425490144"/>
        <c:crosses val="autoZero"/>
        <c:crossBetween val="between"/>
      </c:valAx>
    </c:plotArea>
    <c:legend>
      <c:legendPos val="r"/>
      <c:overlay val="0"/>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ro-RO"/>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TOTAL!$A$606</c:f>
              <c:strCache>
                <c:ptCount val="1"/>
                <c:pt idx="0">
                  <c:v>Energetic</c:v>
                </c:pt>
              </c:strCache>
            </c:strRef>
          </c:tx>
          <c:invertIfNegative val="0"/>
          <c:cat>
            <c:numRef>
              <c:f>TOTAL!$C$604:$E$604</c:f>
              <c:numCache>
                <c:formatCode>General</c:formatCode>
                <c:ptCount val="3"/>
                <c:pt idx="0">
                  <c:v>1990</c:v>
                </c:pt>
                <c:pt idx="1">
                  <c:v>2025</c:v>
                </c:pt>
                <c:pt idx="2">
                  <c:v>2030</c:v>
                </c:pt>
              </c:numCache>
            </c:numRef>
          </c:cat>
          <c:val>
            <c:numRef>
              <c:f>TOTAL!$C$616:$E$616</c:f>
              <c:numCache>
                <c:formatCode>0</c:formatCode>
                <c:ptCount val="3"/>
                <c:pt idx="0">
                  <c:v>21308.205649228923</c:v>
                </c:pt>
                <c:pt idx="1">
                  <c:v>2785.101694219039</c:v>
                </c:pt>
                <c:pt idx="2">
                  <c:v>2764.2283788077148</c:v>
                </c:pt>
              </c:numCache>
            </c:numRef>
          </c:val>
          <c:extLst>
            <c:ext xmlns:c16="http://schemas.microsoft.com/office/drawing/2014/chart" uri="{C3380CC4-5D6E-409C-BE32-E72D297353CC}">
              <c16:uniqueId val="{00000000-F1C5-4278-9E76-88B7546EA4F5}"/>
            </c:ext>
          </c:extLst>
        </c:ser>
        <c:ser>
          <c:idx val="1"/>
          <c:order val="1"/>
          <c:tx>
            <c:strRef>
              <c:f>TOTAL!$A$607</c:f>
              <c:strCache>
                <c:ptCount val="1"/>
                <c:pt idx="0">
                  <c:v>Transporturi</c:v>
                </c:pt>
              </c:strCache>
            </c:strRef>
          </c:tx>
          <c:invertIfNegative val="0"/>
          <c:cat>
            <c:numRef>
              <c:f>TOTAL!$C$604:$E$604</c:f>
              <c:numCache>
                <c:formatCode>General</c:formatCode>
                <c:ptCount val="3"/>
                <c:pt idx="0">
                  <c:v>1990</c:v>
                </c:pt>
                <c:pt idx="1">
                  <c:v>2025</c:v>
                </c:pt>
                <c:pt idx="2">
                  <c:v>2030</c:v>
                </c:pt>
              </c:numCache>
            </c:numRef>
          </c:cat>
          <c:val>
            <c:numRef>
              <c:f>TOTAL!$C$617:$E$617</c:f>
              <c:numCache>
                <c:formatCode>0</c:formatCode>
                <c:ptCount val="3"/>
                <c:pt idx="0">
                  <c:v>4479.4542487781118</c:v>
                </c:pt>
                <c:pt idx="1">
                  <c:v>1887.2</c:v>
                </c:pt>
                <c:pt idx="2">
                  <c:v>2026</c:v>
                </c:pt>
              </c:numCache>
            </c:numRef>
          </c:val>
          <c:extLst>
            <c:ext xmlns:c16="http://schemas.microsoft.com/office/drawing/2014/chart" uri="{C3380CC4-5D6E-409C-BE32-E72D297353CC}">
              <c16:uniqueId val="{00000001-F1C5-4278-9E76-88B7546EA4F5}"/>
            </c:ext>
          </c:extLst>
        </c:ser>
        <c:ser>
          <c:idx val="2"/>
          <c:order val="2"/>
          <c:tx>
            <c:strRef>
              <c:f>TOTAL!$A$608</c:f>
              <c:strCache>
                <c:ptCount val="1"/>
                <c:pt idx="0">
                  <c:v>Clădiri</c:v>
                </c:pt>
              </c:strCache>
            </c:strRef>
          </c:tx>
          <c:invertIfNegative val="0"/>
          <c:cat>
            <c:numRef>
              <c:f>TOTAL!$C$604:$E$604</c:f>
              <c:numCache>
                <c:formatCode>General</c:formatCode>
                <c:ptCount val="3"/>
                <c:pt idx="0">
                  <c:v>1990</c:v>
                </c:pt>
                <c:pt idx="1">
                  <c:v>2025</c:v>
                </c:pt>
                <c:pt idx="2">
                  <c:v>2030</c:v>
                </c:pt>
              </c:numCache>
            </c:numRef>
          </c:cat>
          <c:val>
            <c:numRef>
              <c:f>TOTAL!$C$618:$E$618</c:f>
              <c:numCache>
                <c:formatCode>0</c:formatCode>
                <c:ptCount val="3"/>
                <c:pt idx="0">
                  <c:v>9902.1220475093287</c:v>
                </c:pt>
                <c:pt idx="1">
                  <c:v>2150.37</c:v>
                </c:pt>
                <c:pt idx="2">
                  <c:v>2247.17</c:v>
                </c:pt>
              </c:numCache>
            </c:numRef>
          </c:val>
          <c:extLst>
            <c:ext xmlns:c16="http://schemas.microsoft.com/office/drawing/2014/chart" uri="{C3380CC4-5D6E-409C-BE32-E72D297353CC}">
              <c16:uniqueId val="{00000002-F1C5-4278-9E76-88B7546EA4F5}"/>
            </c:ext>
          </c:extLst>
        </c:ser>
        <c:ser>
          <c:idx val="3"/>
          <c:order val="3"/>
          <c:tx>
            <c:strRef>
              <c:f>TOTAL!$A$609</c:f>
              <c:strCache>
                <c:ptCount val="1"/>
                <c:pt idx="0">
                  <c:v>Industrial </c:v>
                </c:pt>
              </c:strCache>
            </c:strRef>
          </c:tx>
          <c:invertIfNegative val="0"/>
          <c:cat>
            <c:numRef>
              <c:f>TOTAL!$C$604:$E$604</c:f>
              <c:numCache>
                <c:formatCode>General</c:formatCode>
                <c:ptCount val="3"/>
                <c:pt idx="0">
                  <c:v>1990</c:v>
                </c:pt>
                <c:pt idx="1">
                  <c:v>2025</c:v>
                </c:pt>
                <c:pt idx="2">
                  <c:v>2030</c:v>
                </c:pt>
              </c:numCache>
            </c:numRef>
          </c:cat>
          <c:val>
            <c:numRef>
              <c:f>TOTAL!$C$619:$E$619</c:f>
              <c:numCache>
                <c:formatCode>0</c:formatCode>
                <c:ptCount val="3"/>
                <c:pt idx="0">
                  <c:v>1572.3201735215887</c:v>
                </c:pt>
                <c:pt idx="1">
                  <c:v>995.39749999999992</c:v>
                </c:pt>
                <c:pt idx="2">
                  <c:v>1080.2164</c:v>
                </c:pt>
              </c:numCache>
            </c:numRef>
          </c:val>
          <c:extLst>
            <c:ext xmlns:c16="http://schemas.microsoft.com/office/drawing/2014/chart" uri="{C3380CC4-5D6E-409C-BE32-E72D297353CC}">
              <c16:uniqueId val="{00000003-F1C5-4278-9E76-88B7546EA4F5}"/>
            </c:ext>
          </c:extLst>
        </c:ser>
        <c:ser>
          <c:idx val="4"/>
          <c:order val="4"/>
          <c:tx>
            <c:strRef>
              <c:f>TOTAL!$A$610</c:f>
              <c:strCache>
                <c:ptCount val="1"/>
                <c:pt idx="0">
                  <c:v>Agricol</c:v>
                </c:pt>
              </c:strCache>
            </c:strRef>
          </c:tx>
          <c:invertIfNegative val="0"/>
          <c:cat>
            <c:numRef>
              <c:f>TOTAL!$C$604:$E$604</c:f>
              <c:numCache>
                <c:formatCode>General</c:formatCode>
                <c:ptCount val="3"/>
                <c:pt idx="0">
                  <c:v>1990</c:v>
                </c:pt>
                <c:pt idx="1">
                  <c:v>2025</c:v>
                </c:pt>
                <c:pt idx="2">
                  <c:v>2030</c:v>
                </c:pt>
              </c:numCache>
            </c:numRef>
          </c:cat>
          <c:val>
            <c:numRef>
              <c:f>TOTAL!$C$620:$E$620</c:f>
              <c:numCache>
                <c:formatCode>0</c:formatCode>
                <c:ptCount val="3"/>
                <c:pt idx="0">
                  <c:v>5220.5739797519454</c:v>
                </c:pt>
                <c:pt idx="1">
                  <c:v>2596.8332999999998</c:v>
                </c:pt>
                <c:pt idx="2">
                  <c:v>2756.4103</c:v>
                </c:pt>
              </c:numCache>
            </c:numRef>
          </c:val>
          <c:extLst>
            <c:ext xmlns:c16="http://schemas.microsoft.com/office/drawing/2014/chart" uri="{C3380CC4-5D6E-409C-BE32-E72D297353CC}">
              <c16:uniqueId val="{00000004-F1C5-4278-9E76-88B7546EA4F5}"/>
            </c:ext>
          </c:extLst>
        </c:ser>
        <c:ser>
          <c:idx val="5"/>
          <c:order val="5"/>
          <c:tx>
            <c:strRef>
              <c:f>TOTAL!$A$611</c:f>
              <c:strCache>
                <c:ptCount val="1"/>
                <c:pt idx="0">
                  <c:v>FTSCFTS</c:v>
                </c:pt>
              </c:strCache>
            </c:strRef>
          </c:tx>
          <c:invertIfNegative val="0"/>
          <c:cat>
            <c:numRef>
              <c:f>TOTAL!$C$604:$E$604</c:f>
              <c:numCache>
                <c:formatCode>General</c:formatCode>
                <c:ptCount val="3"/>
                <c:pt idx="0">
                  <c:v>1990</c:v>
                </c:pt>
                <c:pt idx="1">
                  <c:v>2025</c:v>
                </c:pt>
                <c:pt idx="2">
                  <c:v>2030</c:v>
                </c:pt>
              </c:numCache>
            </c:numRef>
          </c:cat>
          <c:val>
            <c:numRef>
              <c:f>TOTAL!$C$621:$E$621</c:f>
              <c:numCache>
                <c:formatCode>0</c:formatCode>
                <c:ptCount val="3"/>
                <c:pt idx="0">
                  <c:v>-1527.584568247895</c:v>
                </c:pt>
                <c:pt idx="1">
                  <c:v>-4503.5824478268942</c:v>
                </c:pt>
                <c:pt idx="2">
                  <c:v>-7507.0824478268933</c:v>
                </c:pt>
              </c:numCache>
            </c:numRef>
          </c:val>
          <c:extLst>
            <c:ext xmlns:c16="http://schemas.microsoft.com/office/drawing/2014/chart" uri="{C3380CC4-5D6E-409C-BE32-E72D297353CC}">
              <c16:uniqueId val="{00000005-F1C5-4278-9E76-88B7546EA4F5}"/>
            </c:ext>
          </c:extLst>
        </c:ser>
        <c:ser>
          <c:idx val="6"/>
          <c:order val="6"/>
          <c:tx>
            <c:strRef>
              <c:f>TOTAL!$A$612</c:f>
              <c:strCache>
                <c:ptCount val="1"/>
                <c:pt idx="0">
                  <c:v>Deşeuri</c:v>
                </c:pt>
              </c:strCache>
            </c:strRef>
          </c:tx>
          <c:invertIfNegative val="0"/>
          <c:cat>
            <c:numRef>
              <c:f>TOTAL!$C$604:$E$604</c:f>
              <c:numCache>
                <c:formatCode>General</c:formatCode>
                <c:ptCount val="3"/>
                <c:pt idx="0">
                  <c:v>1990</c:v>
                </c:pt>
                <c:pt idx="1">
                  <c:v>2025</c:v>
                </c:pt>
                <c:pt idx="2">
                  <c:v>2030</c:v>
                </c:pt>
              </c:numCache>
            </c:numRef>
          </c:cat>
          <c:val>
            <c:numRef>
              <c:f>TOTAL!$C$622:$E$622</c:f>
              <c:numCache>
                <c:formatCode>0</c:formatCode>
                <c:ptCount val="3"/>
                <c:pt idx="0">
                  <c:v>1515.3695300671143</c:v>
                </c:pt>
                <c:pt idx="1">
                  <c:v>1224.3444609905105</c:v>
                </c:pt>
                <c:pt idx="2">
                  <c:v>1240.839966693492</c:v>
                </c:pt>
              </c:numCache>
            </c:numRef>
          </c:val>
          <c:extLst>
            <c:ext xmlns:c16="http://schemas.microsoft.com/office/drawing/2014/chart" uri="{C3380CC4-5D6E-409C-BE32-E72D297353CC}">
              <c16:uniqueId val="{00000006-F1C5-4278-9E76-88B7546EA4F5}"/>
            </c:ext>
          </c:extLst>
        </c:ser>
        <c:dLbls>
          <c:showLegendKey val="0"/>
          <c:showVal val="0"/>
          <c:showCatName val="0"/>
          <c:showSerName val="0"/>
          <c:showPercent val="0"/>
          <c:showBubbleSize val="0"/>
        </c:dLbls>
        <c:gapWidth val="150"/>
        <c:axId val="-425498304"/>
        <c:axId val="-425486880"/>
      </c:barChart>
      <c:catAx>
        <c:axId val="-425498304"/>
        <c:scaling>
          <c:orientation val="minMax"/>
        </c:scaling>
        <c:delete val="0"/>
        <c:axPos val="b"/>
        <c:numFmt formatCode="General" sourceLinked="1"/>
        <c:majorTickMark val="out"/>
        <c:minorTickMark val="none"/>
        <c:tickLblPos val="nextTo"/>
        <c:crossAx val="-425486880"/>
        <c:crosses val="autoZero"/>
        <c:auto val="1"/>
        <c:lblAlgn val="ctr"/>
        <c:lblOffset val="100"/>
        <c:noMultiLvlLbl val="0"/>
      </c:catAx>
      <c:valAx>
        <c:axId val="-425486880"/>
        <c:scaling>
          <c:orientation val="minMax"/>
        </c:scaling>
        <c:delete val="0"/>
        <c:axPos val="l"/>
        <c:majorGridlines/>
        <c:numFmt formatCode="0" sourceLinked="1"/>
        <c:majorTickMark val="out"/>
        <c:minorTickMark val="none"/>
        <c:tickLblPos val="nextTo"/>
        <c:crossAx val="-425498304"/>
        <c:crosses val="autoZero"/>
        <c:crossBetween val="between"/>
      </c:valAx>
    </c:plotArea>
    <c:legend>
      <c:legendPos val="r"/>
      <c:overlay val="0"/>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ro-RO"/>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A325C457B4214682D1324D9E919F75" ma:contentTypeVersion="15" ma:contentTypeDescription="Create a new document." ma:contentTypeScope="" ma:versionID="7446bb20cb519fde92445308e2c39e85">
  <xsd:schema xmlns:xsd="http://www.w3.org/2001/XMLSchema" xmlns:xs="http://www.w3.org/2001/XMLSchema" xmlns:p="http://schemas.microsoft.com/office/2006/metadata/properties" xmlns:ns3="9f3ed091-10a9-41f0-b588-67dd2f99ef82" xmlns:ns4="31ed9469-c1d5-4482-8f9f-ac8f2ba9d139" targetNamespace="http://schemas.microsoft.com/office/2006/metadata/properties" ma:root="true" ma:fieldsID="8dc7862cb3c06ab34e4206e376a5313f" ns3:_="" ns4:_="">
    <xsd:import namespace="9f3ed091-10a9-41f0-b588-67dd2f99ef82"/>
    <xsd:import namespace="31ed9469-c1d5-4482-8f9f-ac8f2ba9d13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3ed091-10a9-41f0-b588-67dd2f99ef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ed9469-c1d5-4482-8f9f-ac8f2ba9d13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9f3ed091-10a9-41f0-b588-67dd2f99ef82" xsi:nil="true"/>
  </documentManagement>
</p:properties>
</file>

<file path=customXml/itemProps1.xml><?xml version="1.0" encoding="utf-8"?>
<ds:datastoreItem xmlns:ds="http://schemas.openxmlformats.org/officeDocument/2006/customXml" ds:itemID="{DC76F994-893A-4C4E-A47D-5463F7013424}">
  <ds:schemaRefs>
    <ds:schemaRef ds:uri="http://schemas.microsoft.com/sharepoint/v3/contenttype/forms"/>
  </ds:schemaRefs>
</ds:datastoreItem>
</file>

<file path=customXml/itemProps2.xml><?xml version="1.0" encoding="utf-8"?>
<ds:datastoreItem xmlns:ds="http://schemas.openxmlformats.org/officeDocument/2006/customXml" ds:itemID="{193C59C3-62D5-4541-B482-C039A89A0A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3ed091-10a9-41f0-b588-67dd2f99ef82"/>
    <ds:schemaRef ds:uri="31ed9469-c1d5-4482-8f9f-ac8f2ba9d1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63CEF7-118B-4EF2-B166-3560EEBE806C}">
  <ds:schemaRefs>
    <ds:schemaRef ds:uri="http://schemas.openxmlformats.org/officeDocument/2006/bibliography"/>
  </ds:schemaRefs>
</ds:datastoreItem>
</file>

<file path=customXml/itemProps4.xml><?xml version="1.0" encoding="utf-8"?>
<ds:datastoreItem xmlns:ds="http://schemas.openxmlformats.org/officeDocument/2006/customXml" ds:itemID="{A9CC8DD8-767F-459C-AB1E-8E074963EEE6}">
  <ds:schemaRefs>
    <ds:schemaRef ds:uri="http://schemas.microsoft.com/office/2006/metadata/properties"/>
    <ds:schemaRef ds:uri="http://schemas.microsoft.com/office/infopath/2007/PartnerControls"/>
    <ds:schemaRef ds:uri="9f3ed091-10a9-41f0-b588-67dd2f99ef82"/>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95</Pages>
  <Words>31643</Words>
  <Characters>183533</Characters>
  <Application>Microsoft Office Word</Application>
  <DocSecurity>0</DocSecurity>
  <Lines>1529</Lines>
  <Paragraphs>429</Paragraphs>
  <ScaleCrop>false</ScaleCrop>
  <HeadingPairs>
    <vt:vector size="6" baseType="variant">
      <vt:variant>
        <vt:lpstr>Title</vt:lpstr>
      </vt:variant>
      <vt:variant>
        <vt:i4>1</vt:i4>
      </vt:variant>
      <vt:variant>
        <vt:lpstr>Titlu</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214747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Ion C</dc:creator>
  <cp:keywords/>
  <dc:description/>
  <cp:lastModifiedBy>Maia Guțu</cp:lastModifiedBy>
  <cp:revision>4</cp:revision>
  <cp:lastPrinted>2021-05-31T11:14:00Z</cp:lastPrinted>
  <dcterms:created xsi:type="dcterms:W3CDTF">2023-01-24T09:42:00Z</dcterms:created>
  <dcterms:modified xsi:type="dcterms:W3CDTF">2023-02-06T15:16:00Z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0x010100B2A325C457B4214682D1324D9E919F75</vt:lpwstr>
  </property>
</Properties>
</file>