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A37F7" w:rsidRDefault="00AE30E5">
      <w:pPr>
        <w:jc w:val="both"/>
      </w:pPr>
      <w:bookmarkStart w:id="0" w:name="_GoBack"/>
      <w:bookmarkEnd w:id="0"/>
      <w:r>
        <w:rPr>
          <w:b/>
          <w:u w:val="single"/>
        </w:rPr>
        <w:t>DOMENIUL RAPORTURILOR DE MUNCĂ:</w:t>
      </w:r>
    </w:p>
    <w:p w14:paraId="00000002" w14:textId="77777777" w:rsidR="008A37F7" w:rsidRDefault="00AE30E5">
      <w:pPr>
        <w:numPr>
          <w:ilvl w:val="0"/>
          <w:numId w:val="1"/>
        </w:numPr>
        <w:jc w:val="both"/>
      </w:pPr>
      <w:r>
        <w:t xml:space="preserve">Modificarea mai multor articole din Codului Muncii care impun obligația de a comunica doar prin panouri informative cu acces general la sediul unității prin permiterea aducerii informațiilor relevante la cunoștința salariaților </w:t>
      </w:r>
      <w:r>
        <w:rPr>
          <w:b/>
        </w:rPr>
        <w:t>prin oricare dintre mijloacele disponibile</w:t>
      </w:r>
      <w:r>
        <w:t>, care pot face dovada recepționării informației de către destinatar.</w:t>
      </w:r>
    </w:p>
    <w:p w14:paraId="00000003" w14:textId="77777777" w:rsidR="008A37F7" w:rsidRDefault="00AE30E5">
      <w:pPr>
        <w:numPr>
          <w:ilvl w:val="0"/>
          <w:numId w:val="1"/>
        </w:numPr>
        <w:pBdr>
          <w:top w:val="nil"/>
          <w:left w:val="nil"/>
          <w:bottom w:val="nil"/>
          <w:right w:val="nil"/>
          <w:between w:val="nil"/>
        </w:pBdr>
        <w:jc w:val="both"/>
      </w:pPr>
      <w:r>
        <w:t xml:space="preserve">Completarea art.55 CM cu un alineat suplimentar care să prevadă opțiunea de a semna </w:t>
      </w:r>
      <w:r>
        <w:rPr>
          <w:b/>
        </w:rPr>
        <w:t>contracte individuale de muncă pe durată determinată</w:t>
      </w:r>
      <w:r>
        <w:t xml:space="preserve"> cu salariații angajați în domeniul tehnologiilor informaționale și comunicațiilor.</w:t>
      </w:r>
    </w:p>
    <w:p w14:paraId="00000004" w14:textId="77777777" w:rsidR="008A37F7" w:rsidRDefault="00AE30E5">
      <w:pPr>
        <w:numPr>
          <w:ilvl w:val="0"/>
          <w:numId w:val="1"/>
        </w:numPr>
        <w:jc w:val="both"/>
      </w:pPr>
      <w:r>
        <w:t xml:space="preserve">Completarea temeiurilor de suspendare a contractului individual de muncă din art. 76 CM cu </w:t>
      </w:r>
      <w:r>
        <w:rPr>
          <w:b/>
        </w:rPr>
        <w:t>temei nou de suspendare a contractului individual de muncă</w:t>
      </w:r>
      <w:r>
        <w:t xml:space="preserve"> în circumstanțe ce nu depind de voința părților și în special în caz de absență a salariatului de la locul de muncă, dacă angajatorul nu deține informații despre motivul absenței.</w:t>
      </w:r>
    </w:p>
    <w:p w14:paraId="00000005" w14:textId="77777777" w:rsidR="008A37F7" w:rsidRDefault="00AE30E5">
      <w:pPr>
        <w:numPr>
          <w:ilvl w:val="0"/>
          <w:numId w:val="1"/>
        </w:numPr>
        <w:jc w:val="both"/>
      </w:pPr>
      <w:r>
        <w:t xml:space="preserve">De a modifica Codul Muncii în vederea precizării pentru claritate că temeiul de concediere: </w:t>
      </w:r>
      <w:r>
        <w:rPr>
          <w:b/>
        </w:rPr>
        <w:t>absența fără motive întemeiate de la lucru</w:t>
      </w:r>
      <w:r>
        <w:t xml:space="preserve"> timp de 4 ore consecutive în timpul zilei de muncă, este aplicabil pentru regimul de muncă de cel puțin 8 ore pe zi.</w:t>
      </w:r>
    </w:p>
    <w:p w14:paraId="00000006" w14:textId="77777777" w:rsidR="008A37F7" w:rsidRDefault="00AE30E5">
      <w:pPr>
        <w:numPr>
          <w:ilvl w:val="0"/>
          <w:numId w:val="1"/>
        </w:numPr>
        <w:jc w:val="both"/>
      </w:pPr>
      <w:r>
        <w:t xml:space="preserve">Având la bază faptul că din Codul Muncii a fost eliminată </w:t>
      </w:r>
      <w:r>
        <w:rPr>
          <w:b/>
        </w:rPr>
        <w:t>obligativitatea prezentării documentelor de evidentă militară</w:t>
      </w:r>
      <w:r>
        <w:t xml:space="preserve"> pentru recruți şi rezerviști la încheierea CIM se propune excluderea mai multor prevederilor existente în raport cu agenții economici din Legea nr. 1245-XV din 18.07.2002 cu privire la pregătirea cetățenilor pentru apărarea Patriei.</w:t>
      </w:r>
    </w:p>
    <w:p w14:paraId="00000007" w14:textId="6EABE6AA" w:rsidR="008A37F7" w:rsidRDefault="00AE30E5">
      <w:pPr>
        <w:numPr>
          <w:ilvl w:val="0"/>
          <w:numId w:val="1"/>
        </w:numPr>
        <w:jc w:val="both"/>
      </w:pPr>
      <w:r>
        <w:t>Abrogarea art.114</w:t>
      </w:r>
      <w:r w:rsidRPr="000227C2">
        <w:rPr>
          <w:vertAlign w:val="superscript"/>
        </w:rPr>
        <w:t xml:space="preserve">1 </w:t>
      </w:r>
      <w:r>
        <w:t xml:space="preserve">din Codul Muncii ce se referă la  </w:t>
      </w:r>
      <w:r>
        <w:rPr>
          <w:b/>
        </w:rPr>
        <w:t>modul de calculare a duratei concediului</w:t>
      </w:r>
      <w:r>
        <w:t xml:space="preserve"> de odihnă anual proporțional timpului lucrat într-un an de muncă deoarece este foarte ambiguu și cu multe lacune, în plus modul de calculare a duratei concediului de odihnă proporțional timpului lucrat într-un an de muncă nu este adus în conformitate cu prevederile art. 113, 114, 299 CM.</w:t>
      </w:r>
    </w:p>
    <w:p w14:paraId="00000008" w14:textId="77777777" w:rsidR="008A37F7" w:rsidRDefault="00AE30E5">
      <w:pPr>
        <w:numPr>
          <w:ilvl w:val="0"/>
          <w:numId w:val="1"/>
        </w:numPr>
        <w:spacing w:after="0"/>
        <w:jc w:val="both"/>
      </w:pPr>
      <w:r>
        <w:t xml:space="preserve">în vederea economisirii de timp și costuri pentru agenții economici se propune </w:t>
      </w:r>
      <w:r>
        <w:rPr>
          <w:b/>
        </w:rPr>
        <w:t>modificarea Codului muncii</w:t>
      </w:r>
      <w:r>
        <w:t xml:space="preserve"> prin:</w:t>
      </w:r>
    </w:p>
    <w:p w14:paraId="00000009" w14:textId="77777777" w:rsidR="008A37F7" w:rsidRDefault="00AE30E5">
      <w:pPr>
        <w:numPr>
          <w:ilvl w:val="0"/>
          <w:numId w:val="2"/>
        </w:numPr>
        <w:pBdr>
          <w:top w:val="nil"/>
          <w:left w:val="nil"/>
          <w:bottom w:val="nil"/>
          <w:right w:val="nil"/>
          <w:between w:val="nil"/>
        </w:pBdr>
        <w:spacing w:after="0"/>
        <w:jc w:val="both"/>
        <w:rPr>
          <w:color w:val="000000"/>
        </w:rPr>
      </w:pPr>
      <w:r>
        <w:rPr>
          <w:color w:val="000000"/>
        </w:rPr>
        <w:t>transformarea din obligație în drept pentru angajator în ceea ce ține de:</w:t>
      </w:r>
    </w:p>
    <w:p w14:paraId="0000000A" w14:textId="77777777" w:rsidR="008A37F7" w:rsidRDefault="00AE30E5">
      <w:pPr>
        <w:numPr>
          <w:ilvl w:val="0"/>
          <w:numId w:val="4"/>
        </w:numPr>
        <w:pBdr>
          <w:top w:val="nil"/>
          <w:left w:val="nil"/>
          <w:bottom w:val="nil"/>
          <w:right w:val="nil"/>
          <w:between w:val="nil"/>
        </w:pBdr>
        <w:spacing w:after="0"/>
        <w:jc w:val="both"/>
        <w:rPr>
          <w:color w:val="000000"/>
        </w:rPr>
      </w:pPr>
      <w:r>
        <w:rPr>
          <w:color w:val="000000"/>
        </w:rPr>
        <w:t>evidența  orelor de muncă prestate zilnic de fiecare salariat, fie în baza modului stabilit prin convențiile colective fie prin acord scris individual cu salariații;</w:t>
      </w:r>
    </w:p>
    <w:p w14:paraId="0000000B" w14:textId="77777777" w:rsidR="008A37F7" w:rsidRDefault="00AE30E5">
      <w:pPr>
        <w:numPr>
          <w:ilvl w:val="0"/>
          <w:numId w:val="4"/>
        </w:numPr>
        <w:pBdr>
          <w:top w:val="nil"/>
          <w:left w:val="nil"/>
          <w:bottom w:val="nil"/>
          <w:right w:val="nil"/>
          <w:between w:val="nil"/>
        </w:pBdr>
        <w:spacing w:after="0"/>
        <w:jc w:val="both"/>
        <w:rPr>
          <w:color w:val="000000"/>
        </w:rPr>
      </w:pPr>
      <w:r>
        <w:rPr>
          <w:color w:val="000000"/>
        </w:rPr>
        <w:t xml:space="preserve">programării concediilor anuale; </w:t>
      </w:r>
    </w:p>
    <w:p w14:paraId="0000000C" w14:textId="77777777" w:rsidR="008A37F7" w:rsidRDefault="00AE30E5">
      <w:pPr>
        <w:numPr>
          <w:ilvl w:val="0"/>
          <w:numId w:val="4"/>
        </w:numPr>
        <w:pBdr>
          <w:top w:val="nil"/>
          <w:left w:val="nil"/>
          <w:bottom w:val="nil"/>
          <w:right w:val="nil"/>
          <w:between w:val="nil"/>
        </w:pBdr>
        <w:spacing w:after="0"/>
        <w:jc w:val="both"/>
        <w:rPr>
          <w:color w:val="000000"/>
        </w:rPr>
      </w:pPr>
      <w:r>
        <w:rPr>
          <w:color w:val="000000"/>
        </w:rPr>
        <w:t>întocmirii și deținerii de Regulamente interne ale unității.</w:t>
      </w:r>
    </w:p>
    <w:p w14:paraId="0000000D" w14:textId="77777777" w:rsidR="008A37F7" w:rsidRDefault="00AE30E5">
      <w:pPr>
        <w:numPr>
          <w:ilvl w:val="0"/>
          <w:numId w:val="2"/>
        </w:numPr>
        <w:pBdr>
          <w:top w:val="nil"/>
          <w:left w:val="nil"/>
          <w:bottom w:val="nil"/>
          <w:right w:val="nil"/>
          <w:between w:val="nil"/>
        </w:pBdr>
        <w:spacing w:after="120"/>
        <w:jc w:val="both"/>
      </w:pPr>
      <w:r>
        <w:t>excluderea</w:t>
      </w:r>
      <w:r>
        <w:rPr>
          <w:color w:val="000000"/>
        </w:rPr>
        <w:t xml:space="preserve"> precontractului individual de muncă și preavizării în scris a angajatului despre data </w:t>
      </w:r>
      <w:r>
        <w:t>începerii</w:t>
      </w:r>
      <w:r>
        <w:rPr>
          <w:color w:val="000000"/>
        </w:rPr>
        <w:t xml:space="preserve"> concediului anual si cererii angajatului.</w:t>
      </w:r>
    </w:p>
    <w:p w14:paraId="0000000E" w14:textId="77777777" w:rsidR="008A37F7" w:rsidRDefault="00AE30E5">
      <w:pPr>
        <w:numPr>
          <w:ilvl w:val="0"/>
          <w:numId w:val="3"/>
        </w:numPr>
        <w:pBdr>
          <w:top w:val="nil"/>
          <w:left w:val="nil"/>
          <w:bottom w:val="nil"/>
          <w:right w:val="nil"/>
          <w:between w:val="nil"/>
        </w:pBdr>
        <w:jc w:val="both"/>
      </w:pPr>
      <w:r>
        <w:t xml:space="preserve">Eliminarea unei prevederi împovărătoare pentru mediul de afaceri și anume stipularea în Codul muncii a faptului că </w:t>
      </w:r>
      <w:r>
        <w:rPr>
          <w:b/>
        </w:rPr>
        <w:t>îndemnizația de concediu</w:t>
      </w:r>
      <w:r>
        <w:t xml:space="preserve"> se plătește la o dată agreată de părți, dar nu mai târziu de data achitării salariului pentru luna în care salariatul se află în concediu (la moment se prevede că îndemnizația dată se plătește de către angajator cu cel puțin 3 zile calendaristice înainte de plecarea salariatului în concediu).</w:t>
      </w:r>
    </w:p>
    <w:p w14:paraId="0000000F" w14:textId="77777777" w:rsidR="008A37F7" w:rsidRDefault="00AE30E5">
      <w:pPr>
        <w:numPr>
          <w:ilvl w:val="0"/>
          <w:numId w:val="3"/>
        </w:numPr>
        <w:jc w:val="both"/>
      </w:pPr>
      <w:r>
        <w:t xml:space="preserve">Modificarea Codului Muncii care se referă la </w:t>
      </w:r>
      <w:r>
        <w:rPr>
          <w:b/>
        </w:rPr>
        <w:t>salariului în valută străină</w:t>
      </w:r>
      <w:r>
        <w:t xml:space="preserve"> cu mențiunea achitării în monedă națională la un curs de schimb al leului moldovenesc agreat de părți.</w:t>
      </w:r>
    </w:p>
    <w:p w14:paraId="00000010" w14:textId="77777777" w:rsidR="008A37F7" w:rsidRDefault="00AE30E5">
      <w:pPr>
        <w:numPr>
          <w:ilvl w:val="0"/>
          <w:numId w:val="3"/>
        </w:numPr>
        <w:jc w:val="both"/>
      </w:pPr>
      <w:r>
        <w:t xml:space="preserve">În ceea ce ține de </w:t>
      </w:r>
      <w:r>
        <w:rPr>
          <w:b/>
        </w:rPr>
        <w:t>verificarea medicală la angajare și periodică</w:t>
      </w:r>
      <w:r>
        <w:t xml:space="preserve"> a salariaților persoanele care urmează a fi angajate în funcții care implică activitatea cu produse alimentare precum și din sectorul </w:t>
      </w:r>
      <w:r>
        <w:lastRenderedPageBreak/>
        <w:t>alimentației publice (inclusiv HORECA) Se propune modificarea Legilor nr.10/2009 și 231/2010 având la bază următoarele soluții:</w:t>
      </w:r>
    </w:p>
    <w:p w14:paraId="00000011" w14:textId="77777777" w:rsidR="008A37F7" w:rsidRDefault="00AE30E5">
      <w:pPr>
        <w:numPr>
          <w:ilvl w:val="0"/>
          <w:numId w:val="2"/>
        </w:numPr>
        <w:pBdr>
          <w:top w:val="nil"/>
          <w:left w:val="nil"/>
          <w:bottom w:val="nil"/>
          <w:right w:val="nil"/>
          <w:between w:val="nil"/>
        </w:pBdr>
        <w:spacing w:after="0"/>
        <w:ind w:left="1080"/>
        <w:jc w:val="both"/>
      </w:pPr>
      <w:r>
        <w:t>Ajustarea la prevederile Legii nr.231/2010 cu privire la comerțul interior</w:t>
      </w:r>
    </w:p>
    <w:p w14:paraId="00000012" w14:textId="53BCF4ED" w:rsidR="008A37F7" w:rsidRDefault="00AE30E5">
      <w:pPr>
        <w:numPr>
          <w:ilvl w:val="0"/>
          <w:numId w:val="2"/>
        </w:numPr>
        <w:pBdr>
          <w:top w:val="nil"/>
          <w:left w:val="nil"/>
          <w:bottom w:val="nil"/>
          <w:right w:val="nil"/>
          <w:between w:val="nil"/>
        </w:pBdr>
        <w:spacing w:after="0"/>
        <w:ind w:left="1080"/>
        <w:jc w:val="both"/>
      </w:pPr>
      <w:r>
        <w:t>Costurile examenul</w:t>
      </w:r>
      <w:r w:rsidR="000227C2">
        <w:t>ui</w:t>
      </w:r>
      <w:r>
        <w:t xml:space="preserve"> medical să fie acoperit din bugetul Asigurărilor Obligatorii de Asistență Medicală;</w:t>
      </w:r>
    </w:p>
    <w:p w14:paraId="00000013" w14:textId="130D1AF7" w:rsidR="008A37F7" w:rsidRDefault="00AE30E5">
      <w:pPr>
        <w:numPr>
          <w:ilvl w:val="0"/>
          <w:numId w:val="2"/>
        </w:numPr>
        <w:pBdr>
          <w:top w:val="nil"/>
          <w:left w:val="nil"/>
          <w:bottom w:val="nil"/>
          <w:right w:val="nil"/>
          <w:between w:val="nil"/>
        </w:pBdr>
        <w:spacing w:after="0"/>
        <w:ind w:left="1080"/>
        <w:jc w:val="both"/>
      </w:pPr>
      <w:r>
        <w:t>Posibilitatea efectuării examinării medicale la instituțiile medicale publice sau private</w:t>
      </w:r>
      <w:r w:rsidR="000227C2">
        <w:t>;</w:t>
      </w:r>
    </w:p>
    <w:p w14:paraId="00000014" w14:textId="78D03AA9" w:rsidR="008A37F7" w:rsidRDefault="00AE30E5">
      <w:pPr>
        <w:numPr>
          <w:ilvl w:val="0"/>
          <w:numId w:val="2"/>
        </w:numPr>
        <w:pBdr>
          <w:top w:val="nil"/>
          <w:left w:val="nil"/>
          <w:bottom w:val="nil"/>
          <w:right w:val="nil"/>
          <w:between w:val="nil"/>
        </w:pBdr>
        <w:spacing w:after="0"/>
        <w:ind w:left="1080"/>
        <w:jc w:val="both"/>
      </w:pPr>
      <w:r>
        <w:t>Simplificarea actelor întocmite urmare acestor examinări (eliminarea fișei medicale individuale numită de mediul de afaceri ”Pașaportul albastru medical” și înlocuirea cu unei adeverințe medicale eliberate de medicul de familie)</w:t>
      </w:r>
      <w:r w:rsidR="000227C2">
        <w:t>;</w:t>
      </w:r>
    </w:p>
    <w:p w14:paraId="00000015" w14:textId="77777777" w:rsidR="008A37F7" w:rsidRDefault="00AE30E5">
      <w:pPr>
        <w:numPr>
          <w:ilvl w:val="0"/>
          <w:numId w:val="2"/>
        </w:numPr>
        <w:pBdr>
          <w:top w:val="nil"/>
          <w:left w:val="nil"/>
          <w:bottom w:val="nil"/>
          <w:right w:val="nil"/>
          <w:between w:val="nil"/>
        </w:pBdr>
        <w:spacing w:after="0"/>
        <w:ind w:left="1080"/>
        <w:jc w:val="both"/>
      </w:pPr>
      <w:r>
        <w:t>Revizuirea domeniilor de activitate în care salariații urmează să efectueze aceste examinări medicale;</w:t>
      </w:r>
    </w:p>
    <w:p w14:paraId="00000016" w14:textId="77777777" w:rsidR="008A37F7" w:rsidRDefault="00AE30E5">
      <w:pPr>
        <w:numPr>
          <w:ilvl w:val="0"/>
          <w:numId w:val="2"/>
        </w:numPr>
        <w:pBdr>
          <w:top w:val="nil"/>
          <w:left w:val="nil"/>
          <w:bottom w:val="nil"/>
          <w:right w:val="nil"/>
          <w:between w:val="nil"/>
        </w:pBdr>
        <w:spacing w:after="0"/>
        <w:ind w:left="1080"/>
        <w:jc w:val="both"/>
      </w:pPr>
      <w:r>
        <w:t>Revizuirea categoriilor de angajați din cadrul unității care urmează a fi supuși examenului medical (de scutit directorul, contabilul, lucrătorii IT, Marketing, ș.a.)</w:t>
      </w:r>
    </w:p>
    <w:p w14:paraId="00000017" w14:textId="77777777" w:rsidR="008A37F7" w:rsidRDefault="00AE30E5">
      <w:pPr>
        <w:numPr>
          <w:ilvl w:val="0"/>
          <w:numId w:val="2"/>
        </w:numPr>
        <w:pBdr>
          <w:top w:val="nil"/>
          <w:left w:val="nil"/>
          <w:bottom w:val="nil"/>
          <w:right w:val="nil"/>
          <w:between w:val="nil"/>
        </w:pBdr>
        <w:spacing w:after="0"/>
        <w:ind w:left="1080"/>
        <w:jc w:val="both"/>
      </w:pPr>
      <w:r>
        <w:t>Revizuirea periodicității efectuării acestor examinări (la moment este anual)</w:t>
      </w:r>
    </w:p>
    <w:p w14:paraId="00000018" w14:textId="77777777" w:rsidR="008A37F7" w:rsidRDefault="00AE30E5">
      <w:pPr>
        <w:pBdr>
          <w:top w:val="nil"/>
          <w:left w:val="nil"/>
          <w:bottom w:val="nil"/>
          <w:right w:val="nil"/>
          <w:between w:val="nil"/>
        </w:pBdr>
        <w:spacing w:after="0"/>
        <w:ind w:firstLine="720"/>
        <w:jc w:val="both"/>
      </w:pPr>
      <w:r>
        <w:t>Suplimentar:</w:t>
      </w:r>
    </w:p>
    <w:p w14:paraId="00000019" w14:textId="77777777" w:rsidR="008A37F7" w:rsidRDefault="00AE30E5">
      <w:pPr>
        <w:numPr>
          <w:ilvl w:val="0"/>
          <w:numId w:val="2"/>
        </w:numPr>
        <w:pBdr>
          <w:top w:val="nil"/>
          <w:left w:val="nil"/>
          <w:bottom w:val="nil"/>
          <w:right w:val="nil"/>
          <w:between w:val="nil"/>
        </w:pBdr>
        <w:spacing w:after="0"/>
        <w:ind w:left="1080"/>
        <w:jc w:val="both"/>
      </w:pPr>
      <w:r>
        <w:t>de înlocuit MS cu Guvernul din textul legilor ca organ care aprobă reglementări la acest subiect;</w:t>
      </w:r>
    </w:p>
    <w:p w14:paraId="0000001A" w14:textId="77777777" w:rsidR="008A37F7" w:rsidRDefault="00AE30E5">
      <w:pPr>
        <w:numPr>
          <w:ilvl w:val="0"/>
          <w:numId w:val="2"/>
        </w:numPr>
        <w:pBdr>
          <w:top w:val="nil"/>
          <w:left w:val="nil"/>
          <w:bottom w:val="nil"/>
          <w:right w:val="nil"/>
          <w:between w:val="nil"/>
        </w:pBdr>
        <w:spacing w:after="0"/>
        <w:ind w:left="1080"/>
        <w:jc w:val="both"/>
      </w:pPr>
      <w:r>
        <w:t xml:space="preserve">de abrogat Ordinul MS nr.1154 din 8.12.2020 </w:t>
      </w:r>
    </w:p>
    <w:p w14:paraId="0000001B" w14:textId="77777777" w:rsidR="008A37F7" w:rsidRDefault="00AE30E5">
      <w:pPr>
        <w:ind w:left="720" w:firstLine="720"/>
        <w:jc w:val="both"/>
      </w:pPr>
      <w:r>
        <w:t>(</w:t>
      </w:r>
      <w:hyperlink r:id="rId8">
        <w:r>
          <w:rPr>
            <w:color w:val="0563C1"/>
            <w:u w:val="single"/>
          </w:rPr>
          <w:t>https://ansp.md/wp-content/uploads/2021/04/Ordinul-1154.pdf</w:t>
        </w:r>
      </w:hyperlink>
    </w:p>
    <w:p w14:paraId="0000001C" w14:textId="77777777" w:rsidR="008A37F7" w:rsidRDefault="00AE30E5">
      <w:pPr>
        <w:jc w:val="both"/>
        <w:rPr>
          <w:highlight w:val="yellow"/>
        </w:rPr>
      </w:pPr>
      <w:r>
        <w:rPr>
          <w:b/>
          <w:u w:val="single"/>
        </w:rPr>
        <w:t>DOMENIUL CONSTRUCȚII ȘI URBANISM</w:t>
      </w:r>
      <w:r>
        <w:t>+</w:t>
      </w:r>
    </w:p>
    <w:p w14:paraId="0000001D" w14:textId="77777777" w:rsidR="008A37F7" w:rsidRDefault="00AE30E5">
      <w:pPr>
        <w:numPr>
          <w:ilvl w:val="0"/>
          <w:numId w:val="5"/>
        </w:numPr>
        <w:jc w:val="both"/>
      </w:pPr>
      <w:r>
        <w:t>Facilitarea modificării destinației imobilelor în blocuri locative în destinație comercială/prestări servicii prin modificarea obligației de a obține acordul autentificat de la toți locuitorii blocului, ceea ce este practic imposibil, la obținerea acordului majorității locuitorilor și vecinilor imediați, fără autentificarea notarială.</w:t>
      </w:r>
    </w:p>
    <w:p w14:paraId="0000001E" w14:textId="77777777" w:rsidR="008A37F7" w:rsidRDefault="00AE30E5">
      <w:pPr>
        <w:jc w:val="both"/>
      </w:pPr>
      <w:r>
        <w:rPr>
          <w:b/>
          <w:u w:val="single"/>
        </w:rPr>
        <w:t>DOMENIUL DIGITALIZARE, TI ȘI TELECOMUNICAȚII</w:t>
      </w:r>
    </w:p>
    <w:p w14:paraId="0000001F" w14:textId="77777777" w:rsidR="008A37F7" w:rsidRDefault="00AE30E5">
      <w:pPr>
        <w:numPr>
          <w:ilvl w:val="0"/>
          <w:numId w:val="6"/>
        </w:numPr>
        <w:jc w:val="both"/>
      </w:pPr>
      <w:r>
        <w:t xml:space="preserve">Simplificarea procedurilor de autorizare a instalării rețelelor de comunicații electronice prin </w:t>
      </w:r>
      <w:r>
        <w:rPr>
          <w:b/>
        </w:rPr>
        <w:t>excluderea rețelelor de comunicații electronice din categoria bunurilor imobile</w:t>
      </w:r>
      <w:r>
        <w:t xml:space="preserve"> dacă acestea nu sunt atașate în mod permanent la un teren sau clădire și care pot fi separate fără a deteriora în mod substanțial sau schimba destinația clădirii sau terenului, corespunzător, pentru construcția, desființarea sau reconstruirea rețelelor care nu intră în categoria de imobile, să nu fie necesară procedura de autorizare a lucrărilor în construcții (conform Legii 163/2010). Ori în prezent legea stabilește că toate obiectivele de infrastructură tehnico-edilitară se consideră bunuri imobile indiferent de caracteristica lor, astfel dezvoltarea rețelelor necesită trecerea procedurii de autorizare a lucrărilor în construcții, ceea ce este o barieră nejustificată și costisitoare pentru dezvoltarea rețelelor.</w:t>
      </w:r>
    </w:p>
    <w:p w14:paraId="00000020" w14:textId="676769CA" w:rsidR="008A37F7" w:rsidRDefault="00AE30E5">
      <w:pPr>
        <w:jc w:val="both"/>
      </w:pPr>
      <w:r>
        <w:rPr>
          <w:b/>
          <w:u w:val="single"/>
        </w:rPr>
        <w:t>DOMENIUL CONTROL</w:t>
      </w:r>
      <w:r w:rsidR="000227C2">
        <w:rPr>
          <w:b/>
          <w:u w:val="single"/>
        </w:rPr>
        <w:t>UL</w:t>
      </w:r>
      <w:r>
        <w:rPr>
          <w:b/>
          <w:u w:val="single"/>
        </w:rPr>
        <w:t xml:space="preserve"> DE STAT A ACTIVITĂȚII DE ÎNTREPRINZĂTOR </w:t>
      </w:r>
    </w:p>
    <w:p w14:paraId="00000021" w14:textId="77777777" w:rsidR="008A37F7" w:rsidRDefault="00AE30E5">
      <w:pPr>
        <w:numPr>
          <w:ilvl w:val="0"/>
          <w:numId w:val="7"/>
        </w:numPr>
        <w:spacing w:after="120" w:line="240" w:lineRule="auto"/>
        <w:jc w:val="both"/>
      </w:pPr>
      <w:r>
        <w:t xml:space="preserve">Pentru primii 3 ani de activitate a întreprinderii se propune fortificarea </w:t>
      </w:r>
      <w:r>
        <w:rPr>
          <w:b/>
        </w:rPr>
        <w:t>obligației controlului consultativ</w:t>
      </w:r>
      <w:r>
        <w:t xml:space="preserve">, prin modificarea prevederii existente în Legea nr.131/2012 (și Legea nr.179/2016). Adică organul de control să nu dețină dreptul de a aplica sancțiuni sau aplica măsuri restrictive decât în cazurile în care se comit infracțiuni sau antreprenorul comite intenționat în mod repetat aceiași încălcare gravă sau foarte gravă, inclusiv se propune fortificarea aplicării procedurii de remediere, așa cum este prevăzută în prezent în Codul Contravențional. Prevederile legislative actuale în acest sens nu sunt efectiv aplicate, ori întreprinderea este cea mai vulnerabilă în primii ani de la lansare </w:t>
      </w:r>
      <w:r>
        <w:lastRenderedPageBreak/>
        <w:t>și există riscul înalt de a comite unele încălcări în activitate care nu poartă un pericol major însă care pot fi sancționate foarte dur, ceea ce poate stagna substanțial dezvoltarea afacerii lansate. </w:t>
      </w:r>
    </w:p>
    <w:p w14:paraId="00000022" w14:textId="77777777" w:rsidR="008A37F7" w:rsidRDefault="00AE30E5">
      <w:pPr>
        <w:numPr>
          <w:ilvl w:val="0"/>
          <w:numId w:val="7"/>
        </w:numPr>
        <w:jc w:val="both"/>
      </w:pPr>
      <w:r>
        <w:t>Instituirea în Legea nr.131/2012 a obligației de a transmite „</w:t>
      </w:r>
      <w:r>
        <w:rPr>
          <w:b/>
        </w:rPr>
        <w:t>listele de verificare</w:t>
      </w:r>
      <w:r>
        <w:t>” odată cu delegația de control pentru informarea persoanei controlate despre cerințele care vor fi inspectate și pentru asigurarea că organul de control va face uz de listele de verificare și va desfășura controlul în limita acestor liste. În prezent persoanele controlate nu cunosc întregul spectru de cerințe, pe care urmează să le verifice inspectorul, totodată sunt multe cazuri în care inspectorii nu respectă obligația de a desfășura controlul strict în limita și modul prevăzut de „lista de verificare” aferentă.</w:t>
      </w:r>
    </w:p>
    <w:p w14:paraId="00000023" w14:textId="77777777" w:rsidR="008A37F7" w:rsidRDefault="00AE30E5">
      <w:pPr>
        <w:numPr>
          <w:ilvl w:val="0"/>
          <w:numId w:val="7"/>
        </w:numPr>
        <w:spacing w:after="120" w:line="276" w:lineRule="auto"/>
        <w:jc w:val="both"/>
      </w:pPr>
      <w:r>
        <w:t xml:space="preserve">Includerea în lege a obligației înregistrării </w:t>
      </w:r>
      <w:r>
        <w:rPr>
          <w:b/>
        </w:rPr>
        <w:t>Notei de motivare în Registrul de stat al controalelor</w:t>
      </w:r>
      <w:r>
        <w:t xml:space="preserve">, pentru a face transparentă analiza riscurilor efectuată de inspector și motivele care au stat la baza începerii controlului inopinat, cu scopul de a limita apariția controalelor inopinate care nu sunt oportune sau justificate. Cu toate că Legea nr.131/2012 prevede mecanismul de decizie preliminară pentru începerea unui control inopinat în baza unei note de motivare, totuși se constată că în practică de multe ori o astfel de notă nu se întocmește sau se întocmește necalitativ. </w:t>
      </w:r>
    </w:p>
    <w:p w14:paraId="00000024" w14:textId="77777777" w:rsidR="008A37F7" w:rsidRDefault="00AE30E5">
      <w:pPr>
        <w:numPr>
          <w:ilvl w:val="0"/>
          <w:numId w:val="7"/>
        </w:numPr>
        <w:spacing w:after="120" w:line="276" w:lineRule="auto"/>
        <w:jc w:val="both"/>
        <w:rPr>
          <w:rFonts w:ascii="Verdana" w:eastAsia="Verdana" w:hAnsi="Verdana" w:cs="Verdana"/>
        </w:rPr>
      </w:pPr>
      <w:r>
        <w:t xml:space="preserve">Completarea Legii nr.133/2011 cu o excepție de la protecția datelor cu caracter personal care va acorda dreptul persoanelor controlate de a efectua </w:t>
      </w:r>
      <w:r>
        <w:rPr>
          <w:b/>
        </w:rPr>
        <w:t>înregistrarea audio și/sau video a inspectorilor</w:t>
      </w:r>
      <w:r>
        <w:t xml:space="preserve"> ce se află în exercițiul funcției și efectuează controlul de stat, fără obligația de a preveni despre acest fapt în prealabil sau obține consimțământul inspectorului. În prezent o astfel de excepție există doar în raport cu organele de drept față de cetățeni, dar nu și vice-versa, astfel pentru a putea filma un inspector sau polițist care este în exercițiul funcției oricum trebuie de obținut în prealabil permisiunea. Modificarea va acorda un instrument viabil de luptă contra corupției și abuzurilor comise de organele de control. </w:t>
      </w:r>
    </w:p>
    <w:p w14:paraId="00000025" w14:textId="77777777" w:rsidR="008A37F7" w:rsidRDefault="00AE30E5">
      <w:pPr>
        <w:jc w:val="both"/>
      </w:pPr>
      <w:r>
        <w:rPr>
          <w:b/>
          <w:u w:val="single"/>
        </w:rPr>
        <w:t>DOMENIUL SIGURANȚA ALIMENTELOR</w:t>
      </w:r>
    </w:p>
    <w:p w14:paraId="00000026" w14:textId="77777777" w:rsidR="008A37F7" w:rsidRDefault="00AE30E5">
      <w:pPr>
        <w:numPr>
          <w:ilvl w:val="0"/>
          <w:numId w:val="8"/>
        </w:numPr>
        <w:jc w:val="both"/>
      </w:pPr>
      <w:r>
        <w:rPr>
          <w:b/>
        </w:rPr>
        <w:t>Unificarea tipurilor de activități ce necesită autorizarea/înregistrarea sanitar-veterinară</w:t>
      </w:r>
      <w:r>
        <w:t xml:space="preserve"> într-un singur act normativ, deoarece există situații de incertitudine și de conflict, prin modificarea Legii 221/2007 privind activitatea sanitară veterinară și Legii 231/2010 cu privire la comerțul interior.</w:t>
      </w:r>
    </w:p>
    <w:p w14:paraId="00000027" w14:textId="77777777" w:rsidR="008A37F7" w:rsidRDefault="00AE30E5">
      <w:pPr>
        <w:jc w:val="both"/>
      </w:pPr>
      <w:r>
        <w:rPr>
          <w:b/>
          <w:u w:val="single"/>
        </w:rPr>
        <w:t>ACTIVITATEA EXECUTORILOR JUDECĂTOREȘTI</w:t>
      </w:r>
    </w:p>
    <w:p w14:paraId="00000028" w14:textId="77777777" w:rsidR="008A37F7" w:rsidRDefault="00AE30E5">
      <w:pPr>
        <w:numPr>
          <w:ilvl w:val="0"/>
          <w:numId w:val="9"/>
        </w:numPr>
        <w:jc w:val="both"/>
      </w:pPr>
      <w:r>
        <w:rPr>
          <w:b/>
        </w:rPr>
        <w:t>Digitalizarea relațiilor dintre executorii judecătorești și băncile comerciale</w:t>
      </w:r>
      <w:r>
        <w:t>, deoarece persistă costuri administrative precum şi consum irațional al timpului de muncă al angajaților băncilor comerciale, prin modificarea Codului de executare.</w:t>
      </w:r>
    </w:p>
    <w:p w14:paraId="00000029" w14:textId="77777777" w:rsidR="008A37F7" w:rsidRDefault="00AE30E5">
      <w:pPr>
        <w:jc w:val="both"/>
      </w:pPr>
      <w:r>
        <w:rPr>
          <w:b/>
          <w:u w:val="single"/>
        </w:rPr>
        <w:t>ALTE DOMENII:</w:t>
      </w:r>
    </w:p>
    <w:p w14:paraId="0000002A" w14:textId="77777777" w:rsidR="008A37F7" w:rsidRDefault="00AE30E5">
      <w:pPr>
        <w:numPr>
          <w:ilvl w:val="0"/>
          <w:numId w:val="10"/>
        </w:numPr>
        <w:jc w:val="both"/>
      </w:pPr>
      <w:r>
        <w:t xml:space="preserve">Amendarea Legii nr. 173/1994 privind modul de publicare și intrare în vigoare a actelor oficiale  prin stabilirea că în edițiile </w:t>
      </w:r>
      <w:r>
        <w:rPr>
          <w:b/>
        </w:rPr>
        <w:t>Monitorului Oficial în format electronic</w:t>
      </w:r>
      <w:r>
        <w:t xml:space="preserve"> împreună cu textul actelor normative sunt puse la dispoziția tuturor utilizatorilor și </w:t>
      </w:r>
      <w:r>
        <w:rPr>
          <w:b/>
        </w:rPr>
        <w:t>textul Notelor Informative</w:t>
      </w:r>
      <w:r>
        <w:t>. Accesul online la Notele informative a proiectelor de acte normative adoptate va permite mediului de afaceri să înțeleagă mai clar condițiile de activitate și se va evita sutele de adresări și petiții de interpretare către autoritățile publice.</w:t>
      </w:r>
    </w:p>
    <w:p w14:paraId="0000002B" w14:textId="77777777" w:rsidR="008A37F7" w:rsidRDefault="00AE30E5">
      <w:pPr>
        <w:numPr>
          <w:ilvl w:val="0"/>
          <w:numId w:val="10"/>
        </w:numPr>
        <w:pBdr>
          <w:top w:val="nil"/>
          <w:left w:val="nil"/>
          <w:bottom w:val="nil"/>
          <w:right w:val="nil"/>
          <w:between w:val="nil"/>
        </w:pBdr>
        <w:jc w:val="both"/>
      </w:pPr>
      <w:r>
        <w:t xml:space="preserve">În vederea anulării oricăror restricții privind circulația capitalului, în particular în ceea ce privește obligațiile privind </w:t>
      </w:r>
      <w:r>
        <w:rPr>
          <w:b/>
        </w:rPr>
        <w:t>repatrierea mijloacelor bănești</w:t>
      </w:r>
      <w:r>
        <w:t xml:space="preserve"> (în corespundere cu practicile comunitare), se propune abrogarea Legii nr. 1466-XIII din 29.01.1998.</w:t>
      </w:r>
    </w:p>
    <w:sectPr w:rsidR="008A37F7">
      <w:headerReference w:type="default" r:id="rId9"/>
      <w:pgSz w:w="12240" w:h="15840"/>
      <w:pgMar w:top="1134" w:right="1005"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0F91A" w14:textId="77777777" w:rsidR="00704888" w:rsidRDefault="00704888">
      <w:pPr>
        <w:spacing w:after="0" w:line="240" w:lineRule="auto"/>
      </w:pPr>
      <w:r>
        <w:separator/>
      </w:r>
    </w:p>
  </w:endnote>
  <w:endnote w:type="continuationSeparator" w:id="0">
    <w:p w14:paraId="6DDFB6BE" w14:textId="77777777" w:rsidR="00704888" w:rsidRDefault="00704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91341" w14:textId="77777777" w:rsidR="00704888" w:rsidRDefault="00704888">
      <w:pPr>
        <w:spacing w:after="0" w:line="240" w:lineRule="auto"/>
      </w:pPr>
      <w:r>
        <w:separator/>
      </w:r>
    </w:p>
  </w:footnote>
  <w:footnote w:type="continuationSeparator" w:id="0">
    <w:p w14:paraId="55588AE2" w14:textId="77777777" w:rsidR="00704888" w:rsidRDefault="00704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C" w14:textId="43172681" w:rsidR="008A37F7" w:rsidRDefault="00AE30E5">
    <w:pPr>
      <w:jc w:val="right"/>
    </w:pPr>
    <w:r>
      <w:fldChar w:fldCharType="begin"/>
    </w:r>
    <w:r>
      <w:instrText>PAGE</w:instrText>
    </w:r>
    <w:r>
      <w:fldChar w:fldCharType="separate"/>
    </w:r>
    <w:r w:rsidR="003F5FF3">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B83"/>
    <w:multiLevelType w:val="multilevel"/>
    <w:tmpl w:val="3380289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34F0FA5"/>
    <w:multiLevelType w:val="multilevel"/>
    <w:tmpl w:val="D564ED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AB72F85"/>
    <w:multiLevelType w:val="multilevel"/>
    <w:tmpl w:val="8CECDA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AD17188"/>
    <w:multiLevelType w:val="multilevel"/>
    <w:tmpl w:val="6B0870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82F4779"/>
    <w:multiLevelType w:val="multilevel"/>
    <w:tmpl w:val="76867B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F5472F3"/>
    <w:multiLevelType w:val="multilevel"/>
    <w:tmpl w:val="3578CE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28A040B"/>
    <w:multiLevelType w:val="multilevel"/>
    <w:tmpl w:val="A1A833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F9B4485"/>
    <w:multiLevelType w:val="multilevel"/>
    <w:tmpl w:val="C5640D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D8A1654"/>
    <w:multiLevelType w:val="multilevel"/>
    <w:tmpl w:val="A094D6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3"/>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716488E"/>
    <w:multiLevelType w:val="multilevel"/>
    <w:tmpl w:val="734A63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8"/>
  </w:num>
  <w:num w:numId="2">
    <w:abstractNumId w:val="6"/>
  </w:num>
  <w:num w:numId="3">
    <w:abstractNumId w:val="5"/>
  </w:num>
  <w:num w:numId="4">
    <w:abstractNumId w:val="0"/>
  </w:num>
  <w:num w:numId="5">
    <w:abstractNumId w:val="4"/>
  </w:num>
  <w:num w:numId="6">
    <w:abstractNumId w:val="7"/>
  </w:num>
  <w:num w:numId="7">
    <w:abstractNumId w:val="3"/>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7F7"/>
    <w:rsid w:val="000227C2"/>
    <w:rsid w:val="001E4A6C"/>
    <w:rsid w:val="003F5FF3"/>
    <w:rsid w:val="00693B45"/>
    <w:rsid w:val="00704888"/>
    <w:rsid w:val="00754E08"/>
    <w:rsid w:val="008A37F7"/>
    <w:rsid w:val="00AE30E5"/>
    <w:rsid w:val="00BA2A78"/>
    <w:rsid w:val="00BD7B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83A05A-42D2-4FCC-A406-22271684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884ED1"/>
    <w:rPr>
      <w:color w:val="0563C1" w:themeColor="hyperlink"/>
      <w:u w:val="single"/>
    </w:rPr>
  </w:style>
  <w:style w:type="character" w:customStyle="1" w:styleId="UnresolvedMention1">
    <w:name w:val="Unresolved Mention1"/>
    <w:basedOn w:val="a0"/>
    <w:uiPriority w:val="99"/>
    <w:semiHidden/>
    <w:unhideWhenUsed/>
    <w:rsid w:val="00884ED1"/>
    <w:rPr>
      <w:color w:val="605E5C"/>
      <w:shd w:val="clear" w:color="auto" w:fill="E1DFDD"/>
    </w:rPr>
  </w:style>
  <w:style w:type="paragraph" w:styleId="a5">
    <w:name w:val="List Paragraph"/>
    <w:basedOn w:val="a"/>
    <w:uiPriority w:val="34"/>
    <w:qFormat/>
    <w:rsid w:val="00EF364E"/>
    <w:pPr>
      <w:ind w:left="720"/>
      <w:contextualSpacing/>
    </w:p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nsp.md/wp-content/uploads/2021/04/Ordinul-115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9M7vb2zhRrODpMFpQF7B8bX6A==">AMUW2mVx2rqF8vu8dTLl6iDG1VSvWYAy5ztHDJZl85nP1XDEybNo0LqhJ8PhmNsldNn708Dc1G0NP18wpZLdDQ1fKBSEkib7VUh47/Ce5uCUKZwz0Tzcketjt/ha9Ch36c++HNGG8/nF8mWKvb7VIZak30/KpllWSLMdMz+hh2Gr+EkoW3tGLHE18kx/+ABDfOLVMKSl0w7vC7OZHzBU07a88nOSiqjs5PMiRkaSWP9nA87Ii0btVl6hfpbHaiGYA0fZOLac7/Wm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1524</Words>
  <Characters>8687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Ermurachi</dc:creator>
  <cp:lastModifiedBy>Valentina Chiper</cp:lastModifiedBy>
  <cp:revision>2</cp:revision>
  <dcterms:created xsi:type="dcterms:W3CDTF">2022-12-07T14:18:00Z</dcterms:created>
  <dcterms:modified xsi:type="dcterms:W3CDTF">2022-12-07T14:18:00Z</dcterms:modified>
</cp:coreProperties>
</file>