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3D" w:rsidRPr="00E97C3D" w:rsidRDefault="00E97C3D" w:rsidP="00E97C3D">
      <w:pPr>
        <w:tabs>
          <w:tab w:val="left" w:pos="1134"/>
        </w:tabs>
        <w:spacing w:after="0" w:line="240" w:lineRule="auto"/>
        <w:jc w:val="center"/>
        <w:rPr>
          <w:rFonts w:ascii="Times New Roman" w:eastAsia="Times New Roman" w:hAnsi="Times New Roman" w:cs="Times New Roman"/>
          <w:b/>
          <w:sz w:val="24"/>
          <w:szCs w:val="24"/>
          <w:lang w:val="ro-RO" w:eastAsia="ru-RU"/>
        </w:rPr>
      </w:pPr>
      <w:r w:rsidRPr="00E97C3D">
        <w:rPr>
          <w:rFonts w:ascii="Times New Roman" w:eastAsia="Times New Roman" w:hAnsi="Times New Roman" w:cs="Times New Roman"/>
          <w:b/>
          <w:sz w:val="24"/>
          <w:szCs w:val="24"/>
          <w:lang w:val="ro-RO" w:eastAsia="ru-RU"/>
        </w:rPr>
        <w:t xml:space="preserve">SINTEZA </w:t>
      </w:r>
    </w:p>
    <w:p w:rsidR="00E97C3D" w:rsidRPr="00E97C3D" w:rsidRDefault="00E97C3D" w:rsidP="00401AE5">
      <w:pPr>
        <w:tabs>
          <w:tab w:val="left" w:pos="884"/>
          <w:tab w:val="left" w:pos="1196"/>
        </w:tabs>
        <w:spacing w:after="0" w:line="240" w:lineRule="auto"/>
        <w:jc w:val="center"/>
        <w:rPr>
          <w:rFonts w:ascii="Times New Roman" w:eastAsia="Times New Roman" w:hAnsi="Times New Roman" w:cs="Times New Roman"/>
          <w:b/>
          <w:sz w:val="24"/>
          <w:szCs w:val="24"/>
          <w:lang w:val="ro-RO"/>
        </w:rPr>
      </w:pPr>
      <w:r w:rsidRPr="00E97C3D">
        <w:rPr>
          <w:rFonts w:ascii="Times New Roman" w:eastAsia="Times New Roman" w:hAnsi="Times New Roman" w:cs="Times New Roman"/>
          <w:b/>
          <w:sz w:val="24"/>
          <w:szCs w:val="24"/>
          <w:lang w:val="ro-RO" w:eastAsia="ru-RU"/>
        </w:rPr>
        <w:t>obiecțiilor și propunerilor (rec</w:t>
      </w:r>
      <w:r w:rsidR="00196D90">
        <w:rPr>
          <w:rFonts w:ascii="Times New Roman" w:eastAsia="Times New Roman" w:hAnsi="Times New Roman" w:cs="Times New Roman"/>
          <w:b/>
          <w:sz w:val="24"/>
          <w:szCs w:val="24"/>
          <w:lang w:val="ro-RO" w:eastAsia="ru-RU"/>
        </w:rPr>
        <w:t>omandărilor) la proiectul hotărâ</w:t>
      </w:r>
      <w:r w:rsidRPr="00E97C3D">
        <w:rPr>
          <w:rFonts w:ascii="Times New Roman" w:eastAsia="Times New Roman" w:hAnsi="Times New Roman" w:cs="Times New Roman"/>
          <w:b/>
          <w:sz w:val="24"/>
          <w:szCs w:val="24"/>
          <w:lang w:val="ro-RO" w:eastAsia="ru-RU"/>
        </w:rPr>
        <w:t xml:space="preserve">rii </w:t>
      </w:r>
      <w:r w:rsidRPr="00E97C3D">
        <w:rPr>
          <w:rFonts w:ascii="Times New Roman" w:eastAsia="Times New Roman" w:hAnsi="Times New Roman" w:cs="Times New Roman"/>
          <w:b/>
          <w:sz w:val="24"/>
          <w:szCs w:val="24"/>
          <w:lang w:val="ro-RO"/>
        </w:rPr>
        <w:t xml:space="preserve">Guvernului cu privire la </w:t>
      </w:r>
    </w:p>
    <w:p w:rsidR="00E97C3D" w:rsidRPr="00E97C3D" w:rsidRDefault="00E97C3D" w:rsidP="00401AE5">
      <w:pPr>
        <w:tabs>
          <w:tab w:val="left" w:pos="884"/>
          <w:tab w:val="left" w:pos="1196"/>
        </w:tabs>
        <w:spacing w:after="0" w:line="240" w:lineRule="auto"/>
        <w:jc w:val="center"/>
        <w:rPr>
          <w:rFonts w:ascii="Times New Roman" w:eastAsia="Times New Roman" w:hAnsi="Times New Roman" w:cs="Times New Roman"/>
          <w:sz w:val="32"/>
          <w:szCs w:val="28"/>
          <w:lang w:val="ro-RO" w:eastAsia="ru-RU"/>
        </w:rPr>
      </w:pPr>
      <w:r w:rsidRPr="00E97C3D">
        <w:rPr>
          <w:rFonts w:ascii="Times New Roman" w:eastAsia="Times New Roman" w:hAnsi="Times New Roman" w:cs="Times New Roman"/>
          <w:b/>
          <w:sz w:val="24"/>
          <w:szCs w:val="24"/>
          <w:lang w:val="ro-RO"/>
        </w:rPr>
        <w:t>transmiterea un</w:t>
      </w:r>
      <w:r w:rsidR="00B554A1">
        <w:rPr>
          <w:rFonts w:ascii="Times New Roman" w:eastAsia="Times New Roman" w:hAnsi="Times New Roman" w:cs="Times New Roman"/>
          <w:b/>
          <w:sz w:val="24"/>
          <w:szCs w:val="24"/>
          <w:lang w:val="ro-RO"/>
        </w:rPr>
        <w:t>ui</w:t>
      </w:r>
      <w:r w:rsidRPr="00E97C3D">
        <w:rPr>
          <w:rFonts w:ascii="Times New Roman" w:eastAsia="Times New Roman" w:hAnsi="Times New Roman" w:cs="Times New Roman"/>
          <w:b/>
          <w:sz w:val="24"/>
          <w:szCs w:val="24"/>
          <w:lang w:val="ro-RO"/>
        </w:rPr>
        <w:t xml:space="preserve"> </w:t>
      </w:r>
      <w:r w:rsidR="00196D90">
        <w:rPr>
          <w:rFonts w:ascii="Times New Roman" w:eastAsia="Times New Roman" w:hAnsi="Times New Roman" w:cs="Times New Roman"/>
          <w:b/>
          <w:sz w:val="24"/>
          <w:szCs w:val="24"/>
          <w:lang w:val="ro-RO"/>
        </w:rPr>
        <w:t>teren</w:t>
      </w:r>
      <w:r w:rsidR="00556155">
        <w:rPr>
          <w:rFonts w:ascii="Times New Roman" w:eastAsia="Times New Roman" w:hAnsi="Times New Roman" w:cs="Times New Roman"/>
          <w:b/>
          <w:sz w:val="24"/>
          <w:szCs w:val="24"/>
          <w:lang w:val="ro-RO"/>
        </w:rPr>
        <w:t xml:space="preserve"> și modificarea Hotărârii Guvernului nr. 161/2019 cu privire la aprobarea listei terenurilor proprietate publică a statului din administrarea Agenției Proprietății Publice</w:t>
      </w:r>
      <w:r w:rsidRPr="00E97C3D">
        <w:rPr>
          <w:rFonts w:ascii="Times New Roman" w:eastAsia="Times New Roman" w:hAnsi="Times New Roman" w:cs="Times New Roman"/>
          <w:b/>
          <w:sz w:val="24"/>
          <w:szCs w:val="24"/>
          <w:lang w:val="ro-RO" w:eastAsia="ru-RU"/>
        </w:rPr>
        <w:t xml:space="preserve">, </w:t>
      </w:r>
      <w:r w:rsidR="00196D90">
        <w:rPr>
          <w:rFonts w:ascii="Times New Roman" w:eastAsia="Times New Roman" w:hAnsi="Times New Roman" w:cs="Times New Roman"/>
          <w:sz w:val="24"/>
          <w:szCs w:val="24"/>
          <w:lang w:val="ro-RO" w:eastAsia="ru-RU"/>
        </w:rPr>
        <w:t xml:space="preserve">(număr unic </w:t>
      </w:r>
      <w:r w:rsidR="00B554A1">
        <w:rPr>
          <w:rFonts w:ascii="Times New Roman" w:eastAsia="Times New Roman" w:hAnsi="Times New Roman" w:cs="Times New Roman"/>
          <w:sz w:val="24"/>
          <w:szCs w:val="24"/>
          <w:lang w:val="ro-RO" w:eastAsia="ru-RU"/>
        </w:rPr>
        <w:t>517</w:t>
      </w:r>
      <w:r w:rsidRPr="00E97C3D">
        <w:rPr>
          <w:rFonts w:ascii="Times New Roman" w:eastAsia="Times New Roman" w:hAnsi="Times New Roman" w:cs="Times New Roman"/>
          <w:sz w:val="24"/>
          <w:szCs w:val="24"/>
          <w:lang w:val="ro-RO" w:eastAsia="ru-RU"/>
        </w:rPr>
        <w:t>/M</w:t>
      </w:r>
      <w:r w:rsidR="00196D90">
        <w:rPr>
          <w:rFonts w:ascii="Times New Roman" w:eastAsia="Times New Roman" w:hAnsi="Times New Roman" w:cs="Times New Roman"/>
          <w:sz w:val="24"/>
          <w:szCs w:val="24"/>
          <w:lang w:val="ro-RO" w:eastAsia="ru-RU"/>
        </w:rPr>
        <w:t>M</w:t>
      </w:r>
      <w:r w:rsidRPr="00E97C3D">
        <w:rPr>
          <w:rFonts w:ascii="Times New Roman" w:eastAsia="Times New Roman" w:hAnsi="Times New Roman" w:cs="Times New Roman"/>
          <w:sz w:val="24"/>
          <w:szCs w:val="24"/>
          <w:lang w:val="ro-RO" w:eastAsia="ru-RU"/>
        </w:rPr>
        <w:t>/202</w:t>
      </w:r>
      <w:r w:rsidR="00B554A1">
        <w:rPr>
          <w:rFonts w:ascii="Times New Roman" w:eastAsia="Times New Roman" w:hAnsi="Times New Roman" w:cs="Times New Roman"/>
          <w:sz w:val="24"/>
          <w:szCs w:val="24"/>
          <w:lang w:val="ro-RO" w:eastAsia="ru-RU"/>
        </w:rPr>
        <w:t>2</w:t>
      </w:r>
      <w:r w:rsidRPr="00E97C3D">
        <w:rPr>
          <w:rFonts w:ascii="Times New Roman" w:eastAsia="Times New Roman" w:hAnsi="Times New Roman" w:cs="Times New Roman"/>
          <w:sz w:val="32"/>
          <w:szCs w:val="28"/>
          <w:lang w:val="ro-RO" w:eastAsia="ru-RU"/>
        </w:rPr>
        <w:t>)</w:t>
      </w:r>
    </w:p>
    <w:p w:rsidR="00E97C3D" w:rsidRPr="00E97C3D" w:rsidRDefault="00E97C3D" w:rsidP="00E97C3D">
      <w:pPr>
        <w:shd w:val="clear" w:color="auto" w:fill="FFFFFF"/>
        <w:spacing w:after="0" w:line="240" w:lineRule="auto"/>
        <w:ind w:firstLine="720"/>
        <w:jc w:val="center"/>
        <w:rPr>
          <w:rFonts w:ascii="Times New Roman" w:eastAsia="Times New Roman" w:hAnsi="Times New Roman" w:cs="Times New Roman"/>
          <w:b/>
          <w:bCs/>
          <w:color w:val="000000"/>
          <w:sz w:val="28"/>
          <w:szCs w:val="28"/>
          <w:lang w:val="ro-MD"/>
        </w:rPr>
      </w:pPr>
    </w:p>
    <w:tbl>
      <w:tblPr>
        <w:tblpPr w:leftFromText="180" w:rightFromText="180" w:vertAnchor="text" w:tblpX="-572" w:tblpY="1"/>
        <w:tblOverlap w:val="neve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7"/>
        <w:gridCol w:w="5229"/>
        <w:gridCol w:w="3417"/>
      </w:tblGrid>
      <w:tr w:rsidR="00E97C3D" w:rsidRPr="00E97C3D" w:rsidTr="00404B8B">
        <w:tc>
          <w:tcPr>
            <w:tcW w:w="820" w:type="pct"/>
          </w:tcPr>
          <w:p w:rsidR="00E97C3D" w:rsidRPr="00E97C3D" w:rsidRDefault="00E97C3D" w:rsidP="00E97C3D">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 xml:space="preserve">Participantul la avizare (expertizare)/consultare publică </w:t>
            </w:r>
          </w:p>
        </w:tc>
        <w:tc>
          <w:tcPr>
            <w:tcW w:w="2528" w:type="pct"/>
          </w:tcPr>
          <w:p w:rsidR="00E97C3D" w:rsidRPr="00E97C3D" w:rsidRDefault="00E97C3D" w:rsidP="00E97C3D">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Conținutul obiecției/</w:t>
            </w:r>
          </w:p>
          <w:p w:rsidR="00E97C3D" w:rsidRPr="00E97C3D" w:rsidRDefault="00E97C3D" w:rsidP="00E97C3D">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propunerii (recomandării)</w:t>
            </w:r>
          </w:p>
        </w:tc>
        <w:tc>
          <w:tcPr>
            <w:tcW w:w="1652" w:type="pct"/>
          </w:tcPr>
          <w:p w:rsidR="00E97C3D" w:rsidRPr="00E97C3D" w:rsidRDefault="00E97C3D" w:rsidP="00E97C3D">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 xml:space="preserve">Argumentarea </w:t>
            </w:r>
          </w:p>
          <w:p w:rsidR="00E97C3D" w:rsidRPr="00E97C3D" w:rsidRDefault="00E97C3D" w:rsidP="00E97C3D">
            <w:pPr>
              <w:shd w:val="clear" w:color="auto" w:fill="FFFFFF"/>
              <w:tabs>
                <w:tab w:val="left" w:pos="884"/>
                <w:tab w:val="left" w:pos="1196"/>
              </w:tabs>
              <w:spacing w:after="0" w:line="240" w:lineRule="auto"/>
              <w:jc w:val="center"/>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autorului proiectului</w:t>
            </w:r>
          </w:p>
        </w:tc>
      </w:tr>
      <w:tr w:rsidR="008473CA" w:rsidRPr="00E97C3D" w:rsidTr="00404B8B">
        <w:tc>
          <w:tcPr>
            <w:tcW w:w="820" w:type="pct"/>
            <w:vMerge w:val="restart"/>
          </w:tcPr>
          <w:p w:rsidR="008473CA" w:rsidRPr="008473CA" w:rsidRDefault="008473CA" w:rsidP="00E97C3D">
            <w:pPr>
              <w:shd w:val="clear" w:color="auto" w:fill="FFFFFF"/>
              <w:tabs>
                <w:tab w:val="left" w:pos="884"/>
                <w:tab w:val="left" w:pos="1196"/>
              </w:tabs>
              <w:spacing w:after="0" w:line="240" w:lineRule="auto"/>
              <w:jc w:val="both"/>
              <w:rPr>
                <w:rFonts w:ascii="Times New Roman" w:eastAsia="Times New Roman" w:hAnsi="Times New Roman" w:cs="Times New Roman"/>
                <w:b/>
                <w:sz w:val="24"/>
                <w:szCs w:val="24"/>
                <w:lang w:val="ro-MD"/>
              </w:rPr>
            </w:pPr>
            <w:r w:rsidRPr="008473CA">
              <w:rPr>
                <w:rFonts w:ascii="Times New Roman" w:eastAsia="Times New Roman" w:hAnsi="Times New Roman" w:cs="Times New Roman"/>
                <w:b/>
                <w:sz w:val="24"/>
                <w:szCs w:val="24"/>
                <w:lang w:val="ro-MD"/>
              </w:rPr>
              <w:t xml:space="preserve">1.Ministerul Finanțelor </w:t>
            </w:r>
          </w:p>
          <w:p w:rsidR="008473CA" w:rsidRPr="008473CA" w:rsidRDefault="008473CA" w:rsidP="00E97C3D">
            <w:pPr>
              <w:autoSpaceDE w:val="0"/>
              <w:autoSpaceDN w:val="0"/>
              <w:adjustRightInd w:val="0"/>
              <w:spacing w:after="0" w:line="240" w:lineRule="auto"/>
              <w:rPr>
                <w:rFonts w:ascii="Times New Roman" w:eastAsia="Calibri" w:hAnsi="Times New Roman" w:cs="Times New Roman"/>
                <w:i/>
                <w:sz w:val="24"/>
                <w:szCs w:val="24"/>
                <w:lang w:val="ro-MD"/>
              </w:rPr>
            </w:pPr>
            <w:r w:rsidRPr="008473CA">
              <w:rPr>
                <w:rFonts w:ascii="Times New Roman" w:eastAsia="Calibri" w:hAnsi="Times New Roman" w:cs="Times New Roman"/>
                <w:i/>
                <w:sz w:val="24"/>
                <w:szCs w:val="24"/>
                <w:lang w:val="ro-MD"/>
              </w:rPr>
              <w:t>Aviz nr. 17-04/</w:t>
            </w:r>
            <w:r w:rsidR="00B554A1">
              <w:rPr>
                <w:rFonts w:ascii="Times New Roman" w:eastAsia="Calibri" w:hAnsi="Times New Roman" w:cs="Times New Roman"/>
                <w:i/>
                <w:sz w:val="24"/>
                <w:szCs w:val="24"/>
                <w:lang w:val="ro-MD"/>
              </w:rPr>
              <w:t>291/1062 din 04.08.</w:t>
            </w:r>
            <w:r w:rsidRPr="008473CA">
              <w:rPr>
                <w:rFonts w:ascii="Times New Roman" w:eastAsia="Calibri" w:hAnsi="Times New Roman" w:cs="Times New Roman"/>
                <w:i/>
                <w:sz w:val="24"/>
                <w:szCs w:val="24"/>
                <w:lang w:val="ro-MD"/>
              </w:rPr>
              <w:t>202</w:t>
            </w:r>
            <w:r w:rsidR="00B554A1">
              <w:rPr>
                <w:rFonts w:ascii="Times New Roman" w:eastAsia="Calibri" w:hAnsi="Times New Roman" w:cs="Times New Roman"/>
                <w:i/>
                <w:sz w:val="24"/>
                <w:szCs w:val="24"/>
                <w:lang w:val="ro-MD"/>
              </w:rPr>
              <w:t>2</w:t>
            </w:r>
          </w:p>
          <w:p w:rsidR="008473CA" w:rsidRPr="008473CA" w:rsidRDefault="00404B8B" w:rsidP="00E97C3D">
            <w:pPr>
              <w:shd w:val="clear" w:color="auto" w:fill="FFFFFF"/>
              <w:tabs>
                <w:tab w:val="left" w:pos="884"/>
                <w:tab w:val="left" w:pos="1196"/>
              </w:tabs>
              <w:spacing w:after="0" w:line="240" w:lineRule="auto"/>
              <w:jc w:val="both"/>
              <w:rPr>
                <w:rFonts w:ascii="Times New Roman" w:eastAsia="Times New Roman" w:hAnsi="Times New Roman" w:cs="Times New Roman"/>
                <w:i/>
                <w:sz w:val="24"/>
                <w:szCs w:val="24"/>
                <w:lang w:val="ro-MD"/>
              </w:rPr>
            </w:pPr>
            <w:r>
              <w:rPr>
                <w:rFonts w:ascii="Times New Roman" w:eastAsia="Times New Roman" w:hAnsi="Times New Roman" w:cs="Times New Roman"/>
                <w:i/>
                <w:sz w:val="24"/>
                <w:szCs w:val="24"/>
                <w:lang w:val="ro-MD"/>
              </w:rPr>
              <w:t xml:space="preserve">  </w:t>
            </w:r>
          </w:p>
        </w:tc>
        <w:tc>
          <w:tcPr>
            <w:tcW w:w="2528" w:type="pct"/>
          </w:tcPr>
          <w:p w:rsidR="008473CA" w:rsidRPr="008473CA" w:rsidRDefault="008473CA" w:rsidP="00E97C3D">
            <w:pPr>
              <w:shd w:val="clear" w:color="auto" w:fill="FFFFFF"/>
              <w:tabs>
                <w:tab w:val="left" w:pos="884"/>
                <w:tab w:val="left" w:pos="1196"/>
              </w:tabs>
              <w:spacing w:after="0" w:line="240" w:lineRule="auto"/>
              <w:jc w:val="both"/>
              <w:rPr>
                <w:rFonts w:ascii="Times New Roman" w:eastAsia="Times New Roman" w:hAnsi="Times New Roman" w:cs="Times New Roman"/>
                <w:b/>
                <w:sz w:val="24"/>
                <w:szCs w:val="24"/>
                <w:lang w:val="ro-MD"/>
              </w:rPr>
            </w:pPr>
            <w:r w:rsidRPr="008473CA">
              <w:rPr>
                <w:rFonts w:ascii="Times New Roman" w:eastAsia="Times New Roman" w:hAnsi="Times New Roman" w:cs="Times New Roman"/>
                <w:b/>
                <w:sz w:val="24"/>
                <w:szCs w:val="24"/>
                <w:lang w:val="ro-MD"/>
              </w:rPr>
              <w:t xml:space="preserve">I. Obiecțiile </w:t>
            </w:r>
          </w:p>
        </w:tc>
        <w:tc>
          <w:tcPr>
            <w:tcW w:w="1652" w:type="pct"/>
          </w:tcPr>
          <w:p w:rsidR="008473CA" w:rsidRPr="008473CA" w:rsidRDefault="008473CA" w:rsidP="00E97C3D">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r>
      <w:tr w:rsidR="008473CA" w:rsidRPr="00E97C3D" w:rsidTr="00404B8B">
        <w:trPr>
          <w:trHeight w:val="295"/>
        </w:trPr>
        <w:tc>
          <w:tcPr>
            <w:tcW w:w="820" w:type="pct"/>
            <w:vMerge/>
          </w:tcPr>
          <w:p w:rsidR="008473CA" w:rsidRPr="008473CA" w:rsidRDefault="008473CA" w:rsidP="00E97C3D">
            <w:pPr>
              <w:shd w:val="clear" w:color="auto" w:fill="FFFFFF"/>
              <w:tabs>
                <w:tab w:val="left" w:pos="884"/>
                <w:tab w:val="left" w:pos="1196"/>
              </w:tabs>
              <w:spacing w:after="0" w:line="240" w:lineRule="auto"/>
              <w:jc w:val="both"/>
              <w:rPr>
                <w:rFonts w:ascii="Times New Roman" w:eastAsia="Times New Roman" w:hAnsi="Times New Roman" w:cs="Times New Roman"/>
                <w:b/>
                <w:sz w:val="24"/>
                <w:szCs w:val="24"/>
                <w:lang w:val="ro-MD"/>
              </w:rPr>
            </w:pPr>
          </w:p>
        </w:tc>
        <w:tc>
          <w:tcPr>
            <w:tcW w:w="2528" w:type="pct"/>
          </w:tcPr>
          <w:p w:rsidR="008473CA" w:rsidRPr="008473CA" w:rsidRDefault="008473CA" w:rsidP="00E97C3D">
            <w:pPr>
              <w:spacing w:after="0" w:line="240" w:lineRule="auto"/>
              <w:jc w:val="both"/>
              <w:rPr>
                <w:rFonts w:ascii="Times New Roman" w:eastAsia="Times New Roman" w:hAnsi="Times New Roman" w:cs="Times New Roman"/>
                <w:sz w:val="24"/>
                <w:szCs w:val="24"/>
                <w:lang w:val="ro-MD"/>
              </w:rPr>
            </w:pPr>
            <w:r w:rsidRPr="008473CA">
              <w:rPr>
                <w:rFonts w:ascii="Times New Roman" w:eastAsia="Times New Roman" w:hAnsi="Times New Roman" w:cs="Times New Roman"/>
                <w:sz w:val="24"/>
                <w:szCs w:val="24"/>
                <w:lang w:val="ro-MD"/>
              </w:rPr>
              <w:t>Lipsă de obiecții</w:t>
            </w:r>
          </w:p>
        </w:tc>
        <w:tc>
          <w:tcPr>
            <w:tcW w:w="1652" w:type="pct"/>
          </w:tcPr>
          <w:p w:rsidR="008473CA" w:rsidRPr="008473CA" w:rsidRDefault="008473CA" w:rsidP="00E97C3D">
            <w:pPr>
              <w:spacing w:after="0" w:line="240" w:lineRule="auto"/>
              <w:ind w:left="39"/>
              <w:jc w:val="both"/>
              <w:rPr>
                <w:rFonts w:ascii="Times New Roman" w:eastAsia="Calibri" w:hAnsi="Times New Roman" w:cs="Times New Roman"/>
                <w:sz w:val="24"/>
                <w:szCs w:val="24"/>
                <w:lang w:val="ro-MD"/>
              </w:rPr>
            </w:pPr>
            <w:r w:rsidRPr="008473CA">
              <w:rPr>
                <w:rFonts w:ascii="Times New Roman" w:eastAsia="Calibri" w:hAnsi="Times New Roman" w:cs="Times New Roman"/>
                <w:sz w:val="24"/>
                <w:szCs w:val="24"/>
                <w:lang w:val="ro-MD"/>
              </w:rPr>
              <w:t>Se acceptă.</w:t>
            </w:r>
          </w:p>
        </w:tc>
      </w:tr>
      <w:tr w:rsidR="008473CA" w:rsidRPr="00E97C3D" w:rsidTr="00404B8B">
        <w:trPr>
          <w:trHeight w:val="170"/>
        </w:trPr>
        <w:tc>
          <w:tcPr>
            <w:tcW w:w="820" w:type="pct"/>
            <w:vMerge/>
          </w:tcPr>
          <w:p w:rsidR="008473CA" w:rsidRPr="008473CA" w:rsidRDefault="008473CA" w:rsidP="00E97C3D">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c>
          <w:tcPr>
            <w:tcW w:w="2528" w:type="pct"/>
          </w:tcPr>
          <w:p w:rsidR="008473CA" w:rsidRPr="008473CA" w:rsidRDefault="008473CA" w:rsidP="00E97C3D">
            <w:pPr>
              <w:shd w:val="clear" w:color="auto" w:fill="FFFFFF"/>
              <w:tabs>
                <w:tab w:val="left" w:pos="884"/>
                <w:tab w:val="left" w:pos="1196"/>
              </w:tabs>
              <w:spacing w:after="0" w:line="240" w:lineRule="auto"/>
              <w:jc w:val="both"/>
              <w:rPr>
                <w:rFonts w:ascii="Times New Roman" w:eastAsia="Times New Roman" w:hAnsi="Times New Roman" w:cs="Times New Roman"/>
                <w:b/>
                <w:sz w:val="24"/>
                <w:szCs w:val="24"/>
                <w:lang w:val="ro-MD"/>
              </w:rPr>
            </w:pPr>
            <w:r w:rsidRPr="008473CA">
              <w:rPr>
                <w:rFonts w:ascii="Times New Roman" w:eastAsia="Times New Roman" w:hAnsi="Times New Roman" w:cs="Times New Roman"/>
                <w:b/>
                <w:sz w:val="24"/>
                <w:szCs w:val="24"/>
                <w:lang w:val="ro-MD"/>
              </w:rPr>
              <w:t>II. Propunerile (recomandările)</w:t>
            </w:r>
          </w:p>
        </w:tc>
        <w:tc>
          <w:tcPr>
            <w:tcW w:w="1652" w:type="pct"/>
          </w:tcPr>
          <w:p w:rsidR="008473CA" w:rsidRPr="008473CA" w:rsidRDefault="008473CA" w:rsidP="00E97C3D">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r>
      <w:tr w:rsidR="008473CA" w:rsidRPr="00E97C3D" w:rsidTr="00404B8B">
        <w:trPr>
          <w:trHeight w:val="170"/>
        </w:trPr>
        <w:tc>
          <w:tcPr>
            <w:tcW w:w="820" w:type="pct"/>
            <w:vMerge/>
          </w:tcPr>
          <w:p w:rsidR="008473CA" w:rsidRPr="008473CA" w:rsidRDefault="008473CA" w:rsidP="00E97C3D">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c>
          <w:tcPr>
            <w:tcW w:w="2528" w:type="pct"/>
          </w:tcPr>
          <w:p w:rsidR="008473CA" w:rsidRPr="008473CA" w:rsidRDefault="008473CA" w:rsidP="00B554A1">
            <w:pPr>
              <w:spacing w:after="0" w:line="240" w:lineRule="auto"/>
              <w:jc w:val="both"/>
              <w:rPr>
                <w:rFonts w:ascii="Times New Roman" w:eastAsia="Times New Roman" w:hAnsi="Times New Roman" w:cs="Times New Roman"/>
                <w:sz w:val="24"/>
                <w:szCs w:val="24"/>
                <w:lang w:val="ro-MD"/>
              </w:rPr>
            </w:pPr>
            <w:r w:rsidRPr="008473CA">
              <w:rPr>
                <w:rFonts w:ascii="Times New Roman" w:eastAsia="Times New Roman" w:hAnsi="Times New Roman" w:cs="Times New Roman"/>
                <w:sz w:val="24"/>
                <w:szCs w:val="24"/>
                <w:lang w:val="ro-MD"/>
              </w:rPr>
              <w:t xml:space="preserve">Se propune </w:t>
            </w:r>
            <w:r w:rsidR="00B554A1">
              <w:rPr>
                <w:rFonts w:ascii="Times New Roman" w:eastAsia="Times New Roman" w:hAnsi="Times New Roman" w:cs="Times New Roman"/>
                <w:sz w:val="24"/>
                <w:szCs w:val="24"/>
                <w:lang w:val="ro-MD"/>
              </w:rPr>
              <w:t>la pct.1 din proiect, textul „-drept de folosință al Penitenciarului nr.7 Rusca” să fie substituit cu textul „(gestiunea  Penitenciarului nr.7 Rusca),”, iar textul „Ministerul Mediului,” se va completa cu textul „(gestiunea Agenției „</w:t>
            </w:r>
            <w:proofErr w:type="spellStart"/>
            <w:r w:rsidR="00B554A1">
              <w:rPr>
                <w:rFonts w:ascii="Times New Roman" w:eastAsia="Times New Roman" w:hAnsi="Times New Roman" w:cs="Times New Roman"/>
                <w:sz w:val="24"/>
                <w:szCs w:val="24"/>
                <w:lang w:val="ro-MD"/>
              </w:rPr>
              <w:t>Moldsilva</w:t>
            </w:r>
            <w:proofErr w:type="spellEnd"/>
            <w:r w:rsidR="00B554A1">
              <w:rPr>
                <w:rFonts w:ascii="Times New Roman" w:eastAsia="Times New Roman" w:hAnsi="Times New Roman" w:cs="Times New Roman"/>
                <w:sz w:val="24"/>
                <w:szCs w:val="24"/>
                <w:lang w:val="ro-MD"/>
              </w:rPr>
              <w:t>”)”.</w:t>
            </w:r>
          </w:p>
        </w:tc>
        <w:tc>
          <w:tcPr>
            <w:tcW w:w="1652" w:type="pct"/>
          </w:tcPr>
          <w:p w:rsidR="008473CA" w:rsidRPr="00556155" w:rsidRDefault="00557B59" w:rsidP="00E97C3D">
            <w:pPr>
              <w:spacing w:after="0" w:line="240" w:lineRule="auto"/>
              <w:ind w:left="39"/>
              <w:jc w:val="both"/>
              <w:rPr>
                <w:rFonts w:ascii="Times New Roman" w:eastAsia="Calibri" w:hAnsi="Times New Roman" w:cs="Times New Roman"/>
                <w:sz w:val="24"/>
                <w:szCs w:val="24"/>
                <w:lang w:val="ro-MD"/>
              </w:rPr>
            </w:pPr>
            <w:r w:rsidRPr="00556155">
              <w:rPr>
                <w:rFonts w:ascii="Times New Roman" w:eastAsia="Calibri" w:hAnsi="Times New Roman" w:cs="Times New Roman"/>
                <w:sz w:val="24"/>
                <w:szCs w:val="24"/>
                <w:lang w:val="ro-MD"/>
              </w:rPr>
              <w:t>Nu se acceptă</w:t>
            </w:r>
            <w:r w:rsidR="004265C3" w:rsidRPr="00556155">
              <w:rPr>
                <w:rFonts w:ascii="Times New Roman" w:eastAsia="Calibri" w:hAnsi="Times New Roman" w:cs="Times New Roman"/>
                <w:sz w:val="24"/>
                <w:szCs w:val="24"/>
                <w:lang w:val="ro-MD"/>
              </w:rPr>
              <w:t>,</w:t>
            </w:r>
            <w:r w:rsidRPr="00556155">
              <w:rPr>
                <w:rFonts w:ascii="Times New Roman" w:eastAsia="Calibri" w:hAnsi="Times New Roman" w:cs="Times New Roman"/>
                <w:sz w:val="24"/>
                <w:szCs w:val="24"/>
                <w:lang w:val="ro-MD"/>
              </w:rPr>
              <w:t xml:space="preserve"> </w:t>
            </w:r>
            <w:r w:rsidR="00404B8B" w:rsidRPr="00556155">
              <w:rPr>
                <w:rFonts w:ascii="Times New Roman" w:eastAsia="Calibri" w:hAnsi="Times New Roman" w:cs="Times New Roman"/>
                <w:sz w:val="24"/>
                <w:szCs w:val="24"/>
                <w:lang w:val="ro-MD"/>
              </w:rPr>
              <w:t xml:space="preserve">deoarece </w:t>
            </w:r>
            <w:r w:rsidR="001C07FF" w:rsidRPr="00556155">
              <w:rPr>
                <w:rFonts w:ascii="Times New Roman" w:eastAsia="Calibri" w:hAnsi="Times New Roman" w:cs="Times New Roman"/>
                <w:sz w:val="24"/>
                <w:szCs w:val="24"/>
                <w:lang w:val="ro-MD"/>
              </w:rPr>
              <w:t xml:space="preserve">este înregistrat cu drept de folosință </w:t>
            </w:r>
            <w:r w:rsidR="00404B8B" w:rsidRPr="00556155">
              <w:rPr>
                <w:rFonts w:ascii="Times New Roman" w:eastAsia="Calibri" w:hAnsi="Times New Roman" w:cs="Times New Roman"/>
                <w:sz w:val="24"/>
                <w:szCs w:val="24"/>
                <w:lang w:val="ro-MD"/>
              </w:rPr>
              <w:t>conform Titlului</w:t>
            </w:r>
            <w:r w:rsidR="001C07FF" w:rsidRPr="00556155">
              <w:rPr>
                <w:rFonts w:ascii="Times New Roman" w:eastAsia="Calibri" w:hAnsi="Times New Roman" w:cs="Times New Roman"/>
                <w:sz w:val="24"/>
                <w:szCs w:val="24"/>
                <w:lang w:val="ro-MD"/>
              </w:rPr>
              <w:t xml:space="preserve"> de autentificare a dreptului deținătorului de teren nr.046281 din 26.09.2000</w:t>
            </w:r>
            <w:r w:rsidR="00322428" w:rsidRPr="00556155">
              <w:rPr>
                <w:rFonts w:ascii="Times New Roman" w:eastAsia="Calibri" w:hAnsi="Times New Roman" w:cs="Times New Roman"/>
                <w:sz w:val="24"/>
                <w:szCs w:val="24"/>
                <w:lang w:val="ro-MD"/>
              </w:rPr>
              <w:t>.</w:t>
            </w:r>
          </w:p>
          <w:p w:rsidR="00322428" w:rsidRPr="00556155" w:rsidRDefault="00322428" w:rsidP="00E97C3D">
            <w:pPr>
              <w:spacing w:after="0" w:line="240" w:lineRule="auto"/>
              <w:ind w:left="39"/>
              <w:jc w:val="both"/>
              <w:rPr>
                <w:rFonts w:ascii="Times New Roman" w:eastAsia="Calibri" w:hAnsi="Times New Roman" w:cs="Times New Roman"/>
                <w:sz w:val="24"/>
                <w:szCs w:val="24"/>
                <w:lang w:val="ro-MD"/>
              </w:rPr>
            </w:pPr>
            <w:proofErr w:type="spellStart"/>
            <w:r w:rsidRPr="00556155">
              <w:rPr>
                <w:rFonts w:ascii="Times New Roman" w:eastAsia="Calibri" w:hAnsi="Times New Roman" w:cs="Times New Roman"/>
                <w:sz w:val="24"/>
                <w:szCs w:val="24"/>
                <w:lang w:val="ro-MD"/>
              </w:rPr>
              <w:t>Totodata</w:t>
            </w:r>
            <w:proofErr w:type="spellEnd"/>
            <w:r w:rsidRPr="00556155">
              <w:rPr>
                <w:rFonts w:ascii="Times New Roman" w:eastAsia="Calibri" w:hAnsi="Times New Roman" w:cs="Times New Roman"/>
                <w:sz w:val="24"/>
                <w:szCs w:val="24"/>
                <w:lang w:val="ro-MD"/>
              </w:rPr>
              <w:t>, în conformitate cu art.6 al HG 1170/2016, transmiterea terenurilor agricole poate fi cu titlu de proprietate, administrare și folosință.</w:t>
            </w:r>
            <w:r w:rsidR="00BB3B16" w:rsidRPr="00556155">
              <w:rPr>
                <w:rFonts w:ascii="Times New Roman" w:eastAsia="Calibri" w:hAnsi="Times New Roman" w:cs="Times New Roman"/>
                <w:sz w:val="24"/>
                <w:szCs w:val="24"/>
                <w:lang w:val="ro-MD"/>
              </w:rPr>
              <w:t xml:space="preserve"> </w:t>
            </w:r>
            <w:r w:rsidR="00360358" w:rsidRPr="00556155">
              <w:rPr>
                <w:rFonts w:ascii="Times New Roman" w:eastAsia="Calibri" w:hAnsi="Times New Roman" w:cs="Times New Roman"/>
                <w:sz w:val="24"/>
                <w:szCs w:val="24"/>
                <w:lang w:val="ro-MD"/>
              </w:rPr>
              <w:t xml:space="preserve"> </w:t>
            </w:r>
            <w:r w:rsidR="00557B59" w:rsidRPr="00556155">
              <w:rPr>
                <w:rFonts w:ascii="Times New Roman" w:eastAsia="Calibri" w:hAnsi="Times New Roman" w:cs="Times New Roman"/>
                <w:sz w:val="24"/>
                <w:szCs w:val="24"/>
                <w:lang w:val="ro-MD"/>
              </w:rPr>
              <w:t xml:space="preserve"> </w:t>
            </w:r>
          </w:p>
          <w:p w:rsidR="00557B59" w:rsidRPr="008473CA" w:rsidRDefault="00557B59" w:rsidP="00E97C3D">
            <w:pPr>
              <w:spacing w:after="0" w:line="240" w:lineRule="auto"/>
              <w:ind w:left="39"/>
              <w:jc w:val="both"/>
              <w:rPr>
                <w:rFonts w:ascii="Times New Roman" w:eastAsia="Calibri" w:hAnsi="Times New Roman" w:cs="Times New Roman"/>
                <w:sz w:val="24"/>
                <w:szCs w:val="24"/>
                <w:lang w:val="ro-MD"/>
              </w:rPr>
            </w:pPr>
            <w:r w:rsidRPr="00556155">
              <w:rPr>
                <w:rFonts w:ascii="Times New Roman" w:eastAsia="Calibri" w:hAnsi="Times New Roman" w:cs="Times New Roman"/>
                <w:sz w:val="24"/>
                <w:szCs w:val="24"/>
                <w:lang w:val="ro-MD"/>
              </w:rPr>
              <w:t xml:space="preserve">Se accepta a fi completat textul </w:t>
            </w:r>
            <w:r w:rsidR="004265C3" w:rsidRPr="00556155">
              <w:rPr>
                <w:rFonts w:ascii="Times New Roman" w:eastAsia="Times New Roman" w:hAnsi="Times New Roman" w:cs="Times New Roman"/>
                <w:sz w:val="24"/>
                <w:szCs w:val="24"/>
                <w:lang w:val="ro-MD"/>
              </w:rPr>
              <w:t xml:space="preserve">„Ministerul Mediului (gestiunea </w:t>
            </w:r>
            <w:r w:rsidRPr="00556155">
              <w:rPr>
                <w:rFonts w:ascii="Times New Roman" w:eastAsia="Times New Roman" w:hAnsi="Times New Roman" w:cs="Times New Roman"/>
                <w:sz w:val="24"/>
                <w:szCs w:val="24"/>
                <w:lang w:val="ro-MD"/>
              </w:rPr>
              <w:t>Agenția „</w:t>
            </w:r>
            <w:proofErr w:type="spellStart"/>
            <w:r w:rsidRPr="00556155">
              <w:rPr>
                <w:rFonts w:ascii="Times New Roman" w:eastAsia="Times New Roman" w:hAnsi="Times New Roman" w:cs="Times New Roman"/>
                <w:sz w:val="24"/>
                <w:szCs w:val="24"/>
                <w:lang w:val="ro-MD"/>
              </w:rPr>
              <w:t>Moldsilva</w:t>
            </w:r>
            <w:proofErr w:type="spellEnd"/>
            <w:r w:rsidRPr="00556155">
              <w:rPr>
                <w:rFonts w:ascii="Times New Roman" w:eastAsia="Times New Roman" w:hAnsi="Times New Roman" w:cs="Times New Roman"/>
                <w:sz w:val="24"/>
                <w:szCs w:val="24"/>
                <w:lang w:val="ro-MD"/>
              </w:rPr>
              <w:t>”</w:t>
            </w:r>
            <w:r w:rsidR="004265C3" w:rsidRPr="00556155">
              <w:rPr>
                <w:rFonts w:ascii="Times New Roman" w:eastAsia="Times New Roman" w:hAnsi="Times New Roman" w:cs="Times New Roman"/>
                <w:sz w:val="24"/>
                <w:szCs w:val="24"/>
                <w:lang w:val="ro-MD"/>
              </w:rPr>
              <w:t>)”</w:t>
            </w:r>
          </w:p>
        </w:tc>
      </w:tr>
      <w:tr w:rsidR="008473CA" w:rsidRPr="00E97C3D" w:rsidTr="00404B8B">
        <w:trPr>
          <w:trHeight w:val="1104"/>
        </w:trPr>
        <w:tc>
          <w:tcPr>
            <w:tcW w:w="820" w:type="pct"/>
            <w:vMerge/>
          </w:tcPr>
          <w:p w:rsidR="008473CA" w:rsidRPr="008473CA" w:rsidRDefault="008473CA" w:rsidP="00E97C3D">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c>
          <w:tcPr>
            <w:tcW w:w="2528" w:type="pct"/>
          </w:tcPr>
          <w:p w:rsidR="008473CA" w:rsidRPr="008473CA" w:rsidRDefault="00404B8B" w:rsidP="00404B8B">
            <w:pPr>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ro-MD"/>
              </w:rPr>
              <w:t>Se propune la pct.2 din proiect, textul „și vor asigura transmiterea terenului” să fie completat cu textul „menționat la pct.1” și mai departe după conținut.</w:t>
            </w:r>
          </w:p>
        </w:tc>
        <w:tc>
          <w:tcPr>
            <w:tcW w:w="1652" w:type="pct"/>
          </w:tcPr>
          <w:p w:rsidR="008473CA" w:rsidRPr="008473CA" w:rsidRDefault="00A303D1" w:rsidP="00E97C3D">
            <w:pPr>
              <w:spacing w:after="0" w:line="240" w:lineRule="auto"/>
              <w:ind w:left="39"/>
              <w:jc w:val="both"/>
              <w:rPr>
                <w:rFonts w:ascii="Times New Roman" w:eastAsia="Calibri" w:hAnsi="Times New Roman" w:cs="Times New Roman"/>
                <w:sz w:val="24"/>
                <w:szCs w:val="24"/>
                <w:lang w:val="ro-MD"/>
              </w:rPr>
            </w:pPr>
            <w:r w:rsidRPr="008473CA">
              <w:rPr>
                <w:rFonts w:ascii="Times New Roman" w:eastAsia="Calibri" w:hAnsi="Times New Roman" w:cs="Times New Roman"/>
                <w:sz w:val="24"/>
                <w:szCs w:val="24"/>
                <w:lang w:val="ro-MD"/>
              </w:rPr>
              <w:t>Se acceptă</w:t>
            </w:r>
          </w:p>
        </w:tc>
      </w:tr>
      <w:tr w:rsidR="008473CA" w:rsidRPr="00E97C3D" w:rsidTr="00404B8B">
        <w:trPr>
          <w:trHeight w:val="533"/>
        </w:trPr>
        <w:tc>
          <w:tcPr>
            <w:tcW w:w="820" w:type="pct"/>
            <w:vMerge/>
          </w:tcPr>
          <w:p w:rsidR="008473CA" w:rsidRPr="008473CA" w:rsidRDefault="008473CA" w:rsidP="00E97C3D">
            <w:pPr>
              <w:shd w:val="clear" w:color="auto" w:fill="FFFFFF"/>
              <w:tabs>
                <w:tab w:val="left" w:pos="884"/>
                <w:tab w:val="left" w:pos="1196"/>
              </w:tabs>
              <w:spacing w:after="0" w:line="240" w:lineRule="auto"/>
              <w:jc w:val="both"/>
              <w:rPr>
                <w:rFonts w:ascii="Times New Roman" w:eastAsia="Times New Roman" w:hAnsi="Times New Roman" w:cs="Times New Roman"/>
                <w:sz w:val="24"/>
                <w:szCs w:val="24"/>
                <w:lang w:val="ro-MD"/>
              </w:rPr>
            </w:pPr>
          </w:p>
        </w:tc>
        <w:tc>
          <w:tcPr>
            <w:tcW w:w="2528" w:type="pct"/>
          </w:tcPr>
          <w:p w:rsidR="008473CA" w:rsidRPr="008473CA" w:rsidRDefault="008473CA" w:rsidP="00404B8B">
            <w:pPr>
              <w:spacing w:after="0" w:line="240" w:lineRule="auto"/>
              <w:jc w:val="both"/>
              <w:rPr>
                <w:rFonts w:ascii="Times New Roman" w:eastAsia="Times New Roman" w:hAnsi="Times New Roman" w:cs="Times New Roman"/>
                <w:sz w:val="24"/>
                <w:szCs w:val="24"/>
                <w:lang w:val="ro-MD"/>
              </w:rPr>
            </w:pPr>
            <w:r w:rsidRPr="008473CA">
              <w:rPr>
                <w:rFonts w:ascii="Times New Roman" w:eastAsia="Times New Roman" w:hAnsi="Times New Roman" w:cs="Times New Roman"/>
                <w:sz w:val="24"/>
                <w:szCs w:val="24"/>
                <w:lang w:val="ro-MD"/>
              </w:rPr>
              <w:t xml:space="preserve">Suplimentar, </w:t>
            </w:r>
            <w:r w:rsidR="00404B8B">
              <w:rPr>
                <w:rFonts w:ascii="Times New Roman" w:eastAsia="Times New Roman" w:hAnsi="Times New Roman" w:cs="Times New Roman"/>
                <w:sz w:val="24"/>
                <w:szCs w:val="24"/>
                <w:lang w:val="ro-MD"/>
              </w:rPr>
              <w:t xml:space="preserve">considerăm că nota informativă anexată la proiect urmează să fie modificată/redactată în contextul prevederilor </w:t>
            </w:r>
            <w:r w:rsidRPr="008473CA">
              <w:rPr>
                <w:rFonts w:ascii="Times New Roman" w:eastAsia="Times New Roman" w:hAnsi="Times New Roman" w:cs="Times New Roman"/>
                <w:sz w:val="24"/>
                <w:szCs w:val="24"/>
                <w:lang w:val="ro-MD"/>
              </w:rPr>
              <w:t>art.30 alin.(3) din Legea nr. 100/2017</w:t>
            </w:r>
            <w:r w:rsidR="00404B8B">
              <w:rPr>
                <w:rFonts w:ascii="Times New Roman" w:eastAsia="Times New Roman" w:hAnsi="Times New Roman" w:cs="Times New Roman"/>
                <w:sz w:val="24"/>
                <w:szCs w:val="24"/>
                <w:lang w:val="ro-MD"/>
              </w:rPr>
              <w:t xml:space="preserve"> cu privire la actele normative.</w:t>
            </w:r>
            <w:r w:rsidRPr="008473CA">
              <w:rPr>
                <w:rFonts w:ascii="Times New Roman" w:eastAsia="Times New Roman" w:hAnsi="Times New Roman" w:cs="Times New Roman"/>
                <w:sz w:val="24"/>
                <w:szCs w:val="24"/>
                <w:lang w:val="ro-MD"/>
              </w:rPr>
              <w:t xml:space="preserve"> </w:t>
            </w:r>
          </w:p>
        </w:tc>
        <w:tc>
          <w:tcPr>
            <w:tcW w:w="1652" w:type="pct"/>
          </w:tcPr>
          <w:p w:rsidR="008473CA" w:rsidRPr="008473CA" w:rsidRDefault="00A303D1" w:rsidP="00E97C3D">
            <w:pPr>
              <w:spacing w:after="0" w:line="240" w:lineRule="auto"/>
              <w:ind w:left="39"/>
              <w:jc w:val="both"/>
              <w:rPr>
                <w:rFonts w:ascii="Times New Roman" w:eastAsia="Calibri" w:hAnsi="Times New Roman" w:cs="Times New Roman"/>
                <w:sz w:val="24"/>
                <w:szCs w:val="24"/>
                <w:lang w:val="ro-MD"/>
              </w:rPr>
            </w:pPr>
            <w:r w:rsidRPr="008473CA">
              <w:rPr>
                <w:rFonts w:ascii="Times New Roman" w:eastAsia="Calibri" w:hAnsi="Times New Roman" w:cs="Times New Roman"/>
                <w:sz w:val="24"/>
                <w:szCs w:val="24"/>
                <w:lang w:val="ro-MD"/>
              </w:rPr>
              <w:t>Se acceptă</w:t>
            </w:r>
          </w:p>
        </w:tc>
      </w:tr>
      <w:tr w:rsidR="00E97C3D" w:rsidRPr="00E97C3D" w:rsidTr="00404B8B">
        <w:trPr>
          <w:trHeight w:val="285"/>
        </w:trPr>
        <w:tc>
          <w:tcPr>
            <w:tcW w:w="820" w:type="pct"/>
            <w:vMerge w:val="restart"/>
          </w:tcPr>
          <w:p w:rsidR="00E97C3D" w:rsidRPr="00E97C3D" w:rsidRDefault="00E97C3D" w:rsidP="00E97C3D">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r w:rsidRPr="00E97C3D">
              <w:rPr>
                <w:rFonts w:ascii="Times New Roman" w:eastAsia="Times New Roman" w:hAnsi="Times New Roman" w:cs="Times New Roman"/>
                <w:b/>
                <w:color w:val="000000"/>
                <w:sz w:val="24"/>
                <w:szCs w:val="24"/>
                <w:lang w:val="ro-MD"/>
              </w:rPr>
              <w:t xml:space="preserve">2. </w:t>
            </w:r>
            <w:r w:rsidRPr="00E97C3D">
              <w:rPr>
                <w:rFonts w:ascii="Times New Roman" w:eastAsia="Calibri" w:hAnsi="Times New Roman" w:cs="Times New Roman"/>
                <w:b/>
                <w:color w:val="000000"/>
                <w:sz w:val="23"/>
                <w:szCs w:val="23"/>
                <w:lang w:val="ro-RO"/>
              </w:rPr>
              <w:t xml:space="preserve"> Agenția Proprietății Publice</w:t>
            </w:r>
          </w:p>
          <w:p w:rsidR="00E97C3D" w:rsidRPr="00E97C3D" w:rsidRDefault="00E97C3D" w:rsidP="00404B8B">
            <w:pPr>
              <w:autoSpaceDE w:val="0"/>
              <w:autoSpaceDN w:val="0"/>
              <w:adjustRightInd w:val="0"/>
              <w:spacing w:after="0" w:line="240" w:lineRule="auto"/>
              <w:rPr>
                <w:rFonts w:ascii="Times New Roman" w:eastAsia="Times New Roman" w:hAnsi="Times New Roman" w:cs="Times New Roman"/>
                <w:b/>
                <w:color w:val="000000"/>
                <w:sz w:val="24"/>
                <w:szCs w:val="24"/>
                <w:lang w:val="ro-MD"/>
              </w:rPr>
            </w:pPr>
            <w:r w:rsidRPr="00E97C3D">
              <w:rPr>
                <w:rFonts w:ascii="Times New Roman" w:eastAsia="Calibri" w:hAnsi="Times New Roman" w:cs="Times New Roman"/>
                <w:i/>
                <w:color w:val="000000"/>
                <w:sz w:val="24"/>
                <w:szCs w:val="24"/>
                <w:lang w:val="ro-MD"/>
              </w:rPr>
              <w:t xml:space="preserve">Aviz nr. </w:t>
            </w:r>
            <w:r w:rsidR="00404B8B">
              <w:rPr>
                <w:rFonts w:ascii="Times New Roman" w:eastAsia="Calibri" w:hAnsi="Times New Roman" w:cs="Times New Roman"/>
                <w:i/>
                <w:color w:val="000000"/>
                <w:sz w:val="24"/>
                <w:szCs w:val="24"/>
                <w:lang w:val="ro-MD"/>
              </w:rPr>
              <w:t xml:space="preserve">03-03-5010 din 05 august </w:t>
            </w:r>
            <w:r w:rsidRPr="00E97C3D">
              <w:rPr>
                <w:rFonts w:ascii="Times New Roman" w:eastAsia="Calibri" w:hAnsi="Times New Roman" w:cs="Times New Roman"/>
                <w:i/>
                <w:color w:val="000000"/>
                <w:sz w:val="24"/>
                <w:szCs w:val="24"/>
                <w:lang w:val="ro-MD"/>
              </w:rPr>
              <w:t>202</w:t>
            </w:r>
            <w:r w:rsidR="00404B8B">
              <w:rPr>
                <w:rFonts w:ascii="Times New Roman" w:eastAsia="Calibri" w:hAnsi="Times New Roman" w:cs="Times New Roman"/>
                <w:i/>
                <w:color w:val="000000"/>
                <w:sz w:val="24"/>
                <w:szCs w:val="24"/>
                <w:lang w:val="ro-MD"/>
              </w:rPr>
              <w:t>2</w:t>
            </w:r>
          </w:p>
        </w:tc>
        <w:tc>
          <w:tcPr>
            <w:tcW w:w="2528" w:type="pct"/>
          </w:tcPr>
          <w:p w:rsidR="00E97C3D" w:rsidRPr="00E97C3D" w:rsidRDefault="00E97C3D" w:rsidP="00E97C3D">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 xml:space="preserve">I. Obiecțiile </w:t>
            </w:r>
          </w:p>
        </w:tc>
        <w:tc>
          <w:tcPr>
            <w:tcW w:w="1652" w:type="pct"/>
          </w:tcPr>
          <w:p w:rsidR="00E97C3D" w:rsidRPr="00E97C3D" w:rsidRDefault="00E97C3D"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p>
        </w:tc>
      </w:tr>
      <w:tr w:rsidR="00E97C3D" w:rsidRPr="00E97C3D" w:rsidTr="00404B8B">
        <w:trPr>
          <w:trHeight w:val="281"/>
        </w:trPr>
        <w:tc>
          <w:tcPr>
            <w:tcW w:w="820" w:type="pct"/>
            <w:vMerge/>
          </w:tcPr>
          <w:p w:rsidR="00E97C3D" w:rsidRPr="00E97C3D" w:rsidRDefault="00E97C3D" w:rsidP="00E97C3D">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p>
        </w:tc>
        <w:tc>
          <w:tcPr>
            <w:tcW w:w="2528" w:type="pct"/>
          </w:tcPr>
          <w:p w:rsidR="00E97C3D" w:rsidRPr="00E97C3D" w:rsidRDefault="00E97C3D" w:rsidP="00E97C3D">
            <w:pPr>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color w:val="000000"/>
                <w:sz w:val="24"/>
                <w:szCs w:val="24"/>
                <w:lang w:val="ro-MD"/>
              </w:rPr>
              <w:t>Lipsă de obiecții</w:t>
            </w:r>
          </w:p>
        </w:tc>
        <w:tc>
          <w:tcPr>
            <w:tcW w:w="1652" w:type="pct"/>
          </w:tcPr>
          <w:p w:rsidR="00E97C3D" w:rsidRPr="00E97C3D" w:rsidRDefault="00E97C3D"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r w:rsidR="00266E4F">
              <w:rPr>
                <w:rFonts w:ascii="Times New Roman" w:eastAsia="Calibri" w:hAnsi="Times New Roman" w:cs="Times New Roman"/>
                <w:color w:val="000000"/>
                <w:sz w:val="24"/>
                <w:szCs w:val="24"/>
                <w:lang w:val="ro-MD"/>
              </w:rPr>
              <w:t>.</w:t>
            </w:r>
          </w:p>
        </w:tc>
      </w:tr>
      <w:tr w:rsidR="00E97C3D" w:rsidRPr="00E97C3D" w:rsidTr="00404B8B">
        <w:trPr>
          <w:trHeight w:val="270"/>
        </w:trPr>
        <w:tc>
          <w:tcPr>
            <w:tcW w:w="820" w:type="pct"/>
            <w:vMerge/>
          </w:tcPr>
          <w:p w:rsidR="00E97C3D" w:rsidRPr="00E97C3D" w:rsidRDefault="00E97C3D" w:rsidP="00E97C3D">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p>
        </w:tc>
        <w:tc>
          <w:tcPr>
            <w:tcW w:w="2528" w:type="pct"/>
          </w:tcPr>
          <w:p w:rsidR="00E97C3D" w:rsidRPr="00E97C3D" w:rsidRDefault="00E97C3D"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II. Propunerile (recomandările)</w:t>
            </w:r>
          </w:p>
        </w:tc>
        <w:tc>
          <w:tcPr>
            <w:tcW w:w="1652" w:type="pct"/>
          </w:tcPr>
          <w:p w:rsidR="00E97C3D" w:rsidRPr="00E97C3D" w:rsidRDefault="00E97C3D"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p>
        </w:tc>
      </w:tr>
      <w:tr w:rsidR="00E97C3D" w:rsidRPr="00E97C3D" w:rsidTr="00404B8B">
        <w:trPr>
          <w:trHeight w:val="578"/>
        </w:trPr>
        <w:tc>
          <w:tcPr>
            <w:tcW w:w="820" w:type="pct"/>
            <w:vMerge/>
          </w:tcPr>
          <w:p w:rsidR="00E97C3D" w:rsidRPr="00E97C3D" w:rsidRDefault="00E97C3D" w:rsidP="00E97C3D">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p>
        </w:tc>
        <w:tc>
          <w:tcPr>
            <w:tcW w:w="2528" w:type="pct"/>
          </w:tcPr>
          <w:p w:rsidR="00E97C3D" w:rsidRPr="00E97C3D" w:rsidRDefault="00196D90" w:rsidP="00E97C3D">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color w:val="000000"/>
                <w:sz w:val="24"/>
                <w:szCs w:val="24"/>
                <w:lang w:val="ro-MD"/>
              </w:rPr>
              <w:t>Lipsa propunerilor</w:t>
            </w:r>
          </w:p>
        </w:tc>
        <w:tc>
          <w:tcPr>
            <w:tcW w:w="1652" w:type="pct"/>
          </w:tcPr>
          <w:p w:rsidR="00E97C3D" w:rsidRPr="00E97C3D" w:rsidRDefault="00E97C3D"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382A98" w:rsidRPr="00E97C3D" w:rsidTr="00404B8B">
        <w:trPr>
          <w:trHeight w:val="269"/>
        </w:trPr>
        <w:tc>
          <w:tcPr>
            <w:tcW w:w="820" w:type="pct"/>
            <w:vMerge w:val="restart"/>
          </w:tcPr>
          <w:p w:rsidR="00382A98" w:rsidRPr="00E97C3D" w:rsidRDefault="00382A98" w:rsidP="00E97C3D">
            <w:pPr>
              <w:shd w:val="clear" w:color="auto" w:fill="FFFFFF"/>
              <w:spacing w:after="0" w:line="240" w:lineRule="auto"/>
              <w:rPr>
                <w:rFonts w:ascii="Times New Roman" w:eastAsia="Calibri" w:hAnsi="Times New Roman" w:cs="Times New Roman"/>
                <w:b/>
                <w:color w:val="000000"/>
                <w:sz w:val="23"/>
                <w:szCs w:val="23"/>
                <w:lang w:val="ro-RO"/>
              </w:rPr>
            </w:pPr>
            <w:r w:rsidRPr="00E97C3D">
              <w:rPr>
                <w:rFonts w:ascii="Times New Roman" w:eastAsia="Calibri" w:hAnsi="Times New Roman" w:cs="Times New Roman"/>
                <w:b/>
                <w:color w:val="000000"/>
                <w:sz w:val="23"/>
                <w:szCs w:val="23"/>
                <w:lang w:val="ro-RO"/>
              </w:rPr>
              <w:t>3. Ministerul Justiției</w:t>
            </w:r>
          </w:p>
          <w:p w:rsidR="00382A98" w:rsidRPr="00E97C3D" w:rsidRDefault="00382A98" w:rsidP="002E40F0">
            <w:pPr>
              <w:shd w:val="clear" w:color="auto" w:fill="FFFFFF"/>
              <w:tabs>
                <w:tab w:val="left" w:pos="884"/>
                <w:tab w:val="left" w:pos="1196"/>
              </w:tabs>
              <w:spacing w:after="0" w:line="240" w:lineRule="auto"/>
              <w:rPr>
                <w:rFonts w:ascii="Times New Roman" w:eastAsia="Times New Roman" w:hAnsi="Times New Roman" w:cs="Times New Roman"/>
                <w:b/>
                <w:color w:val="000000"/>
                <w:sz w:val="24"/>
                <w:szCs w:val="24"/>
                <w:lang w:val="ro-MD"/>
              </w:rPr>
            </w:pPr>
            <w:r w:rsidRPr="00E97C3D">
              <w:rPr>
                <w:rFonts w:ascii="Times New Roman" w:eastAsia="Calibri" w:hAnsi="Times New Roman" w:cs="Times New Roman"/>
                <w:i/>
                <w:color w:val="000000"/>
                <w:sz w:val="24"/>
                <w:szCs w:val="24"/>
                <w:lang w:val="ro-MD"/>
              </w:rPr>
              <w:t>Aviz nr. 04</w:t>
            </w:r>
            <w:r>
              <w:rPr>
                <w:rFonts w:ascii="Times New Roman" w:eastAsia="Calibri" w:hAnsi="Times New Roman" w:cs="Times New Roman"/>
                <w:i/>
                <w:color w:val="000000"/>
                <w:sz w:val="24"/>
                <w:szCs w:val="24"/>
                <w:lang w:val="ro-MD"/>
              </w:rPr>
              <w:t>/7267</w:t>
            </w:r>
            <w:r w:rsidRPr="00E97C3D">
              <w:rPr>
                <w:rFonts w:ascii="Times New Roman" w:eastAsia="Calibri" w:hAnsi="Times New Roman" w:cs="Times New Roman"/>
                <w:i/>
                <w:color w:val="000000"/>
                <w:sz w:val="24"/>
                <w:szCs w:val="24"/>
                <w:lang w:val="ro-MD"/>
              </w:rPr>
              <w:t xml:space="preserve"> din </w:t>
            </w:r>
            <w:r>
              <w:rPr>
                <w:rFonts w:ascii="Times New Roman" w:eastAsia="Calibri" w:hAnsi="Times New Roman" w:cs="Times New Roman"/>
                <w:i/>
                <w:color w:val="000000"/>
                <w:sz w:val="24"/>
                <w:szCs w:val="24"/>
                <w:lang w:val="ro-MD"/>
              </w:rPr>
              <w:t xml:space="preserve">12 august </w:t>
            </w:r>
            <w:r w:rsidRPr="00E97C3D">
              <w:rPr>
                <w:rFonts w:ascii="Times New Roman" w:eastAsia="Calibri" w:hAnsi="Times New Roman" w:cs="Times New Roman"/>
                <w:i/>
                <w:color w:val="000000"/>
                <w:sz w:val="24"/>
                <w:szCs w:val="24"/>
                <w:lang w:val="ro-MD"/>
              </w:rPr>
              <w:t>202</w:t>
            </w:r>
            <w:r>
              <w:rPr>
                <w:rFonts w:ascii="Times New Roman" w:eastAsia="Calibri" w:hAnsi="Times New Roman" w:cs="Times New Roman"/>
                <w:i/>
                <w:color w:val="000000"/>
                <w:sz w:val="24"/>
                <w:szCs w:val="24"/>
                <w:lang w:val="ro-MD"/>
              </w:rPr>
              <w:t>2</w:t>
            </w:r>
          </w:p>
        </w:tc>
        <w:tc>
          <w:tcPr>
            <w:tcW w:w="2528"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b/>
                <w:color w:val="000000"/>
                <w:sz w:val="24"/>
                <w:szCs w:val="24"/>
                <w:lang w:val="ro-MD"/>
              </w:rPr>
              <w:t xml:space="preserve">I. Obiecțiile </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382A98" w:rsidRPr="00E97C3D" w:rsidTr="00404B8B">
        <w:trPr>
          <w:trHeight w:val="269"/>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Pr="00E97C3D" w:rsidRDefault="00382A98" w:rsidP="00E97C3D">
            <w:pPr>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color w:val="000000"/>
                <w:sz w:val="24"/>
                <w:szCs w:val="24"/>
                <w:lang w:val="ro-MD"/>
              </w:rPr>
              <w:t>Lipsă de obiecții</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382A98" w:rsidRPr="00E97C3D" w:rsidTr="00404B8B">
        <w:trPr>
          <w:trHeight w:val="269"/>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II. Propunerile (recomandările)</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382A98" w:rsidRPr="00E97C3D" w:rsidTr="00404B8B">
        <w:trPr>
          <w:trHeight w:val="1010"/>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În contextul notei informative, sub aspectul intenției de reglementare, proiectul respectiv a fost elaborat în scopul asigurării realizării prevederilor pct.3 din HG nr. 214/2021 cu privire la transmiterea și schimbarea categoriei de destinație a unor terenuri, potrivit cărora, urmare a transmiterii din administrarea Ministerului Mediului (gestiunea Î.S. </w:t>
            </w:r>
            <w:r>
              <w:rPr>
                <w:rFonts w:ascii="Times New Roman" w:eastAsia="Times New Roman" w:hAnsi="Times New Roman" w:cs="Times New Roman"/>
                <w:color w:val="000000"/>
                <w:sz w:val="24"/>
                <w:szCs w:val="24"/>
                <w:lang w:val="ro-MD"/>
              </w:rPr>
              <w:lastRenderedPageBreak/>
              <w:t xml:space="preserve">Întreprinderea </w:t>
            </w:r>
            <w:proofErr w:type="spellStart"/>
            <w:r>
              <w:rPr>
                <w:rFonts w:ascii="Times New Roman" w:eastAsia="Times New Roman" w:hAnsi="Times New Roman" w:cs="Times New Roman"/>
                <w:color w:val="000000"/>
                <w:sz w:val="24"/>
                <w:szCs w:val="24"/>
                <w:lang w:val="ro-MD"/>
              </w:rPr>
              <w:t>silvocinegetică</w:t>
            </w:r>
            <w:proofErr w:type="spellEnd"/>
            <w:r>
              <w:rPr>
                <w:rFonts w:ascii="Times New Roman" w:eastAsia="Times New Roman" w:hAnsi="Times New Roman" w:cs="Times New Roman"/>
                <w:color w:val="000000"/>
                <w:sz w:val="24"/>
                <w:szCs w:val="24"/>
                <w:lang w:val="ro-MD"/>
              </w:rPr>
              <w:t xml:space="preserve"> Cimișlia” a Agenției „</w:t>
            </w:r>
            <w:proofErr w:type="spellStart"/>
            <w:r>
              <w:rPr>
                <w:rFonts w:ascii="Times New Roman" w:eastAsia="Times New Roman" w:hAnsi="Times New Roman" w:cs="Times New Roman"/>
                <w:color w:val="000000"/>
                <w:sz w:val="24"/>
                <w:szCs w:val="24"/>
                <w:lang w:val="ro-MD"/>
              </w:rPr>
              <w:t>Moldsilva</w:t>
            </w:r>
            <w:proofErr w:type="spellEnd"/>
            <w:r>
              <w:rPr>
                <w:rFonts w:ascii="Times New Roman" w:eastAsia="Times New Roman" w:hAnsi="Times New Roman" w:cs="Times New Roman"/>
                <w:color w:val="000000"/>
                <w:sz w:val="24"/>
                <w:szCs w:val="24"/>
                <w:lang w:val="ro-MD"/>
              </w:rPr>
              <w:t>”) în administrarea Agenției Proprietății Publice (gestiunea Î.S. ”Administrarea de Stat a Drumurilor”), a unor terenuri proprietate a statului, Agenția Proprietății Publice  în comun cu Agenția ”</w:t>
            </w:r>
            <w:proofErr w:type="spellStart"/>
            <w:r>
              <w:rPr>
                <w:rFonts w:ascii="Times New Roman" w:eastAsia="Times New Roman" w:hAnsi="Times New Roman" w:cs="Times New Roman"/>
                <w:color w:val="000000"/>
                <w:sz w:val="24"/>
                <w:szCs w:val="24"/>
                <w:lang w:val="ro-MD"/>
              </w:rPr>
              <w:t>Moldsilva</w:t>
            </w:r>
            <w:proofErr w:type="spellEnd"/>
            <w:r>
              <w:rPr>
                <w:rFonts w:ascii="Times New Roman" w:eastAsia="Times New Roman" w:hAnsi="Times New Roman" w:cs="Times New Roman"/>
                <w:color w:val="000000"/>
                <w:sz w:val="24"/>
                <w:szCs w:val="24"/>
                <w:lang w:val="ro-MD"/>
              </w:rPr>
              <w:t>”, și-au asumat angajamentul identificării unor terenuri pentru împădurire, cu transmiterea acestora în fondul silvic de stat, și a pct.4 din HG nr.366/2021 cu privire la  transmiterea și schimbarea categoriei de destinație a unor terenuri, care instituie obligația comună a  Agenției Proprietății Publice  și Ministerului Mediului (</w:t>
            </w:r>
            <w:proofErr w:type="spellStart"/>
            <w:r>
              <w:rPr>
                <w:rFonts w:ascii="Times New Roman" w:eastAsia="Times New Roman" w:hAnsi="Times New Roman" w:cs="Times New Roman"/>
                <w:color w:val="000000"/>
                <w:sz w:val="24"/>
                <w:szCs w:val="24"/>
                <w:lang w:val="ro-MD"/>
              </w:rPr>
              <w:t>Agenția„Moldsilva</w:t>
            </w:r>
            <w:proofErr w:type="spellEnd"/>
            <w:r>
              <w:rPr>
                <w:rFonts w:ascii="Times New Roman" w:eastAsia="Times New Roman" w:hAnsi="Times New Roman" w:cs="Times New Roman"/>
                <w:color w:val="000000"/>
                <w:sz w:val="24"/>
                <w:szCs w:val="24"/>
                <w:lang w:val="ro-MD"/>
              </w:rPr>
              <w:t>”), de a asigura, în termen de 6 luni, identificarea unor terenuri pentru împădurire, cu transmiterea  acestora în fondul silvic de stat.</w:t>
            </w:r>
          </w:p>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Astfel, în vederea realizării scopului propus, s-a identificat spre a fi transmis din proprietatea statului, administrarea  Agenției Proprietății Publice , folosința Penitenciarului nr.7 – Rusca, în administrarea Ministerului Mediului, terenul cu suprafața de 24, 3488ha, cu </w:t>
            </w:r>
            <w:proofErr w:type="spellStart"/>
            <w:r>
              <w:rPr>
                <w:rFonts w:ascii="Times New Roman" w:eastAsia="Times New Roman" w:hAnsi="Times New Roman" w:cs="Times New Roman"/>
                <w:color w:val="000000"/>
                <w:sz w:val="24"/>
                <w:szCs w:val="24"/>
                <w:lang w:val="ro-MD"/>
              </w:rPr>
              <w:t>nr.cadastral</w:t>
            </w:r>
            <w:proofErr w:type="spellEnd"/>
            <w:r>
              <w:rPr>
                <w:rFonts w:ascii="Times New Roman" w:eastAsia="Times New Roman" w:hAnsi="Times New Roman" w:cs="Times New Roman"/>
                <w:color w:val="000000"/>
                <w:sz w:val="24"/>
                <w:szCs w:val="24"/>
                <w:lang w:val="ro-MD"/>
              </w:rPr>
              <w:t xml:space="preserve"> 5337103.310, soluție normativă instituită în pct.1 din proiectul hotărârii.</w:t>
            </w:r>
          </w:p>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Totodată, astfel cum reiese din argumentele expuse în nota informativă a proiectului, Administrația Națională a Penitenciarelor a comunicat că Penitenciarul nr.7 – Rusca nu dispune de capacități de a prelucra și a utiliza terenul menționat conform destinației și nu prevede posibilitatea utilizării acestuia în continuare.</w:t>
            </w:r>
          </w:p>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Ulterior, Administrația Națională a Penitenciarelor a menționat că, în contextul demarării etapei a II-a a lucrărilor de construcție la obiectivul ”Construcția casei de arest Bălți cu capacitatea de 650 locuri”, pentru construcția stației de pompare a apei care va asigura aprovizionarea cu apă atât a viitorului penitenciar, precum și a sectoarelor locative din regiunea respectivă, potrivit proiectului de construcție, a apărut necesitatea de a transmite în administrarea sa terenul cu suprafața de 375 m</w:t>
            </w:r>
            <w:r>
              <w:rPr>
                <w:rFonts w:ascii="Times New Roman" w:eastAsia="Times New Roman" w:hAnsi="Times New Roman" w:cs="Times New Roman"/>
                <w:color w:val="000000"/>
                <w:sz w:val="24"/>
                <w:szCs w:val="24"/>
                <w:vertAlign w:val="superscript"/>
                <w:lang w:val="ro-MD"/>
              </w:rPr>
              <w:t>2</w:t>
            </w:r>
            <w:r>
              <w:rPr>
                <w:rFonts w:ascii="Times New Roman" w:eastAsia="Times New Roman" w:hAnsi="Times New Roman" w:cs="Times New Roman"/>
                <w:color w:val="000000"/>
                <w:sz w:val="24"/>
                <w:szCs w:val="24"/>
                <w:lang w:val="ro-MD"/>
              </w:rPr>
              <w:t xml:space="preserve"> din zona str. Rediului, mun. Bălți, aflat în fondul forestier.</w:t>
            </w:r>
          </w:p>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În cadrul discuțiilor avute cu Ministerul Mediului, reprezentanții acestuia au invocat necesitatea de a compensa  terenul respectiv cu alt teren, echivalent ca bonitate și suprafață, astfel precum este prevăzut în art.79 alin. (1) al Codului Silvic.</w:t>
            </w:r>
          </w:p>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1412AB">
              <w:rPr>
                <w:rFonts w:ascii="Times New Roman" w:eastAsia="Times New Roman" w:hAnsi="Times New Roman" w:cs="Times New Roman"/>
                <w:color w:val="000000"/>
                <w:sz w:val="24"/>
                <w:szCs w:val="24"/>
                <w:lang w:val="ro-MD"/>
              </w:rPr>
              <w:t>La data de 17.06.2022, Ministerul Justiției</w:t>
            </w:r>
            <w:r>
              <w:rPr>
                <w:rFonts w:ascii="Times New Roman" w:eastAsia="Times New Roman" w:hAnsi="Times New Roman" w:cs="Times New Roman"/>
                <w:color w:val="000000"/>
                <w:sz w:val="24"/>
                <w:szCs w:val="24"/>
                <w:lang w:val="ro-MD"/>
              </w:rPr>
              <w:t xml:space="preserve"> prin scrisoarea nr. 01/5363 a solicitat Ministerului Mediului exprimarea acordului privind delimitarea selectivă, transmiterea și schimbarea destinației terenului cu s- 375 m</w:t>
            </w:r>
            <w:r>
              <w:rPr>
                <w:rFonts w:ascii="Times New Roman" w:eastAsia="Times New Roman" w:hAnsi="Times New Roman" w:cs="Times New Roman"/>
                <w:color w:val="000000"/>
                <w:sz w:val="24"/>
                <w:szCs w:val="24"/>
                <w:vertAlign w:val="superscript"/>
                <w:lang w:val="ro-MD"/>
              </w:rPr>
              <w:t>2</w:t>
            </w:r>
            <w:r>
              <w:rPr>
                <w:rFonts w:ascii="Times New Roman" w:eastAsia="Times New Roman" w:hAnsi="Times New Roman" w:cs="Times New Roman"/>
                <w:color w:val="000000"/>
                <w:sz w:val="24"/>
                <w:szCs w:val="24"/>
                <w:lang w:val="ro-MD"/>
              </w:rPr>
              <w:t xml:space="preserve"> din zona str. Rediului, mun. </w:t>
            </w:r>
            <w:r>
              <w:rPr>
                <w:rFonts w:ascii="Times New Roman" w:eastAsia="Times New Roman" w:hAnsi="Times New Roman" w:cs="Times New Roman"/>
                <w:color w:val="000000"/>
                <w:sz w:val="24"/>
                <w:szCs w:val="24"/>
                <w:lang w:val="ro-MD"/>
              </w:rPr>
              <w:lastRenderedPageBreak/>
              <w:t xml:space="preserve">Chișinău, în schimbul terenului cu </w:t>
            </w:r>
            <w:proofErr w:type="spellStart"/>
            <w:r>
              <w:rPr>
                <w:rFonts w:ascii="Times New Roman" w:eastAsia="Times New Roman" w:hAnsi="Times New Roman" w:cs="Times New Roman"/>
                <w:color w:val="000000"/>
                <w:sz w:val="24"/>
                <w:szCs w:val="24"/>
                <w:lang w:val="ro-MD"/>
              </w:rPr>
              <w:t>nr.cadastral</w:t>
            </w:r>
            <w:proofErr w:type="spellEnd"/>
            <w:r>
              <w:rPr>
                <w:rFonts w:ascii="Times New Roman" w:eastAsia="Times New Roman" w:hAnsi="Times New Roman" w:cs="Times New Roman"/>
                <w:color w:val="000000"/>
                <w:sz w:val="24"/>
                <w:szCs w:val="24"/>
                <w:lang w:val="ro-MD"/>
              </w:rPr>
              <w:t xml:space="preserve"> 5337103.310, cu suprafața de 24, 3488 ha.</w:t>
            </w:r>
          </w:p>
          <w:p w:rsidR="00382A98" w:rsidRPr="001412AB"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Prin urmare, în contextul  în care, până în prezent, procedura privind transmiterea terenului solicitat pentru construcția stației de pompare a apei, aferentă  obiectivului investițional ”Casa de arest Bălți” nu a fost demarată, propunem completarea proiectului hotărârii cu un nou punct, care să prevadă transmiterea  în administrarea Administrației Naționale a Penitenciarelor a terenului cu s- 375 m</w:t>
            </w:r>
            <w:r>
              <w:rPr>
                <w:rFonts w:ascii="Times New Roman" w:eastAsia="Times New Roman" w:hAnsi="Times New Roman" w:cs="Times New Roman"/>
                <w:color w:val="000000"/>
                <w:sz w:val="24"/>
                <w:szCs w:val="24"/>
                <w:vertAlign w:val="superscript"/>
                <w:lang w:val="ro-MD"/>
              </w:rPr>
              <w:t>2</w:t>
            </w:r>
            <w:r>
              <w:rPr>
                <w:rFonts w:ascii="Times New Roman" w:eastAsia="Times New Roman" w:hAnsi="Times New Roman" w:cs="Times New Roman"/>
                <w:color w:val="000000"/>
                <w:sz w:val="24"/>
                <w:szCs w:val="24"/>
                <w:lang w:val="ro-MD"/>
              </w:rPr>
              <w:t xml:space="preserve"> din zona str. Rediului, mun. Bălți.</w:t>
            </w:r>
          </w:p>
        </w:tc>
        <w:tc>
          <w:tcPr>
            <w:tcW w:w="1652" w:type="pct"/>
          </w:tcPr>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p w:rsidR="00382A98"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S-a luat act de informare, însă completarea proiectului cu un nou punct care să prevadă transmiterea în administrarea  ANP a terenului cu s – 375 m</w:t>
            </w:r>
            <w:r>
              <w:rPr>
                <w:rFonts w:ascii="Times New Roman" w:eastAsia="Calibri" w:hAnsi="Times New Roman" w:cs="Times New Roman"/>
                <w:color w:val="000000"/>
                <w:sz w:val="24"/>
                <w:szCs w:val="24"/>
                <w:vertAlign w:val="superscript"/>
                <w:lang w:val="ro-MD"/>
              </w:rPr>
              <w:t>2</w:t>
            </w:r>
            <w:r>
              <w:rPr>
                <w:rFonts w:ascii="Times New Roman" w:eastAsia="Calibri" w:hAnsi="Times New Roman" w:cs="Times New Roman"/>
                <w:color w:val="000000"/>
                <w:sz w:val="24"/>
                <w:szCs w:val="24"/>
                <w:lang w:val="ro-MD"/>
              </w:rPr>
              <w:t xml:space="preserve"> din zona str. Rediului, mun. Bălți, este imposibilă deoarece terenul solicitat este parte componenta a trupului de pădure  nedelimitat cu s- 88,78 ha, dar  care urmează a fi supus delimitării selective cu ulterioara includere în HG nr. 161/2019, apoi se va forma bunul imobil prin separare a s-375m</w:t>
            </w:r>
            <w:r>
              <w:rPr>
                <w:rFonts w:ascii="Times New Roman" w:eastAsia="Calibri" w:hAnsi="Times New Roman" w:cs="Times New Roman"/>
                <w:color w:val="000000"/>
                <w:sz w:val="24"/>
                <w:szCs w:val="24"/>
                <w:vertAlign w:val="superscript"/>
                <w:lang w:val="ro-MD"/>
              </w:rPr>
              <w:t>2</w:t>
            </w:r>
            <w:r>
              <w:rPr>
                <w:rFonts w:ascii="Times New Roman" w:eastAsia="Calibri" w:hAnsi="Times New Roman" w:cs="Times New Roman"/>
                <w:color w:val="000000"/>
                <w:sz w:val="24"/>
                <w:szCs w:val="24"/>
                <w:lang w:val="ro-MD"/>
              </w:rPr>
              <w:t xml:space="preserve"> din suprafața totală de 88,78 m</w:t>
            </w:r>
            <w:r>
              <w:rPr>
                <w:rFonts w:ascii="Times New Roman" w:eastAsia="Calibri" w:hAnsi="Times New Roman" w:cs="Times New Roman"/>
                <w:color w:val="000000"/>
                <w:sz w:val="24"/>
                <w:szCs w:val="24"/>
                <w:vertAlign w:val="superscript"/>
                <w:lang w:val="ro-MD"/>
              </w:rPr>
              <w:t>2</w:t>
            </w:r>
            <w:r>
              <w:rPr>
                <w:rFonts w:ascii="Times New Roman" w:eastAsia="Calibri" w:hAnsi="Times New Roman" w:cs="Times New Roman"/>
                <w:color w:val="000000"/>
                <w:sz w:val="24"/>
                <w:szCs w:val="24"/>
                <w:lang w:val="ro-MD"/>
              </w:rPr>
              <w:t xml:space="preserve">, cu ulterioara înaintare a proiectului hotărârii de Guvern privind transmiterea si schimbarea categoriei de destinație a acestuia. </w:t>
            </w:r>
          </w:p>
          <w:p w:rsidR="00382A98" w:rsidRPr="00E2578A"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Totodată, menționăm ca,  MM prin scrisoarea nr. 13/2-07/1691 din 30.06.2022 propune MJ si ANP, în calitate de beneficiari ai transmiterii, sa asigure inițierea procedurii de transmitere si schimbare a destinației acestui teren, prin urmare, MM urmează sa avizeze pozitiv proiectul de HG privind transmiterea și schimbarea destinației terenului in cauza.</w:t>
            </w:r>
          </w:p>
        </w:tc>
      </w:tr>
      <w:tr w:rsidR="00382A98" w:rsidRPr="00E97C3D" w:rsidTr="00404B8B">
        <w:trPr>
          <w:trHeight w:val="1010"/>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Sub rezerva celor relatate supra, menționăm că proiectul necesită a fi ajustat prin prisma rigorilor Legii nr. 100/2017 cu privire la actele normative, după cum urmează:</w:t>
            </w:r>
          </w:p>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Potrivit art.44 alin. (1) din Legea nr. 100/2017, clauza de adoptare a actului normativ poate conține, după caz, și în temeiul legal de adoptare a actului normativ respectiv. În calitate de temei legal se indică doar prevederile legale ce stabilesc  competența autorității să emită actul normativ respectiv, pornind de la limitele de  reglementare prevăzute de obiectul juridic al actului normativ. În acest context, menționăm că, este necesar de indicat ca temei art. 14 lin. (1) lit. c) și nu art.14 alin. (1) </w:t>
            </w:r>
            <w:proofErr w:type="spellStart"/>
            <w:r>
              <w:rPr>
                <w:rFonts w:ascii="Times New Roman" w:eastAsia="Times New Roman" w:hAnsi="Times New Roman" w:cs="Times New Roman"/>
                <w:color w:val="000000"/>
                <w:sz w:val="24"/>
                <w:szCs w:val="24"/>
                <w:lang w:val="ro-MD"/>
              </w:rPr>
              <w:t>lit.a</w:t>
            </w:r>
            <w:proofErr w:type="spellEnd"/>
            <w:r>
              <w:rPr>
                <w:rFonts w:ascii="Times New Roman" w:eastAsia="Times New Roman" w:hAnsi="Times New Roman" w:cs="Times New Roman"/>
                <w:color w:val="000000"/>
                <w:sz w:val="24"/>
                <w:szCs w:val="24"/>
                <w:lang w:val="ro-MD"/>
              </w:rPr>
              <w:t xml:space="preserve">) din Legea nr. 121/2007 privind administrarea și </w:t>
            </w:r>
            <w:proofErr w:type="spellStart"/>
            <w:r>
              <w:rPr>
                <w:rFonts w:ascii="Times New Roman" w:eastAsia="Times New Roman" w:hAnsi="Times New Roman" w:cs="Times New Roman"/>
                <w:color w:val="000000"/>
                <w:sz w:val="24"/>
                <w:szCs w:val="24"/>
                <w:lang w:val="ro-MD"/>
              </w:rPr>
              <w:t>deetetizarea</w:t>
            </w:r>
            <w:proofErr w:type="spellEnd"/>
            <w:r>
              <w:rPr>
                <w:rFonts w:ascii="Times New Roman" w:eastAsia="Times New Roman" w:hAnsi="Times New Roman" w:cs="Times New Roman"/>
                <w:color w:val="000000"/>
                <w:sz w:val="24"/>
                <w:szCs w:val="24"/>
                <w:lang w:val="ro-MD"/>
              </w:rPr>
              <w:t xml:space="preserve">  proprietății publice, or, competența Guvernului de a transmite bunuri imobile  proprietate a statului din subordinea unei autorități publice în subordinea altei autorități publice este </w:t>
            </w:r>
            <w:r>
              <w:rPr>
                <w:rFonts w:ascii="Times New Roman" w:eastAsia="Times New Roman" w:hAnsi="Times New Roman" w:cs="Times New Roman"/>
                <w:color w:val="000000"/>
                <w:sz w:val="24"/>
                <w:szCs w:val="24"/>
                <w:lang w:val="ro-MD"/>
              </w:rPr>
              <w:lastRenderedPageBreak/>
              <w:t xml:space="preserve">reglementată de dispozițiile normative ale art.14 alin. (1) </w:t>
            </w:r>
            <w:proofErr w:type="spellStart"/>
            <w:r>
              <w:rPr>
                <w:rFonts w:ascii="Times New Roman" w:eastAsia="Times New Roman" w:hAnsi="Times New Roman" w:cs="Times New Roman"/>
                <w:color w:val="000000"/>
                <w:sz w:val="24"/>
                <w:szCs w:val="24"/>
                <w:lang w:val="ro-MD"/>
              </w:rPr>
              <w:t>lit.c</w:t>
            </w:r>
            <w:proofErr w:type="spellEnd"/>
            <w:r>
              <w:rPr>
                <w:rFonts w:ascii="Times New Roman" w:eastAsia="Times New Roman" w:hAnsi="Times New Roman" w:cs="Times New Roman"/>
                <w:color w:val="000000"/>
                <w:sz w:val="24"/>
                <w:szCs w:val="24"/>
                <w:lang w:val="ro-MD"/>
              </w:rPr>
              <w:t>) din  Legea nr. 121/2007.</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lastRenderedPageBreak/>
              <w:t>Se acceptă</w:t>
            </w:r>
          </w:p>
        </w:tc>
      </w:tr>
      <w:tr w:rsidR="00382A98" w:rsidRPr="00E97C3D" w:rsidTr="00404B8B">
        <w:trPr>
          <w:trHeight w:val="1010"/>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La pct.1, sugerăm a fi excluse cuvintele „publică a” ca fiind inutilă, deoarece proprietatea, în funcție de categoria proprietarului, este de stat, a unității administrativ-teritoriale sau privată. Totodată, având în vedere că, terenul ce se propune a fi transmis este bine determinat (fiind indicat numărul cadastral), menționarea suprafeței acestuia este inutilă din punct de vedere juridic. Informația respectivă poate fi inclusă în nota informativă la proiect.</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382A98" w:rsidRPr="002E40F0" w:rsidTr="00404B8B">
        <w:trPr>
          <w:trHeight w:val="1010"/>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La pct.3, din textul părții introductive se va exclude prepoziția „La”, ca fiind de prisos. Tot aici, consemnăm, că manifestarea intenției de modificare a HG nr. 161/2019 cu privire la aprobarea listei terenurilor proprietate publică a statului din administrarea Agenției Proprietății Publice, se va reda în următoarea formulă: „se modifică după cum urmează:”.</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382A98" w:rsidRPr="002E40F0" w:rsidTr="00404B8B">
        <w:trPr>
          <w:trHeight w:val="1010"/>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La pct. 3 </w:t>
            </w:r>
            <w:proofErr w:type="spellStart"/>
            <w:r>
              <w:rPr>
                <w:rFonts w:ascii="Times New Roman" w:eastAsia="Times New Roman" w:hAnsi="Times New Roman" w:cs="Times New Roman"/>
                <w:color w:val="000000"/>
                <w:sz w:val="24"/>
                <w:szCs w:val="24"/>
                <w:lang w:val="ro-MD"/>
              </w:rPr>
              <w:t>sbp</w:t>
            </w:r>
            <w:proofErr w:type="spellEnd"/>
            <w:r>
              <w:rPr>
                <w:rFonts w:ascii="Times New Roman" w:eastAsia="Times New Roman" w:hAnsi="Times New Roman" w:cs="Times New Roman"/>
                <w:color w:val="000000"/>
                <w:sz w:val="24"/>
                <w:szCs w:val="24"/>
                <w:lang w:val="ro-MD"/>
              </w:rPr>
              <w:t>. 2), se va ține cont că, în cazul expunerii în redacție nouă a conținutului unui element structural sau a unei părți a acestuia, sau în cazul operațiunii de completare cu o nouă dispoziție se va utiliza sintagma „va avea următorul cuprins:”, urmată de redarea noului text. Prin urmare, întru respectarea regulii pre citate, precum și întru uniformizarea terminologiei utilizate în actele normative, cuvintele „cu următorul conținut”, se va substitui cu cuvintele „cu următorul cuprins”.</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382A98" w:rsidRPr="00E97C3D" w:rsidTr="00404B8B">
        <w:trPr>
          <w:trHeight w:val="257"/>
        </w:trPr>
        <w:tc>
          <w:tcPr>
            <w:tcW w:w="820" w:type="pct"/>
            <w:vMerge w:val="restart"/>
          </w:tcPr>
          <w:p w:rsidR="00382A98" w:rsidRDefault="00382A98" w:rsidP="009C071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r>
              <w:rPr>
                <w:rFonts w:ascii="Times New Roman" w:eastAsia="Calibri" w:hAnsi="Times New Roman" w:cs="Times New Roman"/>
                <w:b/>
                <w:color w:val="000000"/>
                <w:sz w:val="23"/>
                <w:szCs w:val="23"/>
                <w:lang w:val="ro-RO"/>
              </w:rPr>
              <w:t xml:space="preserve">4. </w:t>
            </w:r>
            <w:r w:rsidRPr="00E97C3D">
              <w:rPr>
                <w:rFonts w:ascii="Times New Roman" w:eastAsia="Calibri" w:hAnsi="Times New Roman" w:cs="Times New Roman"/>
                <w:b/>
                <w:color w:val="000000"/>
                <w:sz w:val="23"/>
                <w:szCs w:val="23"/>
                <w:lang w:val="ro-RO"/>
              </w:rPr>
              <w:t xml:space="preserve">Ministerul </w:t>
            </w:r>
            <w:r>
              <w:rPr>
                <w:rFonts w:ascii="Times New Roman" w:eastAsia="Calibri" w:hAnsi="Times New Roman" w:cs="Times New Roman"/>
                <w:b/>
                <w:color w:val="000000"/>
                <w:sz w:val="23"/>
                <w:szCs w:val="23"/>
                <w:lang w:val="ro-RO"/>
              </w:rPr>
              <w:t>Economiei</w:t>
            </w:r>
          </w:p>
          <w:p w:rsidR="00382A98" w:rsidRPr="00E97C3D" w:rsidRDefault="00382A98" w:rsidP="000F2BA2">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r w:rsidRPr="008473CA">
              <w:rPr>
                <w:rFonts w:ascii="Times New Roman" w:eastAsia="Calibri" w:hAnsi="Times New Roman" w:cs="Times New Roman"/>
                <w:i/>
                <w:color w:val="000000"/>
                <w:sz w:val="23"/>
                <w:szCs w:val="23"/>
                <w:lang w:val="ro-RO"/>
              </w:rPr>
              <w:t>Aviz nr. 0</w:t>
            </w:r>
            <w:r>
              <w:rPr>
                <w:rFonts w:ascii="Times New Roman" w:eastAsia="Calibri" w:hAnsi="Times New Roman" w:cs="Times New Roman"/>
                <w:i/>
                <w:color w:val="000000"/>
                <w:sz w:val="23"/>
                <w:szCs w:val="23"/>
                <w:lang w:val="ro-RO"/>
              </w:rPr>
              <w:t>6/3</w:t>
            </w:r>
            <w:r w:rsidRPr="008473CA">
              <w:rPr>
                <w:rFonts w:ascii="Times New Roman" w:eastAsia="Calibri" w:hAnsi="Times New Roman" w:cs="Times New Roman"/>
                <w:i/>
                <w:color w:val="000000"/>
                <w:sz w:val="23"/>
                <w:szCs w:val="23"/>
                <w:lang w:val="ro-RO"/>
              </w:rPr>
              <w:t>-2</w:t>
            </w:r>
            <w:r>
              <w:rPr>
                <w:rFonts w:ascii="Times New Roman" w:eastAsia="Calibri" w:hAnsi="Times New Roman" w:cs="Times New Roman"/>
                <w:i/>
                <w:color w:val="000000"/>
                <w:sz w:val="23"/>
                <w:szCs w:val="23"/>
                <w:lang w:val="ro-RO"/>
              </w:rPr>
              <w:t>262 d</w:t>
            </w:r>
            <w:r w:rsidRPr="008473CA">
              <w:rPr>
                <w:rFonts w:ascii="Times New Roman" w:eastAsia="Calibri" w:hAnsi="Times New Roman" w:cs="Times New Roman"/>
                <w:i/>
                <w:color w:val="000000"/>
                <w:sz w:val="23"/>
                <w:szCs w:val="23"/>
                <w:lang w:val="ro-RO"/>
              </w:rPr>
              <w:t>in 1</w:t>
            </w:r>
            <w:r>
              <w:rPr>
                <w:rFonts w:ascii="Times New Roman" w:eastAsia="Calibri" w:hAnsi="Times New Roman" w:cs="Times New Roman"/>
                <w:i/>
                <w:color w:val="000000"/>
                <w:sz w:val="23"/>
                <w:szCs w:val="23"/>
                <w:lang w:val="ro-RO"/>
              </w:rPr>
              <w:t>1 august 2022</w:t>
            </w:r>
          </w:p>
        </w:tc>
        <w:tc>
          <w:tcPr>
            <w:tcW w:w="2528"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I. Obiecțiile</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382A98" w:rsidRPr="00E97C3D" w:rsidTr="00404B8B">
        <w:trPr>
          <w:trHeight w:val="338"/>
        </w:trPr>
        <w:tc>
          <w:tcPr>
            <w:tcW w:w="820" w:type="pct"/>
            <w:vMerge/>
          </w:tcPr>
          <w:p w:rsidR="00382A98" w:rsidRDefault="00382A98" w:rsidP="009C071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c>
          <w:tcPr>
            <w:tcW w:w="2528"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b/>
                <w:color w:val="000000"/>
                <w:sz w:val="24"/>
                <w:szCs w:val="24"/>
                <w:lang w:val="ro-MD"/>
              </w:rPr>
            </w:pPr>
            <w:r w:rsidRPr="00E97C3D">
              <w:rPr>
                <w:rFonts w:ascii="Times New Roman" w:eastAsia="Times New Roman" w:hAnsi="Times New Roman" w:cs="Times New Roman"/>
                <w:color w:val="000000"/>
                <w:sz w:val="24"/>
                <w:szCs w:val="24"/>
                <w:lang w:val="ro-MD"/>
              </w:rPr>
              <w:t>Lipsă de obiecții</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382A98" w:rsidRPr="00E97C3D" w:rsidTr="00404B8B">
        <w:trPr>
          <w:trHeight w:val="338"/>
        </w:trPr>
        <w:tc>
          <w:tcPr>
            <w:tcW w:w="820" w:type="pct"/>
            <w:vMerge/>
          </w:tcPr>
          <w:p w:rsidR="00382A98" w:rsidRDefault="00382A98" w:rsidP="009C0713">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p>
        </w:tc>
        <w:tc>
          <w:tcPr>
            <w:tcW w:w="2528"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sidRPr="00E97C3D">
              <w:rPr>
                <w:rFonts w:ascii="Times New Roman" w:eastAsia="Times New Roman" w:hAnsi="Times New Roman" w:cs="Times New Roman"/>
                <w:b/>
                <w:color w:val="000000"/>
                <w:sz w:val="24"/>
                <w:szCs w:val="24"/>
                <w:lang w:val="ro-MD"/>
              </w:rPr>
              <w:t>II. Propunerile (recomandările)</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p>
        </w:tc>
      </w:tr>
      <w:tr w:rsidR="00382A98" w:rsidRPr="00E97C3D" w:rsidTr="00404B8B">
        <w:trPr>
          <w:trHeight w:val="905"/>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MD"/>
              </w:rPr>
              <w:t>Proiectul hot</w:t>
            </w:r>
            <w:proofErr w:type="spellStart"/>
            <w:r>
              <w:rPr>
                <w:rFonts w:ascii="Times New Roman" w:eastAsia="Times New Roman" w:hAnsi="Times New Roman" w:cs="Times New Roman"/>
                <w:color w:val="000000"/>
                <w:sz w:val="24"/>
                <w:szCs w:val="24"/>
                <w:lang w:val="ro-RO"/>
              </w:rPr>
              <w:t>ărârii</w:t>
            </w:r>
            <w:proofErr w:type="spellEnd"/>
            <w:r>
              <w:rPr>
                <w:rFonts w:ascii="Times New Roman" w:eastAsia="Times New Roman" w:hAnsi="Times New Roman" w:cs="Times New Roman"/>
                <w:color w:val="000000"/>
                <w:sz w:val="24"/>
                <w:szCs w:val="24"/>
                <w:lang w:val="ro-RO"/>
              </w:rPr>
              <w:t xml:space="preserve"> în cauză prevede transmiterea unui teren și modificarea HG nr. 161/2019 cu privire la  aprobarea listei terenurilor proprietate publică a statului din administrarea Agenției Proprietății Publice. În aspectul dat denumirea proiectului urmează a fi modificat după cum urmează:</w:t>
            </w:r>
          </w:p>
          <w:p w:rsidR="00382A98" w:rsidRPr="000F2BA2"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„Cu privire la transmiterea unui teren și modificarea Hotărârii Guvernului nr.161/2019  cu privire la  aprobarea listei terenurilor proprietate publică a statului din administrarea Agenției Proprietății Publice”.</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r>
              <w:rPr>
                <w:rFonts w:ascii="Times New Roman" w:eastAsia="Calibri" w:hAnsi="Times New Roman" w:cs="Times New Roman"/>
                <w:color w:val="000000"/>
                <w:sz w:val="24"/>
                <w:szCs w:val="24"/>
                <w:lang w:val="ro-MD"/>
              </w:rPr>
              <w:t xml:space="preserve"> </w:t>
            </w:r>
          </w:p>
        </w:tc>
      </w:tr>
      <w:tr w:rsidR="00382A98" w:rsidRPr="000F2BA2" w:rsidTr="00404B8B">
        <w:trPr>
          <w:trHeight w:val="905"/>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La pct.1 din proiect, textul „-drept de folosință al” de substituit cu textul ”, folosință”.</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t>Se acceptă</w:t>
            </w:r>
          </w:p>
        </w:tc>
      </w:tr>
      <w:tr w:rsidR="00382A98" w:rsidRPr="000F2BA2" w:rsidTr="00404B8B">
        <w:trPr>
          <w:trHeight w:val="905"/>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 xml:space="preserve">Reieșind din faptul că în registrul bunurilor imobile nu este indicat domeniul la care se atribuie terenul propus pentru transmitere, precum și având în vedere că la pct.3 </w:t>
            </w:r>
            <w:proofErr w:type="spellStart"/>
            <w:r>
              <w:rPr>
                <w:rFonts w:ascii="Times New Roman" w:eastAsia="Times New Roman" w:hAnsi="Times New Roman" w:cs="Times New Roman"/>
                <w:color w:val="000000"/>
                <w:sz w:val="24"/>
                <w:szCs w:val="24"/>
                <w:lang w:val="ro-MD"/>
              </w:rPr>
              <w:t>spt</w:t>
            </w:r>
            <w:proofErr w:type="spellEnd"/>
            <w:r>
              <w:rPr>
                <w:rFonts w:ascii="Times New Roman" w:eastAsia="Times New Roman" w:hAnsi="Times New Roman" w:cs="Times New Roman"/>
                <w:color w:val="000000"/>
                <w:sz w:val="24"/>
                <w:szCs w:val="24"/>
                <w:lang w:val="ro-MD"/>
              </w:rPr>
              <w:t xml:space="preserve">. 2) se propune includerea acestuia în </w:t>
            </w:r>
            <w:r>
              <w:rPr>
                <w:rFonts w:ascii="Times New Roman" w:eastAsia="Times New Roman" w:hAnsi="Times New Roman" w:cs="Times New Roman"/>
                <w:color w:val="000000"/>
                <w:sz w:val="24"/>
                <w:szCs w:val="24"/>
                <w:lang w:val="ro-MD"/>
              </w:rPr>
              <w:lastRenderedPageBreak/>
              <w:t>”Lista trenurilor proprietate publică a statului (domeniul public) delimitate după apartenență”, propunem completarea proiectului cu un punct cu următorul cuprins:</w:t>
            </w:r>
          </w:p>
          <w:p w:rsidR="00382A98" w:rsidRPr="00480319"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”1</w:t>
            </w:r>
            <w:r>
              <w:rPr>
                <w:rFonts w:ascii="Times New Roman" w:eastAsia="Times New Roman" w:hAnsi="Times New Roman" w:cs="Times New Roman"/>
                <w:color w:val="000000"/>
                <w:sz w:val="24"/>
                <w:szCs w:val="24"/>
                <w:vertAlign w:val="superscript"/>
                <w:lang w:val="ro-MD"/>
              </w:rPr>
              <w:t>1</w:t>
            </w:r>
            <w:r>
              <w:rPr>
                <w:rFonts w:ascii="Times New Roman" w:eastAsia="Times New Roman" w:hAnsi="Times New Roman" w:cs="Times New Roman"/>
                <w:color w:val="000000"/>
                <w:sz w:val="24"/>
                <w:szCs w:val="24"/>
                <w:lang w:val="ro-MD"/>
              </w:rPr>
              <w:t>. Se acceptă trecerea din domeniul privat în domeniul public al statului a terenului indicat în punctul 1”.</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Pr>
                <w:rFonts w:ascii="Times New Roman" w:eastAsia="Calibri" w:hAnsi="Times New Roman" w:cs="Times New Roman"/>
                <w:color w:val="000000"/>
                <w:sz w:val="24"/>
                <w:szCs w:val="24"/>
                <w:lang w:val="ro-MD"/>
              </w:rPr>
              <w:lastRenderedPageBreak/>
              <w:t xml:space="preserve">Nu se acceptă, deoarece prin hotărârea respectivă  nu se va schimba domeniul, dar se va transmite de la o autoritate la alta </w:t>
            </w:r>
            <w:r>
              <w:rPr>
                <w:rFonts w:ascii="Times New Roman" w:eastAsia="Calibri" w:hAnsi="Times New Roman" w:cs="Times New Roman"/>
                <w:color w:val="000000"/>
                <w:sz w:val="24"/>
                <w:szCs w:val="24"/>
                <w:lang w:val="ro-MD"/>
              </w:rPr>
              <w:lastRenderedPageBreak/>
              <w:t xml:space="preserve">în baza art.14 alin.(1) </w:t>
            </w:r>
            <w:proofErr w:type="spellStart"/>
            <w:r>
              <w:rPr>
                <w:rFonts w:ascii="Times New Roman" w:eastAsia="Calibri" w:hAnsi="Times New Roman" w:cs="Times New Roman"/>
                <w:color w:val="000000"/>
                <w:sz w:val="24"/>
                <w:szCs w:val="24"/>
                <w:lang w:val="ro-MD"/>
              </w:rPr>
              <w:t>lit.c</w:t>
            </w:r>
            <w:proofErr w:type="spellEnd"/>
            <w:r>
              <w:rPr>
                <w:rFonts w:ascii="Times New Roman" w:eastAsia="Calibri" w:hAnsi="Times New Roman" w:cs="Times New Roman"/>
                <w:color w:val="000000"/>
                <w:sz w:val="24"/>
                <w:szCs w:val="24"/>
                <w:lang w:val="ro-MD"/>
              </w:rPr>
              <w:t>) din Legea nr. 121/2007</w:t>
            </w:r>
          </w:p>
        </w:tc>
      </w:tr>
      <w:tr w:rsidR="00382A98" w:rsidRPr="000F2BA2" w:rsidTr="00404B8B">
        <w:trPr>
          <w:trHeight w:val="905"/>
        </w:trPr>
        <w:tc>
          <w:tcPr>
            <w:tcW w:w="820" w:type="pct"/>
            <w:vMerge/>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p>
        </w:tc>
        <w:tc>
          <w:tcPr>
            <w:tcW w:w="2528" w:type="pct"/>
          </w:tcPr>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MD"/>
              </w:rPr>
            </w:pPr>
            <w:r>
              <w:rPr>
                <w:rFonts w:ascii="Times New Roman" w:eastAsia="Times New Roman" w:hAnsi="Times New Roman" w:cs="Times New Roman"/>
                <w:color w:val="000000"/>
                <w:sz w:val="24"/>
                <w:szCs w:val="24"/>
                <w:lang w:val="ro-MD"/>
              </w:rPr>
              <w:t>În măsura în care autorul propune intrarea în vigoare a hotărârii la data publicării acesteia în Monitorul Oficial al Republicii Moldova, se impune justificarea acestei prevederi, prin prisma art.56 alin. (3) al Legii nr. 100/2017, potrivit căruia ”intrarea în vigoare a actelor normative poate fi stabilită pentru o altă dată doar în cazul în care se urmărește protecția drepturilor și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r w:rsidR="00382A98" w:rsidRPr="000F2BA2" w:rsidTr="00404B8B">
        <w:trPr>
          <w:trHeight w:val="905"/>
        </w:trPr>
        <w:tc>
          <w:tcPr>
            <w:tcW w:w="820" w:type="pct"/>
          </w:tcPr>
          <w:p w:rsidR="00382A98" w:rsidRDefault="00382A98" w:rsidP="00382A98">
            <w:pPr>
              <w:shd w:val="clear" w:color="auto" w:fill="FFFFFF"/>
              <w:tabs>
                <w:tab w:val="left" w:pos="884"/>
                <w:tab w:val="left" w:pos="1196"/>
              </w:tabs>
              <w:spacing w:after="0" w:line="240" w:lineRule="auto"/>
              <w:rPr>
                <w:rFonts w:ascii="Times New Roman" w:eastAsia="Calibri" w:hAnsi="Times New Roman" w:cs="Times New Roman"/>
                <w:b/>
                <w:color w:val="000000"/>
                <w:sz w:val="23"/>
                <w:szCs w:val="23"/>
                <w:lang w:val="ro-RO"/>
              </w:rPr>
            </w:pPr>
            <w:r>
              <w:rPr>
                <w:rFonts w:ascii="Times New Roman" w:eastAsia="Calibri" w:hAnsi="Times New Roman" w:cs="Times New Roman"/>
                <w:b/>
                <w:color w:val="000000"/>
                <w:sz w:val="23"/>
                <w:szCs w:val="23"/>
                <w:lang w:val="ro-RO"/>
              </w:rPr>
              <w:t xml:space="preserve">4. </w:t>
            </w:r>
            <w:r>
              <w:rPr>
                <w:rFonts w:ascii="Times New Roman" w:eastAsia="Calibri" w:hAnsi="Times New Roman" w:cs="Times New Roman"/>
                <w:b/>
                <w:color w:val="000000"/>
                <w:sz w:val="23"/>
                <w:szCs w:val="23"/>
                <w:lang w:val="ro-RO"/>
              </w:rPr>
              <w:t>Centrul Național Anticorupție</w:t>
            </w:r>
          </w:p>
          <w:p w:rsidR="00382A98" w:rsidRPr="00E97C3D" w:rsidRDefault="00382A98" w:rsidP="00382A98">
            <w:pPr>
              <w:shd w:val="clear" w:color="auto" w:fill="FFFFFF"/>
              <w:tabs>
                <w:tab w:val="left" w:pos="884"/>
                <w:tab w:val="left" w:pos="1196"/>
              </w:tabs>
              <w:spacing w:after="0" w:line="240" w:lineRule="auto"/>
              <w:jc w:val="both"/>
              <w:rPr>
                <w:rFonts w:ascii="Times New Roman" w:eastAsia="Calibri" w:hAnsi="Times New Roman" w:cs="Times New Roman"/>
                <w:b/>
                <w:color w:val="000000"/>
                <w:sz w:val="23"/>
                <w:szCs w:val="23"/>
                <w:lang w:val="ro-RO"/>
              </w:rPr>
            </w:pPr>
            <w:r w:rsidRPr="008473CA">
              <w:rPr>
                <w:rFonts w:ascii="Times New Roman" w:eastAsia="Calibri" w:hAnsi="Times New Roman" w:cs="Times New Roman"/>
                <w:i/>
                <w:color w:val="000000"/>
                <w:sz w:val="23"/>
                <w:szCs w:val="23"/>
                <w:lang w:val="ro-RO"/>
              </w:rPr>
              <w:t>Aviz nr. 0</w:t>
            </w:r>
            <w:r>
              <w:rPr>
                <w:rFonts w:ascii="Times New Roman" w:eastAsia="Calibri" w:hAnsi="Times New Roman" w:cs="Times New Roman"/>
                <w:i/>
                <w:color w:val="000000"/>
                <w:sz w:val="23"/>
                <w:szCs w:val="23"/>
                <w:lang w:val="ro-RO"/>
              </w:rPr>
              <w:t>6/2-4683</w:t>
            </w:r>
            <w:r>
              <w:rPr>
                <w:rFonts w:ascii="Times New Roman" w:eastAsia="Calibri" w:hAnsi="Times New Roman" w:cs="Times New Roman"/>
                <w:i/>
                <w:color w:val="000000"/>
                <w:sz w:val="23"/>
                <w:szCs w:val="23"/>
                <w:lang w:val="ro-RO"/>
              </w:rPr>
              <w:t xml:space="preserve"> d</w:t>
            </w:r>
            <w:r w:rsidRPr="008473CA">
              <w:rPr>
                <w:rFonts w:ascii="Times New Roman" w:eastAsia="Calibri" w:hAnsi="Times New Roman" w:cs="Times New Roman"/>
                <w:i/>
                <w:color w:val="000000"/>
                <w:sz w:val="23"/>
                <w:szCs w:val="23"/>
                <w:lang w:val="ro-RO"/>
              </w:rPr>
              <w:t>in 1</w:t>
            </w:r>
            <w:r>
              <w:rPr>
                <w:rFonts w:ascii="Times New Roman" w:eastAsia="Calibri" w:hAnsi="Times New Roman" w:cs="Times New Roman"/>
                <w:i/>
                <w:color w:val="000000"/>
                <w:sz w:val="23"/>
                <w:szCs w:val="23"/>
                <w:lang w:val="ro-RO"/>
              </w:rPr>
              <w:t>2</w:t>
            </w:r>
            <w:r>
              <w:rPr>
                <w:rFonts w:ascii="Times New Roman" w:eastAsia="Calibri" w:hAnsi="Times New Roman" w:cs="Times New Roman"/>
                <w:i/>
                <w:color w:val="000000"/>
                <w:sz w:val="23"/>
                <w:szCs w:val="23"/>
                <w:lang w:val="ro-RO"/>
              </w:rPr>
              <w:t xml:space="preserve"> august 2022</w:t>
            </w:r>
          </w:p>
        </w:tc>
        <w:tc>
          <w:tcPr>
            <w:tcW w:w="2528" w:type="pct"/>
          </w:tcPr>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Potrivit art.25 alin. (1) al Legii integrității nr. 82/2017, eficiența cultivării climatului de integritate instituțională și profesională este supusă verificărilor din partea conducătorilor entităților publice, a autorităților anticorupție, a societății civile și mass-mediei.</w:t>
            </w:r>
          </w:p>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În acest sens, în conformitate cu prevederile art. 25 alin. (3) </w:t>
            </w:r>
            <w:proofErr w:type="spellStart"/>
            <w:r>
              <w:rPr>
                <w:rFonts w:ascii="Times New Roman" w:eastAsia="Times New Roman" w:hAnsi="Times New Roman" w:cs="Times New Roman"/>
                <w:color w:val="000000"/>
                <w:sz w:val="24"/>
                <w:szCs w:val="24"/>
                <w:lang w:val="ro-RO"/>
              </w:rPr>
              <w:t>lit.a</w:t>
            </w:r>
            <w:proofErr w:type="spellEnd"/>
            <w:r>
              <w:rPr>
                <w:rFonts w:ascii="Times New Roman" w:eastAsia="Times New Roman" w:hAnsi="Times New Roman" w:cs="Times New Roman"/>
                <w:color w:val="000000"/>
                <w:sz w:val="24"/>
                <w:szCs w:val="24"/>
                <w:lang w:val="ro-RO"/>
              </w:rPr>
              <w:t>), art. 28 alin. (4) al Legii prenotate, expertiza anticorupție, în calitate de măsură de control a integrității în sectorul public, se va efectua doar asupra proiectului definitivat în baza propunerilor și obiecțiilor expuse în procesul de avizare și /sau de consultare a părților interesate.</w:t>
            </w:r>
          </w:p>
          <w:p w:rsid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w:t>
            </w:r>
          </w:p>
          <w:p w:rsidR="00382A98" w:rsidRPr="00382A98" w:rsidRDefault="00382A98" w:rsidP="00E97C3D">
            <w:pPr>
              <w:shd w:val="clear" w:color="auto" w:fill="FFFFFF"/>
              <w:tabs>
                <w:tab w:val="left" w:pos="884"/>
                <w:tab w:val="left" w:pos="1196"/>
              </w:tabs>
              <w:spacing w:after="0" w:line="240" w:lineRule="auto"/>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Reieșind din cele expuse supra, solicităm expedierea în adresa Centrului Național Anticorupție a proiectului definitivat pentru efectuarea expertizei anticorupție.</w:t>
            </w:r>
          </w:p>
        </w:tc>
        <w:tc>
          <w:tcPr>
            <w:tcW w:w="1652" w:type="pct"/>
          </w:tcPr>
          <w:p w:rsidR="00382A98" w:rsidRPr="00E97C3D" w:rsidRDefault="00382A98" w:rsidP="00E97C3D">
            <w:pPr>
              <w:shd w:val="clear" w:color="auto" w:fill="FFFFFF"/>
              <w:tabs>
                <w:tab w:val="left" w:pos="884"/>
                <w:tab w:val="left" w:pos="1196"/>
              </w:tabs>
              <w:spacing w:after="0" w:line="240" w:lineRule="auto"/>
              <w:jc w:val="both"/>
              <w:rPr>
                <w:rFonts w:ascii="Times New Roman" w:eastAsia="Calibri" w:hAnsi="Times New Roman" w:cs="Times New Roman"/>
                <w:color w:val="000000"/>
                <w:sz w:val="24"/>
                <w:szCs w:val="24"/>
                <w:lang w:val="ro-MD"/>
              </w:rPr>
            </w:pPr>
            <w:r w:rsidRPr="00E97C3D">
              <w:rPr>
                <w:rFonts w:ascii="Times New Roman" w:eastAsia="Calibri" w:hAnsi="Times New Roman" w:cs="Times New Roman"/>
                <w:color w:val="000000"/>
                <w:sz w:val="24"/>
                <w:szCs w:val="24"/>
                <w:lang w:val="ro-MD"/>
              </w:rPr>
              <w:t>Se acceptă</w:t>
            </w:r>
          </w:p>
        </w:tc>
      </w:tr>
    </w:tbl>
    <w:p w:rsidR="00401AE5" w:rsidRDefault="00401AE5" w:rsidP="00401AE5">
      <w:pPr>
        <w:tabs>
          <w:tab w:val="left" w:pos="1134"/>
        </w:tabs>
        <w:spacing w:before="120" w:after="0" w:line="240" w:lineRule="auto"/>
        <w:ind w:hanging="426"/>
      </w:pPr>
    </w:p>
    <w:p w:rsidR="00E97C3D" w:rsidRPr="00E97C3D" w:rsidRDefault="00266E4F" w:rsidP="00401AE5">
      <w:pPr>
        <w:tabs>
          <w:tab w:val="left" w:pos="1134"/>
        </w:tabs>
        <w:spacing w:before="120" w:after="0" w:line="240" w:lineRule="auto"/>
        <w:ind w:hanging="426"/>
        <w:rPr>
          <w:rFonts w:ascii="Times New Roman" w:eastAsia="Times New Roman" w:hAnsi="Times New Roman" w:cs="Times New Roman"/>
          <w:sz w:val="32"/>
          <w:szCs w:val="28"/>
          <w:lang w:val="ro-RO" w:eastAsia="ru-RU"/>
        </w:rPr>
      </w:pPr>
      <w:r w:rsidRPr="00266E4F">
        <w:rPr>
          <w:rFonts w:ascii="Times New Roman" w:eastAsia="Times New Roman" w:hAnsi="Times New Roman" w:cs="Times New Roman"/>
          <w:b/>
          <w:color w:val="000000"/>
          <w:sz w:val="28"/>
          <w:szCs w:val="28"/>
          <w:lang w:val="ro-RO"/>
        </w:rPr>
        <w:t xml:space="preserve">Secretar de stat </w:t>
      </w:r>
      <w:r w:rsidRPr="00266E4F">
        <w:rPr>
          <w:rFonts w:ascii="Times New Roman" w:eastAsia="Times New Roman" w:hAnsi="Times New Roman" w:cs="Times New Roman"/>
          <w:b/>
          <w:color w:val="000000"/>
          <w:sz w:val="28"/>
          <w:szCs w:val="28"/>
          <w:lang w:val="ro-RO"/>
        </w:rPr>
        <w:tab/>
        <w:t xml:space="preserve">  </w:t>
      </w:r>
      <w:bookmarkStart w:id="0" w:name="_GoBack"/>
      <w:bookmarkEnd w:id="0"/>
      <w:r w:rsidRPr="00266E4F">
        <w:rPr>
          <w:rFonts w:ascii="Times New Roman" w:eastAsia="Times New Roman" w:hAnsi="Times New Roman" w:cs="Times New Roman"/>
          <w:b/>
          <w:color w:val="000000"/>
          <w:sz w:val="28"/>
          <w:szCs w:val="28"/>
          <w:lang w:val="ro-RO"/>
        </w:rPr>
        <w:t xml:space="preserve">          </w:t>
      </w:r>
      <w:r>
        <w:rPr>
          <w:rFonts w:ascii="Times New Roman" w:eastAsia="Times New Roman" w:hAnsi="Times New Roman" w:cs="Times New Roman"/>
          <w:b/>
          <w:color w:val="000000"/>
          <w:sz w:val="28"/>
          <w:szCs w:val="28"/>
          <w:lang w:val="ro-RO"/>
        </w:rPr>
        <w:t xml:space="preserve">                        </w:t>
      </w:r>
      <w:r w:rsidR="008473CA">
        <w:rPr>
          <w:rFonts w:ascii="Times New Roman" w:eastAsia="Times New Roman" w:hAnsi="Times New Roman" w:cs="Times New Roman"/>
          <w:b/>
          <w:color w:val="000000"/>
          <w:sz w:val="28"/>
          <w:szCs w:val="28"/>
          <w:lang w:val="ro-RO"/>
        </w:rPr>
        <w:t xml:space="preserve">                </w:t>
      </w:r>
      <w:r w:rsidRPr="00266E4F">
        <w:rPr>
          <w:rFonts w:ascii="Times New Roman" w:eastAsia="Times New Roman" w:hAnsi="Times New Roman" w:cs="Times New Roman"/>
          <w:b/>
          <w:color w:val="000000"/>
          <w:sz w:val="28"/>
          <w:szCs w:val="28"/>
          <w:lang w:val="ro-RO"/>
        </w:rPr>
        <w:t xml:space="preserve">   </w:t>
      </w:r>
      <w:proofErr w:type="spellStart"/>
      <w:r w:rsidR="008473CA">
        <w:rPr>
          <w:rFonts w:ascii="Times New Roman" w:eastAsia="Times New Roman" w:hAnsi="Times New Roman" w:cs="Times New Roman"/>
          <w:b/>
          <w:color w:val="000000"/>
          <w:sz w:val="28"/>
          <w:szCs w:val="28"/>
          <w:lang w:val="ro-RO"/>
        </w:rPr>
        <w:t>Iordanca</w:t>
      </w:r>
      <w:proofErr w:type="spellEnd"/>
      <w:r w:rsidR="008473CA">
        <w:rPr>
          <w:rFonts w:ascii="Times New Roman" w:eastAsia="Times New Roman" w:hAnsi="Times New Roman" w:cs="Times New Roman"/>
          <w:b/>
          <w:color w:val="000000"/>
          <w:sz w:val="28"/>
          <w:szCs w:val="28"/>
          <w:lang w:val="ro-RO"/>
        </w:rPr>
        <w:t>-Rodica IORDANOV</w:t>
      </w:r>
    </w:p>
    <w:sectPr w:rsidR="00E97C3D" w:rsidRPr="00E97C3D" w:rsidSect="00401AE5">
      <w:pgSz w:w="12240" w:h="15840"/>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3D"/>
    <w:rsid w:val="000F2BA2"/>
    <w:rsid w:val="001412AB"/>
    <w:rsid w:val="00145DCF"/>
    <w:rsid w:val="00196D90"/>
    <w:rsid w:val="001C07FF"/>
    <w:rsid w:val="001F2074"/>
    <w:rsid w:val="00222D22"/>
    <w:rsid w:val="00266E4F"/>
    <w:rsid w:val="002E40F0"/>
    <w:rsid w:val="00322428"/>
    <w:rsid w:val="00360358"/>
    <w:rsid w:val="00382A98"/>
    <w:rsid w:val="003D636E"/>
    <w:rsid w:val="003E11A6"/>
    <w:rsid w:val="003E1375"/>
    <w:rsid w:val="00401AE5"/>
    <w:rsid w:val="00404B8B"/>
    <w:rsid w:val="004265C3"/>
    <w:rsid w:val="00480319"/>
    <w:rsid w:val="004A2129"/>
    <w:rsid w:val="00556155"/>
    <w:rsid w:val="00557B59"/>
    <w:rsid w:val="005E52FE"/>
    <w:rsid w:val="006E52D8"/>
    <w:rsid w:val="008473CA"/>
    <w:rsid w:val="008C6F14"/>
    <w:rsid w:val="00934950"/>
    <w:rsid w:val="0097632D"/>
    <w:rsid w:val="009C0713"/>
    <w:rsid w:val="00A303D1"/>
    <w:rsid w:val="00A967C7"/>
    <w:rsid w:val="00AA6DB0"/>
    <w:rsid w:val="00B554A1"/>
    <w:rsid w:val="00BB3B16"/>
    <w:rsid w:val="00C65142"/>
    <w:rsid w:val="00D500DB"/>
    <w:rsid w:val="00E2578A"/>
    <w:rsid w:val="00E97C3D"/>
    <w:rsid w:val="00FA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977B5-EB42-485E-A44B-7BEE22DB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A967C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967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C6BBB-3160-4DEF-855F-756A400F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4591</TotalTime>
  <Pages>5</Pages>
  <Words>1825</Words>
  <Characters>10404</Characters>
  <Application>Microsoft Office Word</Application>
  <DocSecurity>0</DocSecurity>
  <Lines>86</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Stirbu Mariana</dc:creator>
  <cp:keywords/>
  <dc:description/>
  <cp:lastModifiedBy>1</cp:lastModifiedBy>
  <cp:revision>13</cp:revision>
  <cp:lastPrinted>2021-11-25T08:51:00Z</cp:lastPrinted>
  <dcterms:created xsi:type="dcterms:W3CDTF">2021-11-19T07:46:00Z</dcterms:created>
  <dcterms:modified xsi:type="dcterms:W3CDTF">2022-10-11T12:27:00Z</dcterms:modified>
</cp:coreProperties>
</file>