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C00" w:rsidRPr="009E5CA7" w:rsidRDefault="00A046B2">
      <w:pPr>
        <w:tabs>
          <w:tab w:val="left" w:pos="720"/>
          <w:tab w:val="left" w:pos="900"/>
        </w:tabs>
        <w:spacing w:after="240"/>
        <w:jc w:val="center"/>
        <w:rPr>
          <w:sz w:val="28"/>
          <w:szCs w:val="28"/>
          <w:lang w:eastAsia="zh-CN"/>
        </w:rPr>
      </w:pPr>
      <w:r w:rsidRPr="00A046B2">
        <w:rPr>
          <w:b/>
          <w:sz w:val="28"/>
          <w:szCs w:val="28"/>
        </w:rPr>
        <w:t>NOTĂ INFORMATIVĂ</w:t>
      </w:r>
      <w:r w:rsidRPr="00A046B2">
        <w:rPr>
          <w:b/>
          <w:sz w:val="28"/>
          <w:szCs w:val="28"/>
        </w:rPr>
        <w:br/>
        <w:t xml:space="preserve">la proiectul hotărârii Guvernului </w:t>
      </w:r>
      <w:r w:rsidRPr="009E5CA7">
        <w:rPr>
          <w:b/>
          <w:sz w:val="28"/>
          <w:szCs w:val="28"/>
        </w:rPr>
        <w:t>cu privire la aprobarea Programului de ordine și securitate publică pentru anii 2022-2025</w:t>
      </w:r>
    </w:p>
    <w:tbl>
      <w:tblPr>
        <w:tblStyle w:val="TableGrid"/>
        <w:tblW w:w="0" w:type="auto"/>
        <w:tblLook w:val="04A0" w:firstRow="1" w:lastRow="0" w:firstColumn="1" w:lastColumn="0" w:noHBand="0" w:noVBand="1"/>
      </w:tblPr>
      <w:tblGrid>
        <w:gridCol w:w="9060"/>
      </w:tblGrid>
      <w:tr w:rsidR="00074C00" w:rsidRPr="00A046B2">
        <w:tc>
          <w:tcPr>
            <w:tcW w:w="9286" w:type="dxa"/>
          </w:tcPr>
          <w:p w:rsidR="00074C00" w:rsidRPr="00A046B2" w:rsidRDefault="00A046B2">
            <w:pPr>
              <w:pStyle w:val="NoSpacing"/>
              <w:numPr>
                <w:ilvl w:val="0"/>
                <w:numId w:val="1"/>
              </w:numPr>
              <w:ind w:left="0" w:firstLine="360"/>
              <w:jc w:val="both"/>
              <w:rPr>
                <w:rFonts w:ascii="Times New Roman" w:hAnsi="Times New Roman"/>
                <w:b/>
                <w:sz w:val="28"/>
                <w:szCs w:val="28"/>
                <w:lang w:val="ro-RO"/>
              </w:rPr>
            </w:pPr>
            <w:r w:rsidRPr="00A046B2">
              <w:rPr>
                <w:rFonts w:ascii="Times New Roman" w:hAnsi="Times New Roman"/>
                <w:b/>
                <w:sz w:val="28"/>
                <w:szCs w:val="28"/>
                <w:lang w:val="ro-RO"/>
              </w:rPr>
              <w:t xml:space="preserve">Denumirea autorului și, după caz, a participanților la elaborarea proiectului </w:t>
            </w:r>
          </w:p>
        </w:tc>
      </w:tr>
      <w:tr w:rsidR="00074C00" w:rsidRPr="00A046B2">
        <w:trPr>
          <w:trHeight w:val="1097"/>
        </w:trPr>
        <w:tc>
          <w:tcPr>
            <w:tcW w:w="9286" w:type="dxa"/>
            <w:vAlign w:val="center"/>
          </w:tcPr>
          <w:p w:rsidR="00074C00" w:rsidRPr="00A046B2" w:rsidRDefault="00A046B2">
            <w:pPr>
              <w:tabs>
                <w:tab w:val="left" w:pos="720"/>
                <w:tab w:val="left" w:pos="900"/>
              </w:tabs>
              <w:spacing w:after="240"/>
              <w:ind w:firstLine="330"/>
              <w:jc w:val="both"/>
              <w:rPr>
                <w:sz w:val="28"/>
                <w:szCs w:val="28"/>
              </w:rPr>
            </w:pPr>
            <w:r w:rsidRPr="00A046B2">
              <w:rPr>
                <w:sz w:val="28"/>
                <w:szCs w:val="28"/>
              </w:rPr>
              <w:t xml:space="preserve">Proiectul hotărârii Guvernului </w:t>
            </w:r>
            <w:r w:rsidRPr="009E5CA7">
              <w:rPr>
                <w:sz w:val="28"/>
                <w:szCs w:val="28"/>
              </w:rPr>
              <w:t xml:space="preserve">cu privire la aprobarea Programului de ordine și securitate publică pentru anii 2022-2025 a fost elaborat de către Ministerul Afacerilor Interne, cu suportul expertului, reprezentanților societății civile și </w:t>
            </w:r>
            <w:r w:rsidRPr="00A046B2">
              <w:rPr>
                <w:sz w:val="28"/>
                <w:szCs w:val="28"/>
              </w:rPr>
              <w:t>partenerilor de dezvoltare.</w:t>
            </w:r>
          </w:p>
        </w:tc>
      </w:tr>
      <w:tr w:rsidR="00074C00" w:rsidRPr="00A046B2">
        <w:tc>
          <w:tcPr>
            <w:tcW w:w="9286" w:type="dxa"/>
          </w:tcPr>
          <w:p w:rsidR="00074C00" w:rsidRPr="00A046B2" w:rsidRDefault="00A046B2">
            <w:pPr>
              <w:pStyle w:val="NoSpacing"/>
              <w:numPr>
                <w:ilvl w:val="0"/>
                <w:numId w:val="1"/>
              </w:numPr>
              <w:ind w:left="0" w:firstLine="360"/>
              <w:jc w:val="both"/>
              <w:rPr>
                <w:rFonts w:ascii="Times New Roman" w:hAnsi="Times New Roman"/>
                <w:b/>
                <w:sz w:val="28"/>
                <w:szCs w:val="28"/>
                <w:lang w:val="ro-RO"/>
              </w:rPr>
            </w:pPr>
            <w:r w:rsidRPr="00A046B2">
              <w:rPr>
                <w:rFonts w:ascii="Times New Roman" w:hAnsi="Times New Roman"/>
                <w:b/>
                <w:sz w:val="28"/>
                <w:szCs w:val="28"/>
                <w:lang w:val="ro-RO"/>
              </w:rPr>
              <w:t>Condițiile ce au impus elaborarea proiectului de act normativ și finalitățile urmărite</w:t>
            </w:r>
          </w:p>
        </w:tc>
      </w:tr>
      <w:tr w:rsidR="00074C00" w:rsidRPr="00A046B2">
        <w:tc>
          <w:tcPr>
            <w:tcW w:w="9286" w:type="dxa"/>
          </w:tcPr>
          <w:p w:rsidR="00074C00" w:rsidRPr="00A046B2" w:rsidRDefault="00A046B2">
            <w:pPr>
              <w:pStyle w:val="a0"/>
              <w:spacing w:after="0"/>
              <w:ind w:firstLine="331"/>
              <w:jc w:val="both"/>
              <w:rPr>
                <w:i/>
                <w:iCs/>
                <w:sz w:val="28"/>
                <w:szCs w:val="28"/>
                <w:lang w:val="ro-RO"/>
              </w:rPr>
            </w:pPr>
            <w:r w:rsidRPr="00A046B2">
              <w:rPr>
                <w:rFonts w:eastAsiaTheme="minorEastAsia"/>
                <w:bCs/>
                <w:kern w:val="24"/>
                <w:sz w:val="28"/>
                <w:szCs w:val="28"/>
                <w:lang w:val="ro-RO"/>
              </w:rPr>
              <w:t xml:space="preserve">Programul de ordine și securitate publică pentru anii 2022-2025 </w:t>
            </w:r>
            <w:r w:rsidRPr="009E5CA7">
              <w:rPr>
                <w:sz w:val="28"/>
                <w:szCs w:val="28"/>
                <w:lang w:val="ro-RO"/>
              </w:rPr>
              <w:t xml:space="preserve">(în continuare – </w:t>
            </w:r>
            <w:r w:rsidRPr="009E5CA7">
              <w:rPr>
                <w:i/>
                <w:sz w:val="28"/>
                <w:szCs w:val="28"/>
                <w:lang w:val="ro-RO"/>
              </w:rPr>
              <w:t>Program</w:t>
            </w:r>
            <w:r w:rsidRPr="009E5CA7">
              <w:rPr>
                <w:sz w:val="28"/>
                <w:szCs w:val="28"/>
                <w:lang w:val="ro-RO"/>
              </w:rPr>
              <w:t>)</w:t>
            </w:r>
            <w:r w:rsidRPr="00A046B2">
              <w:rPr>
                <w:rFonts w:eastAsiaTheme="minorEastAsia"/>
                <w:bCs/>
                <w:kern w:val="24"/>
                <w:sz w:val="28"/>
                <w:szCs w:val="28"/>
                <w:lang w:val="ro-RO"/>
              </w:rPr>
              <w:t>, este un document de politici publice care</w:t>
            </w:r>
            <w:r w:rsidRPr="00A046B2">
              <w:rPr>
                <w:sz w:val="28"/>
                <w:szCs w:val="28"/>
                <w:lang w:val="ro-RO"/>
              </w:rPr>
              <w:t xml:space="preserve"> derivă din Strategia de dezvoltare a domeniului afacerilor interne pentru anii 2022 – 2030, și care la rândul său, răspunde exigențelor Strategiei Naționale de Dezvoltare „Moldova 2030”, în special obiectivului strategic nr. 9 „</w:t>
            </w:r>
            <w:r w:rsidRPr="00A046B2">
              <w:rPr>
                <w:i/>
                <w:sz w:val="28"/>
                <w:szCs w:val="28"/>
                <w:lang w:val="ro-RO"/>
              </w:rPr>
              <w:t>Promovarea unei societăți pașnice, sigure și incluzive</w:t>
            </w:r>
            <w:r w:rsidRPr="00A046B2">
              <w:rPr>
                <w:sz w:val="28"/>
                <w:szCs w:val="28"/>
                <w:lang w:val="ro-RO"/>
              </w:rPr>
              <w:t>”. Acesta va contribui și la realizarea țintelor strategice reflectate la obiectivele strategice ale SND „Moldova 2030” nr. 2 „</w:t>
            </w:r>
            <w:r w:rsidRPr="00A046B2">
              <w:rPr>
                <w:i/>
                <w:iCs/>
                <w:sz w:val="28"/>
                <w:szCs w:val="28"/>
                <w:lang w:val="ro-RO"/>
              </w:rPr>
              <w:t xml:space="preserve">Creșterea accesului oamenilor la infrastructura fizică, utilitățile publice” </w:t>
            </w:r>
            <w:r w:rsidRPr="00A046B2">
              <w:rPr>
                <w:sz w:val="28"/>
                <w:szCs w:val="28"/>
                <w:lang w:val="ro-RO"/>
              </w:rPr>
              <w:t>și</w:t>
            </w:r>
            <w:r w:rsidRPr="00A046B2">
              <w:rPr>
                <w:i/>
                <w:iCs/>
                <w:sz w:val="28"/>
                <w:szCs w:val="28"/>
                <w:lang w:val="ro-RO"/>
              </w:rPr>
              <w:t xml:space="preserve"> </w:t>
            </w:r>
            <w:r w:rsidRPr="00A046B2">
              <w:rPr>
                <w:iCs/>
                <w:sz w:val="28"/>
                <w:szCs w:val="28"/>
                <w:lang w:val="ro-RO"/>
              </w:rPr>
              <w:t xml:space="preserve">nr. </w:t>
            </w:r>
            <w:r w:rsidRPr="00A046B2">
              <w:rPr>
                <w:sz w:val="28"/>
                <w:szCs w:val="28"/>
                <w:lang w:val="ro-RO"/>
              </w:rPr>
              <w:t>8 „</w:t>
            </w:r>
            <w:r w:rsidRPr="00A046B2">
              <w:rPr>
                <w:i/>
                <w:iCs/>
                <w:sz w:val="28"/>
                <w:szCs w:val="28"/>
                <w:lang w:val="ro-RO"/>
              </w:rPr>
              <w:t>Asigurarea unei guvernări eficiente și incluzive și a supremației legii”.</w:t>
            </w:r>
          </w:p>
          <w:p w:rsidR="00074C00" w:rsidRPr="00A046B2" w:rsidRDefault="00A046B2">
            <w:pPr>
              <w:pStyle w:val="CommentText"/>
              <w:ind w:firstLine="418"/>
              <w:jc w:val="both"/>
              <w:rPr>
                <w:sz w:val="28"/>
                <w:szCs w:val="28"/>
              </w:rPr>
            </w:pPr>
            <w:r w:rsidRPr="00A046B2">
              <w:rPr>
                <w:sz w:val="28"/>
                <w:szCs w:val="28"/>
              </w:rPr>
              <w:t>Programul de ordine și securitate publică pentru anii 2022-2025 asigură realizarea obiectivului de dezvoltare al Programului de activitate al Guvernului „</w:t>
            </w:r>
            <w:r w:rsidRPr="00A046B2">
              <w:rPr>
                <w:i/>
                <w:sz w:val="28"/>
                <w:szCs w:val="28"/>
              </w:rPr>
              <w:t>Moldova vremurilor bune</w:t>
            </w:r>
            <w:r w:rsidRPr="00A046B2">
              <w:rPr>
                <w:sz w:val="28"/>
                <w:szCs w:val="28"/>
              </w:rPr>
              <w:t>” care vizează „</w:t>
            </w:r>
            <w:r w:rsidRPr="00A046B2">
              <w:rPr>
                <w:i/>
                <w:sz w:val="28"/>
                <w:szCs w:val="28"/>
              </w:rPr>
              <w:t>Reducerea cu 15% a infracțiunilor contra vieții și sănătății omului, a violurilor și hărțuirii sexuale și a violenței pe bază de gen, a accidentelor, înecurilor, incendiilor și intoxicațiilor</w:t>
            </w:r>
            <w:r w:rsidRPr="00A046B2">
              <w:rPr>
                <w:sz w:val="28"/>
                <w:szCs w:val="28"/>
              </w:rPr>
              <w:t>”.</w:t>
            </w:r>
          </w:p>
          <w:p w:rsidR="00074C00" w:rsidRPr="00A046B2" w:rsidRDefault="00A046B2">
            <w:pPr>
              <w:pStyle w:val="CommentText"/>
              <w:ind w:firstLine="418"/>
              <w:jc w:val="both"/>
              <w:rPr>
                <w:sz w:val="28"/>
                <w:szCs w:val="28"/>
              </w:rPr>
            </w:pPr>
            <w:r w:rsidRPr="00A046B2">
              <w:rPr>
                <w:sz w:val="28"/>
                <w:szCs w:val="28"/>
              </w:rPr>
              <w:t>În acest sens, Guvernul și-a asumat, prin Planul de acțiuni al Guvernului pentru anii 2021-2022, aprobat prin HG nr. 235/2021, elaborarea următoarelor documente de politici publice:</w:t>
            </w:r>
          </w:p>
          <w:p w:rsidR="00074C00" w:rsidRPr="00A046B2" w:rsidRDefault="00A046B2">
            <w:pPr>
              <w:pStyle w:val="CommentText"/>
              <w:numPr>
                <w:ilvl w:val="0"/>
                <w:numId w:val="2"/>
              </w:numPr>
              <w:tabs>
                <w:tab w:val="left" w:pos="274"/>
              </w:tabs>
              <w:ind w:left="0" w:firstLine="418"/>
              <w:jc w:val="both"/>
              <w:rPr>
                <w:sz w:val="28"/>
                <w:szCs w:val="28"/>
              </w:rPr>
            </w:pPr>
            <w:r w:rsidRPr="00A046B2">
              <w:rPr>
                <w:sz w:val="28"/>
                <w:szCs w:val="28"/>
              </w:rPr>
              <w:t>elaborarea documentului de politici în domeniul ordine și securitate publică pentru anii 2022-2027, conform acțiunii 24.1.5;</w:t>
            </w:r>
          </w:p>
          <w:p w:rsidR="00074C00" w:rsidRPr="00A046B2" w:rsidRDefault="00A046B2">
            <w:pPr>
              <w:pStyle w:val="CommentText"/>
              <w:numPr>
                <w:ilvl w:val="0"/>
                <w:numId w:val="2"/>
              </w:numPr>
              <w:tabs>
                <w:tab w:val="left" w:pos="274"/>
              </w:tabs>
              <w:ind w:left="0" w:firstLine="418"/>
              <w:jc w:val="both"/>
              <w:rPr>
                <w:sz w:val="28"/>
                <w:szCs w:val="28"/>
              </w:rPr>
            </w:pPr>
            <w:r w:rsidRPr="00A046B2">
              <w:rPr>
                <w:sz w:val="28"/>
                <w:szCs w:val="28"/>
              </w:rPr>
              <w:t>elaborarea Programului de dezvoltare a Inspectoratului General de Carabinieri pentru anii 2022-2024, conform acțiunii 24.1.6;</w:t>
            </w:r>
          </w:p>
          <w:p w:rsidR="00074C00" w:rsidRPr="00A046B2" w:rsidRDefault="00A046B2">
            <w:pPr>
              <w:pStyle w:val="CommentText"/>
              <w:numPr>
                <w:ilvl w:val="0"/>
                <w:numId w:val="2"/>
              </w:numPr>
              <w:tabs>
                <w:tab w:val="left" w:pos="274"/>
              </w:tabs>
              <w:ind w:left="0" w:firstLine="418"/>
              <w:jc w:val="both"/>
              <w:rPr>
                <w:sz w:val="28"/>
                <w:szCs w:val="28"/>
              </w:rPr>
            </w:pPr>
            <w:r w:rsidRPr="00A046B2">
              <w:rPr>
                <w:sz w:val="28"/>
                <w:szCs w:val="28"/>
              </w:rPr>
              <w:t xml:space="preserve">elaborarea Programului de dezvoltare a Inspectoratului General al Poliției, conform acțiunii 24.1.7. </w:t>
            </w:r>
          </w:p>
          <w:p w:rsidR="00074C00" w:rsidRPr="00A046B2" w:rsidRDefault="00A046B2">
            <w:pPr>
              <w:tabs>
                <w:tab w:val="left" w:pos="416"/>
              </w:tabs>
              <w:ind w:firstLine="330"/>
              <w:jc w:val="both"/>
              <w:rPr>
                <w:iCs/>
                <w:sz w:val="28"/>
                <w:szCs w:val="28"/>
              </w:rPr>
            </w:pPr>
            <w:r w:rsidRPr="00A046B2">
              <w:rPr>
                <w:sz w:val="28"/>
                <w:szCs w:val="28"/>
              </w:rPr>
              <w:t xml:space="preserve">Nu în ultimul rând, Programul de ordine și securitate publică pentru anii 2022-2025 sprijină implementarea prevederilor Acordului de Asociere și Agendei de Asociere RM-UE prin obiective și acțiuni care vizează prioritățile pe domeniul </w:t>
            </w:r>
            <w:r w:rsidRPr="00A046B2">
              <w:rPr>
                <w:iCs/>
                <w:sz w:val="28"/>
                <w:szCs w:val="28"/>
              </w:rPr>
              <w:t>drepturilor și libertăților fundamentale ale omului, relelor tratamente și torturii, violenței de gen, politicii de securitate, siguranței rutiere.</w:t>
            </w:r>
          </w:p>
          <w:p w:rsidR="00074C00" w:rsidRPr="00A046B2" w:rsidRDefault="00A046B2">
            <w:pPr>
              <w:ind w:firstLine="420"/>
              <w:jc w:val="both"/>
              <w:rPr>
                <w:sz w:val="28"/>
                <w:szCs w:val="28"/>
              </w:rPr>
            </w:pPr>
            <w:r w:rsidRPr="00A046B2">
              <w:rPr>
                <w:sz w:val="28"/>
                <w:szCs w:val="28"/>
              </w:rPr>
              <w:t xml:space="preserve">Programul oferă soluții la provocările majore pentru siguranța publică identificate în urma analizei problemelor care afectează populația. Subiectele analizate vizează amenințările pentru siguranța la domiciliu, în comunitate și în </w:t>
            </w:r>
            <w:r w:rsidRPr="00A046B2">
              <w:rPr>
                <w:sz w:val="28"/>
                <w:szCs w:val="28"/>
              </w:rPr>
              <w:lastRenderedPageBreak/>
              <w:t xml:space="preserve">spațiile publice, cauzele siguranței precare în traficul rutier, condițiile care favorizează încălcarea drepturilor populației de către structurile de ordine publică, precum și amenințările emergente legate de utilizarea tehnologiilor digitale. </w:t>
            </w:r>
          </w:p>
          <w:p w:rsidR="00074C00" w:rsidRPr="00A046B2" w:rsidRDefault="00A046B2">
            <w:pPr>
              <w:ind w:firstLine="420"/>
              <w:jc w:val="both"/>
              <w:rPr>
                <w:sz w:val="28"/>
                <w:szCs w:val="28"/>
              </w:rPr>
            </w:pPr>
            <w:r w:rsidRPr="00A046B2">
              <w:rPr>
                <w:sz w:val="28"/>
                <w:szCs w:val="28"/>
              </w:rPr>
              <w:t>În procesul elaborării Programului, au fost examinate diferite studii, analize și rapoarte de monitorizare, inclusiv civică, fiind luate în considerare o bună parte a constatărilor și recomandărilor:</w:t>
            </w:r>
          </w:p>
          <w:p w:rsidR="00074C00" w:rsidRPr="00A046B2" w:rsidRDefault="00A046B2">
            <w:pPr>
              <w:pStyle w:val="ListParagraph"/>
              <w:numPr>
                <w:ilvl w:val="0"/>
                <w:numId w:val="3"/>
              </w:numPr>
              <w:ind w:left="600" w:hanging="180"/>
              <w:jc w:val="both"/>
              <w:rPr>
                <w:sz w:val="28"/>
                <w:szCs w:val="28"/>
              </w:rPr>
            </w:pPr>
            <w:r w:rsidRPr="00A046B2">
              <w:rPr>
                <w:sz w:val="28"/>
                <w:szCs w:val="28"/>
              </w:rPr>
              <w:t>Rapoartele de monitorizare civică a reformei Poliției, elaborate în perioada anilor 2019-2021;</w:t>
            </w:r>
          </w:p>
          <w:p w:rsidR="00074C00" w:rsidRPr="00A046B2" w:rsidRDefault="00A046B2">
            <w:pPr>
              <w:pStyle w:val="ListParagraph"/>
              <w:numPr>
                <w:ilvl w:val="0"/>
                <w:numId w:val="3"/>
              </w:numPr>
              <w:ind w:left="600" w:hanging="180"/>
              <w:jc w:val="both"/>
              <w:rPr>
                <w:sz w:val="28"/>
                <w:szCs w:val="28"/>
              </w:rPr>
            </w:pPr>
            <w:r w:rsidRPr="00A046B2">
              <w:rPr>
                <w:sz w:val="28"/>
                <w:szCs w:val="28"/>
              </w:rPr>
              <w:t>Raportul de monitorizare și evaluare a achizițiilor publice realizate de Ministerul Afacerilor Interne și Inspectoratul General al Poliției în contextul implementării Strategiei de dezvoltare a Poliției 2016–2020;</w:t>
            </w:r>
          </w:p>
          <w:p w:rsidR="00074C00" w:rsidRPr="00A046B2" w:rsidRDefault="00A046B2">
            <w:pPr>
              <w:pStyle w:val="ListParagraph"/>
              <w:numPr>
                <w:ilvl w:val="0"/>
                <w:numId w:val="3"/>
              </w:numPr>
              <w:ind w:left="600" w:hanging="180"/>
              <w:jc w:val="both"/>
              <w:rPr>
                <w:sz w:val="28"/>
                <w:szCs w:val="28"/>
              </w:rPr>
            </w:pPr>
            <w:r w:rsidRPr="00A046B2">
              <w:rPr>
                <w:sz w:val="28"/>
                <w:szCs w:val="28"/>
              </w:rPr>
              <w:t xml:space="preserve">Studiul aprofundat „Răspunsul organelor de drept la cazurile de </w:t>
            </w:r>
            <w:proofErr w:type="spellStart"/>
            <w:r w:rsidRPr="00A046B2">
              <w:rPr>
                <w:sz w:val="28"/>
                <w:szCs w:val="28"/>
              </w:rPr>
              <w:t>violenţă</w:t>
            </w:r>
            <w:proofErr w:type="spellEnd"/>
            <w:r w:rsidRPr="00A046B2">
              <w:rPr>
                <w:sz w:val="28"/>
                <w:szCs w:val="28"/>
              </w:rPr>
              <w:t xml:space="preserve"> în familie în contextul crizei COVID-19 în Republica Moldova” din anul 2021;</w:t>
            </w:r>
          </w:p>
          <w:p w:rsidR="00074C00" w:rsidRPr="00A046B2" w:rsidRDefault="00A046B2">
            <w:pPr>
              <w:pStyle w:val="ListParagraph"/>
              <w:numPr>
                <w:ilvl w:val="0"/>
                <w:numId w:val="3"/>
              </w:numPr>
              <w:ind w:left="600" w:hanging="180"/>
              <w:jc w:val="both"/>
              <w:rPr>
                <w:sz w:val="28"/>
                <w:szCs w:val="28"/>
              </w:rPr>
            </w:pPr>
            <w:r w:rsidRPr="00A046B2">
              <w:rPr>
                <w:sz w:val="28"/>
                <w:szCs w:val="28"/>
              </w:rPr>
              <w:t xml:space="preserve">Sondajul sociologic „Victimizarea </w:t>
            </w:r>
            <w:proofErr w:type="spellStart"/>
            <w:r w:rsidRPr="00A046B2">
              <w:rPr>
                <w:sz w:val="28"/>
                <w:szCs w:val="28"/>
              </w:rPr>
              <w:t>şi</w:t>
            </w:r>
            <w:proofErr w:type="spellEnd"/>
            <w:r w:rsidRPr="00A046B2">
              <w:rPr>
                <w:sz w:val="28"/>
                <w:szCs w:val="28"/>
              </w:rPr>
              <w:t xml:space="preserve"> gestionarea fenomenului </w:t>
            </w:r>
            <w:proofErr w:type="spellStart"/>
            <w:r w:rsidRPr="00A046B2">
              <w:rPr>
                <w:sz w:val="28"/>
                <w:szCs w:val="28"/>
              </w:rPr>
              <w:t>infracţionalităţii</w:t>
            </w:r>
            <w:proofErr w:type="spellEnd"/>
            <w:r w:rsidRPr="00A046B2">
              <w:rPr>
                <w:sz w:val="28"/>
                <w:szCs w:val="28"/>
              </w:rPr>
              <w:t xml:space="preserve"> în Republica Moldova” din anul 2021;</w:t>
            </w:r>
          </w:p>
          <w:p w:rsidR="00074C00" w:rsidRPr="00A046B2" w:rsidRDefault="00A046B2">
            <w:pPr>
              <w:pStyle w:val="ListParagraph"/>
              <w:numPr>
                <w:ilvl w:val="0"/>
                <w:numId w:val="3"/>
              </w:numPr>
              <w:ind w:left="600" w:hanging="180"/>
              <w:jc w:val="both"/>
              <w:rPr>
                <w:sz w:val="28"/>
                <w:szCs w:val="28"/>
              </w:rPr>
            </w:pPr>
            <w:r w:rsidRPr="00A046B2">
              <w:rPr>
                <w:sz w:val="28"/>
                <w:szCs w:val="28"/>
              </w:rPr>
              <w:t>Evaluarea strategică a Ministerului Afacerilor Interne al Republicii Moldova din anul 2022;</w:t>
            </w:r>
          </w:p>
          <w:p w:rsidR="00074C00" w:rsidRPr="00A046B2" w:rsidRDefault="00A046B2">
            <w:pPr>
              <w:pStyle w:val="ListParagraph"/>
              <w:numPr>
                <w:ilvl w:val="0"/>
                <w:numId w:val="3"/>
              </w:numPr>
              <w:ind w:left="600" w:hanging="180"/>
              <w:jc w:val="both"/>
              <w:rPr>
                <w:sz w:val="28"/>
                <w:szCs w:val="28"/>
              </w:rPr>
            </w:pPr>
            <w:r w:rsidRPr="00A046B2">
              <w:rPr>
                <w:sz w:val="28"/>
                <w:szCs w:val="28"/>
              </w:rPr>
              <w:t>Analize &amp; Sugestii „Organizarea și procesele de Poliție și Jandarmerie în Republica Moldova” din anul 2022;</w:t>
            </w:r>
          </w:p>
          <w:p w:rsidR="00074C00" w:rsidRPr="00A046B2" w:rsidRDefault="00A046B2">
            <w:pPr>
              <w:pStyle w:val="ListParagraph"/>
              <w:numPr>
                <w:ilvl w:val="0"/>
                <w:numId w:val="3"/>
              </w:numPr>
              <w:ind w:left="600" w:hanging="180"/>
              <w:jc w:val="both"/>
              <w:rPr>
                <w:sz w:val="28"/>
                <w:szCs w:val="28"/>
              </w:rPr>
            </w:pPr>
            <w:r w:rsidRPr="00A046B2">
              <w:rPr>
                <w:sz w:val="28"/>
                <w:szCs w:val="28"/>
              </w:rPr>
              <w:t>Raport privind analiza funcțională a Inspectoratului General de Carabinieri din anul 2019;</w:t>
            </w:r>
          </w:p>
          <w:p w:rsidR="00074C00" w:rsidRPr="00A046B2" w:rsidRDefault="00A046B2">
            <w:pPr>
              <w:pStyle w:val="ListParagraph"/>
              <w:numPr>
                <w:ilvl w:val="0"/>
                <w:numId w:val="3"/>
              </w:numPr>
              <w:ind w:left="600" w:hanging="180"/>
              <w:jc w:val="both"/>
              <w:rPr>
                <w:sz w:val="28"/>
                <w:szCs w:val="28"/>
              </w:rPr>
            </w:pPr>
            <w:r w:rsidRPr="00A046B2">
              <w:rPr>
                <w:sz w:val="28"/>
                <w:szCs w:val="28"/>
              </w:rPr>
              <w:t>Raport de evaluare a capacităților Poliției în domeniul rutier, din anul 2017;</w:t>
            </w:r>
          </w:p>
          <w:p w:rsidR="00074C00" w:rsidRPr="00A046B2" w:rsidRDefault="00A046B2">
            <w:pPr>
              <w:pStyle w:val="ListParagraph"/>
              <w:numPr>
                <w:ilvl w:val="0"/>
                <w:numId w:val="3"/>
              </w:numPr>
              <w:ind w:left="600" w:hanging="180"/>
              <w:jc w:val="both"/>
              <w:rPr>
                <w:sz w:val="28"/>
                <w:szCs w:val="28"/>
              </w:rPr>
            </w:pPr>
            <w:r w:rsidRPr="00A046B2">
              <w:rPr>
                <w:sz w:val="28"/>
                <w:szCs w:val="28"/>
              </w:rPr>
              <w:t>Rapoartele de monitorizare și evaluare ale documentelor de politici care vizează dezvoltarea Poliției, Carabinierilor, precum și ordinea și securitatea publică, pentru anii 2017-2021;</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Produsul analitic „Dinamica accidentelor rutiere în Republica Moldova” din anul 2021;</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Barometrul opiniei publice;</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 xml:space="preserve">Studiul „Analiza </w:t>
            </w:r>
            <w:proofErr w:type="spellStart"/>
            <w:r w:rsidRPr="00A046B2">
              <w:rPr>
                <w:sz w:val="28"/>
                <w:szCs w:val="28"/>
              </w:rPr>
              <w:t>condiţiilor</w:t>
            </w:r>
            <w:proofErr w:type="spellEnd"/>
            <w:r w:rsidRPr="00A046B2">
              <w:rPr>
                <w:sz w:val="28"/>
                <w:szCs w:val="28"/>
              </w:rPr>
              <w:t xml:space="preserve"> de accesibilitate a sectoarelor de </w:t>
            </w:r>
            <w:proofErr w:type="spellStart"/>
            <w:r w:rsidRPr="00A046B2">
              <w:rPr>
                <w:sz w:val="28"/>
                <w:szCs w:val="28"/>
              </w:rPr>
              <w:t>poliţie</w:t>
            </w:r>
            <w:proofErr w:type="spellEnd"/>
            <w:r w:rsidRPr="00A046B2">
              <w:rPr>
                <w:sz w:val="28"/>
                <w:szCs w:val="28"/>
              </w:rPr>
              <w:t>” din anul 2020;</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Raportul de stare privind analiza performanțelor, cunoștințelor și practicilor privind siguranța rutieră în 10 țări din regiunea Dunării;</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Cadrul de politică al UE privind siguranța rutieră 2021-2030 – Recomandări privind următorii pași către „Viziunea zero”;</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Raport privind analiza funcțională a ministerului afacerilor interne al RM, din anul 2015;</w:t>
            </w:r>
          </w:p>
          <w:p w:rsidR="00074C00" w:rsidRPr="00A046B2" w:rsidRDefault="00A046B2">
            <w:pPr>
              <w:pStyle w:val="ListParagraph"/>
              <w:numPr>
                <w:ilvl w:val="0"/>
                <w:numId w:val="3"/>
              </w:numPr>
              <w:tabs>
                <w:tab w:val="left" w:pos="870"/>
              </w:tabs>
              <w:ind w:left="600" w:hanging="180"/>
              <w:jc w:val="both"/>
              <w:rPr>
                <w:sz w:val="28"/>
                <w:szCs w:val="28"/>
              </w:rPr>
            </w:pPr>
            <w:r w:rsidRPr="00A046B2">
              <w:rPr>
                <w:sz w:val="28"/>
                <w:szCs w:val="28"/>
              </w:rPr>
              <w:t>Raport special „Alegații de tortură la Inspectoratul de Poliție Soroca” din 26 mai 2022.</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lastRenderedPageBreak/>
              <w:t>Principalele prevederi ale proiectului și evidențierea elementelor noi</w:t>
            </w:r>
          </w:p>
        </w:tc>
      </w:tr>
      <w:tr w:rsidR="00074C00" w:rsidRPr="00A046B2">
        <w:trPr>
          <w:trHeight w:val="699"/>
        </w:trPr>
        <w:tc>
          <w:tcPr>
            <w:tcW w:w="9286" w:type="dxa"/>
          </w:tcPr>
          <w:p w:rsidR="00074C00" w:rsidRPr="00A046B2" w:rsidRDefault="00A046B2">
            <w:pPr>
              <w:ind w:firstLine="420"/>
              <w:jc w:val="both"/>
              <w:rPr>
                <w:sz w:val="28"/>
                <w:szCs w:val="28"/>
              </w:rPr>
            </w:pPr>
            <w:r w:rsidRPr="00A046B2">
              <w:rPr>
                <w:sz w:val="28"/>
                <w:szCs w:val="28"/>
              </w:rPr>
              <w:t xml:space="preserve">În mod specific, intervențiile programului vizează eliminarea deficiențelor din sistemul instituțiilor de ordine și securitate publică, care afectează calitatea </w:t>
            </w:r>
            <w:r w:rsidRPr="00A046B2">
              <w:rPr>
                <w:sz w:val="28"/>
                <w:szCs w:val="28"/>
              </w:rPr>
              <w:lastRenderedPageBreak/>
              <w:t xml:space="preserve">serviciilor prestate populației și favorizează perpetuarea fenomenelor periculoase. </w:t>
            </w:r>
          </w:p>
          <w:p w:rsidR="00074C00" w:rsidRPr="00A046B2" w:rsidRDefault="00A046B2">
            <w:pPr>
              <w:ind w:firstLine="420"/>
              <w:jc w:val="both"/>
              <w:rPr>
                <w:sz w:val="28"/>
                <w:szCs w:val="28"/>
              </w:rPr>
            </w:pPr>
            <w:r w:rsidRPr="00A046B2">
              <w:rPr>
                <w:sz w:val="28"/>
                <w:szCs w:val="28"/>
              </w:rPr>
              <w:t xml:space="preserve">Obiectivele programului urmăresc creșterea siguranței în toate mediile de activitate ale populației, cu respectarea abordării bazate pe drepturile omului în procesul de livrare a serviciilor de ordine și securitate publică. Programul presupune intervenții pe mai multe paliere, inclusiv continuarea inițiativelor nefinalizate din documentele de politici anterioare. </w:t>
            </w:r>
          </w:p>
          <w:p w:rsidR="00074C00" w:rsidRPr="00A046B2" w:rsidRDefault="00A046B2">
            <w:pPr>
              <w:ind w:firstLine="420"/>
              <w:jc w:val="both"/>
              <w:rPr>
                <w:sz w:val="28"/>
                <w:szCs w:val="28"/>
              </w:rPr>
            </w:pPr>
            <w:r w:rsidRPr="00A046B2">
              <w:rPr>
                <w:sz w:val="28"/>
                <w:szCs w:val="28"/>
              </w:rPr>
              <w:t xml:space="preserve">Este planificată introducerea de abordări noi în planificarea și livrarea serviciilor de ordine publică, bazate pe reorganizarea structurilor și capacitarea efectivului din prima linie pentru a face față provocărilor specifice. Soluțiile propuse urmăresc apropierea serviciilor de ordine publică de populație, inclusiv prin o mai bună acoperire a teritoriului și prin dezvoltarea abilităților de comunicare și interacțiune. </w:t>
            </w:r>
          </w:p>
          <w:p w:rsidR="00074C00" w:rsidRPr="00A046B2" w:rsidRDefault="00A046B2">
            <w:pPr>
              <w:ind w:firstLine="420"/>
              <w:jc w:val="both"/>
              <w:rPr>
                <w:sz w:val="28"/>
                <w:szCs w:val="28"/>
              </w:rPr>
            </w:pPr>
            <w:r w:rsidRPr="00A046B2">
              <w:rPr>
                <w:sz w:val="28"/>
                <w:szCs w:val="28"/>
              </w:rPr>
              <w:t>Complementar, programul pune bazele unei culturi polițienești orientate spre necesitățile populației, fundamentată pe o abordare analitică care va fi extinsă la toate nivelurile decizionale. Un alt aspect vizat este asigurarea sinergiei între subdiviziunile specializate în domeniul OSP – care va fi produsă prin uniformizarea procedurilor de intervenție, instruirilor, coordonării și fluxului de informații.</w:t>
            </w:r>
          </w:p>
          <w:p w:rsidR="00074C00" w:rsidRPr="009E5CA7" w:rsidRDefault="00A046B2">
            <w:pPr>
              <w:tabs>
                <w:tab w:val="left" w:pos="884"/>
                <w:tab w:val="left" w:pos="1196"/>
              </w:tabs>
              <w:ind w:firstLine="643"/>
              <w:jc w:val="both"/>
              <w:rPr>
                <w:rFonts w:eastAsia="Calibri"/>
                <w:sz w:val="28"/>
                <w:szCs w:val="28"/>
              </w:rPr>
            </w:pPr>
            <w:r w:rsidRPr="00A046B2">
              <w:rPr>
                <w:sz w:val="28"/>
                <w:szCs w:val="28"/>
              </w:rPr>
              <w:t xml:space="preserve">O prioritate este și asigurarea dotărilor moderne necesare pentru angajații din prima linie și a structurilor de suport – indispensabilă pentru un răspuns eficient și profesionist la provocările pentru ordinea publică.  </w:t>
            </w:r>
          </w:p>
          <w:p w:rsidR="00074C00" w:rsidRPr="009E5CA7" w:rsidRDefault="00A046B2">
            <w:pPr>
              <w:tabs>
                <w:tab w:val="left" w:pos="884"/>
                <w:tab w:val="left" w:pos="1196"/>
              </w:tabs>
              <w:ind w:firstLine="643"/>
              <w:jc w:val="both"/>
              <w:rPr>
                <w:rFonts w:eastAsia="Calibri"/>
                <w:sz w:val="28"/>
                <w:szCs w:val="28"/>
              </w:rPr>
            </w:pPr>
            <w:r w:rsidRPr="009E5CA7">
              <w:rPr>
                <w:rFonts w:eastAsia="Calibri"/>
                <w:sz w:val="28"/>
                <w:szCs w:val="28"/>
              </w:rPr>
              <w:t>Direcțiile de intervenție sunt grupate în următoarele 3 obiective generale:</w:t>
            </w:r>
          </w:p>
          <w:p w:rsidR="00074C00" w:rsidRPr="00A046B2" w:rsidRDefault="00A046B2">
            <w:pPr>
              <w:pStyle w:val="ListParagraph"/>
              <w:numPr>
                <w:ilvl w:val="0"/>
                <w:numId w:val="4"/>
              </w:numPr>
              <w:tabs>
                <w:tab w:val="left" w:pos="960"/>
              </w:tabs>
              <w:ind w:left="58" w:firstLine="634"/>
              <w:jc w:val="both"/>
              <w:rPr>
                <w:bCs/>
                <w:sz w:val="28"/>
                <w:szCs w:val="28"/>
              </w:rPr>
            </w:pPr>
            <w:r w:rsidRPr="009E5CA7">
              <w:rPr>
                <w:rFonts w:eastAsia="Calibri"/>
                <w:bCs/>
                <w:sz w:val="28"/>
                <w:szCs w:val="28"/>
              </w:rPr>
              <w:t>Sporirea siguranței populației la domiciliu, în comunitate și în spațiile publice ;</w:t>
            </w:r>
          </w:p>
          <w:p w:rsidR="00074C00" w:rsidRPr="00A046B2" w:rsidRDefault="00A046B2">
            <w:pPr>
              <w:tabs>
                <w:tab w:val="left" w:pos="884"/>
                <w:tab w:val="left" w:pos="960"/>
                <w:tab w:val="left" w:pos="1196"/>
              </w:tabs>
              <w:ind w:left="58" w:firstLine="634"/>
              <w:jc w:val="both"/>
              <w:rPr>
                <w:rFonts w:eastAsia="Calibri"/>
                <w:bCs/>
                <w:sz w:val="28"/>
                <w:szCs w:val="28"/>
              </w:rPr>
            </w:pPr>
            <w:r w:rsidRPr="00A046B2">
              <w:rPr>
                <w:rFonts w:eastAsia="Calibri"/>
                <w:bCs/>
                <w:sz w:val="28"/>
                <w:szCs w:val="28"/>
              </w:rPr>
              <w:t>2.</w:t>
            </w:r>
            <w:r w:rsidRPr="00A046B2">
              <w:rPr>
                <w:rFonts w:eastAsia="Calibri"/>
                <w:bCs/>
                <w:sz w:val="28"/>
                <w:szCs w:val="28"/>
              </w:rPr>
              <w:tab/>
              <w:t>Alinierea serviciilor de ordine și securitate publică la abordarea bazată pe drepturile omului;</w:t>
            </w:r>
          </w:p>
          <w:p w:rsidR="00074C00" w:rsidRPr="00A046B2" w:rsidRDefault="00A046B2">
            <w:pPr>
              <w:pStyle w:val="ListParagraph"/>
              <w:ind w:left="58" w:firstLine="634"/>
              <w:jc w:val="both"/>
              <w:rPr>
                <w:rFonts w:eastAsia="Calibri"/>
                <w:bCs/>
                <w:sz w:val="28"/>
                <w:szCs w:val="28"/>
              </w:rPr>
            </w:pPr>
            <w:r w:rsidRPr="00A046B2">
              <w:rPr>
                <w:rFonts w:eastAsia="Calibri"/>
                <w:bCs/>
                <w:sz w:val="28"/>
                <w:szCs w:val="28"/>
              </w:rPr>
              <w:t>3.Creșterea siguranței în trafic pe drumurile publice.</w:t>
            </w:r>
          </w:p>
          <w:p w:rsidR="00074C00" w:rsidRPr="009E5CA7" w:rsidRDefault="00A046B2">
            <w:pPr>
              <w:tabs>
                <w:tab w:val="left" w:pos="884"/>
                <w:tab w:val="left" w:pos="1196"/>
              </w:tabs>
              <w:ind w:firstLine="643"/>
              <w:jc w:val="both"/>
              <w:rPr>
                <w:sz w:val="28"/>
                <w:szCs w:val="28"/>
              </w:rPr>
            </w:pPr>
            <w:r w:rsidRPr="009E5CA7">
              <w:rPr>
                <w:sz w:val="28"/>
                <w:szCs w:val="28"/>
              </w:rPr>
              <w:t>La rândul său, obiectivele generale urmează a fi atinse prin realizarea următoarelor obiective specifice:</w:t>
            </w:r>
          </w:p>
          <w:p w:rsidR="00074C00" w:rsidRPr="009E5CA7" w:rsidRDefault="00A046B2">
            <w:pPr>
              <w:tabs>
                <w:tab w:val="left" w:pos="884"/>
                <w:tab w:val="left" w:pos="1196"/>
              </w:tabs>
              <w:ind w:firstLine="643"/>
              <w:jc w:val="both"/>
              <w:rPr>
                <w:sz w:val="28"/>
                <w:szCs w:val="28"/>
              </w:rPr>
            </w:pPr>
            <w:r w:rsidRPr="009E5CA7">
              <w:rPr>
                <w:sz w:val="28"/>
                <w:szCs w:val="28"/>
              </w:rPr>
              <w:t xml:space="preserve">1.Asigurarea unui răspuns profesionist, eficient și rapid la provocările specifice către </w:t>
            </w:r>
            <w:r w:rsidRPr="00A046B2">
              <w:rPr>
                <w:sz w:val="28"/>
                <w:szCs w:val="28"/>
              </w:rPr>
              <w:t xml:space="preserve">anul </w:t>
            </w:r>
            <w:r w:rsidRPr="009E5CA7">
              <w:rPr>
                <w:sz w:val="28"/>
                <w:szCs w:val="28"/>
              </w:rPr>
              <w:t>2024;</w:t>
            </w:r>
          </w:p>
          <w:p w:rsidR="00074C00" w:rsidRPr="009E5CA7" w:rsidRDefault="00A046B2">
            <w:pPr>
              <w:tabs>
                <w:tab w:val="left" w:pos="884"/>
                <w:tab w:val="left" w:pos="1196"/>
              </w:tabs>
              <w:ind w:firstLine="643"/>
              <w:jc w:val="both"/>
              <w:rPr>
                <w:sz w:val="28"/>
                <w:szCs w:val="28"/>
              </w:rPr>
            </w:pPr>
            <w:r w:rsidRPr="009E5CA7">
              <w:rPr>
                <w:sz w:val="28"/>
                <w:szCs w:val="28"/>
              </w:rPr>
              <w:t>2.</w:t>
            </w:r>
            <w:r w:rsidRPr="00A046B2">
              <w:t xml:space="preserve"> </w:t>
            </w:r>
            <w:r w:rsidRPr="009E5CA7">
              <w:rPr>
                <w:sz w:val="28"/>
                <w:szCs w:val="28"/>
              </w:rPr>
              <w:t xml:space="preserve">Integrarea și dezvoltarea surselor de date pentru a crea informații cu valoarea adăugată în luarea deciziilor către </w:t>
            </w:r>
            <w:r w:rsidRPr="00A046B2">
              <w:rPr>
                <w:sz w:val="28"/>
                <w:szCs w:val="28"/>
              </w:rPr>
              <w:t xml:space="preserve">anul </w:t>
            </w:r>
            <w:r w:rsidRPr="009E5CA7">
              <w:rPr>
                <w:sz w:val="28"/>
                <w:szCs w:val="28"/>
              </w:rPr>
              <w:t>2025;</w:t>
            </w:r>
          </w:p>
          <w:p w:rsidR="00074C00" w:rsidRPr="009E5CA7" w:rsidRDefault="00A046B2">
            <w:pPr>
              <w:tabs>
                <w:tab w:val="left" w:pos="884"/>
                <w:tab w:val="left" w:pos="1196"/>
              </w:tabs>
              <w:ind w:firstLine="643"/>
              <w:jc w:val="both"/>
              <w:rPr>
                <w:sz w:val="28"/>
                <w:szCs w:val="28"/>
              </w:rPr>
            </w:pPr>
            <w:r w:rsidRPr="009E5CA7">
              <w:rPr>
                <w:sz w:val="28"/>
                <w:szCs w:val="28"/>
              </w:rPr>
              <w:t xml:space="preserve">3.Extinderea conceptului de activitate polițienească comunitară în 80% a  sectoarelor de poliție către </w:t>
            </w:r>
            <w:r w:rsidRPr="00A046B2">
              <w:rPr>
                <w:sz w:val="28"/>
                <w:szCs w:val="28"/>
              </w:rPr>
              <w:t xml:space="preserve">anul </w:t>
            </w:r>
            <w:r w:rsidRPr="009E5CA7">
              <w:rPr>
                <w:sz w:val="28"/>
                <w:szCs w:val="28"/>
              </w:rPr>
              <w:t>2025;</w:t>
            </w:r>
          </w:p>
          <w:p w:rsidR="00074C00" w:rsidRPr="009E5CA7" w:rsidRDefault="00A046B2">
            <w:pPr>
              <w:tabs>
                <w:tab w:val="left" w:pos="884"/>
                <w:tab w:val="left" w:pos="1196"/>
              </w:tabs>
              <w:ind w:firstLine="643"/>
              <w:jc w:val="both"/>
              <w:rPr>
                <w:sz w:val="28"/>
                <w:szCs w:val="28"/>
              </w:rPr>
            </w:pPr>
            <w:r w:rsidRPr="009E5CA7">
              <w:rPr>
                <w:sz w:val="28"/>
                <w:szCs w:val="28"/>
              </w:rPr>
              <w:t xml:space="preserve">4.Îmbunătățirea capacității de reacționare rapidă a serviciilor de ordine și securitate publică către </w:t>
            </w:r>
            <w:r w:rsidRPr="00A046B2">
              <w:rPr>
                <w:sz w:val="28"/>
                <w:szCs w:val="28"/>
              </w:rPr>
              <w:t xml:space="preserve">anul </w:t>
            </w:r>
            <w:r w:rsidRPr="009E5CA7">
              <w:rPr>
                <w:sz w:val="28"/>
                <w:szCs w:val="28"/>
              </w:rPr>
              <w:t>2024;</w:t>
            </w:r>
          </w:p>
          <w:p w:rsidR="00074C00" w:rsidRPr="009E5CA7" w:rsidRDefault="00A046B2">
            <w:pPr>
              <w:tabs>
                <w:tab w:val="left" w:pos="884"/>
                <w:tab w:val="left" w:pos="1196"/>
              </w:tabs>
              <w:ind w:firstLine="643"/>
              <w:jc w:val="both"/>
              <w:rPr>
                <w:sz w:val="28"/>
                <w:szCs w:val="28"/>
              </w:rPr>
            </w:pPr>
            <w:r w:rsidRPr="009E5CA7">
              <w:rPr>
                <w:sz w:val="28"/>
                <w:szCs w:val="28"/>
              </w:rPr>
              <w:t xml:space="preserve">5.Modernizarea infrastructurii și dotărilor serviciilor de ordine și securitate publică în zona de securitate până în </w:t>
            </w:r>
            <w:r w:rsidRPr="00A046B2">
              <w:rPr>
                <w:sz w:val="28"/>
                <w:szCs w:val="28"/>
              </w:rPr>
              <w:t xml:space="preserve">anul </w:t>
            </w:r>
            <w:r w:rsidRPr="009E5CA7">
              <w:rPr>
                <w:sz w:val="28"/>
                <w:szCs w:val="28"/>
              </w:rPr>
              <w:t>2025;</w:t>
            </w:r>
          </w:p>
          <w:p w:rsidR="00074C00" w:rsidRPr="009E5CA7" w:rsidRDefault="00A046B2">
            <w:pPr>
              <w:tabs>
                <w:tab w:val="left" w:pos="884"/>
                <w:tab w:val="left" w:pos="1196"/>
              </w:tabs>
              <w:ind w:firstLine="643"/>
              <w:jc w:val="both"/>
              <w:rPr>
                <w:sz w:val="28"/>
                <w:szCs w:val="28"/>
              </w:rPr>
            </w:pPr>
            <w:r w:rsidRPr="009E5CA7">
              <w:rPr>
                <w:sz w:val="28"/>
                <w:szCs w:val="28"/>
              </w:rPr>
              <w:t xml:space="preserve">6.Alinierea 100% a condițiilor de prestare a serviciilor de ordine și securitate publică la standardele drepturilor omului până în </w:t>
            </w:r>
            <w:r w:rsidRPr="00A046B2">
              <w:rPr>
                <w:sz w:val="28"/>
                <w:szCs w:val="28"/>
              </w:rPr>
              <w:t xml:space="preserve">anul </w:t>
            </w:r>
            <w:r w:rsidRPr="009E5CA7">
              <w:rPr>
                <w:sz w:val="28"/>
                <w:szCs w:val="28"/>
              </w:rPr>
              <w:t>2025;</w:t>
            </w:r>
          </w:p>
          <w:p w:rsidR="00074C00" w:rsidRPr="009E5CA7" w:rsidRDefault="00A046B2">
            <w:pPr>
              <w:tabs>
                <w:tab w:val="left" w:pos="884"/>
                <w:tab w:val="left" w:pos="1196"/>
              </w:tabs>
              <w:ind w:firstLine="643"/>
              <w:jc w:val="both"/>
              <w:rPr>
                <w:sz w:val="28"/>
                <w:szCs w:val="28"/>
              </w:rPr>
            </w:pPr>
            <w:r w:rsidRPr="009E5CA7">
              <w:rPr>
                <w:sz w:val="28"/>
                <w:szCs w:val="28"/>
              </w:rPr>
              <w:t>7.Dezvoltarea capabilităților integrate a forțelor de ordine de intervenție la evenimente publice cu respectarea drepturilor omului;</w:t>
            </w:r>
          </w:p>
          <w:p w:rsidR="00074C00" w:rsidRPr="009E5CA7" w:rsidRDefault="00A046B2">
            <w:pPr>
              <w:tabs>
                <w:tab w:val="left" w:pos="884"/>
                <w:tab w:val="left" w:pos="1196"/>
              </w:tabs>
              <w:ind w:firstLine="643"/>
              <w:jc w:val="both"/>
              <w:rPr>
                <w:sz w:val="28"/>
                <w:szCs w:val="28"/>
              </w:rPr>
            </w:pPr>
            <w:r w:rsidRPr="009E5CA7">
              <w:rPr>
                <w:sz w:val="28"/>
                <w:szCs w:val="28"/>
              </w:rPr>
              <w:lastRenderedPageBreak/>
              <w:t xml:space="preserve">8.Consolidarea capacităților de constatare a încălcărilor regulamentului </w:t>
            </w:r>
            <w:proofErr w:type="spellStart"/>
            <w:r w:rsidRPr="009E5CA7">
              <w:rPr>
                <w:sz w:val="28"/>
                <w:szCs w:val="28"/>
              </w:rPr>
              <w:t>cirulației</w:t>
            </w:r>
            <w:proofErr w:type="spellEnd"/>
            <w:r w:rsidRPr="009E5CA7">
              <w:rPr>
                <w:sz w:val="28"/>
                <w:szCs w:val="28"/>
              </w:rPr>
              <w:t xml:space="preserve"> rutiere către </w:t>
            </w:r>
            <w:r w:rsidRPr="00A046B2">
              <w:rPr>
                <w:sz w:val="28"/>
                <w:szCs w:val="28"/>
              </w:rPr>
              <w:t xml:space="preserve">anul </w:t>
            </w:r>
            <w:r w:rsidRPr="009E5CA7">
              <w:rPr>
                <w:sz w:val="28"/>
                <w:szCs w:val="28"/>
              </w:rPr>
              <w:t>2024;</w:t>
            </w:r>
          </w:p>
          <w:p w:rsidR="00074C00" w:rsidRPr="009E5CA7" w:rsidRDefault="00A046B2">
            <w:pPr>
              <w:tabs>
                <w:tab w:val="left" w:pos="884"/>
                <w:tab w:val="left" w:pos="1196"/>
              </w:tabs>
              <w:ind w:firstLine="643"/>
              <w:jc w:val="both"/>
              <w:rPr>
                <w:sz w:val="28"/>
                <w:szCs w:val="28"/>
              </w:rPr>
            </w:pPr>
            <w:r w:rsidRPr="009E5CA7">
              <w:rPr>
                <w:sz w:val="28"/>
                <w:szCs w:val="28"/>
              </w:rPr>
              <w:t xml:space="preserve">9.Intensificarea prevenirii accidentelor rutiere către </w:t>
            </w:r>
            <w:r w:rsidRPr="00A046B2">
              <w:rPr>
                <w:sz w:val="28"/>
                <w:szCs w:val="28"/>
              </w:rPr>
              <w:t xml:space="preserve">anul </w:t>
            </w:r>
            <w:r w:rsidRPr="009E5CA7">
              <w:rPr>
                <w:sz w:val="28"/>
                <w:szCs w:val="28"/>
              </w:rPr>
              <w:t>2024.</w:t>
            </w:r>
          </w:p>
          <w:p w:rsidR="00074C00" w:rsidRPr="00A046B2" w:rsidRDefault="00A046B2">
            <w:pPr>
              <w:ind w:firstLine="510"/>
              <w:jc w:val="both"/>
              <w:rPr>
                <w:sz w:val="28"/>
                <w:szCs w:val="28"/>
              </w:rPr>
            </w:pPr>
            <w:r w:rsidRPr="00A046B2">
              <w:rPr>
                <w:sz w:val="28"/>
                <w:szCs w:val="28"/>
              </w:rPr>
              <w:t>Conform sondajului BOP din iunie 2021, doar 30,2% din populație se simțea în siguranță în mare și foarte mare măsură. Cealaltă parte a populației se simțea în mică măsură în siguranță (47,3%) sau deloc în siguranță (19,7%). Conform aceluiași BOP, 68,7% din respondenți consideră că cetățeanului în Republica Moldova nu îi este asigurată securitatea personală.</w:t>
            </w:r>
          </w:p>
          <w:p w:rsidR="00074C00" w:rsidRPr="00A046B2" w:rsidRDefault="00A046B2">
            <w:pPr>
              <w:tabs>
                <w:tab w:val="left" w:pos="884"/>
                <w:tab w:val="left" w:pos="1196"/>
              </w:tabs>
              <w:ind w:firstLine="510"/>
              <w:jc w:val="both"/>
              <w:rPr>
                <w:iCs/>
                <w:sz w:val="28"/>
                <w:szCs w:val="28"/>
              </w:rPr>
            </w:pPr>
            <w:r w:rsidRPr="00A046B2">
              <w:rPr>
                <w:sz w:val="28"/>
                <w:szCs w:val="28"/>
              </w:rPr>
              <w:t xml:space="preserve">Conform studiului privind </w:t>
            </w:r>
            <w:r w:rsidRPr="00A046B2">
              <w:rPr>
                <w:i/>
                <w:sz w:val="28"/>
                <w:szCs w:val="28"/>
              </w:rPr>
              <w:t xml:space="preserve">Victimizarea </w:t>
            </w:r>
            <w:proofErr w:type="spellStart"/>
            <w:r w:rsidRPr="00A046B2">
              <w:rPr>
                <w:i/>
                <w:sz w:val="28"/>
                <w:szCs w:val="28"/>
              </w:rPr>
              <w:t>şi</w:t>
            </w:r>
            <w:proofErr w:type="spellEnd"/>
            <w:r w:rsidRPr="00A046B2">
              <w:rPr>
                <w:i/>
                <w:sz w:val="28"/>
                <w:szCs w:val="28"/>
              </w:rPr>
              <w:t xml:space="preserve"> gestionarea fenomenului </w:t>
            </w:r>
            <w:proofErr w:type="spellStart"/>
            <w:r w:rsidRPr="00A046B2">
              <w:rPr>
                <w:i/>
                <w:sz w:val="28"/>
                <w:szCs w:val="28"/>
              </w:rPr>
              <w:t>infracţionalităţii</w:t>
            </w:r>
            <w:proofErr w:type="spellEnd"/>
            <w:r w:rsidRPr="00A046B2">
              <w:rPr>
                <w:i/>
                <w:sz w:val="28"/>
                <w:szCs w:val="28"/>
              </w:rPr>
              <w:t xml:space="preserve"> în Republica Moldova, </w:t>
            </w:r>
            <w:r w:rsidRPr="00A046B2">
              <w:rPr>
                <w:iCs/>
                <w:sz w:val="28"/>
                <w:szCs w:val="28"/>
              </w:rPr>
              <w:t xml:space="preserve">percepția siguranței scade pe timp de noapte în toate spațiile vizate. Până la 38% dintre </w:t>
            </w:r>
            <w:proofErr w:type="spellStart"/>
            <w:r w:rsidRPr="00A046B2">
              <w:rPr>
                <w:iCs/>
                <w:sz w:val="28"/>
                <w:szCs w:val="28"/>
              </w:rPr>
              <w:t>respondenţi</w:t>
            </w:r>
            <w:proofErr w:type="spellEnd"/>
            <w:r w:rsidRPr="00A046B2">
              <w:rPr>
                <w:iCs/>
                <w:sz w:val="28"/>
                <w:szCs w:val="28"/>
              </w:rPr>
              <w:t xml:space="preserve"> afirmă că nu se simt în </w:t>
            </w:r>
            <w:proofErr w:type="spellStart"/>
            <w:r w:rsidRPr="00A046B2">
              <w:rPr>
                <w:iCs/>
                <w:sz w:val="28"/>
                <w:szCs w:val="28"/>
              </w:rPr>
              <w:t>siguranţă</w:t>
            </w:r>
            <w:proofErr w:type="spellEnd"/>
            <w:r w:rsidRPr="00A046B2">
              <w:rPr>
                <w:iCs/>
                <w:sz w:val="28"/>
                <w:szCs w:val="28"/>
              </w:rPr>
              <w:t xml:space="preserve"> în stradă pe timp de noapte. Cifrele arată o îmbunătățire comparativ cu </w:t>
            </w:r>
            <w:proofErr w:type="spellStart"/>
            <w:r w:rsidRPr="00A046B2">
              <w:rPr>
                <w:iCs/>
                <w:sz w:val="28"/>
                <w:szCs w:val="28"/>
              </w:rPr>
              <w:t>situaţia</w:t>
            </w:r>
            <w:proofErr w:type="spellEnd"/>
            <w:r w:rsidRPr="00A046B2">
              <w:rPr>
                <w:iCs/>
                <w:sz w:val="28"/>
                <w:szCs w:val="28"/>
              </w:rPr>
              <w:t xml:space="preserve"> din 2010, atunci când acest indicator era de 50%. Diferențele de percepție au apărut în special în plan regional, unde municipiul Chișinău este perceput ca cel mai nesigur pe timp de noapte - 52% din respondenți  au raportat că nu se simt în </w:t>
            </w:r>
            <w:proofErr w:type="spellStart"/>
            <w:r w:rsidRPr="00A046B2">
              <w:rPr>
                <w:iCs/>
                <w:sz w:val="28"/>
                <w:szCs w:val="28"/>
              </w:rPr>
              <w:t>siguranţă</w:t>
            </w:r>
            <w:proofErr w:type="spellEnd"/>
            <w:r w:rsidRPr="00A046B2">
              <w:rPr>
                <w:iCs/>
                <w:sz w:val="28"/>
                <w:szCs w:val="28"/>
              </w:rPr>
              <w:t xml:space="preserve"> pe stradă în timpul </w:t>
            </w:r>
            <w:proofErr w:type="spellStart"/>
            <w:r w:rsidRPr="00A046B2">
              <w:rPr>
                <w:iCs/>
                <w:sz w:val="28"/>
                <w:szCs w:val="28"/>
              </w:rPr>
              <w:t>nopţii</w:t>
            </w:r>
            <w:proofErr w:type="spellEnd"/>
            <w:r w:rsidRPr="00A046B2">
              <w:rPr>
                <w:iCs/>
                <w:sz w:val="28"/>
                <w:szCs w:val="28"/>
              </w:rPr>
              <w:t xml:space="preserve">, semnificativ mai mulți decât media </w:t>
            </w:r>
            <w:proofErr w:type="spellStart"/>
            <w:r w:rsidRPr="00A046B2">
              <w:rPr>
                <w:iCs/>
                <w:sz w:val="28"/>
                <w:szCs w:val="28"/>
              </w:rPr>
              <w:t>naţională</w:t>
            </w:r>
            <w:proofErr w:type="spellEnd"/>
            <w:r w:rsidRPr="00A046B2">
              <w:rPr>
                <w:iCs/>
                <w:sz w:val="28"/>
                <w:szCs w:val="28"/>
              </w:rPr>
              <w:t xml:space="preserve">. Autorii studiului sugerează că măsurile care pot </w:t>
            </w:r>
            <w:proofErr w:type="spellStart"/>
            <w:r w:rsidRPr="00A046B2">
              <w:rPr>
                <w:iCs/>
                <w:sz w:val="28"/>
                <w:szCs w:val="28"/>
              </w:rPr>
              <w:t>îmbunătăţi</w:t>
            </w:r>
            <w:proofErr w:type="spellEnd"/>
            <w:r w:rsidRPr="00A046B2">
              <w:rPr>
                <w:iCs/>
                <w:sz w:val="28"/>
                <w:szCs w:val="28"/>
              </w:rPr>
              <w:t xml:space="preserve"> sentimentul de </w:t>
            </w:r>
            <w:proofErr w:type="spellStart"/>
            <w:r w:rsidRPr="00A046B2">
              <w:rPr>
                <w:iCs/>
                <w:sz w:val="28"/>
                <w:szCs w:val="28"/>
              </w:rPr>
              <w:t>siguranţă</w:t>
            </w:r>
            <w:proofErr w:type="spellEnd"/>
            <w:r w:rsidRPr="00A046B2">
              <w:rPr>
                <w:iCs/>
                <w:sz w:val="28"/>
                <w:szCs w:val="28"/>
              </w:rPr>
              <w:t xml:space="preserve"> în </w:t>
            </w:r>
            <w:proofErr w:type="spellStart"/>
            <w:r w:rsidRPr="00A046B2">
              <w:rPr>
                <w:iCs/>
                <w:sz w:val="28"/>
                <w:szCs w:val="28"/>
              </w:rPr>
              <w:t>spaţiile</w:t>
            </w:r>
            <w:proofErr w:type="spellEnd"/>
            <w:r w:rsidRPr="00A046B2">
              <w:rPr>
                <w:iCs/>
                <w:sz w:val="28"/>
                <w:szCs w:val="28"/>
              </w:rPr>
              <w:t xml:space="preserve"> publice ar avea cel mai mare impact asupra fricii (de exemplu, o mai bună patrulare a </w:t>
            </w:r>
            <w:proofErr w:type="spellStart"/>
            <w:r w:rsidRPr="00A046B2">
              <w:rPr>
                <w:iCs/>
                <w:sz w:val="28"/>
                <w:szCs w:val="28"/>
              </w:rPr>
              <w:t>pieţelor</w:t>
            </w:r>
            <w:proofErr w:type="spellEnd"/>
            <w:r w:rsidRPr="00A046B2">
              <w:rPr>
                <w:iCs/>
                <w:sz w:val="28"/>
                <w:szCs w:val="28"/>
              </w:rPr>
              <w:t xml:space="preserve"> în timpul zilei, precum </w:t>
            </w:r>
            <w:proofErr w:type="spellStart"/>
            <w:r w:rsidRPr="00A046B2">
              <w:rPr>
                <w:iCs/>
                <w:sz w:val="28"/>
                <w:szCs w:val="28"/>
              </w:rPr>
              <w:t>şi</w:t>
            </w:r>
            <w:proofErr w:type="spellEnd"/>
            <w:r w:rsidRPr="00A046B2">
              <w:rPr>
                <w:iCs/>
                <w:sz w:val="28"/>
                <w:szCs w:val="28"/>
              </w:rPr>
              <w:t xml:space="preserve"> iluminatul străzilor </w:t>
            </w:r>
            <w:proofErr w:type="spellStart"/>
            <w:r w:rsidRPr="00A046B2">
              <w:rPr>
                <w:iCs/>
                <w:sz w:val="28"/>
                <w:szCs w:val="28"/>
              </w:rPr>
              <w:t>şi</w:t>
            </w:r>
            <w:proofErr w:type="spellEnd"/>
            <w:r w:rsidRPr="00A046B2">
              <w:rPr>
                <w:iCs/>
                <w:sz w:val="28"/>
                <w:szCs w:val="28"/>
              </w:rPr>
              <w:t xml:space="preserve"> parcurilor pe timp de noapte). </w:t>
            </w:r>
            <w:r w:rsidRPr="00A046B2">
              <w:rPr>
                <w:sz w:val="28"/>
                <w:szCs w:val="28"/>
              </w:rPr>
              <w:t xml:space="preserve">Conform </w:t>
            </w:r>
            <w:r w:rsidRPr="00A046B2">
              <w:rPr>
                <w:rFonts w:eastAsia="Calibri"/>
                <w:sz w:val="28"/>
                <w:szCs w:val="28"/>
              </w:rPr>
              <w:t xml:space="preserve">studiului vizat, </w:t>
            </w:r>
            <w:r w:rsidRPr="00A046B2">
              <w:rPr>
                <w:sz w:val="28"/>
                <w:szCs w:val="28"/>
              </w:rPr>
              <w:t xml:space="preserve">46,9% din populație consideră </w:t>
            </w:r>
            <w:r w:rsidRPr="00A046B2">
              <w:rPr>
                <w:rFonts w:eastAsia="Calibri"/>
                <w:sz w:val="28"/>
                <w:szCs w:val="28"/>
              </w:rPr>
              <w:t>că</w:t>
            </w:r>
            <w:r w:rsidRPr="00A046B2">
              <w:rPr>
                <w:sz w:val="28"/>
                <w:szCs w:val="28"/>
              </w:rPr>
              <w:t xml:space="preserve"> polițiștii își exercită funcțiile bine și foarte bine, iar 21,4% - rău și foarte rău, pe când 34,2% consideră că nici bine, nici rău.</w:t>
            </w:r>
          </w:p>
          <w:p w:rsidR="00074C00" w:rsidRPr="00A046B2" w:rsidRDefault="00A046B2">
            <w:pPr>
              <w:ind w:firstLine="600"/>
              <w:jc w:val="both"/>
              <w:rPr>
                <w:sz w:val="28"/>
                <w:szCs w:val="28"/>
              </w:rPr>
            </w:pPr>
            <w:r w:rsidRPr="00A046B2">
              <w:rPr>
                <w:sz w:val="28"/>
                <w:szCs w:val="28"/>
              </w:rPr>
              <w:t xml:space="preserve">În perioada anilor 2000-2018, </w:t>
            </w:r>
            <w:r w:rsidRPr="00A046B2">
              <w:rPr>
                <w:rFonts w:eastAsia="Times New Roman"/>
                <w:sz w:val="28"/>
                <w:szCs w:val="28"/>
              </w:rPr>
              <w:t>Republica</w:t>
            </w:r>
            <w:r w:rsidRPr="00A046B2">
              <w:rPr>
                <w:sz w:val="28"/>
                <w:szCs w:val="28"/>
              </w:rPr>
              <w:t xml:space="preserve"> Moldova avea cei mai alarmanți indicatori din Europa cu o medie de 103,2 decese și 855 de persoane traumatizate la 100 mii de autoturisme. Viteza excesivă a fost principala cauză pentru accidentele rutiere și decesele rezultate din acestea. Ponderea acestei cauze a crescut constant din 2017 până în 2021, de la aproape 26% la 35,5% în totalul accidentelor și de la 47% la aproape 53% din totalul deceselor.</w:t>
            </w:r>
          </w:p>
          <w:p w:rsidR="00074C00" w:rsidRPr="00A046B2" w:rsidRDefault="00A046B2">
            <w:pPr>
              <w:ind w:firstLine="600"/>
              <w:jc w:val="both"/>
              <w:rPr>
                <w:sz w:val="28"/>
                <w:szCs w:val="28"/>
              </w:rPr>
            </w:pPr>
            <w:r w:rsidRPr="00A046B2">
              <w:rPr>
                <w:sz w:val="28"/>
                <w:szCs w:val="28"/>
              </w:rPr>
              <w:t xml:space="preserve">Totodată, periodic se înregistrează cazuri de încălcare a libertății de întrunire și/sau exprimare și din partea instituțiilor publice. Ultimul caz de încălcare a Articolului 10 al Convenției pentru apărarea drepturilor omului și a libertăților fundamentale, a fost constatat de CEDO la 30.11.2021, care a acordat reclamantului 5850 de euro pentru prejudiciul moral și 1800 de euro pentru costuri și cheltuieli. </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lastRenderedPageBreak/>
              <w:t xml:space="preserve">Fundamentarea </w:t>
            </w:r>
            <w:proofErr w:type="spellStart"/>
            <w:r w:rsidRPr="00A046B2">
              <w:rPr>
                <w:rFonts w:ascii="Times New Roman" w:hAnsi="Times New Roman"/>
                <w:b/>
                <w:sz w:val="28"/>
                <w:szCs w:val="28"/>
                <w:lang w:val="ro-RO"/>
              </w:rPr>
              <w:t>economico</w:t>
            </w:r>
            <w:proofErr w:type="spellEnd"/>
            <w:r w:rsidRPr="00A046B2">
              <w:rPr>
                <w:rFonts w:ascii="Times New Roman" w:hAnsi="Times New Roman"/>
                <w:b/>
                <w:sz w:val="28"/>
                <w:szCs w:val="28"/>
                <w:lang w:val="ro-RO"/>
              </w:rPr>
              <w:t>-financiară</w:t>
            </w:r>
          </w:p>
        </w:tc>
      </w:tr>
      <w:tr w:rsidR="00074C00" w:rsidRPr="00A046B2">
        <w:tc>
          <w:tcPr>
            <w:tcW w:w="9286" w:type="dxa"/>
          </w:tcPr>
          <w:p w:rsidR="00074C00" w:rsidRPr="00A046B2" w:rsidRDefault="00A046B2">
            <w:pPr>
              <w:pStyle w:val="cn"/>
              <w:tabs>
                <w:tab w:val="left" w:pos="270"/>
                <w:tab w:val="left" w:pos="420"/>
                <w:tab w:val="left" w:pos="709"/>
              </w:tabs>
              <w:ind w:firstLine="510"/>
              <w:jc w:val="both"/>
              <w:rPr>
                <w:sz w:val="28"/>
                <w:szCs w:val="28"/>
              </w:rPr>
            </w:pPr>
            <w:r w:rsidRPr="00A046B2">
              <w:rPr>
                <w:sz w:val="28"/>
                <w:szCs w:val="28"/>
              </w:rPr>
              <w:t xml:space="preserve">Sursele financiare necesare pentru implementarea Programului de ordine și securitate publică pentru anii 2022 – 2025 vor fi acoperite din: a) bugetul de stat; b) mijloacele financiare ale </w:t>
            </w:r>
            <w:proofErr w:type="spellStart"/>
            <w:r w:rsidRPr="00A046B2">
              <w:rPr>
                <w:sz w:val="28"/>
                <w:szCs w:val="28"/>
              </w:rPr>
              <w:t>organizaţiilor</w:t>
            </w:r>
            <w:proofErr w:type="spellEnd"/>
            <w:r w:rsidRPr="00A046B2">
              <w:rPr>
                <w:sz w:val="28"/>
                <w:szCs w:val="28"/>
              </w:rPr>
              <w:t xml:space="preserve"> </w:t>
            </w:r>
            <w:proofErr w:type="spellStart"/>
            <w:r w:rsidRPr="00A046B2">
              <w:rPr>
                <w:sz w:val="28"/>
                <w:szCs w:val="28"/>
              </w:rPr>
              <w:t>internaţionale</w:t>
            </w:r>
            <w:proofErr w:type="spellEnd"/>
            <w:r w:rsidRPr="00A046B2">
              <w:rPr>
                <w:sz w:val="28"/>
                <w:szCs w:val="28"/>
              </w:rPr>
              <w:t>; c) suportul oferit de partenerii de dezvoltare.</w:t>
            </w:r>
          </w:p>
          <w:p w:rsidR="00074C00" w:rsidRPr="00A046B2" w:rsidRDefault="00A046B2">
            <w:pPr>
              <w:spacing w:after="120"/>
              <w:ind w:firstLine="630"/>
              <w:jc w:val="both"/>
              <w:rPr>
                <w:sz w:val="28"/>
                <w:szCs w:val="28"/>
              </w:rPr>
            </w:pPr>
            <w:r w:rsidRPr="00A046B2">
              <w:rPr>
                <w:sz w:val="28"/>
                <w:szCs w:val="28"/>
              </w:rPr>
              <w:t>Calculele arată că, suma totală, necesară pentru realizarea acțiunilor planificate, constituie  1</w:t>
            </w:r>
            <w:r w:rsidR="00562744">
              <w:rPr>
                <w:sz w:val="28"/>
                <w:szCs w:val="28"/>
              </w:rPr>
              <w:t>.</w:t>
            </w:r>
            <w:r w:rsidRPr="00A046B2">
              <w:rPr>
                <w:sz w:val="28"/>
                <w:szCs w:val="28"/>
              </w:rPr>
              <w:t>090</w:t>
            </w:r>
            <w:r w:rsidR="00562744">
              <w:rPr>
                <w:sz w:val="28"/>
                <w:szCs w:val="28"/>
              </w:rPr>
              <w:t>.</w:t>
            </w:r>
            <w:r w:rsidRPr="00A046B2">
              <w:rPr>
                <w:sz w:val="28"/>
                <w:szCs w:val="28"/>
              </w:rPr>
              <w:t xml:space="preserve">553,3 mii lei, din respectiva </w:t>
            </w:r>
            <w:bookmarkStart w:id="0" w:name="_GoBack"/>
            <w:r w:rsidRPr="00A046B2">
              <w:rPr>
                <w:sz w:val="28"/>
                <w:szCs w:val="28"/>
              </w:rPr>
              <w:t>1</w:t>
            </w:r>
            <w:r w:rsidR="00562744">
              <w:rPr>
                <w:sz w:val="28"/>
                <w:szCs w:val="28"/>
              </w:rPr>
              <w:t>.</w:t>
            </w:r>
            <w:r w:rsidRPr="00A046B2">
              <w:rPr>
                <w:sz w:val="28"/>
                <w:szCs w:val="28"/>
              </w:rPr>
              <w:t>056</w:t>
            </w:r>
            <w:r w:rsidR="00562744">
              <w:rPr>
                <w:sz w:val="28"/>
                <w:szCs w:val="28"/>
              </w:rPr>
              <w:t>.</w:t>
            </w:r>
            <w:r w:rsidRPr="00A046B2">
              <w:rPr>
                <w:sz w:val="28"/>
                <w:szCs w:val="28"/>
              </w:rPr>
              <w:t xml:space="preserve">117,4 </w:t>
            </w:r>
            <w:bookmarkEnd w:id="0"/>
            <w:r w:rsidRPr="00A046B2">
              <w:rPr>
                <w:sz w:val="28"/>
                <w:szCs w:val="28"/>
              </w:rPr>
              <w:t xml:space="preserve">mii lei urmează a fi acoperite din bugetul Ministerului Afacerilor Interne, 27620,4 mii lei vor fi acoperite din asistență externă, iar 800,0 mii lei - în cadrul Programului </w:t>
            </w:r>
            <w:r w:rsidRPr="00A046B2">
              <w:rPr>
                <w:sz w:val="28"/>
                <w:szCs w:val="28"/>
              </w:rPr>
              <w:lastRenderedPageBreak/>
              <w:t>activităților de reintegrare a țării. Subsidiar, 6255,5 mii lei reprezintă resursele financiare necesare pentru care nu au fost identificate sursele de finanțare. Totodată, pentru unele acțiuni a fost deja inițiat procesul de negociere. În acest sens, activitățile Programului se negociază a fi implementate cu suportul proiectului „Programului suedez privind reforma Poliției pentru anii 2023-2025”, care vizează consolidarea parteneriatului Comunitate-Poliție, îmbunătățirea tacticilor și metodelor de instruire a polițiștilor, creșterea capacității Poliției prin prisma oportunităților egale de leadership. Totodată, proiectul privind „Crearea Centrului de justiție familială”, finanțat de Ambasada SUA în Moldova, se află în proces de implementare (costul total al proiectului– 1</w:t>
            </w:r>
            <w:r w:rsidR="00562744">
              <w:rPr>
                <w:sz w:val="28"/>
                <w:szCs w:val="28"/>
              </w:rPr>
              <w:t>.</w:t>
            </w:r>
            <w:r w:rsidRPr="00A046B2">
              <w:rPr>
                <w:sz w:val="28"/>
                <w:szCs w:val="28"/>
              </w:rPr>
              <w:t>441</w:t>
            </w:r>
            <w:r w:rsidR="00562744">
              <w:rPr>
                <w:sz w:val="28"/>
                <w:szCs w:val="28"/>
              </w:rPr>
              <w:t>.</w:t>
            </w:r>
            <w:r w:rsidRPr="00A046B2">
              <w:rPr>
                <w:sz w:val="28"/>
                <w:szCs w:val="28"/>
              </w:rPr>
              <w:t>071</w:t>
            </w:r>
            <w:r w:rsidR="00562744">
              <w:rPr>
                <w:sz w:val="28"/>
                <w:szCs w:val="28"/>
              </w:rPr>
              <w:t>,</w:t>
            </w:r>
            <w:r w:rsidRPr="00A046B2">
              <w:rPr>
                <w:sz w:val="28"/>
                <w:szCs w:val="28"/>
              </w:rPr>
              <w:t>16 dolari).</w:t>
            </w:r>
          </w:p>
          <w:p w:rsidR="00074C00" w:rsidRPr="00A046B2" w:rsidRDefault="00A046B2">
            <w:pPr>
              <w:pStyle w:val="cn"/>
              <w:tabs>
                <w:tab w:val="left" w:pos="270"/>
                <w:tab w:val="left" w:pos="420"/>
                <w:tab w:val="left" w:pos="709"/>
              </w:tabs>
              <w:ind w:firstLine="510"/>
              <w:jc w:val="both"/>
              <w:rPr>
                <w:sz w:val="28"/>
                <w:szCs w:val="28"/>
              </w:rPr>
            </w:pPr>
            <w:r w:rsidRPr="00A046B2">
              <w:rPr>
                <w:sz w:val="28"/>
                <w:szCs w:val="28"/>
              </w:rPr>
              <w:t xml:space="preserve">Suplimentar, instruirile pe segmentul domeniului combaterii infracțiunilor motivate de prejudecată, egalitate și non-discriminare, sunt organizate în cadrul proiectelor „Consolidarea accesului la justiție pentru victimele discriminării, infracțiunilor generate de ură și discursurilor de instigare la ură”, </w:t>
            </w:r>
            <w:proofErr w:type="spellStart"/>
            <w:r w:rsidRPr="00A046B2">
              <w:rPr>
                <w:sz w:val="28"/>
                <w:szCs w:val="28"/>
              </w:rPr>
              <w:t>co</w:t>
            </w:r>
            <w:proofErr w:type="spellEnd"/>
            <w:r w:rsidRPr="00A046B2">
              <w:rPr>
                <w:sz w:val="28"/>
                <w:szCs w:val="28"/>
              </w:rPr>
              <w:t>-finanțat de Uniunea Europeană și de Consiliul Europei și pus în aplicare de Consiliul Europei în cadrul Parteneriatului pentru Buna Guvernare II (costul total al proiectului care acoperă necesitățile mai multor instituții – 940.000</w:t>
            </w:r>
            <w:r w:rsidR="00BA50C0">
              <w:rPr>
                <w:sz w:val="28"/>
                <w:szCs w:val="28"/>
              </w:rPr>
              <w:t>,</w:t>
            </w:r>
            <w:r w:rsidRPr="00A046B2">
              <w:rPr>
                <w:sz w:val="28"/>
                <w:szCs w:val="28"/>
              </w:rPr>
              <w:t>00 euro) și Proiectul Consiliului Europei ”Consolidarea egalității și diversității în Republica Moldova”, finanțat de către Ministerul Afacerilor Externe al Regatului Țărilor de Jos (costul total al proiectului care acoperă necesitățile mai multor instituții – 300</w:t>
            </w:r>
            <w:r w:rsidR="00BA50C0">
              <w:rPr>
                <w:sz w:val="28"/>
                <w:szCs w:val="28"/>
              </w:rPr>
              <w:t> </w:t>
            </w:r>
            <w:r w:rsidRPr="00A046B2">
              <w:rPr>
                <w:sz w:val="28"/>
                <w:szCs w:val="28"/>
              </w:rPr>
              <w:t>000</w:t>
            </w:r>
            <w:r w:rsidR="00BA50C0">
              <w:rPr>
                <w:sz w:val="28"/>
                <w:szCs w:val="28"/>
              </w:rPr>
              <w:t>, 00</w:t>
            </w:r>
            <w:r w:rsidRPr="00A046B2">
              <w:rPr>
                <w:sz w:val="28"/>
                <w:szCs w:val="28"/>
              </w:rPr>
              <w:t xml:space="preserve"> euro).</w:t>
            </w:r>
          </w:p>
          <w:p w:rsidR="00074C00" w:rsidRPr="00A046B2" w:rsidRDefault="00A046B2">
            <w:pPr>
              <w:pStyle w:val="cn"/>
              <w:tabs>
                <w:tab w:val="left" w:pos="270"/>
                <w:tab w:val="left" w:pos="420"/>
                <w:tab w:val="left" w:pos="709"/>
                <w:tab w:val="left" w:pos="1134"/>
              </w:tabs>
              <w:ind w:firstLine="510"/>
              <w:jc w:val="both"/>
            </w:pPr>
            <w:r w:rsidRPr="00A046B2">
              <w:rPr>
                <w:sz w:val="28"/>
                <w:szCs w:val="28"/>
              </w:rPr>
              <w:t>Resursele care sunt necesare pentru implementarea programului, au fost prezentate în cadrul exercițiului de elaborare a Cadrului Bugetar pe Termen Mediu 2023 – 2025.</w:t>
            </w:r>
            <w:r w:rsidRPr="00A046B2">
              <w:t xml:space="preserve"> </w:t>
            </w:r>
            <w:r w:rsidRPr="00A046B2">
              <w:rPr>
                <w:sz w:val="28"/>
                <w:szCs w:val="28"/>
              </w:rPr>
              <w:t>Totodată, costurile estimative ale acțiunilor urmează a fi ajustate pe perioada implementării Planului, reieșind din volumele de alocații disponibile în bugetul de stat.</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lastRenderedPageBreak/>
              <w:t>Modul de încorporare a actului în cadrul normativ în vigoare</w:t>
            </w:r>
          </w:p>
        </w:tc>
      </w:tr>
      <w:tr w:rsidR="00074C00" w:rsidRPr="00A046B2">
        <w:tc>
          <w:tcPr>
            <w:tcW w:w="9286" w:type="dxa"/>
          </w:tcPr>
          <w:p w:rsidR="00074C00" w:rsidRPr="00A046B2" w:rsidRDefault="00A046B2">
            <w:pPr>
              <w:pStyle w:val="NoSpacing"/>
              <w:ind w:firstLine="330"/>
              <w:jc w:val="both"/>
              <w:rPr>
                <w:rFonts w:ascii="Times New Roman" w:hAnsi="Times New Roman"/>
                <w:sz w:val="28"/>
                <w:szCs w:val="28"/>
                <w:lang w:val="ro-RO"/>
              </w:rPr>
            </w:pPr>
            <w:r w:rsidRPr="00A046B2">
              <w:rPr>
                <w:rFonts w:ascii="Times New Roman" w:hAnsi="Times New Roman"/>
                <w:sz w:val="28"/>
                <w:szCs w:val="28"/>
                <w:lang w:val="ro-RO"/>
              </w:rPr>
              <w:t>Urmare aprobării proiectului nu va fi necesară modificarea și/sau completarea altor acte normative.</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t>Avizarea și consultarea publică a proiectului</w:t>
            </w:r>
          </w:p>
        </w:tc>
      </w:tr>
      <w:tr w:rsidR="00074C00" w:rsidRPr="00A046B2">
        <w:tc>
          <w:tcPr>
            <w:tcW w:w="9286" w:type="dxa"/>
          </w:tcPr>
          <w:p w:rsidR="00074C00" w:rsidRPr="00A046B2" w:rsidRDefault="00A046B2">
            <w:pPr>
              <w:pStyle w:val="NoSpacing"/>
              <w:ind w:firstLine="420"/>
              <w:jc w:val="both"/>
              <w:rPr>
                <w:rFonts w:ascii="Times New Roman" w:hAnsi="Times New Roman"/>
                <w:sz w:val="28"/>
                <w:szCs w:val="28"/>
                <w:lang w:val="ro-RO"/>
              </w:rPr>
            </w:pPr>
            <w:r w:rsidRPr="00A046B2">
              <w:rPr>
                <w:rFonts w:ascii="Times New Roman" w:hAnsi="Times New Roman"/>
                <w:sz w:val="28"/>
                <w:szCs w:val="28"/>
                <w:lang w:val="ro-RO"/>
              </w:rPr>
              <w:t xml:space="preserve">În vederea respectării prevederilor Legii nr. 239/2008 privind transparența în procesul decizional, proiectul va fi plasat pe pagina-web oficială a Ministerului Afacerilor Interne în rețeaua Internet </w:t>
            </w:r>
            <w:hyperlink r:id="rId5" w:history="1">
              <w:r w:rsidRPr="00A046B2">
                <w:rPr>
                  <w:rStyle w:val="Hyperlink"/>
                  <w:rFonts w:ascii="Times New Roman" w:hAnsi="Times New Roman"/>
                  <w:color w:val="auto"/>
                  <w:sz w:val="28"/>
                  <w:szCs w:val="28"/>
                  <w:lang w:val="ro-RO"/>
                </w:rPr>
                <w:t>www.mai.gov.md</w:t>
              </w:r>
            </w:hyperlink>
            <w:r w:rsidRPr="00A046B2">
              <w:rPr>
                <w:rFonts w:ascii="Times New Roman" w:hAnsi="Times New Roman"/>
                <w:sz w:val="28"/>
                <w:szCs w:val="28"/>
                <w:u w:val="single"/>
                <w:lang w:val="ro-RO"/>
              </w:rPr>
              <w:t>,</w:t>
            </w:r>
            <w:r w:rsidRPr="00A046B2">
              <w:rPr>
                <w:rFonts w:ascii="Times New Roman" w:hAnsi="Times New Roman"/>
                <w:sz w:val="28"/>
                <w:szCs w:val="28"/>
                <w:lang w:val="ro-RO"/>
              </w:rPr>
              <w:t xml:space="preserve"> la compartimentul „Transparența”, secțiunea „Consultări</w:t>
            </w:r>
            <w:r w:rsidRPr="00A046B2">
              <w:rPr>
                <w:rFonts w:ascii="Times New Roman" w:hAnsi="Times New Roman"/>
                <w:i/>
                <w:sz w:val="28"/>
                <w:szCs w:val="28"/>
                <w:lang w:val="ro-RO"/>
              </w:rPr>
              <w:t xml:space="preserve"> </w:t>
            </w:r>
            <w:r w:rsidRPr="00A046B2">
              <w:rPr>
                <w:rFonts w:ascii="Times New Roman" w:hAnsi="Times New Roman"/>
                <w:sz w:val="28"/>
                <w:szCs w:val="28"/>
                <w:lang w:val="ro-RO"/>
              </w:rPr>
              <w:t>publice”, rubrica „Consultări</w:t>
            </w:r>
            <w:r w:rsidRPr="00A046B2">
              <w:rPr>
                <w:rFonts w:ascii="Times New Roman" w:hAnsi="Times New Roman"/>
                <w:i/>
                <w:sz w:val="28"/>
                <w:szCs w:val="28"/>
                <w:lang w:val="ro-RO"/>
              </w:rPr>
              <w:t xml:space="preserve"> </w:t>
            </w:r>
            <w:r w:rsidRPr="00A046B2">
              <w:rPr>
                <w:rFonts w:ascii="Times New Roman" w:hAnsi="Times New Roman"/>
                <w:sz w:val="28"/>
                <w:szCs w:val="28"/>
                <w:lang w:val="ro-RO"/>
              </w:rPr>
              <w:t xml:space="preserve">publice” și pe pagina-web </w:t>
            </w:r>
            <w:hyperlink r:id="rId6" w:history="1">
              <w:r w:rsidRPr="00A046B2">
                <w:rPr>
                  <w:rStyle w:val="Hyperlink"/>
                  <w:rFonts w:ascii="Times New Roman" w:hAnsi="Times New Roman"/>
                  <w:color w:val="auto"/>
                  <w:sz w:val="28"/>
                  <w:szCs w:val="28"/>
                  <w:lang w:val="ro-RO"/>
                </w:rPr>
                <w:t>www.particip.gov.md</w:t>
              </w:r>
            </w:hyperlink>
            <w:r w:rsidRPr="00A046B2">
              <w:rPr>
                <w:rFonts w:ascii="Times New Roman" w:hAnsi="Times New Roman"/>
                <w:sz w:val="28"/>
                <w:szCs w:val="28"/>
                <w:lang w:val="ro-RO"/>
              </w:rPr>
              <w:t>.</w:t>
            </w:r>
          </w:p>
          <w:p w:rsidR="00074C00" w:rsidRPr="00A046B2" w:rsidRDefault="00A046B2">
            <w:pPr>
              <w:pStyle w:val="NoSpacing"/>
              <w:ind w:firstLine="330"/>
              <w:jc w:val="both"/>
              <w:rPr>
                <w:rFonts w:ascii="Times New Roman" w:hAnsi="Times New Roman"/>
                <w:sz w:val="28"/>
                <w:szCs w:val="28"/>
                <w:lang w:val="ro-RO"/>
              </w:rPr>
            </w:pPr>
            <w:r w:rsidRPr="00A046B2">
              <w:rPr>
                <w:rFonts w:ascii="Times New Roman" w:hAnsi="Times New Roman"/>
                <w:sz w:val="28"/>
                <w:szCs w:val="28"/>
                <w:lang w:val="ro-RO"/>
              </w:rPr>
              <w:t xml:space="preserve">În prealabil, Conceptul Programului de ordine și securitate publică pentru anii 2022-2025 a fost plasat, în perioada 12-27 mai 2022, pe pagina web oficială a Ministerului Afacerilor Interne, în directoriul </w:t>
            </w:r>
            <w:proofErr w:type="spellStart"/>
            <w:r w:rsidRPr="00A046B2">
              <w:rPr>
                <w:rFonts w:ascii="Times New Roman" w:hAnsi="Times New Roman"/>
                <w:sz w:val="28"/>
                <w:szCs w:val="28"/>
                <w:lang w:val="ro-RO"/>
              </w:rPr>
              <w:t>Transparenţa</w:t>
            </w:r>
            <w:proofErr w:type="spellEnd"/>
            <w:r w:rsidRPr="00A046B2">
              <w:rPr>
                <w:rFonts w:ascii="Times New Roman" w:hAnsi="Times New Roman"/>
                <w:sz w:val="28"/>
                <w:szCs w:val="28"/>
                <w:lang w:val="ro-RO"/>
              </w:rPr>
              <w:t>/Consultări publice/</w:t>
            </w:r>
            <w:proofErr w:type="spellStart"/>
            <w:r w:rsidRPr="00A046B2">
              <w:rPr>
                <w:rFonts w:ascii="Times New Roman" w:hAnsi="Times New Roman"/>
                <w:sz w:val="28"/>
                <w:szCs w:val="28"/>
                <w:lang w:val="ro-RO"/>
              </w:rPr>
              <w:t>Iniţierea</w:t>
            </w:r>
            <w:proofErr w:type="spellEnd"/>
            <w:r w:rsidRPr="00A046B2">
              <w:rPr>
                <w:rFonts w:ascii="Times New Roman" w:hAnsi="Times New Roman"/>
                <w:sz w:val="28"/>
                <w:szCs w:val="28"/>
                <w:lang w:val="ro-RO"/>
              </w:rPr>
              <w:t xml:space="preserve"> elaborării actelor normative.  </w:t>
            </w:r>
          </w:p>
          <w:p w:rsidR="00074C00" w:rsidRPr="00A046B2" w:rsidRDefault="00A046B2">
            <w:pPr>
              <w:pStyle w:val="NoSpacing"/>
              <w:ind w:firstLine="420"/>
              <w:jc w:val="both"/>
              <w:rPr>
                <w:rFonts w:ascii="Times New Roman" w:hAnsi="Times New Roman"/>
                <w:sz w:val="28"/>
                <w:szCs w:val="28"/>
                <w:lang w:val="ro-RO"/>
              </w:rPr>
            </w:pPr>
            <w:r w:rsidRPr="00A046B2">
              <w:rPr>
                <w:rFonts w:ascii="Times New Roman" w:hAnsi="Times New Roman"/>
                <w:sz w:val="28"/>
                <w:szCs w:val="28"/>
                <w:lang w:val="ro-RO"/>
              </w:rPr>
              <w:t xml:space="preserve">Pentru asigurarea participării incluzive la elaborarea Programului de ordine și securitate publică pentru anii 2022-2025, au fost organizate 15 consultări non-formale preponderent cu reprezentanții societății civile. În cadrul acestora, </w:t>
            </w:r>
            <w:r w:rsidRPr="00A046B2">
              <w:rPr>
                <w:rFonts w:ascii="Times New Roman" w:hAnsi="Times New Roman"/>
                <w:sz w:val="28"/>
                <w:szCs w:val="28"/>
                <w:lang w:val="ro-RO"/>
              </w:rPr>
              <w:lastRenderedPageBreak/>
              <w:t xml:space="preserve">suplimentar examinării problemelor și acțiunilor formulate, au fost discutate și alte dificultăți, fiind stabilite intervenții comune și/sau de suport în soluționarea acestora. </w:t>
            </w:r>
          </w:p>
          <w:p w:rsidR="00074C00" w:rsidRPr="00A046B2" w:rsidRDefault="00A046B2">
            <w:pPr>
              <w:jc w:val="both"/>
              <w:rPr>
                <w:sz w:val="28"/>
                <w:szCs w:val="28"/>
              </w:rPr>
            </w:pPr>
            <w:r w:rsidRPr="00A046B2">
              <w:rPr>
                <w:sz w:val="28"/>
                <w:szCs w:val="28"/>
              </w:rPr>
              <w:t>Subsidiar, în procesul elaborării Programului în scopul excluderii dublării acțiunilor, din program au fost excluse acțiunile care se regăsesc în variantele aprobate ale altor documente de politici publice.</w:t>
            </w:r>
          </w:p>
          <w:p w:rsidR="00074C00" w:rsidRPr="00A046B2" w:rsidRDefault="00A046B2">
            <w:pPr>
              <w:pStyle w:val="NoSpacing"/>
              <w:ind w:firstLine="420"/>
              <w:jc w:val="both"/>
              <w:rPr>
                <w:rFonts w:ascii="Times New Roman" w:hAnsi="Times New Roman"/>
                <w:sz w:val="28"/>
                <w:szCs w:val="28"/>
                <w:lang w:val="ro-RO"/>
              </w:rPr>
            </w:pPr>
            <w:r w:rsidRPr="00A046B2">
              <w:rPr>
                <w:rFonts w:ascii="Times New Roman" w:hAnsi="Times New Roman"/>
                <w:sz w:val="28"/>
                <w:szCs w:val="28"/>
                <w:lang w:val="ro-RO"/>
              </w:rPr>
              <w:t>Urmare, proiectul se va supune consultării de către autoritățile administrative centrale, reprezentanții societății civile și partenerii de dezvoltare.</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lastRenderedPageBreak/>
              <w:t>Constatările expertizei anticorupție</w:t>
            </w:r>
          </w:p>
        </w:tc>
      </w:tr>
      <w:tr w:rsidR="00074C00" w:rsidRPr="00A046B2">
        <w:tc>
          <w:tcPr>
            <w:tcW w:w="9286" w:type="dxa"/>
          </w:tcPr>
          <w:p w:rsidR="00074C00" w:rsidRPr="00A046B2" w:rsidRDefault="00A046B2">
            <w:pPr>
              <w:pStyle w:val="NoSpacing"/>
              <w:tabs>
                <w:tab w:val="left" w:pos="897"/>
              </w:tabs>
              <w:ind w:firstLine="330"/>
              <w:jc w:val="both"/>
              <w:rPr>
                <w:rFonts w:ascii="Times New Roman" w:hAnsi="Times New Roman"/>
                <w:sz w:val="28"/>
                <w:szCs w:val="28"/>
                <w:lang w:val="ro-RO"/>
              </w:rPr>
            </w:pPr>
            <w:r w:rsidRPr="00A046B2">
              <w:rPr>
                <w:rFonts w:ascii="Times New Roman" w:hAnsi="Times New Roman"/>
                <w:sz w:val="28"/>
                <w:szCs w:val="28"/>
                <w:lang w:val="ro-RO"/>
              </w:rPr>
              <w:t>În conformitate cu articolul 28 alineatul (2) litera a) din Legea integrității nr. 82/2017, proiectul Programului este exceptat de la expertiza anticorupție.</w:t>
            </w:r>
          </w:p>
        </w:tc>
      </w:tr>
      <w:tr w:rsidR="00074C00" w:rsidRPr="00A046B2">
        <w:tc>
          <w:tcPr>
            <w:tcW w:w="9286" w:type="dxa"/>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t>Constatările expertizei de compatibilitate</w:t>
            </w:r>
          </w:p>
        </w:tc>
      </w:tr>
      <w:tr w:rsidR="00074C00" w:rsidRPr="00A046B2">
        <w:tc>
          <w:tcPr>
            <w:tcW w:w="9286" w:type="dxa"/>
            <w:shd w:val="clear" w:color="auto" w:fill="auto"/>
          </w:tcPr>
          <w:p w:rsidR="00074C00" w:rsidRPr="009E5CA7" w:rsidRDefault="00A046B2">
            <w:pPr>
              <w:pStyle w:val="NoSpacing"/>
              <w:ind w:left="720" w:hanging="390"/>
              <w:jc w:val="both"/>
              <w:rPr>
                <w:rFonts w:ascii="Times New Roman" w:hAnsi="Times New Roman"/>
                <w:sz w:val="28"/>
                <w:szCs w:val="28"/>
                <w:lang w:val="ro-RO"/>
              </w:rPr>
            </w:pPr>
            <w:r w:rsidRPr="009E5CA7">
              <w:rPr>
                <w:rFonts w:ascii="Times New Roman" w:hAnsi="Times New Roman"/>
                <w:sz w:val="28"/>
                <w:szCs w:val="28"/>
                <w:lang w:val="ro-RO"/>
              </w:rPr>
              <w:t>Nu se aplică.</w:t>
            </w:r>
          </w:p>
        </w:tc>
      </w:tr>
      <w:tr w:rsidR="00074C00" w:rsidRPr="00A046B2">
        <w:tc>
          <w:tcPr>
            <w:tcW w:w="9286" w:type="dxa"/>
            <w:shd w:val="clear" w:color="auto" w:fill="auto"/>
          </w:tcPr>
          <w:p w:rsidR="00074C00" w:rsidRPr="00A046B2" w:rsidRDefault="00A046B2">
            <w:pPr>
              <w:pStyle w:val="NoSpacing"/>
              <w:numPr>
                <w:ilvl w:val="0"/>
                <w:numId w:val="1"/>
              </w:numPr>
              <w:jc w:val="both"/>
              <w:rPr>
                <w:rFonts w:ascii="Times New Roman" w:hAnsi="Times New Roman"/>
                <w:b/>
                <w:sz w:val="28"/>
                <w:szCs w:val="28"/>
                <w:lang w:val="ro-RO"/>
              </w:rPr>
            </w:pPr>
            <w:r w:rsidRPr="00A046B2">
              <w:rPr>
                <w:rFonts w:ascii="Times New Roman" w:hAnsi="Times New Roman"/>
                <w:b/>
                <w:sz w:val="28"/>
                <w:szCs w:val="28"/>
                <w:lang w:val="ro-RO"/>
              </w:rPr>
              <w:t>Constatările expertizei juridice</w:t>
            </w:r>
          </w:p>
        </w:tc>
      </w:tr>
      <w:tr w:rsidR="00074C00" w:rsidRPr="00A046B2">
        <w:tc>
          <w:tcPr>
            <w:tcW w:w="9286" w:type="dxa"/>
            <w:shd w:val="clear" w:color="auto" w:fill="auto"/>
          </w:tcPr>
          <w:p w:rsidR="00074C00" w:rsidRPr="009E5CA7" w:rsidRDefault="00A046B2">
            <w:pPr>
              <w:pStyle w:val="NoSpacing"/>
              <w:ind w:left="-30" w:firstLine="360"/>
              <w:jc w:val="both"/>
              <w:rPr>
                <w:rFonts w:ascii="Times New Roman" w:hAnsi="Times New Roman"/>
                <w:sz w:val="28"/>
                <w:szCs w:val="28"/>
                <w:lang w:val="ro-RO"/>
              </w:rPr>
            </w:pPr>
            <w:r w:rsidRPr="009E5CA7">
              <w:rPr>
                <w:rFonts w:ascii="Times New Roman" w:hAnsi="Times New Roman"/>
                <w:sz w:val="28"/>
                <w:szCs w:val="28"/>
                <w:lang w:val="ro-RO"/>
              </w:rPr>
              <w:t>Proiectul hotărârii Guvernului urmează a fi supus expertizei juridice de către Ministerul Justiției.</w:t>
            </w:r>
          </w:p>
        </w:tc>
      </w:tr>
    </w:tbl>
    <w:p w:rsidR="00074C00" w:rsidRPr="009E5CA7" w:rsidRDefault="00074C00">
      <w:pPr>
        <w:tabs>
          <w:tab w:val="left" w:pos="0"/>
        </w:tabs>
        <w:jc w:val="both"/>
        <w:rPr>
          <w:rStyle w:val="docsign1"/>
          <w:b/>
          <w:sz w:val="28"/>
          <w:szCs w:val="28"/>
        </w:rPr>
      </w:pPr>
    </w:p>
    <w:p w:rsidR="00074C00" w:rsidRPr="009E5CA7" w:rsidRDefault="00074C00">
      <w:pPr>
        <w:tabs>
          <w:tab w:val="left" w:pos="0"/>
        </w:tabs>
        <w:jc w:val="both"/>
        <w:rPr>
          <w:rStyle w:val="docsign1"/>
          <w:b/>
          <w:sz w:val="28"/>
          <w:szCs w:val="28"/>
        </w:rPr>
      </w:pPr>
    </w:p>
    <w:p w:rsidR="00074C00" w:rsidRPr="00A046B2" w:rsidRDefault="00A046B2">
      <w:pPr>
        <w:tabs>
          <w:tab w:val="left" w:pos="0"/>
        </w:tabs>
        <w:jc w:val="both"/>
        <w:rPr>
          <w:b/>
          <w:sz w:val="28"/>
          <w:szCs w:val="28"/>
        </w:rPr>
      </w:pPr>
      <w:r w:rsidRPr="00A046B2">
        <w:rPr>
          <w:rStyle w:val="docsign1"/>
          <w:b/>
          <w:sz w:val="28"/>
          <w:szCs w:val="28"/>
        </w:rPr>
        <w:t>Secretar general al ministerului</w:t>
      </w:r>
      <w:r w:rsidRPr="00A046B2">
        <w:rPr>
          <w:rStyle w:val="docsign1"/>
          <w:b/>
          <w:sz w:val="28"/>
          <w:szCs w:val="28"/>
        </w:rPr>
        <w:tab/>
      </w:r>
      <w:r w:rsidRPr="00A046B2">
        <w:rPr>
          <w:rStyle w:val="docsign1"/>
          <w:b/>
          <w:sz w:val="28"/>
          <w:szCs w:val="28"/>
        </w:rPr>
        <w:tab/>
      </w:r>
      <w:r w:rsidRPr="00A046B2">
        <w:rPr>
          <w:rStyle w:val="docsign1"/>
          <w:b/>
          <w:sz w:val="28"/>
          <w:szCs w:val="28"/>
        </w:rPr>
        <w:tab/>
      </w:r>
      <w:r w:rsidRPr="00A046B2">
        <w:rPr>
          <w:rStyle w:val="docsign1"/>
          <w:b/>
          <w:sz w:val="28"/>
          <w:szCs w:val="28"/>
        </w:rPr>
        <w:tab/>
        <w:t xml:space="preserve">    Serghei DIACONU</w:t>
      </w:r>
    </w:p>
    <w:p w:rsidR="00074C00" w:rsidRPr="00A046B2" w:rsidRDefault="00074C00">
      <w:pPr>
        <w:jc w:val="both"/>
        <w:rPr>
          <w:sz w:val="28"/>
          <w:szCs w:val="28"/>
        </w:rPr>
      </w:pPr>
    </w:p>
    <w:sectPr w:rsidR="00074C00" w:rsidRPr="00A046B2">
      <w:pgSz w:w="11906" w:h="16838"/>
      <w:pgMar w:top="1134" w:right="851"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7072"/>
    <w:multiLevelType w:val="multilevel"/>
    <w:tmpl w:val="123A7072"/>
    <w:lvl w:ilvl="0">
      <w:start w:val="1"/>
      <w:numFmt w:val="decimal"/>
      <w:lvlText w:val="%1."/>
      <w:lvlJc w:val="left"/>
      <w:pPr>
        <w:ind w:left="780" w:hanging="360"/>
      </w:pPr>
      <w:rPr>
        <w:rFonts w:hint="default"/>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1E1966F6"/>
    <w:multiLevelType w:val="multilevel"/>
    <w:tmpl w:val="1E1966F6"/>
    <w:lvl w:ilvl="0">
      <w:start w:val="1"/>
      <w:numFmt w:val="decimal"/>
      <w:lvlText w:val="%1."/>
      <w:lvlJc w:val="left"/>
      <w:pPr>
        <w:ind w:left="720" w:hanging="360"/>
      </w:pPr>
      <w:rPr>
        <w:rFonts w:eastAsia="Calibri" w:cstheme="minorBidi" w:hint="default"/>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335D21"/>
    <w:multiLevelType w:val="multilevel"/>
    <w:tmpl w:val="37335D2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9AA523E"/>
    <w:multiLevelType w:val="multilevel"/>
    <w:tmpl w:val="79AA523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1C"/>
    <w:rsid w:val="000031D6"/>
    <w:rsid w:val="00004BBF"/>
    <w:rsid w:val="00012D3C"/>
    <w:rsid w:val="00015690"/>
    <w:rsid w:val="000206C8"/>
    <w:rsid w:val="00025FBB"/>
    <w:rsid w:val="0004033F"/>
    <w:rsid w:val="00040D75"/>
    <w:rsid w:val="0006180B"/>
    <w:rsid w:val="000670DA"/>
    <w:rsid w:val="00074C00"/>
    <w:rsid w:val="00081F09"/>
    <w:rsid w:val="00083233"/>
    <w:rsid w:val="00084751"/>
    <w:rsid w:val="00085210"/>
    <w:rsid w:val="000864B1"/>
    <w:rsid w:val="00095BA8"/>
    <w:rsid w:val="000973F8"/>
    <w:rsid w:val="000A0AA6"/>
    <w:rsid w:val="000A2004"/>
    <w:rsid w:val="000A4421"/>
    <w:rsid w:val="000A5464"/>
    <w:rsid w:val="000B27D5"/>
    <w:rsid w:val="000C3ADE"/>
    <w:rsid w:val="000C414C"/>
    <w:rsid w:val="000C42CB"/>
    <w:rsid w:val="000C67B1"/>
    <w:rsid w:val="000D0ACC"/>
    <w:rsid w:val="000D43EF"/>
    <w:rsid w:val="000D459B"/>
    <w:rsid w:val="000D4FD8"/>
    <w:rsid w:val="000D57F9"/>
    <w:rsid w:val="000E0B6B"/>
    <w:rsid w:val="000F1B34"/>
    <w:rsid w:val="000F7EE4"/>
    <w:rsid w:val="0010352F"/>
    <w:rsid w:val="00105E2E"/>
    <w:rsid w:val="0010661E"/>
    <w:rsid w:val="00121404"/>
    <w:rsid w:val="00124CB2"/>
    <w:rsid w:val="00125802"/>
    <w:rsid w:val="00131B9E"/>
    <w:rsid w:val="00145737"/>
    <w:rsid w:val="00154C66"/>
    <w:rsid w:val="00156E8F"/>
    <w:rsid w:val="001701CB"/>
    <w:rsid w:val="0018276A"/>
    <w:rsid w:val="00184928"/>
    <w:rsid w:val="001B3561"/>
    <w:rsid w:val="001B4EF8"/>
    <w:rsid w:val="001C471F"/>
    <w:rsid w:val="001C5573"/>
    <w:rsid w:val="001C6A29"/>
    <w:rsid w:val="001C7181"/>
    <w:rsid w:val="001D7D51"/>
    <w:rsid w:val="001E3F0F"/>
    <w:rsid w:val="001E4C8C"/>
    <w:rsid w:val="001E6706"/>
    <w:rsid w:val="001E690C"/>
    <w:rsid w:val="001E75DA"/>
    <w:rsid w:val="001F4813"/>
    <w:rsid w:val="001F611C"/>
    <w:rsid w:val="00202422"/>
    <w:rsid w:val="002128B1"/>
    <w:rsid w:val="002219F2"/>
    <w:rsid w:val="002249BD"/>
    <w:rsid w:val="002251C5"/>
    <w:rsid w:val="00225B10"/>
    <w:rsid w:val="00250734"/>
    <w:rsid w:val="00253D0F"/>
    <w:rsid w:val="00254889"/>
    <w:rsid w:val="00256013"/>
    <w:rsid w:val="00256BF9"/>
    <w:rsid w:val="0026147C"/>
    <w:rsid w:val="00271128"/>
    <w:rsid w:val="00282D27"/>
    <w:rsid w:val="0028481B"/>
    <w:rsid w:val="002849C0"/>
    <w:rsid w:val="00285130"/>
    <w:rsid w:val="00285F37"/>
    <w:rsid w:val="002932D8"/>
    <w:rsid w:val="002A448E"/>
    <w:rsid w:val="002A6AB8"/>
    <w:rsid w:val="002B7109"/>
    <w:rsid w:val="002C7466"/>
    <w:rsid w:val="002D3479"/>
    <w:rsid w:val="002D3A56"/>
    <w:rsid w:val="002E0313"/>
    <w:rsid w:val="002E0B2F"/>
    <w:rsid w:val="002E193A"/>
    <w:rsid w:val="002E5BDA"/>
    <w:rsid w:val="002F3DCF"/>
    <w:rsid w:val="00306D09"/>
    <w:rsid w:val="00312C24"/>
    <w:rsid w:val="00316933"/>
    <w:rsid w:val="00320587"/>
    <w:rsid w:val="00330021"/>
    <w:rsid w:val="003339CD"/>
    <w:rsid w:val="00341793"/>
    <w:rsid w:val="00343F83"/>
    <w:rsid w:val="00344086"/>
    <w:rsid w:val="0036179C"/>
    <w:rsid w:val="00361F87"/>
    <w:rsid w:val="00362C67"/>
    <w:rsid w:val="00371CE7"/>
    <w:rsid w:val="00372CDF"/>
    <w:rsid w:val="00374930"/>
    <w:rsid w:val="00374AE8"/>
    <w:rsid w:val="00382644"/>
    <w:rsid w:val="00385BE5"/>
    <w:rsid w:val="00387741"/>
    <w:rsid w:val="00390DBA"/>
    <w:rsid w:val="003A0C5A"/>
    <w:rsid w:val="003A1E44"/>
    <w:rsid w:val="003A234D"/>
    <w:rsid w:val="003B2C3B"/>
    <w:rsid w:val="003B5707"/>
    <w:rsid w:val="003D2A4E"/>
    <w:rsid w:val="003F0348"/>
    <w:rsid w:val="003F6C67"/>
    <w:rsid w:val="00400773"/>
    <w:rsid w:val="00411CA6"/>
    <w:rsid w:val="004140B1"/>
    <w:rsid w:val="00420808"/>
    <w:rsid w:val="00422860"/>
    <w:rsid w:val="004250FF"/>
    <w:rsid w:val="00425D8C"/>
    <w:rsid w:val="004355ED"/>
    <w:rsid w:val="00435FD6"/>
    <w:rsid w:val="004409BF"/>
    <w:rsid w:val="00441487"/>
    <w:rsid w:val="00447039"/>
    <w:rsid w:val="004476C0"/>
    <w:rsid w:val="00454634"/>
    <w:rsid w:val="0045528F"/>
    <w:rsid w:val="0045656D"/>
    <w:rsid w:val="004614B8"/>
    <w:rsid w:val="00462FF2"/>
    <w:rsid w:val="00470371"/>
    <w:rsid w:val="0047469C"/>
    <w:rsid w:val="0047749A"/>
    <w:rsid w:val="00484F99"/>
    <w:rsid w:val="00486166"/>
    <w:rsid w:val="00487EA8"/>
    <w:rsid w:val="0049228A"/>
    <w:rsid w:val="004C4BDE"/>
    <w:rsid w:val="004C6310"/>
    <w:rsid w:val="004C75F6"/>
    <w:rsid w:val="004D44D0"/>
    <w:rsid w:val="004D4DE2"/>
    <w:rsid w:val="004D6DE6"/>
    <w:rsid w:val="004F3D61"/>
    <w:rsid w:val="00522CF7"/>
    <w:rsid w:val="00531411"/>
    <w:rsid w:val="00532DA8"/>
    <w:rsid w:val="00542F2B"/>
    <w:rsid w:val="0055052E"/>
    <w:rsid w:val="0055069E"/>
    <w:rsid w:val="00561621"/>
    <w:rsid w:val="00562744"/>
    <w:rsid w:val="00566D5E"/>
    <w:rsid w:val="005762AD"/>
    <w:rsid w:val="00580AFB"/>
    <w:rsid w:val="00584667"/>
    <w:rsid w:val="005918AC"/>
    <w:rsid w:val="005947AC"/>
    <w:rsid w:val="00597FAB"/>
    <w:rsid w:val="005A2C2A"/>
    <w:rsid w:val="005B0091"/>
    <w:rsid w:val="005B1F3C"/>
    <w:rsid w:val="005B59DD"/>
    <w:rsid w:val="005C290D"/>
    <w:rsid w:val="005C3528"/>
    <w:rsid w:val="005C65FA"/>
    <w:rsid w:val="005C7C1D"/>
    <w:rsid w:val="005D4C6D"/>
    <w:rsid w:val="006008DB"/>
    <w:rsid w:val="00601C75"/>
    <w:rsid w:val="00612667"/>
    <w:rsid w:val="00617446"/>
    <w:rsid w:val="00621B87"/>
    <w:rsid w:val="006270E5"/>
    <w:rsid w:val="00635AED"/>
    <w:rsid w:val="00640E0F"/>
    <w:rsid w:val="006628A0"/>
    <w:rsid w:val="00664F9D"/>
    <w:rsid w:val="00665456"/>
    <w:rsid w:val="00677024"/>
    <w:rsid w:val="00681B0D"/>
    <w:rsid w:val="00690A6B"/>
    <w:rsid w:val="00691F6C"/>
    <w:rsid w:val="0069683F"/>
    <w:rsid w:val="00697B6F"/>
    <w:rsid w:val="006A2EEB"/>
    <w:rsid w:val="006A5EE4"/>
    <w:rsid w:val="006B3FD9"/>
    <w:rsid w:val="006B6876"/>
    <w:rsid w:val="006C2AD4"/>
    <w:rsid w:val="006C3558"/>
    <w:rsid w:val="006C37ED"/>
    <w:rsid w:val="006C6283"/>
    <w:rsid w:val="006D20D9"/>
    <w:rsid w:val="006D4B9B"/>
    <w:rsid w:val="006D7AD5"/>
    <w:rsid w:val="006E2E86"/>
    <w:rsid w:val="006E464E"/>
    <w:rsid w:val="006F1060"/>
    <w:rsid w:val="006F3EE0"/>
    <w:rsid w:val="006F6242"/>
    <w:rsid w:val="006F68A7"/>
    <w:rsid w:val="00705F04"/>
    <w:rsid w:val="00706068"/>
    <w:rsid w:val="00706FC1"/>
    <w:rsid w:val="00710D6B"/>
    <w:rsid w:val="007112FF"/>
    <w:rsid w:val="00720FB6"/>
    <w:rsid w:val="00723964"/>
    <w:rsid w:val="00725332"/>
    <w:rsid w:val="0072553E"/>
    <w:rsid w:val="00741311"/>
    <w:rsid w:val="0074218A"/>
    <w:rsid w:val="00750EC4"/>
    <w:rsid w:val="00753920"/>
    <w:rsid w:val="00755306"/>
    <w:rsid w:val="007558D3"/>
    <w:rsid w:val="0076275E"/>
    <w:rsid w:val="00762BB3"/>
    <w:rsid w:val="00764592"/>
    <w:rsid w:val="00776B20"/>
    <w:rsid w:val="00782060"/>
    <w:rsid w:val="007932A2"/>
    <w:rsid w:val="007A08D3"/>
    <w:rsid w:val="007B0E59"/>
    <w:rsid w:val="007B4215"/>
    <w:rsid w:val="007B6908"/>
    <w:rsid w:val="007C32CC"/>
    <w:rsid w:val="007C6111"/>
    <w:rsid w:val="007C629D"/>
    <w:rsid w:val="007C64AF"/>
    <w:rsid w:val="007E72A2"/>
    <w:rsid w:val="007F73CC"/>
    <w:rsid w:val="0080242E"/>
    <w:rsid w:val="008037F9"/>
    <w:rsid w:val="008039D3"/>
    <w:rsid w:val="008071D6"/>
    <w:rsid w:val="008072D5"/>
    <w:rsid w:val="0081332E"/>
    <w:rsid w:val="008214B6"/>
    <w:rsid w:val="008229E0"/>
    <w:rsid w:val="00840247"/>
    <w:rsid w:val="008417B7"/>
    <w:rsid w:val="008418F3"/>
    <w:rsid w:val="00844680"/>
    <w:rsid w:val="00850AFC"/>
    <w:rsid w:val="00857BD8"/>
    <w:rsid w:val="00860895"/>
    <w:rsid w:val="008621BE"/>
    <w:rsid w:val="008702F7"/>
    <w:rsid w:val="0088196C"/>
    <w:rsid w:val="00887FE0"/>
    <w:rsid w:val="008900B7"/>
    <w:rsid w:val="00892065"/>
    <w:rsid w:val="008938E9"/>
    <w:rsid w:val="008A0888"/>
    <w:rsid w:val="008A1436"/>
    <w:rsid w:val="008A17F2"/>
    <w:rsid w:val="008A33FE"/>
    <w:rsid w:val="008B03D2"/>
    <w:rsid w:val="008B087E"/>
    <w:rsid w:val="008B1575"/>
    <w:rsid w:val="008B7D10"/>
    <w:rsid w:val="008C0FCD"/>
    <w:rsid w:val="008C1092"/>
    <w:rsid w:val="008C4703"/>
    <w:rsid w:val="008E0298"/>
    <w:rsid w:val="008E34AD"/>
    <w:rsid w:val="008E7698"/>
    <w:rsid w:val="008F048D"/>
    <w:rsid w:val="008F289D"/>
    <w:rsid w:val="008F6ABC"/>
    <w:rsid w:val="00901358"/>
    <w:rsid w:val="00901BCE"/>
    <w:rsid w:val="00902B55"/>
    <w:rsid w:val="00904D2B"/>
    <w:rsid w:val="0090517D"/>
    <w:rsid w:val="00915BFA"/>
    <w:rsid w:val="00916A07"/>
    <w:rsid w:val="009222C1"/>
    <w:rsid w:val="00927BAD"/>
    <w:rsid w:val="00935DA1"/>
    <w:rsid w:val="00941525"/>
    <w:rsid w:val="009525D2"/>
    <w:rsid w:val="00953680"/>
    <w:rsid w:val="009662ED"/>
    <w:rsid w:val="00967D87"/>
    <w:rsid w:val="0097111E"/>
    <w:rsid w:val="009835E5"/>
    <w:rsid w:val="00985EC8"/>
    <w:rsid w:val="00986108"/>
    <w:rsid w:val="00986F86"/>
    <w:rsid w:val="00990257"/>
    <w:rsid w:val="009907B0"/>
    <w:rsid w:val="009A4474"/>
    <w:rsid w:val="009A48DF"/>
    <w:rsid w:val="009A490C"/>
    <w:rsid w:val="009A4D7F"/>
    <w:rsid w:val="009A6BFC"/>
    <w:rsid w:val="009B24E1"/>
    <w:rsid w:val="009B6FAC"/>
    <w:rsid w:val="009C50C2"/>
    <w:rsid w:val="009D2257"/>
    <w:rsid w:val="009D42B9"/>
    <w:rsid w:val="009D5740"/>
    <w:rsid w:val="009D74C6"/>
    <w:rsid w:val="009E0329"/>
    <w:rsid w:val="009E1451"/>
    <w:rsid w:val="009E3028"/>
    <w:rsid w:val="009E5CA7"/>
    <w:rsid w:val="009E6763"/>
    <w:rsid w:val="009F1F96"/>
    <w:rsid w:val="009F3DF1"/>
    <w:rsid w:val="009F725B"/>
    <w:rsid w:val="00A02D5A"/>
    <w:rsid w:val="00A02E78"/>
    <w:rsid w:val="00A046B2"/>
    <w:rsid w:val="00A232E8"/>
    <w:rsid w:val="00A23BD9"/>
    <w:rsid w:val="00A24665"/>
    <w:rsid w:val="00A32A19"/>
    <w:rsid w:val="00A37441"/>
    <w:rsid w:val="00A50E80"/>
    <w:rsid w:val="00A62E05"/>
    <w:rsid w:val="00A63458"/>
    <w:rsid w:val="00A72EE3"/>
    <w:rsid w:val="00A76706"/>
    <w:rsid w:val="00A81A10"/>
    <w:rsid w:val="00A92C9F"/>
    <w:rsid w:val="00AA37F7"/>
    <w:rsid w:val="00AB1DE0"/>
    <w:rsid w:val="00AB7840"/>
    <w:rsid w:val="00AC4439"/>
    <w:rsid w:val="00AC5ACA"/>
    <w:rsid w:val="00AD38B6"/>
    <w:rsid w:val="00AE10FD"/>
    <w:rsid w:val="00AE6A55"/>
    <w:rsid w:val="00AF380F"/>
    <w:rsid w:val="00AF7A4E"/>
    <w:rsid w:val="00B00852"/>
    <w:rsid w:val="00B0326A"/>
    <w:rsid w:val="00B1044A"/>
    <w:rsid w:val="00B13598"/>
    <w:rsid w:val="00B14997"/>
    <w:rsid w:val="00B15D7F"/>
    <w:rsid w:val="00B1650F"/>
    <w:rsid w:val="00B24425"/>
    <w:rsid w:val="00B3121B"/>
    <w:rsid w:val="00B43770"/>
    <w:rsid w:val="00B467FA"/>
    <w:rsid w:val="00B60A4A"/>
    <w:rsid w:val="00B61509"/>
    <w:rsid w:val="00B6473F"/>
    <w:rsid w:val="00B7121F"/>
    <w:rsid w:val="00B728A9"/>
    <w:rsid w:val="00B801D4"/>
    <w:rsid w:val="00B806CF"/>
    <w:rsid w:val="00B8653F"/>
    <w:rsid w:val="00B8774A"/>
    <w:rsid w:val="00BA1912"/>
    <w:rsid w:val="00BA1B87"/>
    <w:rsid w:val="00BA50C0"/>
    <w:rsid w:val="00BB3514"/>
    <w:rsid w:val="00BB4E45"/>
    <w:rsid w:val="00BC1170"/>
    <w:rsid w:val="00BC360B"/>
    <w:rsid w:val="00BC4567"/>
    <w:rsid w:val="00BC5AD6"/>
    <w:rsid w:val="00BD0CBA"/>
    <w:rsid w:val="00BD4EAF"/>
    <w:rsid w:val="00BE3A1B"/>
    <w:rsid w:val="00BF7FF2"/>
    <w:rsid w:val="00C02F08"/>
    <w:rsid w:val="00C0592B"/>
    <w:rsid w:val="00C12445"/>
    <w:rsid w:val="00C140C7"/>
    <w:rsid w:val="00C212B6"/>
    <w:rsid w:val="00C25952"/>
    <w:rsid w:val="00C36B46"/>
    <w:rsid w:val="00C376E8"/>
    <w:rsid w:val="00C57CEF"/>
    <w:rsid w:val="00C57E0D"/>
    <w:rsid w:val="00C61603"/>
    <w:rsid w:val="00C62B97"/>
    <w:rsid w:val="00C65426"/>
    <w:rsid w:val="00C66ABB"/>
    <w:rsid w:val="00C72D1C"/>
    <w:rsid w:val="00C77BFA"/>
    <w:rsid w:val="00C82B54"/>
    <w:rsid w:val="00C902E4"/>
    <w:rsid w:val="00C94DF1"/>
    <w:rsid w:val="00CA1FB5"/>
    <w:rsid w:val="00CA3536"/>
    <w:rsid w:val="00CB22F5"/>
    <w:rsid w:val="00CB72C5"/>
    <w:rsid w:val="00CC1869"/>
    <w:rsid w:val="00CD4770"/>
    <w:rsid w:val="00CD4F24"/>
    <w:rsid w:val="00CF225E"/>
    <w:rsid w:val="00CF4417"/>
    <w:rsid w:val="00D068E0"/>
    <w:rsid w:val="00D10562"/>
    <w:rsid w:val="00D10E3D"/>
    <w:rsid w:val="00D125FB"/>
    <w:rsid w:val="00D15E05"/>
    <w:rsid w:val="00D16FF0"/>
    <w:rsid w:val="00D26496"/>
    <w:rsid w:val="00D44713"/>
    <w:rsid w:val="00D651E0"/>
    <w:rsid w:val="00D74025"/>
    <w:rsid w:val="00D74676"/>
    <w:rsid w:val="00D77C70"/>
    <w:rsid w:val="00D80D03"/>
    <w:rsid w:val="00D82F63"/>
    <w:rsid w:val="00D91306"/>
    <w:rsid w:val="00D9730A"/>
    <w:rsid w:val="00DA79EB"/>
    <w:rsid w:val="00DB15BE"/>
    <w:rsid w:val="00DB2217"/>
    <w:rsid w:val="00DD6AA0"/>
    <w:rsid w:val="00DE0490"/>
    <w:rsid w:val="00E05062"/>
    <w:rsid w:val="00E064D3"/>
    <w:rsid w:val="00E132EC"/>
    <w:rsid w:val="00E4156C"/>
    <w:rsid w:val="00E46678"/>
    <w:rsid w:val="00E51534"/>
    <w:rsid w:val="00E51ACA"/>
    <w:rsid w:val="00E526CD"/>
    <w:rsid w:val="00E6278C"/>
    <w:rsid w:val="00E73591"/>
    <w:rsid w:val="00E756BA"/>
    <w:rsid w:val="00E9281B"/>
    <w:rsid w:val="00E9512B"/>
    <w:rsid w:val="00EA4688"/>
    <w:rsid w:val="00EB0B72"/>
    <w:rsid w:val="00EB1222"/>
    <w:rsid w:val="00EB1959"/>
    <w:rsid w:val="00EB2A6B"/>
    <w:rsid w:val="00EC3299"/>
    <w:rsid w:val="00EC4018"/>
    <w:rsid w:val="00ED03C3"/>
    <w:rsid w:val="00ED6ADC"/>
    <w:rsid w:val="00EE01DF"/>
    <w:rsid w:val="00EE2A79"/>
    <w:rsid w:val="00EE5978"/>
    <w:rsid w:val="00EE5C5A"/>
    <w:rsid w:val="00EF222E"/>
    <w:rsid w:val="00EF22E7"/>
    <w:rsid w:val="00F005F4"/>
    <w:rsid w:val="00F0393B"/>
    <w:rsid w:val="00F10549"/>
    <w:rsid w:val="00F140FF"/>
    <w:rsid w:val="00F17A8C"/>
    <w:rsid w:val="00F22540"/>
    <w:rsid w:val="00F447B6"/>
    <w:rsid w:val="00F45BD4"/>
    <w:rsid w:val="00F53415"/>
    <w:rsid w:val="00F54A2F"/>
    <w:rsid w:val="00F8189D"/>
    <w:rsid w:val="00F86D44"/>
    <w:rsid w:val="00F87DCD"/>
    <w:rsid w:val="00F943CE"/>
    <w:rsid w:val="00F94D5C"/>
    <w:rsid w:val="00F95006"/>
    <w:rsid w:val="00F96D03"/>
    <w:rsid w:val="00FA431D"/>
    <w:rsid w:val="00FA5419"/>
    <w:rsid w:val="00FA7B94"/>
    <w:rsid w:val="00FB3116"/>
    <w:rsid w:val="00FB5561"/>
    <w:rsid w:val="00FC7AED"/>
    <w:rsid w:val="00FD130B"/>
    <w:rsid w:val="00FD31BE"/>
    <w:rsid w:val="00FD6A73"/>
    <w:rsid w:val="00FF2C21"/>
    <w:rsid w:val="1E021832"/>
    <w:rsid w:val="2AC952A2"/>
    <w:rsid w:val="308E0DD8"/>
    <w:rsid w:val="3ECC60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10BD"/>
  <w15:docId w15:val="{F8694638-B8E3-4FFA-B1D2-C95D270D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0"/>
      <w:szCs w:val="20"/>
      <w:lang w:eastAsia="en-US"/>
    </w:rPr>
  </w:style>
  <w:style w:type="paragraph" w:styleId="Header">
    <w:name w:val="header"/>
    <w:basedOn w:val="Normal"/>
    <w:link w:val="HeaderChar"/>
    <w:uiPriority w:val="99"/>
    <w:qFormat/>
    <w:pPr>
      <w:tabs>
        <w:tab w:val="center" w:pos="4677"/>
        <w:tab w:val="right" w:pos="9355"/>
      </w:tabs>
      <w:ind w:firstLine="709"/>
      <w:jc w:val="both"/>
    </w:pPr>
    <w:rPr>
      <w:rFonts w:eastAsia="Times New Roman"/>
      <w:sz w:val="20"/>
      <w:szCs w:val="20"/>
      <w:lang w:val="en-US" w:eastAsia="en-U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ind w:firstLine="567"/>
      <w:jc w:val="both"/>
    </w:pPr>
    <w:rPr>
      <w:rFonts w:eastAsia="Times New Roma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qFormat/>
    <w:pPr>
      <w:jc w:val="center"/>
    </w:pPr>
    <w:rPr>
      <w:b/>
      <w:bCs/>
    </w:rPr>
  </w:style>
  <w:style w:type="paragraph" w:customStyle="1" w:styleId="cn">
    <w:name w:val="cn"/>
    <w:basedOn w:val="Normal"/>
    <w:qFormat/>
    <w:pPr>
      <w:jc w:val="center"/>
    </w:pPr>
  </w:style>
  <w:style w:type="paragraph" w:styleId="NoSpacing">
    <w:name w:val="No Spacing"/>
    <w:uiPriority w:val="1"/>
    <w:qFormat/>
    <w:rPr>
      <w:rFonts w:ascii="Calibri" w:eastAsia="Times New Roman" w:hAnsi="Calibri"/>
      <w:sz w:val="22"/>
      <w:szCs w:val="22"/>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ro-RO" w:eastAsia="ro-RO"/>
    </w:rPr>
  </w:style>
  <w:style w:type="paragraph" w:styleId="ListParagraph">
    <w:name w:val="List Paragraph"/>
    <w:basedOn w:val="Normal"/>
    <w:link w:val="ListParagraphChar"/>
    <w:uiPriority w:val="34"/>
    <w:qFormat/>
    <w:pPr>
      <w:ind w:left="720"/>
      <w:contextualSpacing/>
    </w:pPr>
  </w:style>
  <w:style w:type="character" w:customStyle="1" w:styleId="docsign1">
    <w:name w:val="doc_sign1"/>
    <w:basedOn w:val="DefaultParagraphFont"/>
    <w:qFormat/>
  </w:style>
  <w:style w:type="character" w:customStyle="1" w:styleId="CommentTextChar">
    <w:name w:val="Comment Text Char"/>
    <w:basedOn w:val="DefaultParagraphFont"/>
    <w:link w:val="CommentText"/>
    <w:uiPriority w:val="99"/>
    <w:qFormat/>
    <w:rPr>
      <w:rFonts w:ascii="Times New Roman" w:eastAsiaTheme="minorEastAsia" w:hAnsi="Times New Roman" w:cs="Times New Roman"/>
      <w:sz w:val="20"/>
      <w:szCs w:val="20"/>
      <w:lang w:val="ro-RO" w:eastAsia="ro-RO"/>
    </w:rPr>
  </w:style>
  <w:style w:type="character" w:customStyle="1" w:styleId="CommentSubjectChar">
    <w:name w:val="Comment Subject Char"/>
    <w:basedOn w:val="CommentTextChar"/>
    <w:link w:val="CommentSubject"/>
    <w:uiPriority w:val="99"/>
    <w:semiHidden/>
    <w:qFormat/>
    <w:rPr>
      <w:rFonts w:ascii="Times New Roman" w:eastAsiaTheme="minorEastAsia" w:hAnsi="Times New Roman" w:cs="Times New Roman"/>
      <w:b/>
      <w:bCs/>
      <w:sz w:val="20"/>
      <w:szCs w:val="20"/>
      <w:lang w:val="ro-RO" w:eastAsia="ro-RO"/>
    </w:rPr>
  </w:style>
  <w:style w:type="character" w:customStyle="1" w:styleId="ListParagraphChar">
    <w:name w:val="List Paragraph Char"/>
    <w:link w:val="ListParagraph"/>
    <w:uiPriority w:val="34"/>
    <w:qFormat/>
    <w:locked/>
    <w:rPr>
      <w:rFonts w:ascii="Times New Roman" w:eastAsiaTheme="minorEastAsia" w:hAnsi="Times New Roman" w:cs="Times New Roman"/>
      <w:sz w:val="24"/>
      <w:szCs w:val="24"/>
      <w:lang w:val="ro-RO" w:eastAsia="ro-RO"/>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US"/>
    </w:rPr>
  </w:style>
  <w:style w:type="character" w:customStyle="1" w:styleId="a">
    <w:name w:val="Другое_"/>
    <w:basedOn w:val="DefaultParagraphFont"/>
    <w:link w:val="a0"/>
    <w:qFormat/>
    <w:rPr>
      <w:rFonts w:ascii="Times New Roman" w:eastAsia="Times New Roman" w:hAnsi="Times New Roman" w:cs="Times New Roman"/>
    </w:rPr>
  </w:style>
  <w:style w:type="paragraph" w:customStyle="1" w:styleId="a0">
    <w:name w:val="Другое"/>
    <w:basedOn w:val="Normal"/>
    <w:link w:val="a"/>
    <w:qFormat/>
    <w:pPr>
      <w:widowControl w:val="0"/>
      <w:spacing w:after="100"/>
    </w:pPr>
    <w:rPr>
      <w:rFonts w:eastAsia="Times New Roman"/>
      <w:sz w:val="22"/>
      <w:szCs w:val="22"/>
      <w:lang w:val="ru-RU" w:eastAsia="en-US"/>
    </w:rPr>
  </w:style>
  <w:style w:type="character" w:customStyle="1" w:styleId="FootnoteTextChar">
    <w:name w:val="Footnote Text Char"/>
    <w:basedOn w:val="DefaultParagraphFont"/>
    <w:link w:val="FootnoteText"/>
    <w:uiPriority w:val="99"/>
    <w:qFormat/>
    <w:rPr>
      <w:sz w:val="20"/>
      <w:szCs w:val="20"/>
      <w:lang w:val="ro-RO"/>
    </w:rPr>
  </w:style>
  <w:style w:type="paragraph" w:customStyle="1" w:styleId="1">
    <w:name w:val="Рецензия1"/>
    <w:hidden/>
    <w:uiPriority w:val="99"/>
    <w:semiHidden/>
    <w:qFormat/>
    <w:rPr>
      <w:rFonts w:eastAsiaTheme="minorEastAsi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2283</Words>
  <Characters>13016</Characters>
  <Application>Microsoft Office Word</Application>
  <DocSecurity>0</DocSecurity>
  <Lines>108</Lines>
  <Paragraphs>30</Paragraphs>
  <ScaleCrop>false</ScaleCrop>
  <Company>by adguard</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User Windows</cp:lastModifiedBy>
  <cp:revision>12</cp:revision>
  <cp:lastPrinted>2022-05-13T04:53:00Z</cp:lastPrinted>
  <dcterms:created xsi:type="dcterms:W3CDTF">2022-09-02T06:32:00Z</dcterms:created>
  <dcterms:modified xsi:type="dcterms:W3CDTF">2022-09-06T07:46:00Z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5FA4C01AFF844FB4A4553A19F531254C</vt:lpwstr>
  </property>
</Properties>
</file>